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drawings/drawing10.xml" ContentType="application/vnd.openxmlformats-officedocument.drawingml.chartshapes+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drawings/drawing11.xml" ContentType="application/vnd.openxmlformats-officedocument.drawingml.chartshapes+xml"/>
  <Override PartName="/word/footer2.xml" ContentType="application/vnd.openxmlformats-officedocument.wordprocessingml.footer+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A25A4" w14:textId="1B0A7ACC" w:rsidR="005A2FC0" w:rsidRDefault="005A2FC0">
      <w:bookmarkStart w:id="0" w:name="_Toc444605532"/>
      <w:bookmarkStart w:id="1" w:name="_Toc337117118"/>
    </w:p>
    <w:p w14:paraId="7C15A3A5" w14:textId="7EBFEDE7" w:rsidR="005A2FC0" w:rsidRDefault="005A2FC0"/>
    <w:p w14:paraId="2416ADD5" w14:textId="7D49A69F" w:rsidR="005A2FC0" w:rsidRDefault="005A2FC0"/>
    <w:p w14:paraId="0D8A2603" w14:textId="4539531B" w:rsidR="00427858" w:rsidRDefault="00427858"/>
    <w:p w14:paraId="43360E4C" w14:textId="77777777" w:rsidR="00427858" w:rsidRDefault="00427858"/>
    <w:p w14:paraId="5A209203" w14:textId="77777777" w:rsidR="001B3328" w:rsidRDefault="001B3328" w:rsidP="001B3328">
      <w:pPr>
        <w:rPr>
          <w:lang w:val="sr-Latn-RS"/>
        </w:rPr>
      </w:pPr>
    </w:p>
    <w:p w14:paraId="7C59A1F5" w14:textId="77777777" w:rsidR="005A2FC0" w:rsidRPr="00A6164C" w:rsidRDefault="005A2FC0" w:rsidP="005A2FC0">
      <w:pPr>
        <w:spacing w:after="160" w:line="360" w:lineRule="auto"/>
        <w:jc w:val="center"/>
        <w:rPr>
          <w:rFonts w:eastAsia="MS PGothic"/>
          <w:b/>
          <w:w w:val="110"/>
          <w:sz w:val="44"/>
          <w:szCs w:val="44"/>
          <w:lang w:val="sr-Cyrl-RS" w:eastAsia="ja-JP"/>
        </w:rPr>
      </w:pPr>
      <w:r>
        <w:rPr>
          <w:rFonts w:eastAsia="MS PGothic"/>
          <w:b/>
          <w:w w:val="110"/>
          <w:sz w:val="44"/>
          <w:szCs w:val="44"/>
          <w:lang w:val="sr-Latn-RS" w:eastAsia="ja-JP"/>
        </w:rPr>
        <w:t>ECONOMIC REFORM PROGRAMME</w:t>
      </w:r>
      <w:r>
        <w:rPr>
          <w:rFonts w:eastAsia="MS PGothic"/>
          <w:b/>
          <w:w w:val="110"/>
          <w:sz w:val="44"/>
          <w:szCs w:val="44"/>
          <w:lang w:val="sr-Cyrl-RS" w:eastAsia="ja-JP"/>
        </w:rPr>
        <w:t xml:space="preserve"> FOR THE PERIOD</w:t>
      </w:r>
      <w:r w:rsidRPr="00A6164C">
        <w:rPr>
          <w:rFonts w:eastAsia="MS PGothic"/>
          <w:b/>
          <w:w w:val="110"/>
          <w:sz w:val="44"/>
          <w:szCs w:val="44"/>
          <w:lang w:val="sr-Cyrl-RS" w:eastAsia="ja-JP"/>
        </w:rPr>
        <w:t xml:space="preserve"> 202</w:t>
      </w:r>
      <w:r>
        <w:rPr>
          <w:rFonts w:eastAsia="MS PGothic"/>
          <w:b/>
          <w:w w:val="110"/>
          <w:sz w:val="44"/>
          <w:szCs w:val="44"/>
          <w:lang w:val="sr-Cyrl-RS" w:eastAsia="ja-JP"/>
        </w:rPr>
        <w:t xml:space="preserve">5- </w:t>
      </w:r>
      <w:r w:rsidRPr="00A6164C">
        <w:rPr>
          <w:rFonts w:eastAsia="MS PGothic"/>
          <w:b/>
          <w:w w:val="110"/>
          <w:sz w:val="44"/>
          <w:szCs w:val="44"/>
          <w:lang w:val="sr-Cyrl-RS" w:eastAsia="ja-JP"/>
        </w:rPr>
        <w:t>202</w:t>
      </w:r>
      <w:r>
        <w:rPr>
          <w:rFonts w:eastAsia="MS PGothic"/>
          <w:b/>
          <w:w w:val="110"/>
          <w:sz w:val="44"/>
          <w:szCs w:val="44"/>
          <w:lang w:val="sr-Cyrl-RS" w:eastAsia="ja-JP"/>
        </w:rPr>
        <w:t>7</w:t>
      </w:r>
    </w:p>
    <w:p w14:paraId="15A72D64" w14:textId="77777777" w:rsidR="005A2FC0" w:rsidRPr="00A6164C" w:rsidRDefault="005A2FC0" w:rsidP="005A2FC0">
      <w:pPr>
        <w:spacing w:after="160" w:line="259" w:lineRule="auto"/>
        <w:rPr>
          <w:rFonts w:eastAsia="MS PGothic"/>
          <w:b/>
          <w:w w:val="110"/>
          <w:sz w:val="26"/>
          <w:szCs w:val="26"/>
          <w:lang w:val="sr-Cyrl-RS" w:eastAsia="ja-JP"/>
        </w:rPr>
      </w:pPr>
    </w:p>
    <w:p w14:paraId="498512B2" w14:textId="77777777" w:rsidR="005A2FC0" w:rsidRDefault="005A2FC0" w:rsidP="005A2FC0">
      <w:pPr>
        <w:spacing w:after="160" w:line="259" w:lineRule="auto"/>
        <w:rPr>
          <w:rFonts w:eastAsia="MS PGothic"/>
          <w:b/>
          <w:w w:val="110"/>
          <w:sz w:val="26"/>
          <w:szCs w:val="26"/>
          <w:lang w:val="sr-Cyrl-RS" w:eastAsia="ja-JP"/>
        </w:rPr>
      </w:pPr>
    </w:p>
    <w:p w14:paraId="112B0771" w14:textId="77777777" w:rsidR="005A2FC0" w:rsidRDefault="005A2FC0" w:rsidP="005A2FC0">
      <w:pPr>
        <w:spacing w:after="160" w:line="259" w:lineRule="auto"/>
        <w:rPr>
          <w:rFonts w:eastAsia="MS PGothic"/>
          <w:b/>
          <w:w w:val="110"/>
          <w:sz w:val="26"/>
          <w:szCs w:val="26"/>
          <w:lang w:val="sr-Cyrl-RS" w:eastAsia="ja-JP"/>
        </w:rPr>
      </w:pPr>
    </w:p>
    <w:p w14:paraId="3AC9262F" w14:textId="77777777" w:rsidR="005A2FC0" w:rsidRDefault="005A2FC0" w:rsidP="005A2FC0">
      <w:pPr>
        <w:spacing w:after="160" w:line="259" w:lineRule="auto"/>
        <w:rPr>
          <w:rFonts w:eastAsia="MS PGothic"/>
          <w:b/>
          <w:w w:val="110"/>
          <w:sz w:val="26"/>
          <w:szCs w:val="26"/>
          <w:lang w:val="sr-Cyrl-RS" w:eastAsia="ja-JP"/>
        </w:rPr>
      </w:pPr>
    </w:p>
    <w:p w14:paraId="51CAB263" w14:textId="77777777" w:rsidR="005A2FC0" w:rsidRDefault="005A2FC0" w:rsidP="005A2FC0">
      <w:pPr>
        <w:spacing w:after="160" w:line="259" w:lineRule="auto"/>
        <w:rPr>
          <w:rFonts w:eastAsia="MS PGothic"/>
          <w:b/>
          <w:w w:val="110"/>
          <w:sz w:val="26"/>
          <w:szCs w:val="26"/>
          <w:lang w:val="sr-Cyrl-RS" w:eastAsia="ja-JP"/>
        </w:rPr>
      </w:pPr>
    </w:p>
    <w:p w14:paraId="682A6D95" w14:textId="77777777" w:rsidR="005A2FC0" w:rsidRDefault="005A2FC0" w:rsidP="005A2FC0">
      <w:pPr>
        <w:spacing w:after="160" w:line="259" w:lineRule="auto"/>
        <w:rPr>
          <w:rFonts w:eastAsia="MS PGothic"/>
          <w:b/>
          <w:w w:val="110"/>
          <w:sz w:val="26"/>
          <w:szCs w:val="26"/>
          <w:lang w:val="sr-Cyrl-RS" w:eastAsia="ja-JP"/>
        </w:rPr>
      </w:pPr>
    </w:p>
    <w:p w14:paraId="3EBAE35E" w14:textId="77777777" w:rsidR="005A2FC0" w:rsidRDefault="005A2FC0" w:rsidP="005A2FC0">
      <w:pPr>
        <w:spacing w:after="160" w:line="259" w:lineRule="auto"/>
        <w:rPr>
          <w:rFonts w:eastAsia="MS PGothic"/>
          <w:b/>
          <w:w w:val="110"/>
          <w:sz w:val="26"/>
          <w:szCs w:val="26"/>
          <w:lang w:val="sr-Cyrl-RS" w:eastAsia="ja-JP"/>
        </w:rPr>
      </w:pPr>
    </w:p>
    <w:p w14:paraId="22B158C1" w14:textId="77777777" w:rsidR="005A2FC0" w:rsidRDefault="005A2FC0" w:rsidP="005A2FC0">
      <w:pPr>
        <w:spacing w:after="160" w:line="259" w:lineRule="auto"/>
        <w:rPr>
          <w:rFonts w:eastAsia="MS PGothic"/>
          <w:b/>
          <w:w w:val="110"/>
          <w:sz w:val="26"/>
          <w:szCs w:val="26"/>
          <w:lang w:val="sr-Cyrl-RS" w:eastAsia="ja-JP"/>
        </w:rPr>
      </w:pPr>
    </w:p>
    <w:p w14:paraId="08A6A228" w14:textId="77777777" w:rsidR="005A2FC0" w:rsidRDefault="005A2FC0" w:rsidP="005A2FC0">
      <w:pPr>
        <w:spacing w:after="160" w:line="259" w:lineRule="auto"/>
        <w:rPr>
          <w:rFonts w:eastAsia="MS PGothic"/>
          <w:b/>
          <w:w w:val="110"/>
          <w:sz w:val="26"/>
          <w:szCs w:val="26"/>
          <w:lang w:val="sr-Cyrl-RS" w:eastAsia="ja-JP"/>
        </w:rPr>
      </w:pPr>
    </w:p>
    <w:p w14:paraId="7BA79B4A" w14:textId="77777777" w:rsidR="005A2FC0" w:rsidRDefault="005A2FC0" w:rsidP="005A2FC0">
      <w:pPr>
        <w:spacing w:after="160" w:line="259" w:lineRule="auto"/>
        <w:rPr>
          <w:rFonts w:eastAsia="MS PGothic"/>
          <w:b/>
          <w:w w:val="110"/>
          <w:sz w:val="26"/>
          <w:szCs w:val="26"/>
          <w:lang w:val="sr-Cyrl-RS" w:eastAsia="ja-JP"/>
        </w:rPr>
      </w:pPr>
    </w:p>
    <w:p w14:paraId="67FD6004" w14:textId="77777777" w:rsidR="005A2FC0" w:rsidRDefault="005A2FC0" w:rsidP="005A2FC0">
      <w:pPr>
        <w:spacing w:after="160" w:line="259" w:lineRule="auto"/>
        <w:rPr>
          <w:rFonts w:eastAsia="MS PGothic"/>
          <w:b/>
          <w:w w:val="110"/>
          <w:sz w:val="26"/>
          <w:szCs w:val="26"/>
          <w:lang w:val="sr-Cyrl-RS" w:eastAsia="ja-JP"/>
        </w:rPr>
      </w:pPr>
    </w:p>
    <w:p w14:paraId="7E595649" w14:textId="77777777" w:rsidR="005A2FC0" w:rsidRDefault="005A2FC0" w:rsidP="005A2FC0">
      <w:pPr>
        <w:spacing w:after="160" w:line="259" w:lineRule="auto"/>
        <w:rPr>
          <w:rFonts w:eastAsia="MS PGothic"/>
          <w:b/>
          <w:w w:val="110"/>
          <w:sz w:val="26"/>
          <w:szCs w:val="26"/>
          <w:lang w:val="sr-Cyrl-RS" w:eastAsia="ja-JP"/>
        </w:rPr>
      </w:pPr>
    </w:p>
    <w:p w14:paraId="445030BF" w14:textId="77777777" w:rsidR="005A2FC0" w:rsidRDefault="005A2FC0" w:rsidP="005A2FC0">
      <w:pPr>
        <w:spacing w:after="160" w:line="259" w:lineRule="auto"/>
        <w:rPr>
          <w:rFonts w:eastAsia="MS PGothic"/>
          <w:b/>
          <w:w w:val="110"/>
          <w:sz w:val="26"/>
          <w:szCs w:val="26"/>
          <w:lang w:val="sr-Cyrl-RS" w:eastAsia="ja-JP"/>
        </w:rPr>
      </w:pPr>
    </w:p>
    <w:p w14:paraId="536ADD89" w14:textId="77777777" w:rsidR="005A2FC0" w:rsidRDefault="005A2FC0" w:rsidP="005A2FC0">
      <w:pPr>
        <w:spacing w:after="160" w:line="259" w:lineRule="auto"/>
        <w:rPr>
          <w:rFonts w:eastAsia="MS PGothic"/>
          <w:b/>
          <w:w w:val="110"/>
          <w:sz w:val="26"/>
          <w:szCs w:val="26"/>
          <w:lang w:val="sr-Cyrl-RS" w:eastAsia="ja-JP"/>
        </w:rPr>
      </w:pPr>
    </w:p>
    <w:p w14:paraId="45C1BBEB" w14:textId="77777777" w:rsidR="005A2FC0" w:rsidRDefault="005A2FC0" w:rsidP="005A2FC0">
      <w:pPr>
        <w:spacing w:after="160" w:line="259" w:lineRule="auto"/>
        <w:rPr>
          <w:rFonts w:eastAsia="MS PGothic"/>
          <w:b/>
          <w:w w:val="110"/>
          <w:sz w:val="26"/>
          <w:szCs w:val="26"/>
          <w:lang w:val="sr-Cyrl-RS" w:eastAsia="ja-JP"/>
        </w:rPr>
      </w:pPr>
    </w:p>
    <w:p w14:paraId="3452F678" w14:textId="77777777" w:rsidR="005A2FC0" w:rsidRDefault="005A2FC0" w:rsidP="005A2FC0">
      <w:pPr>
        <w:spacing w:after="160" w:line="259" w:lineRule="auto"/>
        <w:rPr>
          <w:rFonts w:eastAsia="MS PGothic"/>
          <w:b/>
          <w:w w:val="110"/>
          <w:sz w:val="26"/>
          <w:szCs w:val="26"/>
          <w:lang w:val="sr-Cyrl-RS" w:eastAsia="ja-JP"/>
        </w:rPr>
      </w:pPr>
    </w:p>
    <w:p w14:paraId="2E8E676A" w14:textId="7AA223F1" w:rsidR="000255B9" w:rsidRPr="005A2FC0" w:rsidRDefault="005A2FC0" w:rsidP="005A2FC0">
      <w:pPr>
        <w:spacing w:after="160" w:line="259" w:lineRule="auto"/>
        <w:jc w:val="center"/>
        <w:rPr>
          <w:rFonts w:eastAsia="MS PGothic"/>
          <w:b/>
          <w:w w:val="110"/>
          <w:lang w:val="sr-Cyrl-RS" w:eastAsia="ja-JP"/>
        </w:rPr>
        <w:sectPr w:rsidR="000255B9" w:rsidRPr="005A2FC0" w:rsidSect="005C499C">
          <w:footerReference w:type="default" r:id="rId8"/>
          <w:type w:val="continuous"/>
          <w:pgSz w:w="11906" w:h="16838" w:code="9"/>
          <w:pgMar w:top="1440" w:right="1440" w:bottom="1440" w:left="1440" w:header="720" w:footer="720" w:gutter="0"/>
          <w:cols w:space="720"/>
          <w:titlePg/>
          <w:docGrid w:linePitch="360"/>
        </w:sectPr>
      </w:pPr>
      <w:r>
        <w:rPr>
          <w:rFonts w:eastAsia="MS PGothic"/>
          <w:b/>
          <w:w w:val="110"/>
          <w:lang w:val="sr-Latn-RS" w:eastAsia="ja-JP"/>
        </w:rPr>
        <w:t>Belgrade</w:t>
      </w:r>
      <w:r>
        <w:rPr>
          <w:rFonts w:eastAsia="MS PGothic"/>
          <w:b/>
          <w:w w:val="110"/>
          <w:lang w:val="sr-Cyrl-RS" w:eastAsia="ja-JP"/>
        </w:rPr>
        <w:t>, December 2024</w:t>
      </w:r>
    </w:p>
    <w:p w14:paraId="6978D8B8" w14:textId="6B615CE8" w:rsidR="000C1D88" w:rsidRDefault="002E5F43" w:rsidP="002E5F43">
      <w:pPr>
        <w:pStyle w:val="Heading1"/>
        <w:tabs>
          <w:tab w:val="left" w:pos="7183"/>
        </w:tabs>
        <w:spacing w:before="0" w:after="240"/>
        <w:rPr>
          <w:rFonts w:ascii="Times New Roman" w:eastAsiaTheme="minorHAnsi" w:hAnsi="Times New Roman" w:cs="Times New Roman"/>
          <w:b/>
          <w:color w:val="auto"/>
          <w:sz w:val="24"/>
          <w:szCs w:val="24"/>
          <w:lang w:val="sr-Latn-RS"/>
        </w:rPr>
      </w:pPr>
      <w:r>
        <w:rPr>
          <w:rFonts w:ascii="Times New Roman" w:eastAsiaTheme="minorHAnsi" w:hAnsi="Times New Roman" w:cs="Times New Roman"/>
          <w:b/>
          <w:color w:val="auto"/>
          <w:sz w:val="24"/>
          <w:szCs w:val="24"/>
          <w:lang w:val="sr-Latn-RS"/>
        </w:rPr>
        <w:lastRenderedPageBreak/>
        <w:tab/>
      </w:r>
    </w:p>
    <w:p w14:paraId="12A3D2D3" w14:textId="77777777" w:rsidR="000C1D88" w:rsidRDefault="000C1D88" w:rsidP="00E25CAC">
      <w:pPr>
        <w:pStyle w:val="Heading1"/>
        <w:spacing w:before="0" w:after="240"/>
        <w:rPr>
          <w:rFonts w:ascii="Times New Roman" w:eastAsiaTheme="minorHAnsi" w:hAnsi="Times New Roman" w:cs="Times New Roman"/>
          <w:b/>
          <w:color w:val="auto"/>
          <w:sz w:val="24"/>
          <w:szCs w:val="24"/>
          <w:lang w:val="sr-Latn-RS"/>
        </w:rPr>
      </w:pPr>
    </w:p>
    <w:sdt>
      <w:sdtPr>
        <w:rPr>
          <w:rFonts w:ascii="Times New Roman" w:eastAsiaTheme="minorHAnsi" w:hAnsi="Times New Roman" w:cstheme="minorBidi"/>
          <w:color w:val="auto"/>
          <w:sz w:val="24"/>
          <w:szCs w:val="22"/>
          <w:lang w:eastAsia="en-US"/>
        </w:rPr>
        <w:id w:val="1540928643"/>
        <w:docPartObj>
          <w:docPartGallery w:val="Table of Contents"/>
          <w:docPartUnique/>
        </w:docPartObj>
      </w:sdtPr>
      <w:sdtEndPr>
        <w:rPr>
          <w:b/>
          <w:bCs/>
          <w:noProof/>
        </w:rPr>
      </w:sdtEndPr>
      <w:sdtContent>
        <w:p w14:paraId="75079800" w14:textId="3ED545E2" w:rsidR="005A2FC0" w:rsidRDefault="005A2FC0" w:rsidP="005A2FC0">
          <w:pPr>
            <w:pStyle w:val="TOCHeading"/>
            <w:rPr>
              <w:rFonts w:ascii="Times New Roman" w:hAnsi="Times New Roman" w:cs="Times New Roman"/>
              <w:color w:val="auto"/>
            </w:rPr>
          </w:pPr>
          <w:r w:rsidRPr="003E55D3">
            <w:rPr>
              <w:rFonts w:ascii="Times New Roman" w:hAnsi="Times New Roman" w:cs="Times New Roman"/>
              <w:color w:val="auto"/>
            </w:rPr>
            <w:t>Contents</w:t>
          </w:r>
        </w:p>
        <w:p w14:paraId="16E6CBA4" w14:textId="77777777" w:rsidR="00F33FA6" w:rsidRPr="00602766" w:rsidRDefault="00F33FA6" w:rsidP="00F33FA6">
          <w:pPr>
            <w:rPr>
              <w:szCs w:val="24"/>
              <w:lang w:eastAsia="ja-JP"/>
            </w:rPr>
          </w:pPr>
        </w:p>
        <w:p w14:paraId="0A42CBBA" w14:textId="2BF36452" w:rsidR="00461019" w:rsidRDefault="005A2FC0">
          <w:pPr>
            <w:pStyle w:val="TOC1"/>
            <w:rPr>
              <w:rFonts w:asciiTheme="minorHAnsi" w:eastAsiaTheme="minorEastAsia" w:hAnsiTheme="minorHAnsi"/>
              <w:kern w:val="0"/>
              <w:sz w:val="22"/>
              <w:szCs w:val="22"/>
              <w:lang w:eastAsia="en-US"/>
            </w:rPr>
          </w:pPr>
          <w:r>
            <w:fldChar w:fldCharType="begin"/>
          </w:r>
          <w:r>
            <w:instrText xml:space="preserve"> TOC \o "1-3" \h \z \u </w:instrText>
          </w:r>
          <w:r>
            <w:fldChar w:fldCharType="separate"/>
          </w:r>
          <w:hyperlink w:anchor="_Toc192759969" w:history="1">
            <w:r w:rsidR="00461019" w:rsidRPr="00E43C2A">
              <w:rPr>
                <w:rStyle w:val="Hyperlink"/>
                <w:rFonts w:eastAsiaTheme="minorHAnsi" w:cs="Times New Roman"/>
                <w:b/>
                <w:lang w:val="sr-Latn-RS"/>
              </w:rPr>
              <w:t xml:space="preserve">1. GENERAL FRAMEWORK AND MAIN GOALS AND GUIDELINES </w:t>
            </w:r>
            <w:r w:rsidR="00461019" w:rsidRPr="00E43C2A">
              <w:rPr>
                <w:rStyle w:val="Hyperlink"/>
                <w:rFonts w:eastAsiaTheme="minorHAnsi" w:cs="Times New Roman"/>
                <w:b/>
                <w:lang w:val="sr-Latn-RS"/>
              </w:rPr>
              <w:t>OF ECONOMIC POLICY</w:t>
            </w:r>
            <w:r w:rsidR="00461019">
              <w:rPr>
                <w:webHidden/>
              </w:rPr>
              <w:tab/>
            </w:r>
            <w:r w:rsidR="00461019">
              <w:rPr>
                <w:webHidden/>
              </w:rPr>
              <w:fldChar w:fldCharType="begin"/>
            </w:r>
            <w:r w:rsidR="00461019">
              <w:rPr>
                <w:webHidden/>
              </w:rPr>
              <w:instrText xml:space="preserve"> PAGEREF _Toc192759969 \h </w:instrText>
            </w:r>
            <w:r w:rsidR="00461019">
              <w:rPr>
                <w:webHidden/>
              </w:rPr>
            </w:r>
            <w:r w:rsidR="00461019">
              <w:rPr>
                <w:webHidden/>
              </w:rPr>
              <w:fldChar w:fldCharType="separate"/>
            </w:r>
            <w:r w:rsidR="00D25CFD">
              <w:rPr>
                <w:webHidden/>
              </w:rPr>
              <w:t>2</w:t>
            </w:r>
            <w:r w:rsidR="00461019">
              <w:rPr>
                <w:webHidden/>
              </w:rPr>
              <w:fldChar w:fldCharType="end"/>
            </w:r>
          </w:hyperlink>
        </w:p>
        <w:p w14:paraId="3F8E42B0" w14:textId="4BE66FB5" w:rsidR="00461019" w:rsidRDefault="00602766">
          <w:pPr>
            <w:pStyle w:val="TOC1"/>
            <w:rPr>
              <w:rFonts w:asciiTheme="minorHAnsi" w:eastAsiaTheme="minorEastAsia" w:hAnsiTheme="minorHAnsi"/>
              <w:kern w:val="0"/>
              <w:sz w:val="22"/>
              <w:szCs w:val="22"/>
              <w:lang w:eastAsia="en-US"/>
            </w:rPr>
          </w:pPr>
          <w:hyperlink w:anchor="_Toc192759970" w:history="1">
            <w:r w:rsidR="00461019" w:rsidRPr="00E43C2A">
              <w:rPr>
                <w:rStyle w:val="Hyperlink"/>
                <w:rFonts w:eastAsiaTheme="minorHAnsi" w:cs="Times New Roman"/>
                <w:b/>
                <w:lang w:val="sr-Latn-RS"/>
              </w:rPr>
              <w:t xml:space="preserve">2. </w:t>
            </w:r>
            <w:r w:rsidR="00461019" w:rsidRPr="00E43C2A">
              <w:rPr>
                <w:rStyle w:val="Hyperlink"/>
                <w:rFonts w:eastAsiaTheme="minorHAnsi" w:cs="Times New Roman"/>
                <w:b/>
                <w:lang w:val="en-GB"/>
              </w:rPr>
              <w:t>IMPLEMENTATION OF THE POLICY GUIDANCE</w:t>
            </w:r>
            <w:r w:rsidR="00461019">
              <w:rPr>
                <w:webHidden/>
              </w:rPr>
              <w:tab/>
            </w:r>
            <w:r w:rsidR="002E5F43">
              <w:rPr>
                <w:webHidden/>
              </w:rPr>
              <w:t xml:space="preserve">  </w:t>
            </w:r>
            <w:r w:rsidR="00461019">
              <w:rPr>
                <w:webHidden/>
              </w:rPr>
              <w:fldChar w:fldCharType="begin"/>
            </w:r>
            <w:r w:rsidR="00461019">
              <w:rPr>
                <w:webHidden/>
              </w:rPr>
              <w:instrText xml:space="preserve"> PAGEREF _Toc192759970 \h </w:instrText>
            </w:r>
            <w:r w:rsidR="00461019">
              <w:rPr>
                <w:webHidden/>
              </w:rPr>
            </w:r>
            <w:r w:rsidR="00461019">
              <w:rPr>
                <w:webHidden/>
              </w:rPr>
              <w:fldChar w:fldCharType="separate"/>
            </w:r>
            <w:r w:rsidR="00D25CFD">
              <w:rPr>
                <w:webHidden/>
              </w:rPr>
              <w:t>4</w:t>
            </w:r>
            <w:r w:rsidR="00461019">
              <w:rPr>
                <w:webHidden/>
              </w:rPr>
              <w:fldChar w:fldCharType="end"/>
            </w:r>
          </w:hyperlink>
        </w:p>
        <w:p w14:paraId="4FA1228B" w14:textId="6E9E4548" w:rsidR="00461019" w:rsidRDefault="00602766">
          <w:pPr>
            <w:pStyle w:val="TOC1"/>
            <w:rPr>
              <w:rFonts w:asciiTheme="minorHAnsi" w:eastAsiaTheme="minorEastAsia" w:hAnsiTheme="minorHAnsi"/>
              <w:kern w:val="0"/>
              <w:sz w:val="22"/>
              <w:szCs w:val="22"/>
              <w:lang w:eastAsia="en-US"/>
            </w:rPr>
          </w:pPr>
          <w:hyperlink w:anchor="_Toc192759971" w:history="1">
            <w:r w:rsidR="00461019" w:rsidRPr="00E43C2A">
              <w:rPr>
                <w:rStyle w:val="Hyperlink"/>
                <w:rFonts w:eastAsiaTheme="minorHAnsi" w:cs="Times New Roman"/>
                <w:b/>
                <w:lang w:val="sr-Latn-RS"/>
              </w:rPr>
              <w:t>3. MEDIUM-TERM MACROECONOMIC FRAMEWORK</w:t>
            </w:r>
            <w:r w:rsidR="00461019">
              <w:rPr>
                <w:webHidden/>
              </w:rPr>
              <w:tab/>
            </w:r>
            <w:r w:rsidR="00461019">
              <w:rPr>
                <w:webHidden/>
              </w:rPr>
              <w:fldChar w:fldCharType="begin"/>
            </w:r>
            <w:r w:rsidR="00461019">
              <w:rPr>
                <w:webHidden/>
              </w:rPr>
              <w:instrText xml:space="preserve"> PAGEREF _Toc192759971 \h </w:instrText>
            </w:r>
            <w:r w:rsidR="00461019">
              <w:rPr>
                <w:webHidden/>
              </w:rPr>
            </w:r>
            <w:r w:rsidR="00461019">
              <w:rPr>
                <w:webHidden/>
              </w:rPr>
              <w:fldChar w:fldCharType="separate"/>
            </w:r>
            <w:r w:rsidR="00D25CFD">
              <w:rPr>
                <w:webHidden/>
              </w:rPr>
              <w:t>9</w:t>
            </w:r>
            <w:r w:rsidR="00461019">
              <w:rPr>
                <w:webHidden/>
              </w:rPr>
              <w:fldChar w:fldCharType="end"/>
            </w:r>
          </w:hyperlink>
        </w:p>
        <w:p w14:paraId="73B708B5" w14:textId="1EE5EA22" w:rsidR="00461019" w:rsidRDefault="00602766">
          <w:pPr>
            <w:pStyle w:val="TOC1"/>
            <w:rPr>
              <w:rFonts w:asciiTheme="minorHAnsi" w:eastAsiaTheme="minorEastAsia" w:hAnsiTheme="minorHAnsi"/>
              <w:kern w:val="0"/>
              <w:sz w:val="22"/>
              <w:szCs w:val="22"/>
              <w:lang w:eastAsia="en-US"/>
            </w:rPr>
          </w:pPr>
          <w:hyperlink w:anchor="_Toc192759972" w:history="1">
            <w:r w:rsidR="00461019" w:rsidRPr="00E43C2A">
              <w:rPr>
                <w:rStyle w:val="Hyperlink"/>
                <w:rFonts w:cs="Times New Roman"/>
                <w:lang w:val="sr-Latn-RS"/>
              </w:rPr>
              <w:t>3.1. ASSESSMENTS OF THE INTERNATIONAL ECONOMIC ENVIRONMENT</w:t>
            </w:r>
            <w:r w:rsidR="00461019">
              <w:rPr>
                <w:webHidden/>
              </w:rPr>
              <w:tab/>
            </w:r>
            <w:r w:rsidR="00461019">
              <w:rPr>
                <w:webHidden/>
              </w:rPr>
              <w:fldChar w:fldCharType="begin"/>
            </w:r>
            <w:r w:rsidR="00461019">
              <w:rPr>
                <w:webHidden/>
              </w:rPr>
              <w:instrText xml:space="preserve"> PAGEREF _Toc192759972 \h </w:instrText>
            </w:r>
            <w:r w:rsidR="00461019">
              <w:rPr>
                <w:webHidden/>
              </w:rPr>
            </w:r>
            <w:r w:rsidR="00461019">
              <w:rPr>
                <w:webHidden/>
              </w:rPr>
              <w:fldChar w:fldCharType="separate"/>
            </w:r>
            <w:r w:rsidR="00D25CFD">
              <w:rPr>
                <w:webHidden/>
              </w:rPr>
              <w:t>9</w:t>
            </w:r>
            <w:r w:rsidR="00461019">
              <w:rPr>
                <w:webHidden/>
              </w:rPr>
              <w:fldChar w:fldCharType="end"/>
            </w:r>
          </w:hyperlink>
        </w:p>
        <w:p w14:paraId="4FD5FC44" w14:textId="245C0E3A" w:rsidR="00461019" w:rsidRDefault="00602766">
          <w:pPr>
            <w:pStyle w:val="TOC1"/>
            <w:rPr>
              <w:rFonts w:asciiTheme="minorHAnsi" w:eastAsiaTheme="minorEastAsia" w:hAnsiTheme="minorHAnsi"/>
              <w:kern w:val="0"/>
              <w:sz w:val="22"/>
              <w:szCs w:val="22"/>
              <w:lang w:eastAsia="en-US"/>
            </w:rPr>
          </w:pPr>
          <w:hyperlink w:anchor="_Toc192759973" w:history="1">
            <w:r w:rsidR="00461019" w:rsidRPr="00E43C2A">
              <w:rPr>
                <w:rStyle w:val="Hyperlink"/>
                <w:rFonts w:cs="Times New Roman"/>
                <w:lang w:val="sr-Latn-RS"/>
              </w:rPr>
              <w:t>3.2. CURRENT ECONOMIC DEVELOPMENTS AND OUTLOOK FOR 2024</w:t>
            </w:r>
            <w:r w:rsidR="00461019">
              <w:rPr>
                <w:webHidden/>
              </w:rPr>
              <w:tab/>
            </w:r>
            <w:r w:rsidR="00461019">
              <w:rPr>
                <w:webHidden/>
              </w:rPr>
              <w:fldChar w:fldCharType="begin"/>
            </w:r>
            <w:r w:rsidR="00461019">
              <w:rPr>
                <w:webHidden/>
              </w:rPr>
              <w:instrText xml:space="preserve"> PAGEREF _Toc192759973 \h </w:instrText>
            </w:r>
            <w:r w:rsidR="00461019">
              <w:rPr>
                <w:webHidden/>
              </w:rPr>
            </w:r>
            <w:r w:rsidR="00461019">
              <w:rPr>
                <w:webHidden/>
              </w:rPr>
              <w:fldChar w:fldCharType="separate"/>
            </w:r>
            <w:r w:rsidR="00D25CFD">
              <w:rPr>
                <w:webHidden/>
              </w:rPr>
              <w:t>11</w:t>
            </w:r>
            <w:r w:rsidR="00461019">
              <w:rPr>
                <w:webHidden/>
              </w:rPr>
              <w:fldChar w:fldCharType="end"/>
            </w:r>
          </w:hyperlink>
        </w:p>
        <w:p w14:paraId="5F3BA7ED" w14:textId="4165A43F" w:rsidR="00461019" w:rsidRDefault="00602766">
          <w:pPr>
            <w:pStyle w:val="TOC1"/>
            <w:rPr>
              <w:rFonts w:asciiTheme="minorHAnsi" w:eastAsiaTheme="minorEastAsia" w:hAnsiTheme="minorHAnsi"/>
              <w:kern w:val="0"/>
              <w:sz w:val="22"/>
              <w:szCs w:val="22"/>
              <w:lang w:eastAsia="en-US"/>
            </w:rPr>
          </w:pPr>
          <w:hyperlink w:anchor="_Toc192759974" w:history="1">
            <w:r w:rsidR="00461019" w:rsidRPr="00E43C2A">
              <w:rPr>
                <w:rStyle w:val="Hyperlink"/>
                <w:rFonts w:cs="Times New Roman"/>
                <w:lang w:val="sr-Latn-RS"/>
              </w:rPr>
              <w:t>3.3. MEDIUM-TERM MACROECONOMIC SCENARIO</w:t>
            </w:r>
            <w:r w:rsidR="00461019">
              <w:rPr>
                <w:webHidden/>
              </w:rPr>
              <w:tab/>
            </w:r>
            <w:r w:rsidR="00461019">
              <w:rPr>
                <w:webHidden/>
              </w:rPr>
              <w:fldChar w:fldCharType="begin"/>
            </w:r>
            <w:r w:rsidR="00461019">
              <w:rPr>
                <w:webHidden/>
              </w:rPr>
              <w:instrText xml:space="preserve"> PAGEREF _Toc192759974 \h </w:instrText>
            </w:r>
            <w:r w:rsidR="00461019">
              <w:rPr>
                <w:webHidden/>
              </w:rPr>
            </w:r>
            <w:r w:rsidR="00461019">
              <w:rPr>
                <w:webHidden/>
              </w:rPr>
              <w:fldChar w:fldCharType="separate"/>
            </w:r>
            <w:r w:rsidR="00D25CFD">
              <w:rPr>
                <w:webHidden/>
              </w:rPr>
              <w:t>20</w:t>
            </w:r>
            <w:r w:rsidR="00461019">
              <w:rPr>
                <w:webHidden/>
              </w:rPr>
              <w:fldChar w:fldCharType="end"/>
            </w:r>
          </w:hyperlink>
        </w:p>
        <w:p w14:paraId="0EA6062B" w14:textId="1BC58A94" w:rsidR="00461019" w:rsidRDefault="00602766">
          <w:pPr>
            <w:pStyle w:val="TOC1"/>
            <w:rPr>
              <w:rFonts w:asciiTheme="minorHAnsi" w:eastAsiaTheme="minorEastAsia" w:hAnsiTheme="minorHAnsi"/>
              <w:kern w:val="0"/>
              <w:sz w:val="22"/>
              <w:szCs w:val="22"/>
              <w:lang w:eastAsia="en-US"/>
            </w:rPr>
          </w:pPr>
          <w:hyperlink w:anchor="_Toc192759975" w:history="1">
            <w:r w:rsidR="00461019" w:rsidRPr="00E43C2A">
              <w:rPr>
                <w:rStyle w:val="Hyperlink"/>
                <w:rFonts w:cs="Times New Roman"/>
                <w:lang w:val="sr-Latn-RS"/>
              </w:rPr>
              <w:t>3.4. ALTERNATIVE SCENARIO AND RISKS</w:t>
            </w:r>
            <w:r w:rsidR="00461019">
              <w:rPr>
                <w:webHidden/>
              </w:rPr>
              <w:tab/>
            </w:r>
            <w:r w:rsidR="00461019">
              <w:rPr>
                <w:webHidden/>
              </w:rPr>
              <w:fldChar w:fldCharType="begin"/>
            </w:r>
            <w:r w:rsidR="00461019">
              <w:rPr>
                <w:webHidden/>
              </w:rPr>
              <w:instrText xml:space="preserve"> PAGEREF _Toc192759975 \h </w:instrText>
            </w:r>
            <w:r w:rsidR="00461019">
              <w:rPr>
                <w:webHidden/>
              </w:rPr>
            </w:r>
            <w:r w:rsidR="00461019">
              <w:rPr>
                <w:webHidden/>
              </w:rPr>
              <w:fldChar w:fldCharType="separate"/>
            </w:r>
            <w:r w:rsidR="00D25CFD">
              <w:rPr>
                <w:webHidden/>
              </w:rPr>
              <w:t>25</w:t>
            </w:r>
            <w:r w:rsidR="00461019">
              <w:rPr>
                <w:webHidden/>
              </w:rPr>
              <w:fldChar w:fldCharType="end"/>
            </w:r>
          </w:hyperlink>
        </w:p>
        <w:p w14:paraId="124755A6" w14:textId="011B1B86" w:rsidR="00461019" w:rsidRDefault="00602766">
          <w:pPr>
            <w:pStyle w:val="TOC1"/>
            <w:rPr>
              <w:rFonts w:asciiTheme="minorHAnsi" w:eastAsiaTheme="minorEastAsia" w:hAnsiTheme="minorHAnsi"/>
              <w:kern w:val="0"/>
              <w:sz w:val="22"/>
              <w:szCs w:val="22"/>
              <w:lang w:eastAsia="en-US"/>
            </w:rPr>
          </w:pPr>
          <w:hyperlink w:anchor="_Toc192759976" w:history="1">
            <w:r w:rsidR="00461019" w:rsidRPr="00E43C2A">
              <w:rPr>
                <w:rStyle w:val="Hyperlink"/>
                <w:rFonts w:eastAsiaTheme="minorHAnsi" w:cs="Times New Roman"/>
                <w:b/>
                <w:lang w:val="sr-Latn-RS"/>
              </w:rPr>
              <w:t>4. FISCAL FRAMEWORK FOR THE PERIOD 2025- 2027</w:t>
            </w:r>
            <w:r w:rsidR="00461019">
              <w:rPr>
                <w:webHidden/>
              </w:rPr>
              <w:tab/>
            </w:r>
            <w:r w:rsidR="00461019">
              <w:rPr>
                <w:webHidden/>
              </w:rPr>
              <w:fldChar w:fldCharType="begin"/>
            </w:r>
            <w:r w:rsidR="00461019">
              <w:rPr>
                <w:webHidden/>
              </w:rPr>
              <w:instrText xml:space="preserve"> PAGEREF _Toc192759976 \h </w:instrText>
            </w:r>
            <w:r w:rsidR="00461019">
              <w:rPr>
                <w:webHidden/>
              </w:rPr>
            </w:r>
            <w:r w:rsidR="00461019">
              <w:rPr>
                <w:webHidden/>
              </w:rPr>
              <w:fldChar w:fldCharType="separate"/>
            </w:r>
            <w:r w:rsidR="00D25CFD">
              <w:rPr>
                <w:webHidden/>
              </w:rPr>
              <w:t>27</w:t>
            </w:r>
            <w:r w:rsidR="00461019">
              <w:rPr>
                <w:webHidden/>
              </w:rPr>
              <w:fldChar w:fldCharType="end"/>
            </w:r>
          </w:hyperlink>
        </w:p>
        <w:p w14:paraId="55AD735B" w14:textId="0B22DDE6" w:rsidR="00461019" w:rsidRDefault="00602766">
          <w:pPr>
            <w:pStyle w:val="TOC1"/>
            <w:rPr>
              <w:rFonts w:asciiTheme="minorHAnsi" w:eastAsiaTheme="minorEastAsia" w:hAnsiTheme="minorHAnsi"/>
              <w:kern w:val="0"/>
              <w:sz w:val="22"/>
              <w:szCs w:val="22"/>
              <w:lang w:eastAsia="en-US"/>
            </w:rPr>
          </w:pPr>
          <w:hyperlink w:anchor="_Toc192759977" w:history="1">
            <w:r w:rsidR="00461019" w:rsidRPr="00E43C2A">
              <w:rPr>
                <w:rStyle w:val="Hyperlink"/>
                <w:rFonts w:cs="Times New Roman"/>
                <w:lang w:val="sr-Latn-RS"/>
              </w:rPr>
              <w:t>4.1. POLICY STRATEGY AND MEDIUM-TERM OBJECTIVES</w:t>
            </w:r>
            <w:r w:rsidR="00461019">
              <w:rPr>
                <w:webHidden/>
              </w:rPr>
              <w:tab/>
            </w:r>
            <w:r w:rsidR="00461019">
              <w:rPr>
                <w:webHidden/>
              </w:rPr>
              <w:fldChar w:fldCharType="begin"/>
            </w:r>
            <w:r w:rsidR="00461019">
              <w:rPr>
                <w:webHidden/>
              </w:rPr>
              <w:instrText xml:space="preserve"> PAGEREF _Toc192759977 \h </w:instrText>
            </w:r>
            <w:r w:rsidR="00461019">
              <w:rPr>
                <w:webHidden/>
              </w:rPr>
            </w:r>
            <w:r w:rsidR="00461019">
              <w:rPr>
                <w:webHidden/>
              </w:rPr>
              <w:fldChar w:fldCharType="separate"/>
            </w:r>
            <w:r w:rsidR="00D25CFD">
              <w:rPr>
                <w:webHidden/>
              </w:rPr>
              <w:t>27</w:t>
            </w:r>
            <w:r w:rsidR="00461019">
              <w:rPr>
                <w:webHidden/>
              </w:rPr>
              <w:fldChar w:fldCharType="end"/>
            </w:r>
          </w:hyperlink>
        </w:p>
        <w:p w14:paraId="7A2F50C8" w14:textId="3DC19E52" w:rsidR="00461019" w:rsidRDefault="00602766">
          <w:pPr>
            <w:pStyle w:val="TOC1"/>
            <w:rPr>
              <w:rFonts w:asciiTheme="minorHAnsi" w:eastAsiaTheme="minorEastAsia" w:hAnsiTheme="minorHAnsi"/>
              <w:kern w:val="0"/>
              <w:sz w:val="22"/>
              <w:szCs w:val="22"/>
              <w:lang w:eastAsia="en-US"/>
            </w:rPr>
          </w:pPr>
          <w:hyperlink w:anchor="_Toc192759978" w:history="1">
            <w:r w:rsidR="00461019" w:rsidRPr="00E43C2A">
              <w:rPr>
                <w:rStyle w:val="Hyperlink"/>
                <w:rFonts w:cs="Times New Roman"/>
                <w:lang w:val="sr-Latn-RS"/>
              </w:rPr>
              <w:t>4.2. BUDGET IMPLEMENTATION IN 2024</w:t>
            </w:r>
            <w:r w:rsidR="00461019">
              <w:rPr>
                <w:webHidden/>
              </w:rPr>
              <w:tab/>
            </w:r>
            <w:r w:rsidR="00461019">
              <w:rPr>
                <w:webHidden/>
              </w:rPr>
              <w:fldChar w:fldCharType="begin"/>
            </w:r>
            <w:r w:rsidR="00461019">
              <w:rPr>
                <w:webHidden/>
              </w:rPr>
              <w:instrText xml:space="preserve"> PAGEREF _Toc192759978 \h </w:instrText>
            </w:r>
            <w:r w:rsidR="00461019">
              <w:rPr>
                <w:webHidden/>
              </w:rPr>
            </w:r>
            <w:r w:rsidR="00461019">
              <w:rPr>
                <w:webHidden/>
              </w:rPr>
              <w:fldChar w:fldCharType="separate"/>
            </w:r>
            <w:r w:rsidR="00D25CFD">
              <w:rPr>
                <w:webHidden/>
              </w:rPr>
              <w:t>28</w:t>
            </w:r>
            <w:r w:rsidR="00461019">
              <w:rPr>
                <w:webHidden/>
              </w:rPr>
              <w:fldChar w:fldCharType="end"/>
            </w:r>
          </w:hyperlink>
        </w:p>
        <w:p w14:paraId="043B09FD" w14:textId="47513819" w:rsidR="00461019" w:rsidRDefault="00602766">
          <w:pPr>
            <w:pStyle w:val="TOC1"/>
            <w:rPr>
              <w:rFonts w:asciiTheme="minorHAnsi" w:eastAsiaTheme="minorEastAsia" w:hAnsiTheme="minorHAnsi"/>
              <w:kern w:val="0"/>
              <w:sz w:val="22"/>
              <w:szCs w:val="22"/>
              <w:lang w:eastAsia="en-US"/>
            </w:rPr>
          </w:pPr>
          <w:hyperlink w:anchor="_Toc192759979" w:history="1">
            <w:r w:rsidR="00461019" w:rsidRPr="00E43C2A">
              <w:rPr>
                <w:rStyle w:val="Hyperlink"/>
                <w:rFonts w:cs="Times New Roman"/>
                <w:lang w:val="sr-Latn-RS"/>
              </w:rPr>
              <w:t>4.3. BUDGET PLANS FOR 2025, MEDIUM-TERM BUDGETARY OUTLOOK AND SUPPORTIVE POLICIES</w:t>
            </w:r>
            <w:r w:rsidR="00461019">
              <w:rPr>
                <w:webHidden/>
              </w:rPr>
              <w:tab/>
            </w:r>
            <w:r w:rsidR="00461019">
              <w:rPr>
                <w:webHidden/>
              </w:rPr>
              <w:fldChar w:fldCharType="begin"/>
            </w:r>
            <w:r w:rsidR="00461019">
              <w:rPr>
                <w:webHidden/>
              </w:rPr>
              <w:instrText xml:space="preserve"> PAGEREF _Toc192759979 \h </w:instrText>
            </w:r>
            <w:r w:rsidR="00461019">
              <w:rPr>
                <w:webHidden/>
              </w:rPr>
            </w:r>
            <w:r w:rsidR="00461019">
              <w:rPr>
                <w:webHidden/>
              </w:rPr>
              <w:fldChar w:fldCharType="separate"/>
            </w:r>
            <w:r w:rsidR="00D25CFD">
              <w:rPr>
                <w:webHidden/>
              </w:rPr>
              <w:t>38</w:t>
            </w:r>
            <w:r w:rsidR="00461019">
              <w:rPr>
                <w:webHidden/>
              </w:rPr>
              <w:fldChar w:fldCharType="end"/>
            </w:r>
          </w:hyperlink>
        </w:p>
        <w:p w14:paraId="67FACFCD" w14:textId="341BB7A9" w:rsidR="00461019" w:rsidRDefault="00602766">
          <w:pPr>
            <w:pStyle w:val="TOC1"/>
            <w:rPr>
              <w:rFonts w:asciiTheme="minorHAnsi" w:eastAsiaTheme="minorEastAsia" w:hAnsiTheme="minorHAnsi"/>
              <w:kern w:val="0"/>
              <w:sz w:val="22"/>
              <w:szCs w:val="22"/>
              <w:lang w:eastAsia="en-US"/>
            </w:rPr>
          </w:pPr>
          <w:hyperlink w:anchor="_Toc192759980" w:history="1">
            <w:r w:rsidR="00461019" w:rsidRPr="00E43C2A">
              <w:rPr>
                <w:rStyle w:val="Hyperlink"/>
                <w:rFonts w:cs="Times New Roman"/>
                <w:lang w:val="sr-Latn-RS"/>
              </w:rPr>
              <w:t>4.4. CYCLICALLY ADJUSTED AND STRUCTURAL FISCAL BALANCE</w:t>
            </w:r>
            <w:r w:rsidR="00461019">
              <w:rPr>
                <w:webHidden/>
              </w:rPr>
              <w:tab/>
            </w:r>
            <w:r w:rsidR="00461019">
              <w:rPr>
                <w:webHidden/>
              </w:rPr>
              <w:fldChar w:fldCharType="begin"/>
            </w:r>
            <w:r w:rsidR="00461019">
              <w:rPr>
                <w:webHidden/>
              </w:rPr>
              <w:instrText xml:space="preserve"> PAGEREF _Toc192759980 \h </w:instrText>
            </w:r>
            <w:r w:rsidR="00461019">
              <w:rPr>
                <w:webHidden/>
              </w:rPr>
            </w:r>
            <w:r w:rsidR="00461019">
              <w:rPr>
                <w:webHidden/>
              </w:rPr>
              <w:fldChar w:fldCharType="separate"/>
            </w:r>
            <w:r w:rsidR="00D25CFD">
              <w:rPr>
                <w:webHidden/>
              </w:rPr>
              <w:t>44</w:t>
            </w:r>
            <w:r w:rsidR="00461019">
              <w:rPr>
                <w:webHidden/>
              </w:rPr>
              <w:fldChar w:fldCharType="end"/>
            </w:r>
          </w:hyperlink>
        </w:p>
        <w:p w14:paraId="1C02E1B6" w14:textId="2D11AEDB" w:rsidR="00461019" w:rsidRDefault="00602766">
          <w:pPr>
            <w:pStyle w:val="TOC1"/>
            <w:rPr>
              <w:rFonts w:asciiTheme="minorHAnsi" w:eastAsiaTheme="minorEastAsia" w:hAnsiTheme="minorHAnsi"/>
              <w:kern w:val="0"/>
              <w:sz w:val="22"/>
              <w:szCs w:val="22"/>
              <w:lang w:eastAsia="en-US"/>
            </w:rPr>
          </w:pPr>
          <w:hyperlink w:anchor="_Toc192759981" w:history="1">
            <w:r w:rsidR="00461019" w:rsidRPr="00E43C2A">
              <w:rPr>
                <w:rStyle w:val="Hyperlink"/>
                <w:rFonts w:cs="Times New Roman"/>
                <w:lang w:val="sr-Latn-RS"/>
              </w:rPr>
              <w:t>4.5. PUBLIC DEBT MANAGEMENT</w:t>
            </w:r>
            <w:r w:rsidR="00461019">
              <w:rPr>
                <w:webHidden/>
              </w:rPr>
              <w:tab/>
            </w:r>
            <w:r w:rsidR="00461019">
              <w:rPr>
                <w:webHidden/>
              </w:rPr>
              <w:fldChar w:fldCharType="begin"/>
            </w:r>
            <w:r w:rsidR="00461019">
              <w:rPr>
                <w:webHidden/>
              </w:rPr>
              <w:instrText xml:space="preserve"> PAGEREF _Toc192759981 \h </w:instrText>
            </w:r>
            <w:r w:rsidR="00461019">
              <w:rPr>
                <w:webHidden/>
              </w:rPr>
            </w:r>
            <w:r w:rsidR="00461019">
              <w:rPr>
                <w:webHidden/>
              </w:rPr>
              <w:fldChar w:fldCharType="separate"/>
            </w:r>
            <w:r w:rsidR="00D25CFD">
              <w:rPr>
                <w:webHidden/>
              </w:rPr>
              <w:t>47</w:t>
            </w:r>
            <w:r w:rsidR="00461019">
              <w:rPr>
                <w:webHidden/>
              </w:rPr>
              <w:fldChar w:fldCharType="end"/>
            </w:r>
          </w:hyperlink>
        </w:p>
        <w:p w14:paraId="3599CEB9" w14:textId="3BC53947" w:rsidR="00461019" w:rsidRDefault="00602766">
          <w:pPr>
            <w:pStyle w:val="TOC1"/>
            <w:rPr>
              <w:rFonts w:asciiTheme="minorHAnsi" w:eastAsiaTheme="minorEastAsia" w:hAnsiTheme="minorHAnsi"/>
              <w:kern w:val="0"/>
              <w:sz w:val="22"/>
              <w:szCs w:val="22"/>
              <w:lang w:eastAsia="en-US"/>
            </w:rPr>
          </w:pPr>
          <w:hyperlink w:anchor="_Toc192759982" w:history="1">
            <w:r w:rsidR="00461019" w:rsidRPr="00E43C2A">
              <w:rPr>
                <w:rStyle w:val="Hyperlink"/>
                <w:rFonts w:cs="Times New Roman"/>
                <w:lang w:val="sr-Latn-RS"/>
              </w:rPr>
              <w:t>4.6. SENSITIVITY ANALYSIS AND COMPARISON WITH THE PREVIOUS PROGRAMME</w:t>
            </w:r>
            <w:r w:rsidR="00461019">
              <w:rPr>
                <w:webHidden/>
              </w:rPr>
              <w:tab/>
            </w:r>
            <w:r w:rsidR="00461019">
              <w:rPr>
                <w:webHidden/>
              </w:rPr>
              <w:fldChar w:fldCharType="begin"/>
            </w:r>
            <w:r w:rsidR="00461019">
              <w:rPr>
                <w:webHidden/>
              </w:rPr>
              <w:instrText xml:space="preserve"> PAGEREF _Toc192759982 \h </w:instrText>
            </w:r>
            <w:r w:rsidR="00461019">
              <w:rPr>
                <w:webHidden/>
              </w:rPr>
            </w:r>
            <w:r w:rsidR="00461019">
              <w:rPr>
                <w:webHidden/>
              </w:rPr>
              <w:fldChar w:fldCharType="separate"/>
            </w:r>
            <w:r w:rsidR="00D25CFD">
              <w:rPr>
                <w:webHidden/>
              </w:rPr>
              <w:t>49</w:t>
            </w:r>
            <w:r w:rsidR="00461019">
              <w:rPr>
                <w:webHidden/>
              </w:rPr>
              <w:fldChar w:fldCharType="end"/>
            </w:r>
          </w:hyperlink>
        </w:p>
        <w:p w14:paraId="689C4D3F" w14:textId="48A1E9DE" w:rsidR="00461019" w:rsidRDefault="00602766">
          <w:pPr>
            <w:pStyle w:val="TOC1"/>
            <w:rPr>
              <w:rFonts w:asciiTheme="minorHAnsi" w:eastAsiaTheme="minorEastAsia" w:hAnsiTheme="minorHAnsi"/>
              <w:kern w:val="0"/>
              <w:sz w:val="22"/>
              <w:szCs w:val="22"/>
              <w:lang w:eastAsia="en-US"/>
            </w:rPr>
          </w:pPr>
          <w:hyperlink w:anchor="_Toc192759983" w:history="1">
            <w:r w:rsidR="00461019" w:rsidRPr="00E43C2A">
              <w:rPr>
                <w:rStyle w:val="Hyperlink"/>
                <w:rFonts w:cs="Times New Roman"/>
                <w:lang w:val="sr-Latn-RS"/>
              </w:rPr>
              <w:t xml:space="preserve">4.7. </w:t>
            </w:r>
            <w:r w:rsidR="00461019" w:rsidRPr="00E43C2A">
              <w:rPr>
                <w:rStyle w:val="Hyperlink"/>
                <w:rFonts w:cs="Times New Roman"/>
              </w:rPr>
              <w:t>QUALITY OF PUBLIC FINANCES</w:t>
            </w:r>
            <w:r w:rsidR="00461019">
              <w:rPr>
                <w:webHidden/>
              </w:rPr>
              <w:tab/>
            </w:r>
            <w:r w:rsidR="00461019">
              <w:rPr>
                <w:webHidden/>
              </w:rPr>
              <w:fldChar w:fldCharType="begin"/>
            </w:r>
            <w:r w:rsidR="00461019">
              <w:rPr>
                <w:webHidden/>
              </w:rPr>
              <w:instrText xml:space="preserve"> PAGEREF _Toc192759983 \h </w:instrText>
            </w:r>
            <w:r w:rsidR="00461019">
              <w:rPr>
                <w:webHidden/>
              </w:rPr>
            </w:r>
            <w:r w:rsidR="00461019">
              <w:rPr>
                <w:webHidden/>
              </w:rPr>
              <w:fldChar w:fldCharType="separate"/>
            </w:r>
            <w:r w:rsidR="00D25CFD">
              <w:rPr>
                <w:webHidden/>
              </w:rPr>
              <w:t>61</w:t>
            </w:r>
            <w:r w:rsidR="00461019">
              <w:rPr>
                <w:webHidden/>
              </w:rPr>
              <w:fldChar w:fldCharType="end"/>
            </w:r>
          </w:hyperlink>
        </w:p>
        <w:p w14:paraId="4F4C5303" w14:textId="32B45C55" w:rsidR="00461019" w:rsidRDefault="00602766">
          <w:pPr>
            <w:pStyle w:val="TOC1"/>
            <w:rPr>
              <w:rFonts w:asciiTheme="minorHAnsi" w:eastAsiaTheme="minorEastAsia" w:hAnsiTheme="minorHAnsi"/>
              <w:kern w:val="0"/>
              <w:sz w:val="22"/>
              <w:szCs w:val="22"/>
              <w:lang w:eastAsia="en-US"/>
            </w:rPr>
          </w:pPr>
          <w:hyperlink w:anchor="_Toc192759984" w:history="1">
            <w:r w:rsidR="00461019" w:rsidRPr="00E43C2A">
              <w:rPr>
                <w:rStyle w:val="Hyperlink"/>
                <w:rFonts w:cs="Times New Roman"/>
                <w:lang w:val="sr-Latn-RS"/>
              </w:rPr>
              <w:t xml:space="preserve">4.8. </w:t>
            </w:r>
            <w:r w:rsidR="00461019" w:rsidRPr="00E43C2A">
              <w:rPr>
                <w:rStyle w:val="Hyperlink"/>
                <w:rFonts w:cs="Times New Roman"/>
              </w:rPr>
              <w:t>FISCAL GOVERNANCE AND BUDGETARY FRAMEWORKS</w:t>
            </w:r>
            <w:r w:rsidR="00461019">
              <w:rPr>
                <w:webHidden/>
              </w:rPr>
              <w:tab/>
            </w:r>
            <w:r w:rsidR="00461019">
              <w:rPr>
                <w:webHidden/>
              </w:rPr>
              <w:fldChar w:fldCharType="begin"/>
            </w:r>
            <w:r w:rsidR="00461019">
              <w:rPr>
                <w:webHidden/>
              </w:rPr>
              <w:instrText xml:space="preserve"> PAGEREF _Toc192759984 \h </w:instrText>
            </w:r>
            <w:r w:rsidR="00461019">
              <w:rPr>
                <w:webHidden/>
              </w:rPr>
            </w:r>
            <w:r w:rsidR="00461019">
              <w:rPr>
                <w:webHidden/>
              </w:rPr>
              <w:fldChar w:fldCharType="separate"/>
            </w:r>
            <w:r w:rsidR="00D25CFD">
              <w:rPr>
                <w:webHidden/>
              </w:rPr>
              <w:t>64</w:t>
            </w:r>
            <w:r w:rsidR="00461019">
              <w:rPr>
                <w:webHidden/>
              </w:rPr>
              <w:fldChar w:fldCharType="end"/>
            </w:r>
          </w:hyperlink>
        </w:p>
        <w:p w14:paraId="3E196DDC" w14:textId="28BC98DA" w:rsidR="00461019" w:rsidRDefault="00602766">
          <w:pPr>
            <w:pStyle w:val="TOC1"/>
            <w:rPr>
              <w:rFonts w:asciiTheme="minorHAnsi" w:eastAsiaTheme="minorEastAsia" w:hAnsiTheme="minorHAnsi"/>
              <w:kern w:val="0"/>
              <w:sz w:val="22"/>
              <w:szCs w:val="22"/>
              <w:lang w:eastAsia="en-US"/>
            </w:rPr>
          </w:pPr>
          <w:hyperlink w:anchor="_Toc192759985" w:history="1">
            <w:r w:rsidR="00461019" w:rsidRPr="00E43C2A">
              <w:rPr>
                <w:rStyle w:val="Hyperlink"/>
                <w:rFonts w:eastAsiaTheme="minorHAnsi" w:cs="Times New Roman"/>
                <w:b/>
                <w:lang w:val="sr-Latn-RS"/>
              </w:rPr>
              <w:t>5A. COMPLIANCE OF THE REFORM AGENDA WITH THE MACROFISCAL FRAMEWORK OF THE ERP</w:t>
            </w:r>
            <w:r w:rsidR="00461019">
              <w:rPr>
                <w:webHidden/>
              </w:rPr>
              <w:tab/>
            </w:r>
            <w:r w:rsidR="00461019">
              <w:rPr>
                <w:webHidden/>
              </w:rPr>
              <w:fldChar w:fldCharType="begin"/>
            </w:r>
            <w:r w:rsidR="00461019">
              <w:rPr>
                <w:webHidden/>
              </w:rPr>
              <w:instrText xml:space="preserve"> PAGEREF _Toc192759985 \h </w:instrText>
            </w:r>
            <w:r w:rsidR="00461019">
              <w:rPr>
                <w:webHidden/>
              </w:rPr>
            </w:r>
            <w:r w:rsidR="00461019">
              <w:rPr>
                <w:webHidden/>
              </w:rPr>
              <w:fldChar w:fldCharType="separate"/>
            </w:r>
            <w:r w:rsidR="00D25CFD">
              <w:rPr>
                <w:webHidden/>
              </w:rPr>
              <w:t>66</w:t>
            </w:r>
            <w:r w:rsidR="00461019">
              <w:rPr>
                <w:webHidden/>
              </w:rPr>
              <w:fldChar w:fldCharType="end"/>
            </w:r>
          </w:hyperlink>
        </w:p>
        <w:p w14:paraId="70986D9B" w14:textId="64466876" w:rsidR="00461019" w:rsidRDefault="00602766">
          <w:pPr>
            <w:pStyle w:val="TOC1"/>
            <w:rPr>
              <w:rFonts w:asciiTheme="minorHAnsi" w:eastAsiaTheme="minorEastAsia" w:hAnsiTheme="minorHAnsi"/>
              <w:kern w:val="0"/>
              <w:sz w:val="22"/>
              <w:szCs w:val="22"/>
              <w:lang w:eastAsia="en-US"/>
            </w:rPr>
          </w:pPr>
          <w:hyperlink w:anchor="_Toc192759986" w:history="1">
            <w:r w:rsidR="00461019" w:rsidRPr="00E43C2A">
              <w:rPr>
                <w:rStyle w:val="Hyperlink"/>
                <w:rFonts w:eastAsiaTheme="minorHAnsi" w:cs="Times New Roman"/>
                <w:b/>
                <w:lang w:val="sr-Latn-RS"/>
              </w:rPr>
              <w:t xml:space="preserve">6. </w:t>
            </w:r>
            <w:r w:rsidR="00461019" w:rsidRPr="00E43C2A">
              <w:rPr>
                <w:rStyle w:val="Hyperlink"/>
                <w:rFonts w:eastAsiaTheme="minorHAnsi" w:cs="Times New Roman"/>
                <w:b/>
              </w:rPr>
              <w:t>INSTITUTIONAL ISSUES AND INVOLVEMENT OF STAKEHOLDERS</w:t>
            </w:r>
            <w:r w:rsidR="00461019">
              <w:rPr>
                <w:webHidden/>
              </w:rPr>
              <w:tab/>
            </w:r>
            <w:r w:rsidR="00461019">
              <w:rPr>
                <w:webHidden/>
              </w:rPr>
              <w:fldChar w:fldCharType="begin"/>
            </w:r>
            <w:r w:rsidR="00461019">
              <w:rPr>
                <w:webHidden/>
              </w:rPr>
              <w:instrText xml:space="preserve"> PAGEREF _Toc192759986 \h </w:instrText>
            </w:r>
            <w:r w:rsidR="00461019">
              <w:rPr>
                <w:webHidden/>
              </w:rPr>
            </w:r>
            <w:r w:rsidR="00461019">
              <w:rPr>
                <w:webHidden/>
              </w:rPr>
              <w:fldChar w:fldCharType="separate"/>
            </w:r>
            <w:r w:rsidR="00D25CFD">
              <w:rPr>
                <w:webHidden/>
              </w:rPr>
              <w:t>72</w:t>
            </w:r>
            <w:r w:rsidR="00461019">
              <w:rPr>
                <w:webHidden/>
              </w:rPr>
              <w:fldChar w:fldCharType="end"/>
            </w:r>
          </w:hyperlink>
        </w:p>
        <w:p w14:paraId="22B1C799" w14:textId="14F1BBB0" w:rsidR="00461019" w:rsidRDefault="00602766">
          <w:pPr>
            <w:pStyle w:val="TOC1"/>
            <w:rPr>
              <w:rFonts w:asciiTheme="minorHAnsi" w:eastAsiaTheme="minorEastAsia" w:hAnsiTheme="minorHAnsi"/>
              <w:kern w:val="0"/>
              <w:sz w:val="22"/>
              <w:szCs w:val="22"/>
              <w:lang w:eastAsia="en-US"/>
            </w:rPr>
          </w:pPr>
          <w:hyperlink w:anchor="_Toc192759987" w:history="1">
            <w:r w:rsidR="00461019" w:rsidRPr="00E43C2A">
              <w:rPr>
                <w:rStyle w:val="Hyperlink"/>
                <w:rFonts w:cs="Times New Roman"/>
                <w:b/>
              </w:rPr>
              <w:t>ANNEX 1: TABLES 1 - 8</w:t>
            </w:r>
            <w:r w:rsidR="00461019">
              <w:rPr>
                <w:webHidden/>
              </w:rPr>
              <w:tab/>
            </w:r>
            <w:r w:rsidR="00461019">
              <w:rPr>
                <w:webHidden/>
              </w:rPr>
              <w:fldChar w:fldCharType="begin"/>
            </w:r>
            <w:r w:rsidR="00461019">
              <w:rPr>
                <w:webHidden/>
              </w:rPr>
              <w:instrText xml:space="preserve"> PAGEREF _Toc192759987 \h </w:instrText>
            </w:r>
            <w:r w:rsidR="00461019">
              <w:rPr>
                <w:webHidden/>
              </w:rPr>
            </w:r>
            <w:r w:rsidR="00461019">
              <w:rPr>
                <w:webHidden/>
              </w:rPr>
              <w:fldChar w:fldCharType="separate"/>
            </w:r>
            <w:r w:rsidR="00D25CFD">
              <w:rPr>
                <w:webHidden/>
              </w:rPr>
              <w:t>73</w:t>
            </w:r>
            <w:r w:rsidR="00461019">
              <w:rPr>
                <w:webHidden/>
              </w:rPr>
              <w:fldChar w:fldCharType="end"/>
            </w:r>
          </w:hyperlink>
        </w:p>
        <w:p w14:paraId="19430ED4" w14:textId="13EDA4F0" w:rsidR="00461019" w:rsidRDefault="00602766">
          <w:pPr>
            <w:pStyle w:val="TOC1"/>
            <w:rPr>
              <w:rFonts w:asciiTheme="minorHAnsi" w:eastAsiaTheme="minorEastAsia" w:hAnsiTheme="minorHAnsi"/>
              <w:kern w:val="0"/>
              <w:sz w:val="22"/>
              <w:szCs w:val="22"/>
              <w:lang w:eastAsia="en-US"/>
            </w:rPr>
          </w:pPr>
          <w:hyperlink w:anchor="_Toc192759988" w:history="1">
            <w:r w:rsidR="00461019" w:rsidRPr="00E43C2A">
              <w:rPr>
                <w:rStyle w:val="Hyperlink"/>
                <w:rFonts w:cs="Times New Roman"/>
                <w:b/>
              </w:rPr>
              <w:t>ANNEX 2: EXTERNAL CONTRIBUTION TO THE ERP 2024-2026</w:t>
            </w:r>
            <w:r w:rsidR="00461019">
              <w:rPr>
                <w:webHidden/>
              </w:rPr>
              <w:tab/>
            </w:r>
            <w:r w:rsidR="00461019">
              <w:rPr>
                <w:webHidden/>
              </w:rPr>
              <w:fldChar w:fldCharType="begin"/>
            </w:r>
            <w:r w:rsidR="00461019">
              <w:rPr>
                <w:webHidden/>
              </w:rPr>
              <w:instrText xml:space="preserve"> PAGEREF _Toc192759988 \h </w:instrText>
            </w:r>
            <w:r w:rsidR="00461019">
              <w:rPr>
                <w:webHidden/>
              </w:rPr>
            </w:r>
            <w:r w:rsidR="00461019">
              <w:rPr>
                <w:webHidden/>
              </w:rPr>
              <w:fldChar w:fldCharType="separate"/>
            </w:r>
            <w:r w:rsidR="00D25CFD">
              <w:rPr>
                <w:webHidden/>
              </w:rPr>
              <w:t>102</w:t>
            </w:r>
            <w:r w:rsidR="00461019">
              <w:rPr>
                <w:webHidden/>
              </w:rPr>
              <w:fldChar w:fldCharType="end"/>
            </w:r>
          </w:hyperlink>
        </w:p>
        <w:p w14:paraId="54F3500B" w14:textId="3387F281" w:rsidR="005A2FC0" w:rsidRDefault="005A2FC0" w:rsidP="005A2FC0">
          <w:pPr>
            <w:rPr>
              <w:b/>
              <w:bCs/>
              <w:noProof/>
            </w:rPr>
          </w:pPr>
          <w:r>
            <w:rPr>
              <w:b/>
              <w:bCs/>
              <w:noProof/>
            </w:rPr>
            <w:fldChar w:fldCharType="end"/>
          </w:r>
        </w:p>
      </w:sdtContent>
    </w:sdt>
    <w:p w14:paraId="6E68DB1D" w14:textId="77777777" w:rsidR="000C1D88" w:rsidRDefault="000C1D88" w:rsidP="00E25CAC">
      <w:pPr>
        <w:pStyle w:val="Heading1"/>
        <w:spacing w:before="0" w:after="240"/>
        <w:rPr>
          <w:rFonts w:ascii="Times New Roman" w:eastAsiaTheme="minorHAnsi" w:hAnsi="Times New Roman" w:cs="Times New Roman"/>
          <w:b/>
          <w:color w:val="auto"/>
          <w:sz w:val="24"/>
          <w:szCs w:val="24"/>
          <w:lang w:val="sr-Latn-RS"/>
        </w:rPr>
      </w:pPr>
    </w:p>
    <w:p w14:paraId="1EE34154" w14:textId="77777777" w:rsidR="000C1D88" w:rsidRDefault="000C1D88" w:rsidP="00E25CAC">
      <w:pPr>
        <w:pStyle w:val="Heading1"/>
        <w:spacing w:before="0" w:after="240"/>
        <w:rPr>
          <w:rFonts w:ascii="Times New Roman" w:eastAsiaTheme="minorHAnsi" w:hAnsi="Times New Roman" w:cs="Times New Roman"/>
          <w:b/>
          <w:color w:val="auto"/>
          <w:sz w:val="24"/>
          <w:szCs w:val="24"/>
          <w:lang w:val="sr-Latn-RS"/>
        </w:rPr>
      </w:pPr>
    </w:p>
    <w:p w14:paraId="5FBF9571" w14:textId="77777777" w:rsidR="000C1D88" w:rsidRDefault="000C1D88" w:rsidP="00E25CAC">
      <w:pPr>
        <w:pStyle w:val="Heading1"/>
        <w:spacing w:before="0" w:after="240"/>
        <w:rPr>
          <w:rFonts w:ascii="Times New Roman" w:eastAsiaTheme="minorHAnsi" w:hAnsi="Times New Roman" w:cs="Times New Roman"/>
          <w:b/>
          <w:color w:val="auto"/>
          <w:sz w:val="24"/>
          <w:szCs w:val="24"/>
          <w:lang w:val="sr-Latn-RS"/>
        </w:rPr>
      </w:pPr>
      <w:bookmarkStart w:id="2" w:name="_GoBack"/>
      <w:bookmarkEnd w:id="2"/>
    </w:p>
    <w:p w14:paraId="5C063E16" w14:textId="1411A20C" w:rsidR="000C1D88" w:rsidRDefault="000C1D88" w:rsidP="00E25CAC">
      <w:pPr>
        <w:pStyle w:val="Heading1"/>
        <w:spacing w:before="0" w:after="240"/>
        <w:rPr>
          <w:rFonts w:ascii="Times New Roman" w:eastAsiaTheme="minorHAnsi" w:hAnsi="Times New Roman" w:cs="Times New Roman"/>
          <w:b/>
          <w:color w:val="auto"/>
          <w:sz w:val="24"/>
          <w:szCs w:val="24"/>
          <w:lang w:val="sr-Latn-RS"/>
        </w:rPr>
      </w:pPr>
    </w:p>
    <w:p w14:paraId="038256EB" w14:textId="36511BA1" w:rsidR="005A2FC0" w:rsidRDefault="005A2FC0" w:rsidP="005A2FC0">
      <w:pPr>
        <w:rPr>
          <w:lang w:val="sr-Latn-RS"/>
        </w:rPr>
      </w:pPr>
    </w:p>
    <w:p w14:paraId="609DB65E" w14:textId="03E801E4" w:rsidR="005A2FC0" w:rsidRDefault="005A2FC0" w:rsidP="005A2FC0">
      <w:pPr>
        <w:rPr>
          <w:lang w:val="sr-Latn-RS"/>
        </w:rPr>
      </w:pPr>
    </w:p>
    <w:p w14:paraId="769D39BA" w14:textId="03F6990C" w:rsidR="005A2FC0" w:rsidRDefault="005A2FC0" w:rsidP="005A2FC0">
      <w:pPr>
        <w:rPr>
          <w:lang w:val="sr-Latn-RS"/>
        </w:rPr>
      </w:pPr>
    </w:p>
    <w:p w14:paraId="265A0447" w14:textId="79539216" w:rsidR="005A2FC0" w:rsidRDefault="005A2FC0" w:rsidP="005A2FC0">
      <w:pPr>
        <w:rPr>
          <w:lang w:val="sr-Latn-RS"/>
        </w:rPr>
      </w:pPr>
    </w:p>
    <w:p w14:paraId="16183BD3" w14:textId="589316A4" w:rsidR="005A2FC0" w:rsidRDefault="005A2FC0" w:rsidP="005A2FC0">
      <w:pPr>
        <w:rPr>
          <w:lang w:val="sr-Latn-RS"/>
        </w:rPr>
      </w:pPr>
    </w:p>
    <w:p w14:paraId="1DD881D3" w14:textId="06777F35" w:rsidR="005A2FC0" w:rsidRDefault="005A2FC0" w:rsidP="005A2FC0">
      <w:pPr>
        <w:rPr>
          <w:lang w:val="sr-Latn-RS"/>
        </w:rPr>
      </w:pPr>
    </w:p>
    <w:p w14:paraId="3157C256" w14:textId="77777777" w:rsidR="005A2FC0" w:rsidRPr="005A2FC0" w:rsidRDefault="005A2FC0" w:rsidP="005A2FC0">
      <w:pPr>
        <w:rPr>
          <w:lang w:val="sr-Latn-RS"/>
        </w:rPr>
      </w:pPr>
    </w:p>
    <w:p w14:paraId="28221DAF" w14:textId="74652A72" w:rsidR="00AD7E7D" w:rsidRPr="00E25CAC" w:rsidRDefault="00A8098E" w:rsidP="00E25CAC">
      <w:pPr>
        <w:pStyle w:val="Heading1"/>
        <w:spacing w:before="0" w:after="240"/>
        <w:rPr>
          <w:rFonts w:ascii="Times New Roman" w:eastAsiaTheme="minorHAnsi" w:hAnsi="Times New Roman" w:cs="Times New Roman"/>
          <w:b/>
          <w:color w:val="auto"/>
          <w:sz w:val="24"/>
          <w:szCs w:val="24"/>
          <w:lang w:val="sr-Latn-RS"/>
        </w:rPr>
      </w:pPr>
      <w:bookmarkStart w:id="3" w:name="_Toc192759969"/>
      <w:r w:rsidRPr="00E25CAC">
        <w:rPr>
          <w:rFonts w:ascii="Times New Roman" w:eastAsiaTheme="minorHAnsi" w:hAnsi="Times New Roman" w:cs="Times New Roman"/>
          <w:b/>
          <w:color w:val="auto"/>
          <w:sz w:val="24"/>
          <w:szCs w:val="24"/>
          <w:lang w:val="sr-Latn-RS"/>
        </w:rPr>
        <w:t>1</w:t>
      </w:r>
      <w:r w:rsidR="00AA1BAE" w:rsidRPr="00E25CAC">
        <w:rPr>
          <w:rFonts w:ascii="Times New Roman" w:eastAsiaTheme="minorHAnsi" w:hAnsi="Times New Roman" w:cs="Times New Roman"/>
          <w:b/>
          <w:color w:val="auto"/>
          <w:sz w:val="24"/>
          <w:szCs w:val="24"/>
          <w:lang w:val="sr-Latn-RS"/>
        </w:rPr>
        <w:t xml:space="preserve">. </w:t>
      </w:r>
      <w:r w:rsidR="00AA2EB3">
        <w:rPr>
          <w:rFonts w:ascii="Times New Roman" w:eastAsiaTheme="minorHAnsi" w:hAnsi="Times New Roman" w:cs="Times New Roman"/>
          <w:b/>
          <w:color w:val="auto"/>
          <w:sz w:val="24"/>
          <w:szCs w:val="24"/>
          <w:lang w:val="sr-Latn-RS"/>
        </w:rPr>
        <w:t>GENERAL FRAMEWORK AND MAIN</w:t>
      </w:r>
      <w:r w:rsidR="00AD7E7D" w:rsidRPr="00E25CAC">
        <w:rPr>
          <w:rFonts w:ascii="Times New Roman" w:eastAsiaTheme="minorHAnsi" w:hAnsi="Times New Roman" w:cs="Times New Roman"/>
          <w:b/>
          <w:color w:val="auto"/>
          <w:sz w:val="24"/>
          <w:szCs w:val="24"/>
          <w:lang w:val="sr-Latn-RS"/>
        </w:rPr>
        <w:t xml:space="preserve"> </w:t>
      </w:r>
      <w:r w:rsidR="00AA2EB3">
        <w:rPr>
          <w:rFonts w:ascii="Times New Roman" w:eastAsiaTheme="minorHAnsi" w:hAnsi="Times New Roman" w:cs="Times New Roman"/>
          <w:b/>
          <w:color w:val="auto"/>
          <w:sz w:val="24"/>
          <w:szCs w:val="24"/>
          <w:lang w:val="sr-Latn-RS"/>
        </w:rPr>
        <w:t>GOALS</w:t>
      </w:r>
      <w:r w:rsidR="00AD7E7D" w:rsidRPr="00E25CAC">
        <w:rPr>
          <w:rFonts w:ascii="Times New Roman" w:eastAsiaTheme="minorHAnsi" w:hAnsi="Times New Roman" w:cs="Times New Roman"/>
          <w:b/>
          <w:color w:val="auto"/>
          <w:sz w:val="24"/>
          <w:szCs w:val="24"/>
          <w:lang w:val="sr-Latn-RS"/>
        </w:rPr>
        <w:t xml:space="preserve"> </w:t>
      </w:r>
      <w:r w:rsidR="00AA2EB3">
        <w:rPr>
          <w:rFonts w:ascii="Times New Roman" w:eastAsiaTheme="minorHAnsi" w:hAnsi="Times New Roman" w:cs="Times New Roman"/>
          <w:b/>
          <w:color w:val="auto"/>
          <w:sz w:val="24"/>
          <w:szCs w:val="24"/>
          <w:lang w:val="sr-Latn-RS"/>
        </w:rPr>
        <w:t>AND</w:t>
      </w:r>
      <w:r w:rsidR="00AD7E7D" w:rsidRPr="00E25CAC">
        <w:rPr>
          <w:rFonts w:ascii="Times New Roman" w:eastAsiaTheme="minorHAnsi" w:hAnsi="Times New Roman" w:cs="Times New Roman"/>
          <w:b/>
          <w:color w:val="auto"/>
          <w:sz w:val="24"/>
          <w:szCs w:val="24"/>
          <w:lang w:val="sr-Latn-RS"/>
        </w:rPr>
        <w:t xml:space="preserve"> </w:t>
      </w:r>
      <w:r w:rsidR="00AA2EB3">
        <w:rPr>
          <w:rFonts w:ascii="Times New Roman" w:eastAsiaTheme="minorHAnsi" w:hAnsi="Times New Roman" w:cs="Times New Roman"/>
          <w:b/>
          <w:color w:val="auto"/>
          <w:sz w:val="24"/>
          <w:szCs w:val="24"/>
          <w:lang w:val="sr-Latn-RS"/>
        </w:rPr>
        <w:t>GUIDELINES</w:t>
      </w:r>
      <w:r w:rsidR="00AD7E7D" w:rsidRPr="00E25CAC">
        <w:rPr>
          <w:rFonts w:ascii="Times New Roman" w:eastAsiaTheme="minorHAnsi" w:hAnsi="Times New Roman" w:cs="Times New Roman"/>
          <w:b/>
          <w:color w:val="auto"/>
          <w:sz w:val="24"/>
          <w:szCs w:val="24"/>
          <w:lang w:val="sr-Latn-RS"/>
        </w:rPr>
        <w:t xml:space="preserve"> </w:t>
      </w:r>
      <w:r w:rsidR="00AA2EB3">
        <w:rPr>
          <w:rFonts w:ascii="Times New Roman" w:eastAsiaTheme="minorHAnsi" w:hAnsi="Times New Roman" w:cs="Times New Roman"/>
          <w:b/>
          <w:color w:val="auto"/>
          <w:sz w:val="24"/>
          <w:szCs w:val="24"/>
          <w:lang w:val="sr-Latn-RS"/>
        </w:rPr>
        <w:t>OF ECONOMIC POLICY</w:t>
      </w:r>
      <w:bookmarkEnd w:id="3"/>
      <w:r w:rsidR="00AD7E7D" w:rsidRPr="00E25CAC">
        <w:rPr>
          <w:rFonts w:ascii="Times New Roman" w:eastAsiaTheme="minorHAnsi" w:hAnsi="Times New Roman" w:cs="Times New Roman"/>
          <w:b/>
          <w:color w:val="auto"/>
          <w:sz w:val="24"/>
          <w:szCs w:val="24"/>
          <w:lang w:val="sr-Latn-RS"/>
        </w:rPr>
        <w:t xml:space="preserve"> </w:t>
      </w:r>
    </w:p>
    <w:p w14:paraId="3FD983B0" w14:textId="2F2B1DC9" w:rsidR="00E45F6A" w:rsidRPr="00AD7E7D" w:rsidRDefault="00220F3A" w:rsidP="00E45F6A">
      <w:pPr>
        <w:rPr>
          <w:rFonts w:cs="Times New Roman"/>
          <w:szCs w:val="24"/>
          <w:lang w:val="sr-Cyrl-RS"/>
        </w:rPr>
      </w:pPr>
      <w:r w:rsidRPr="00220F3A">
        <w:rPr>
          <w:rFonts w:cs="Times New Roman"/>
          <w:szCs w:val="24"/>
          <w:lang w:val="sr-Cyrl-RS"/>
        </w:rPr>
        <w:t>Economic activity in Serbia has demonstrated sufficient resilience despite the challenging global and regional environment. The cumulative gross domestic product (hereinafter: GDP) growth of 18,3% over the period from 2020 to 2024 was largely supported by domestic demand, investments in key infrastructure sectors, and inflation stabilization, now within the target range of the National Bank of Serbia. Macroeconomic developments in 2024 are in line with previous expectations. According to preliminary estimates, economic growth in 2024 will reach 3,8%, the labo</w:t>
      </w:r>
      <w:r w:rsidR="004E34DB">
        <w:rPr>
          <w:rFonts w:cs="Times New Roman"/>
          <w:szCs w:val="24"/>
          <w:lang w:val="sr-Latn-RS"/>
        </w:rPr>
        <w:t>u</w:t>
      </w:r>
      <w:r w:rsidRPr="00220F3A">
        <w:rPr>
          <w:rFonts w:cs="Times New Roman"/>
          <w:szCs w:val="24"/>
          <w:lang w:val="sr-Cyrl-RS"/>
        </w:rPr>
        <w:t>r market remains stable, and inflation is on a downward trajectory.</w:t>
      </w:r>
    </w:p>
    <w:p w14:paraId="169DCADC" w14:textId="71245AF0" w:rsidR="00E45F6A" w:rsidRPr="00AD7E7D" w:rsidRDefault="00220F3A" w:rsidP="00E45F6A">
      <w:pPr>
        <w:rPr>
          <w:rFonts w:cs="Times New Roman"/>
          <w:szCs w:val="24"/>
          <w:lang w:val="sr-Cyrl-RS"/>
        </w:rPr>
      </w:pPr>
      <w:r w:rsidRPr="00220F3A">
        <w:rPr>
          <w:rFonts w:cs="Times New Roman"/>
          <w:szCs w:val="24"/>
          <w:lang w:val="sr-Cyrl-RS"/>
        </w:rPr>
        <w:t>The primary priority of the Government of the Republic of Serbia remains maintaining macroeconomic stability while creating conditions for more dynamic economic development in the future. This goal is achieved through strategic public investments in infrastructure, industry modernization, and the transition to a green economy. Despite challenges and pronounced global fragmentation, Serbia has managed to preserve macroeconomic stability thanks to diversification of production and exports, and a significant inflow of foreign direct investment (hereinafter: FDI). Serbia’s financial system is secure, with an investment-grade credit rating and substantial protective mechanisms, including high foreign exchange reserves, public sector deposits, and a low public debt level compared to the European average.</w:t>
      </w:r>
    </w:p>
    <w:p w14:paraId="3E7C1E2F" w14:textId="525DBE91" w:rsidR="00E45F6A" w:rsidRPr="00AD7E7D" w:rsidRDefault="001B645B" w:rsidP="00E45F6A">
      <w:pPr>
        <w:rPr>
          <w:rFonts w:cs="Times New Roman"/>
          <w:szCs w:val="24"/>
          <w:lang w:val="sr-Cyrl-RS"/>
        </w:rPr>
      </w:pPr>
      <w:r w:rsidRPr="001B645B">
        <w:rPr>
          <w:rFonts w:cs="Times New Roman"/>
          <w:szCs w:val="24"/>
          <w:lang w:val="sr-Cyrl-RS"/>
        </w:rPr>
        <w:t>In the medium term, we expect an acceleration of growth. The baseline scenario of macroeconomic developments foresees an average annual economic growth of 4,4%. According to the medium-term macroeconomic projection, the cumulative growth rate for the period from 2025 to 2027 will be 13,7%. Growth will be driven by domestic demand. Further growth in employment and wages will support private consumption, while investment growth will be driven by the implementation of projects in the transportation, energy, and municipal infrastructure sectors. Significant public investments are planned through the program “Leap into the Future – Serbia 2027,” especially in anticipation of hosting the Specialised World Expo in 2027 with the theme "Play for Humanity: Sport and Music for All."</w:t>
      </w:r>
    </w:p>
    <w:p w14:paraId="3A9EB6C2" w14:textId="54155E7A" w:rsidR="00E45F6A" w:rsidRPr="00AD7E7D" w:rsidRDefault="001B645B" w:rsidP="00E45F6A">
      <w:pPr>
        <w:rPr>
          <w:rFonts w:cs="Times New Roman"/>
          <w:szCs w:val="24"/>
          <w:lang w:val="sr-Cyrl-RS"/>
        </w:rPr>
      </w:pPr>
      <w:r w:rsidRPr="001B645B">
        <w:rPr>
          <w:rFonts w:cs="Times New Roman"/>
          <w:szCs w:val="24"/>
          <w:lang w:val="sr-Cyrl-RS"/>
        </w:rPr>
        <w:t>The Government of the Republic of Serbia is committed to maintaining fiscal discipline in the medium term. Targeted fiscal deficits in the coming years ensure a declining trajectory of public debt. The projected fiscal deficit in the upcoming medium-term period, set at 3,0% of GDP, creates room to fund important investment projects within the development plan "Leap into the Future – Serbia 2027," as well as to finance the strengthening of national security. The "Leap into the Future – Serbia 2027" program serves as a central framework for accelerated infrastructure modernization, aiming to position Serbia as a key investment destination in sectors such as energy, transportation, and digitalization. The government sector debt at the end of the medium-term period will amount to 46.5% of GDP. To fully implement the investment cycle, the application of the fiscal deficit constraint component within the fiscal rule is postponed until 2029.</w:t>
      </w:r>
    </w:p>
    <w:p w14:paraId="75D60777" w14:textId="5CB1A0F0" w:rsidR="00E45F6A" w:rsidRPr="00AD7E7D" w:rsidRDefault="001B645B" w:rsidP="00E45F6A">
      <w:pPr>
        <w:rPr>
          <w:rFonts w:cs="Times New Roman"/>
          <w:szCs w:val="24"/>
          <w:lang w:val="sr-Cyrl-RS"/>
        </w:rPr>
      </w:pPr>
      <w:r w:rsidRPr="001B645B">
        <w:rPr>
          <w:rFonts w:cs="Times New Roman"/>
          <w:szCs w:val="24"/>
          <w:lang w:val="sr-Cyrl-RS"/>
        </w:rPr>
        <w:t xml:space="preserve">The economy of Serbia, like the economies of other countries in the region with similar levels of development, faces numerous uncertainties. Nevertheless, the risks to the projection are assessed as balanced. The main international risks include uncertainties in global growth, the prolonged presence of core inflation, and continued restrictive monetary policy measures by leading central banks. Additional risk factors include geopolitical tensions and the prices of </w:t>
      </w:r>
      <w:r w:rsidRPr="001B645B">
        <w:rPr>
          <w:rFonts w:cs="Times New Roman"/>
          <w:szCs w:val="24"/>
          <w:lang w:val="sr-Cyrl-RS"/>
        </w:rPr>
        <w:lastRenderedPageBreak/>
        <w:t>energy and raw materials. In a broader context, geopolitical fragmentation and the green transition present both challenges and opportunities for Serbia's deeper integration into European and global economic flows. Serbia will continue to strengthen its trade and investment relations with the European Union and other key partners, enhancing productivity in critical sectors such as manufacturing, ICT, and energy.</w:t>
      </w:r>
      <w:r w:rsidR="00E45F6A" w:rsidRPr="00AD7E7D">
        <w:rPr>
          <w:rFonts w:cs="Times New Roman"/>
          <w:szCs w:val="24"/>
          <w:lang w:val="sr-Cyrl-RS"/>
        </w:rPr>
        <w:t xml:space="preserve"> </w:t>
      </w:r>
    </w:p>
    <w:p w14:paraId="2EE95C03" w14:textId="37EDCF31" w:rsidR="00056C94" w:rsidRDefault="001B645B" w:rsidP="00AD7E7D">
      <w:pPr>
        <w:spacing w:after="240"/>
        <w:rPr>
          <w:rFonts w:cs="Times New Roman"/>
          <w:szCs w:val="24"/>
          <w:lang w:val="sr-Cyrl-RS"/>
        </w:rPr>
      </w:pPr>
      <w:r w:rsidRPr="001B645B">
        <w:rPr>
          <w:rFonts w:cs="Times New Roman"/>
          <w:szCs w:val="24"/>
          <w:lang w:val="sr-Cyrl-RS"/>
        </w:rPr>
        <w:t>Serbia has significant reserves to protect against uncertainties. High foreign exchange reserves and public sector deposits, relatively low public debt, sustainable external and public debt dynamics, and a well-capitalized and liquid banking system provide a solid buffer in the event that certain negative risks materialize. Additionally, Serbia is an attractive destination for FDI, reflecting its strong macroeconomic position. The precautionary arrangement with the International Monetary Fund provides additional security by defining appropriate economic policies and structural reforms aimed at faster economic growth and strengthening economic resilience. Upon completion of the current arrangement, a continuation of cooperation has been agreed through the Policy Coordination Instrument (PCI), which will be non-financial in nature and will last for the next three years. The new arrangement is a clear signal that medium-term economic policy is oriented towards accelerated growth, development, and modernization, while preserving macroeconomic stability.</w:t>
      </w:r>
      <w:r w:rsidR="00056C94">
        <w:rPr>
          <w:rFonts w:cs="Times New Roman"/>
          <w:szCs w:val="24"/>
          <w:lang w:val="sr-Cyrl-RS"/>
        </w:rPr>
        <w:br w:type="page"/>
      </w:r>
    </w:p>
    <w:p w14:paraId="497BBBA0" w14:textId="0210740F" w:rsidR="00A8098E" w:rsidRPr="00E25CAC" w:rsidRDefault="00AD7E7D" w:rsidP="00E25CAC">
      <w:pPr>
        <w:pStyle w:val="Heading1"/>
        <w:spacing w:after="240"/>
        <w:rPr>
          <w:rFonts w:ascii="Times New Roman" w:eastAsiaTheme="minorHAnsi" w:hAnsi="Times New Roman" w:cs="Times New Roman"/>
          <w:b/>
          <w:color w:val="auto"/>
          <w:sz w:val="24"/>
          <w:szCs w:val="24"/>
          <w:lang w:val="sr-Latn-RS"/>
        </w:rPr>
      </w:pPr>
      <w:bookmarkStart w:id="4" w:name="_Toc192759970"/>
      <w:r w:rsidRPr="00E25CAC">
        <w:rPr>
          <w:rFonts w:ascii="Times New Roman" w:eastAsiaTheme="minorHAnsi" w:hAnsi="Times New Roman" w:cs="Times New Roman"/>
          <w:b/>
          <w:color w:val="auto"/>
          <w:sz w:val="24"/>
          <w:szCs w:val="24"/>
          <w:lang w:val="sr-Latn-RS"/>
        </w:rPr>
        <w:lastRenderedPageBreak/>
        <w:t>2</w:t>
      </w:r>
      <w:r w:rsidR="00A8098E" w:rsidRPr="00E25CAC">
        <w:rPr>
          <w:rFonts w:ascii="Times New Roman" w:eastAsiaTheme="minorHAnsi" w:hAnsi="Times New Roman" w:cs="Times New Roman"/>
          <w:b/>
          <w:color w:val="auto"/>
          <w:sz w:val="24"/>
          <w:szCs w:val="24"/>
          <w:lang w:val="sr-Latn-RS"/>
        </w:rPr>
        <w:t xml:space="preserve">. </w:t>
      </w:r>
      <w:r w:rsidR="0058077B" w:rsidRPr="0058077B">
        <w:rPr>
          <w:rFonts w:ascii="Times New Roman" w:eastAsiaTheme="minorHAnsi" w:hAnsi="Times New Roman" w:cs="Times New Roman"/>
          <w:b/>
          <w:color w:val="auto"/>
          <w:sz w:val="24"/>
          <w:szCs w:val="24"/>
          <w:lang w:val="en-GB"/>
        </w:rPr>
        <w:t>IMPLEMENTATION OF THE POLICY GUIDANCE</w:t>
      </w:r>
      <w:bookmarkEnd w:id="4"/>
    </w:p>
    <w:p w14:paraId="68E7C6CF" w14:textId="16604221" w:rsidR="0058077B" w:rsidRPr="0058077B" w:rsidRDefault="0058077B" w:rsidP="00491183">
      <w:pPr>
        <w:rPr>
          <w:rFonts w:eastAsia="Calibri" w:cs="Times New Roman"/>
          <w:szCs w:val="24"/>
          <w:lang w:val="en-GB"/>
        </w:rPr>
      </w:pPr>
      <w:r w:rsidRPr="0058077B">
        <w:rPr>
          <w:rFonts w:eastAsia="Calibri" w:cs="Times New Roman"/>
          <w:szCs w:val="24"/>
          <w:lang w:val="en-GB"/>
        </w:rPr>
        <w:t xml:space="preserve">Implementation of the </w:t>
      </w:r>
      <w:r w:rsidRPr="0058077B">
        <w:rPr>
          <w:rFonts w:eastAsia="Calibri" w:cs="Times New Roman"/>
          <w:szCs w:val="24"/>
        </w:rPr>
        <w:t>P</w:t>
      </w:r>
      <w:r w:rsidRPr="0058077B">
        <w:rPr>
          <w:rFonts w:eastAsia="Calibri" w:cs="Times New Roman"/>
          <w:szCs w:val="24"/>
          <w:lang w:val="en-GB"/>
        </w:rPr>
        <w:t>olicy Guidance for individual policies as part of the Joint Conclusions related to the Economic Reform Programme (ERP) in the period 2025</w:t>
      </w:r>
      <w:r w:rsidRPr="0058077B">
        <w:rPr>
          <w:rFonts w:eastAsia="Calibri" w:cs="Times New Roman"/>
          <w:szCs w:val="24"/>
          <w:lang w:val="en-GB"/>
        </w:rPr>
        <w:sym w:font="Symbol" w:char="F02D"/>
      </w:r>
      <w:r w:rsidRPr="0058077B">
        <w:rPr>
          <w:rFonts w:eastAsia="Calibri" w:cs="Times New Roman"/>
          <w:szCs w:val="24"/>
          <w:lang w:val="en-GB"/>
        </w:rPr>
        <w:t xml:space="preserve">2027, adopted at the meeting of the Economic and Financial Affairs Council of the Council of the European Union (ECOFIN Council), held on Jun 2024 in Brussels, within the Economic and Financial Dialogue between the EU and the Western Balkans and Türkiye, reflects in numerous reform measures and activities of the Government. </w:t>
      </w:r>
    </w:p>
    <w:p w14:paraId="32F3024A" w14:textId="1DCBA819" w:rsidR="0058077B" w:rsidRPr="0058077B" w:rsidRDefault="0058077B" w:rsidP="00491183">
      <w:pPr>
        <w:rPr>
          <w:rFonts w:eastAsia="Calibri" w:cs="Times New Roman"/>
          <w:b/>
          <w:szCs w:val="24"/>
          <w:lang w:val="en-GB"/>
        </w:rPr>
      </w:pPr>
      <w:r w:rsidRPr="0058077B">
        <w:rPr>
          <w:rFonts w:eastAsia="Calibri" w:cs="Times New Roman"/>
          <w:b/>
          <w:szCs w:val="24"/>
          <w:lang w:val="en-GB"/>
        </w:rPr>
        <w:t xml:space="preserve">Implementation of the ECOFIN Council policy guidance set out in June 2024 for the Republic of Serbia </w:t>
      </w:r>
    </w:p>
    <w:p w14:paraId="63E4795D" w14:textId="1E1C3553" w:rsidR="0058077B" w:rsidRPr="0058077B" w:rsidRDefault="0058077B" w:rsidP="00491183">
      <w:pPr>
        <w:rPr>
          <w:rFonts w:eastAsia="Calibri" w:cs="Times New Roman"/>
          <w:bCs/>
          <w:i/>
          <w:szCs w:val="24"/>
          <w:lang w:val="en-GB"/>
        </w:rPr>
      </w:pPr>
      <w:r w:rsidRPr="0058077B">
        <w:rPr>
          <w:rFonts w:eastAsia="Calibri" w:cs="Times New Roman"/>
          <w:bCs/>
          <w:i/>
          <w:szCs w:val="24"/>
          <w:lang w:val="en-GB"/>
        </w:rPr>
        <w:t>-Keep an appropriately tight fiscal stance in 2024 to help disinflation and strictly adhere to the new fiscal rules in order to enhance their credibility.</w:t>
      </w:r>
    </w:p>
    <w:p w14:paraId="4F10E2BD"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 xml:space="preserve">The Government of the Republic of Serbia is committed to maintaining fiscal discipline in the medium term. The targeted fiscal deficits in the coming years ensure a declining trajectory of public debt. The projected fiscal deficit for the period 2025–2027 remains at the level of 3% of GDP, creating room for financing important investment projects within the development plan "Leap into the Future – Serbia 2027," as well as financing the strengthening of national security. </w:t>
      </w:r>
    </w:p>
    <w:p w14:paraId="40A9B7CC" w14:textId="460CF46E" w:rsidR="0058077B" w:rsidRPr="0058077B" w:rsidRDefault="0058077B" w:rsidP="00491183">
      <w:pPr>
        <w:rPr>
          <w:rFonts w:eastAsia="Calibri" w:cs="Times New Roman"/>
          <w:szCs w:val="24"/>
          <w:lang w:val="en-GB"/>
        </w:rPr>
      </w:pPr>
      <w:r w:rsidRPr="0058077B">
        <w:rPr>
          <w:rFonts w:eastAsia="Calibri" w:cs="Times New Roman"/>
          <w:szCs w:val="24"/>
          <w:lang w:val="en-GB"/>
        </w:rPr>
        <w:t>In order to fully implement the investment cycle, the application of the fiscal deficit limitation component within the fiscal rule will be delayed, considering the declining trajectory of public debt. By the end of the medium-term period, general government debt is estimated to amount to 47.6% of GDP. With the amendment to the Budget System Law, adopted in November 2024 (Official Gazette, N. 94/2024), the fiscal deficit component of the fiscal rule will be delayed until 2029.</w:t>
      </w:r>
    </w:p>
    <w:p w14:paraId="0887CF2F" w14:textId="079B97BB" w:rsidR="0058077B" w:rsidRPr="0058077B" w:rsidRDefault="0058077B" w:rsidP="00491183">
      <w:pPr>
        <w:rPr>
          <w:rFonts w:eastAsia="Calibri" w:cs="Times New Roman"/>
          <w:bCs/>
          <w:i/>
          <w:szCs w:val="24"/>
          <w:lang w:val="en-GB"/>
        </w:rPr>
      </w:pPr>
      <w:r w:rsidRPr="0058077B">
        <w:rPr>
          <w:rFonts w:eastAsia="Calibri" w:cs="Times New Roman"/>
          <w:bCs/>
          <w:i/>
          <w:szCs w:val="24"/>
          <w:lang w:val="en-GB"/>
        </w:rPr>
        <w:t xml:space="preserve">- Implement the action plan for 2023-2026 to strengthen medium-term budgeting, inter alia by developing tools and methodology for a stable strategic fiscal planning. </w:t>
      </w:r>
    </w:p>
    <w:p w14:paraId="45897052" w14:textId="7A6E7CA1" w:rsidR="0058077B" w:rsidRPr="0058077B" w:rsidRDefault="0058077B" w:rsidP="00491183">
      <w:pPr>
        <w:rPr>
          <w:rFonts w:eastAsia="Calibri" w:cs="Times New Roman"/>
          <w:bCs/>
          <w:szCs w:val="24"/>
          <w:lang w:val="en-GB"/>
        </w:rPr>
      </w:pPr>
      <w:r w:rsidRPr="0058077B">
        <w:rPr>
          <w:rFonts w:eastAsia="Calibri" w:cs="Times New Roman"/>
          <w:bCs/>
          <w:szCs w:val="24"/>
          <w:lang w:val="en-GB"/>
        </w:rPr>
        <w:t xml:space="preserve">The Action Plan for Improving the Medium Term Budget Framework was adopted in September 2023 in line with IMF recommendations. Our aim is to make medium-term budgeting more effective and binding. For the 2025 budget, we benefitted from the indicative limits for the outer two years which we introduced with the 2024 budget as a starting point for budget discussions with line ministries. As line ministries are gaining experience with these limits, we are noticing more robust estimation of their medium-term financial requirements. We are also working on strengthening the budget baseline estimation methodology with IMF technical assistance. We aim to prepare an improved methodology in Q1 of 2025 for use in the 2026 budget cycle. We have also developed a machine learning tool to support projecting budget expenditure. </w:t>
      </w:r>
    </w:p>
    <w:p w14:paraId="4CF2519A" w14:textId="7B45D772" w:rsidR="0058077B" w:rsidRPr="0058077B" w:rsidRDefault="0058077B" w:rsidP="00491183">
      <w:pPr>
        <w:rPr>
          <w:rFonts w:eastAsia="Calibri" w:cs="Times New Roman"/>
          <w:bCs/>
          <w:i/>
          <w:szCs w:val="24"/>
          <w:lang w:val="en-GB"/>
        </w:rPr>
      </w:pPr>
      <w:r w:rsidRPr="0058077B">
        <w:rPr>
          <w:rFonts w:eastAsia="Calibri" w:cs="Times New Roman"/>
          <w:bCs/>
          <w:i/>
          <w:szCs w:val="24"/>
          <w:lang w:val="en-GB"/>
        </w:rPr>
        <w:t>-Appoint members of the Fiscal Council following the recent expiry of some of their mandates.</w:t>
      </w:r>
    </w:p>
    <w:p w14:paraId="0D20EF6D" w14:textId="39A9A554" w:rsidR="0058077B" w:rsidRPr="0058077B" w:rsidRDefault="0058077B" w:rsidP="00491183">
      <w:pPr>
        <w:rPr>
          <w:rFonts w:eastAsia="Calibri" w:cs="Times New Roman"/>
          <w:szCs w:val="24"/>
        </w:rPr>
      </w:pPr>
      <w:r w:rsidRPr="0058077B">
        <w:rPr>
          <w:rFonts w:eastAsia="Calibri" w:cs="Times New Roman"/>
          <w:szCs w:val="24"/>
        </w:rPr>
        <w:t xml:space="preserve">According to the provisions of the Budget System Law, by which, the Fiscal Council has been established, the Fiscal Council consists of three members elected by the National Assembly. Professional services of the Fiscal Council are performed by professional and administrative services (Article 92a). </w:t>
      </w:r>
    </w:p>
    <w:p w14:paraId="3426B7BD" w14:textId="6B22057F" w:rsidR="0058077B" w:rsidRPr="0058077B" w:rsidRDefault="0058077B" w:rsidP="00491183">
      <w:pPr>
        <w:rPr>
          <w:rFonts w:eastAsia="Calibri" w:cs="Times New Roman"/>
          <w:szCs w:val="24"/>
        </w:rPr>
      </w:pPr>
      <w:r w:rsidRPr="0058077B">
        <w:rPr>
          <w:rFonts w:eastAsia="Calibri" w:cs="Times New Roman"/>
          <w:szCs w:val="24"/>
        </w:rPr>
        <w:t>Members of the Fiscal Council are proposed by: 1) the President of the Republic proposes the President of the Fiscal Council; 2) the M</w:t>
      </w:r>
      <w:r>
        <w:rPr>
          <w:rFonts w:eastAsia="Calibri" w:cs="Times New Roman"/>
          <w:szCs w:val="24"/>
        </w:rPr>
        <w:t>inister of F</w:t>
      </w:r>
      <w:r w:rsidRPr="0058077B">
        <w:rPr>
          <w:rFonts w:eastAsia="Calibri" w:cs="Times New Roman"/>
          <w:szCs w:val="24"/>
        </w:rPr>
        <w:t>inance proposes one member; 3) the Governor of the National Bank of Serbia proposes one member (Article 92b).</w:t>
      </w:r>
    </w:p>
    <w:p w14:paraId="25DB8E26" w14:textId="1DBEFA0E" w:rsidR="0058077B" w:rsidRPr="0058077B" w:rsidRDefault="0058077B" w:rsidP="00491183">
      <w:pPr>
        <w:rPr>
          <w:rFonts w:eastAsia="Calibri" w:cs="Times New Roman"/>
          <w:szCs w:val="24"/>
        </w:rPr>
      </w:pPr>
      <w:r w:rsidRPr="0058077B">
        <w:rPr>
          <w:rFonts w:eastAsia="Calibri" w:cs="Times New Roman"/>
          <w:szCs w:val="24"/>
        </w:rPr>
        <w:t xml:space="preserve">The mandate of the previous president of the Fiscal Council has expired, so the National Assembly elected a new president of the Fiscal Council on July 31, 2024, in accordance with </w:t>
      </w:r>
      <w:r w:rsidRPr="0058077B">
        <w:rPr>
          <w:rFonts w:eastAsia="Calibri" w:cs="Times New Roman"/>
          <w:szCs w:val="24"/>
        </w:rPr>
        <w:lastRenderedPageBreak/>
        <w:t>the procedures. The mandate of one Council member has also expired, and on the proposal of the Ministry of Finance the mandate/reappointment of the existing member has been renewed.</w:t>
      </w:r>
    </w:p>
    <w:p w14:paraId="71A04C6F" w14:textId="3EB33315" w:rsidR="0058077B" w:rsidRPr="0058077B" w:rsidRDefault="0058077B" w:rsidP="00491183">
      <w:pPr>
        <w:rPr>
          <w:rFonts w:eastAsia="Calibri" w:cs="Times New Roman"/>
          <w:bCs/>
          <w:i/>
          <w:szCs w:val="24"/>
          <w:lang w:val="en-GB"/>
        </w:rPr>
      </w:pPr>
      <w:r w:rsidRPr="0058077B">
        <w:rPr>
          <w:rFonts w:eastAsia="Calibri" w:cs="Times New Roman"/>
          <w:bCs/>
          <w:i/>
          <w:szCs w:val="24"/>
          <w:lang w:val="en-GB"/>
        </w:rPr>
        <w:t xml:space="preserve">-Adopt the necessary by-laws to fully implement the new SOE law and strengthen SOE governance, reducing the associated fiscal risks. </w:t>
      </w:r>
    </w:p>
    <w:p w14:paraId="2DA134CA" w14:textId="77777777" w:rsidR="0058077B" w:rsidRPr="0058077B" w:rsidRDefault="0058077B" w:rsidP="00491183">
      <w:pPr>
        <w:rPr>
          <w:rFonts w:eastAsia="Calibri" w:cs="Times New Roman"/>
          <w:szCs w:val="24"/>
          <w:lang w:val="sr-Latn-RS"/>
        </w:rPr>
      </w:pPr>
      <w:r w:rsidRPr="0058077B">
        <w:rPr>
          <w:rFonts w:eastAsia="Calibri" w:cs="Times New Roman"/>
          <w:szCs w:val="24"/>
          <w:lang w:val="sr-Latn-RS"/>
        </w:rPr>
        <w:t xml:space="preserve">The necessary by-laws, regarding full implementation of the new SOE law, are approved and published in </w:t>
      </w:r>
      <w:r w:rsidRPr="0058077B">
        <w:rPr>
          <w:rFonts w:eastAsia="Calibri" w:cs="Times New Roman"/>
          <w:szCs w:val="24"/>
          <w:lang w:val="en-GB"/>
        </w:rPr>
        <w:t>Official Gazette, No. 77/24</w:t>
      </w:r>
      <w:r w:rsidRPr="0058077B">
        <w:rPr>
          <w:rFonts w:eastAsia="Calibri" w:cs="Times New Roman"/>
          <w:szCs w:val="24"/>
          <w:lang w:val="sr-Latn-RS"/>
        </w:rPr>
        <w:t>:</w:t>
      </w:r>
    </w:p>
    <w:p w14:paraId="1C72E39B" w14:textId="77777777" w:rsidR="0058077B" w:rsidRPr="0058077B" w:rsidRDefault="0058077B" w:rsidP="00491183">
      <w:pPr>
        <w:rPr>
          <w:rFonts w:eastAsia="Calibri" w:cs="Times New Roman"/>
          <w:szCs w:val="24"/>
          <w:lang w:val="en"/>
        </w:rPr>
      </w:pPr>
      <w:r w:rsidRPr="0058077B">
        <w:rPr>
          <w:rFonts w:eastAsia="Calibri" w:cs="Times New Roman"/>
          <w:szCs w:val="24"/>
          <w:lang w:val="sr-Latn-RS"/>
        </w:rPr>
        <w:t xml:space="preserve">1. </w:t>
      </w:r>
      <w:r w:rsidRPr="0058077B">
        <w:rPr>
          <w:rFonts w:eastAsia="Calibri" w:cs="Times New Roman"/>
          <w:szCs w:val="24"/>
          <w:lang w:val="en-GB"/>
        </w:rPr>
        <w:t>Decree on Determining the List of Majority and Minority-Stake SOEs</w:t>
      </w:r>
    </w:p>
    <w:p w14:paraId="7E9269F3" w14:textId="77777777" w:rsidR="0058077B" w:rsidRPr="0058077B" w:rsidRDefault="0058077B" w:rsidP="00491183">
      <w:pPr>
        <w:rPr>
          <w:rFonts w:eastAsia="Calibri" w:cs="Times New Roman"/>
          <w:szCs w:val="24"/>
          <w:lang w:val="en"/>
        </w:rPr>
      </w:pPr>
      <w:r w:rsidRPr="0058077B">
        <w:rPr>
          <w:rFonts w:eastAsia="Calibri" w:cs="Times New Roman"/>
          <w:szCs w:val="24"/>
          <w:lang w:val="en"/>
        </w:rPr>
        <w:t>2.</w:t>
      </w:r>
      <w:r w:rsidRPr="0058077B">
        <w:rPr>
          <w:rFonts w:eastAsia="Calibri" w:cs="Times New Roman"/>
          <w:szCs w:val="24"/>
          <w:lang w:val="en-GB"/>
        </w:rPr>
        <w:t xml:space="preserve"> Decree</w:t>
      </w:r>
      <w:r w:rsidRPr="0058077B">
        <w:rPr>
          <w:rFonts w:eastAsia="Calibri" w:cs="Times New Roman"/>
          <w:szCs w:val="24"/>
          <w:lang w:val="en"/>
        </w:rPr>
        <w:t xml:space="preserve"> on the Criteria for Choosing the Legal Form of the Capital Company </w:t>
      </w:r>
    </w:p>
    <w:p w14:paraId="51F79BC4" w14:textId="77777777" w:rsidR="0058077B" w:rsidRPr="0058077B" w:rsidRDefault="0058077B" w:rsidP="00491183">
      <w:pPr>
        <w:rPr>
          <w:rFonts w:eastAsia="Calibri" w:cs="Times New Roman"/>
          <w:szCs w:val="24"/>
          <w:lang w:val="en"/>
        </w:rPr>
      </w:pPr>
      <w:r w:rsidRPr="0058077B">
        <w:rPr>
          <w:rFonts w:eastAsia="Calibri" w:cs="Times New Roman"/>
          <w:szCs w:val="24"/>
          <w:lang w:val="en"/>
        </w:rPr>
        <w:t>3. Decree on Additional Conditions and Procedure for Appointment of Capital Company Bodies, as well as the Procedure for Conducting a Public Competition for Selection of a Director</w:t>
      </w:r>
    </w:p>
    <w:p w14:paraId="0F05B964" w14:textId="0B47DC82" w:rsidR="0058077B" w:rsidRPr="0058077B" w:rsidRDefault="0058077B" w:rsidP="00491183">
      <w:pPr>
        <w:rPr>
          <w:rFonts w:eastAsia="Calibri" w:cs="Times New Roman"/>
          <w:szCs w:val="24"/>
          <w:lang w:val="en"/>
        </w:rPr>
      </w:pPr>
      <w:r w:rsidRPr="0058077B">
        <w:rPr>
          <w:rFonts w:eastAsia="Calibri" w:cs="Times New Roman"/>
          <w:szCs w:val="24"/>
          <w:lang w:val="en"/>
        </w:rPr>
        <w:t>4. Decision on the Code of Corporate Governance of Capital Companies.</w:t>
      </w:r>
    </w:p>
    <w:p w14:paraId="1D6137D6" w14:textId="63D257A7" w:rsidR="0058077B" w:rsidRPr="0058077B" w:rsidRDefault="0058077B" w:rsidP="00491183">
      <w:pPr>
        <w:rPr>
          <w:rFonts w:eastAsia="Calibri" w:cs="Times New Roman"/>
          <w:szCs w:val="24"/>
          <w:lang w:val="en"/>
        </w:rPr>
      </w:pPr>
      <w:r w:rsidRPr="0058077B">
        <w:rPr>
          <w:rFonts w:eastAsia="Calibri" w:cs="Times New Roman"/>
          <w:szCs w:val="24"/>
          <w:lang w:val="en"/>
        </w:rPr>
        <w:t>The Regulation on the Professional Development Program in the field of corporate governance was also adopted and published in the "Official Gazette of the Republic of Serbia", No. 85/24.</w:t>
      </w:r>
    </w:p>
    <w:p w14:paraId="022C5780" w14:textId="72DFAF30" w:rsidR="0058077B" w:rsidRPr="0058077B" w:rsidRDefault="0058077B" w:rsidP="00491183">
      <w:pPr>
        <w:rPr>
          <w:rFonts w:eastAsia="Calibri" w:cs="Times New Roman"/>
          <w:bCs/>
          <w:i/>
          <w:szCs w:val="24"/>
          <w:lang w:val="en-GB"/>
        </w:rPr>
      </w:pPr>
      <w:r w:rsidRPr="0058077B">
        <w:rPr>
          <w:rFonts w:eastAsia="Calibri" w:cs="Times New Roman"/>
          <w:bCs/>
          <w:i/>
          <w:szCs w:val="24"/>
          <w:lang w:val="sr-Cyrl-RS"/>
        </w:rPr>
        <w:t xml:space="preserve">- </w:t>
      </w:r>
      <w:r w:rsidRPr="0058077B">
        <w:rPr>
          <w:rFonts w:eastAsia="Calibri" w:cs="Times New Roman"/>
          <w:bCs/>
          <w:i/>
          <w:szCs w:val="24"/>
          <w:lang w:val="en-GB"/>
        </w:rPr>
        <w:t xml:space="preserve">Reinforce fiscal risk analysis and management capacity, fully implement the risk methodology and publish comprehensive fiscal risk reports. </w:t>
      </w:r>
    </w:p>
    <w:p w14:paraId="0921AC8E" w14:textId="66F899E4" w:rsidR="0058077B" w:rsidRPr="0058077B" w:rsidRDefault="0058077B" w:rsidP="00491183">
      <w:pPr>
        <w:rPr>
          <w:rFonts w:eastAsia="Calibri" w:cs="Times New Roman"/>
          <w:szCs w:val="24"/>
          <w:lang w:val="en-GB"/>
        </w:rPr>
      </w:pPr>
      <w:r w:rsidRPr="0058077B">
        <w:rPr>
          <w:rFonts w:eastAsia="Calibri" w:cs="Times New Roman"/>
          <w:szCs w:val="24"/>
          <w:lang w:val="en-GB"/>
        </w:rPr>
        <w:t>The Fiscal Risks Monitoring Department of the Ministry of Finance continued work on the implementation of the models envisaged by the relevant Methodology. We have expanded and broadened our reporting in the Fiscal Risk Section of the Fiscal Strategy for the 2025-27 period, published in June 2024. We continue to work on standardizing and enhancing the scope of fiscal risk coverage in the Revised Fiscal Strategy for the 2025–2027.</w:t>
      </w:r>
    </w:p>
    <w:p w14:paraId="5A9D0EEF" w14:textId="3F5ADF08" w:rsidR="0058077B" w:rsidRPr="0058077B" w:rsidRDefault="0058077B" w:rsidP="00491183">
      <w:pPr>
        <w:rPr>
          <w:rFonts w:eastAsia="Calibri" w:cs="Times New Roman"/>
          <w:szCs w:val="24"/>
          <w:lang w:val="en-GB"/>
        </w:rPr>
      </w:pPr>
      <w:r w:rsidRPr="0058077B">
        <w:rPr>
          <w:rFonts w:eastAsia="Calibri" w:cs="Times New Roman"/>
          <w:bCs/>
          <w:i/>
          <w:szCs w:val="24"/>
          <w:lang w:val="sr-Cyrl-RS"/>
        </w:rPr>
        <w:t xml:space="preserve">- </w:t>
      </w:r>
      <w:r w:rsidRPr="0058077B">
        <w:rPr>
          <w:rFonts w:eastAsia="Calibri" w:cs="Times New Roman"/>
          <w:bCs/>
          <w:i/>
          <w:szCs w:val="24"/>
          <w:lang w:val="en-GB"/>
        </w:rPr>
        <w:t>Building on progress with the electronic public wage and employment registry, implement the preparatory steps towards an appropriately designed public sector wage system reform.</w:t>
      </w:r>
    </w:p>
    <w:p w14:paraId="434DE20C" w14:textId="175B24FE" w:rsidR="0058077B" w:rsidRPr="0058077B" w:rsidRDefault="0058077B" w:rsidP="00491183">
      <w:pPr>
        <w:rPr>
          <w:rFonts w:eastAsia="Calibri" w:cs="Times New Roman"/>
          <w:bCs/>
          <w:szCs w:val="24"/>
          <w:lang w:val="en-GB"/>
        </w:rPr>
      </w:pPr>
      <w:r w:rsidRPr="0058077B">
        <w:rPr>
          <w:rFonts w:eastAsia="Calibri" w:cs="Times New Roman"/>
          <w:bCs/>
          <w:szCs w:val="24"/>
          <w:lang w:val="en-GB"/>
        </w:rPr>
        <w:t>The phased establishment of a central electronic public wage and employment registry Iskra is well advanced. This registry allows for better planning, executing, and controlling of wage spending. The system covers: direct budget users and indirect budget users at the Republic level with the most important ones being the judicial sector, the cultural sector, the employment and social affairs sector, the education sector apart from higher education institutions; and the health sector. From January 2025, Iskra will also cover local self-government units with indirect beneficiaries (preschool institutions, cultural institutions, social welfare institutions). Coverage of the remaining public employees (Ministry of Defence, Ministry of Internal Affairs, Security Information Agency BIA and higher education instituti</w:t>
      </w:r>
      <w:r w:rsidR="00D51853">
        <w:rPr>
          <w:rFonts w:eastAsia="Calibri" w:cs="Times New Roman"/>
          <w:bCs/>
          <w:szCs w:val="24"/>
          <w:lang w:val="en-GB"/>
        </w:rPr>
        <w:t>ons) will be completed by 2027.</w:t>
      </w:r>
    </w:p>
    <w:p w14:paraId="0FD20FCF" w14:textId="2A5D04BA" w:rsidR="0058077B" w:rsidRPr="0058077B" w:rsidRDefault="0058077B" w:rsidP="00491183">
      <w:pPr>
        <w:rPr>
          <w:rFonts w:eastAsia="Calibri" w:cs="Times New Roman"/>
          <w:szCs w:val="24"/>
          <w:lang w:val="en-GB"/>
        </w:rPr>
      </w:pPr>
      <w:r w:rsidRPr="0058077B">
        <w:rPr>
          <w:rFonts w:eastAsia="Calibri" w:cs="Times New Roman"/>
          <w:bCs/>
          <w:szCs w:val="24"/>
          <w:lang w:val="en-GB"/>
        </w:rPr>
        <w:t>The Iskra registry will play an essential role in designing and implementing a comprehensive reform of the public wage system.</w:t>
      </w:r>
      <w:r w:rsidRPr="0058077B">
        <w:rPr>
          <w:rFonts w:eastAsia="Calibri" w:cs="Times New Roman"/>
          <w:szCs w:val="24"/>
          <w:lang w:val="en-GB"/>
        </w:rPr>
        <w:t xml:space="preserve">     </w:t>
      </w:r>
    </w:p>
    <w:p w14:paraId="2AD4CC73" w14:textId="363FB893" w:rsidR="0058077B" w:rsidRPr="0058077B" w:rsidRDefault="0058077B" w:rsidP="00491183">
      <w:pPr>
        <w:rPr>
          <w:rFonts w:eastAsia="Calibri" w:cs="Times New Roman"/>
          <w:bCs/>
          <w:i/>
          <w:szCs w:val="24"/>
          <w:lang w:val="en-GB"/>
        </w:rPr>
      </w:pPr>
      <w:r w:rsidRPr="0058077B">
        <w:rPr>
          <w:rFonts w:eastAsia="Calibri" w:cs="Times New Roman"/>
          <w:bCs/>
          <w:i/>
          <w:szCs w:val="24"/>
          <w:lang w:val="en-GB"/>
        </w:rPr>
        <w:t xml:space="preserve">- Ensure a sufficiently tight monetary policy stance as long as necessary to anchor inflation expectations at levels consistent with price stability, underpinned by a thorough assessment of possible second-round effects. </w:t>
      </w:r>
    </w:p>
    <w:p w14:paraId="40B42A46" w14:textId="77777777" w:rsidR="0058077B" w:rsidRPr="0058077B" w:rsidRDefault="0058077B" w:rsidP="00491183">
      <w:pPr>
        <w:rPr>
          <w:rFonts w:eastAsia="Calibri" w:cs="Times New Roman"/>
          <w:szCs w:val="24"/>
          <w:lang w:val="en-GB"/>
        </w:rPr>
      </w:pPr>
      <w:r w:rsidRPr="0058077B">
        <w:rPr>
          <w:rFonts w:eastAsia="Calibri" w:cs="Times New Roman"/>
          <w:bCs/>
          <w:szCs w:val="24"/>
          <w:lang w:val="en-GB"/>
        </w:rPr>
        <w:t>Inflation has been hovering within the target tolerance band since May</w:t>
      </w:r>
      <w:r w:rsidRPr="0058077B">
        <w:rPr>
          <w:rFonts w:eastAsia="Calibri" w:cs="Times New Roman"/>
          <w:szCs w:val="24"/>
          <w:lang w:val="en-GB"/>
        </w:rPr>
        <w:t xml:space="preserve">, and that is likely to stay there until the end of the projection horizon and decline further towards the midpoint. </w:t>
      </w:r>
    </w:p>
    <w:p w14:paraId="5AC698BE"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Taking into account the actual and expected movement of key inflation factors, the NBS Executive Board proceed with monetary easing by cutting the key policy rate and, since mid of year, cumulative trim was 75 basis points, to 5.75%. However, despite the initiated easing, monetary policy remains tight.</w:t>
      </w:r>
    </w:p>
    <w:p w14:paraId="0FDE9EA6"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lastRenderedPageBreak/>
        <w:t xml:space="preserve">According to latest surveys, one year ahead inflation expectations of the financial sector stood at the range 3.4–3.75%, while </w:t>
      </w:r>
      <w:r w:rsidRPr="0058077B">
        <w:rPr>
          <w:rFonts w:eastAsia="Calibri" w:cs="Times New Roman"/>
          <w:bCs/>
          <w:szCs w:val="24"/>
          <w:lang w:val="en-GB"/>
        </w:rPr>
        <w:t>medium term expectations continued to move around the NBS target midpoint</w:t>
      </w:r>
      <w:r w:rsidRPr="0058077B">
        <w:rPr>
          <w:rFonts w:eastAsia="Calibri" w:cs="Times New Roman"/>
          <w:szCs w:val="24"/>
          <w:lang w:val="en-GB"/>
        </w:rPr>
        <w:t xml:space="preserve"> (3.0%).</w:t>
      </w:r>
    </w:p>
    <w:p w14:paraId="6A78EFD0"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 xml:space="preserve">The NBS Executive Board will continue to follow closely and analyse developments in the domestic and international market and </w:t>
      </w:r>
      <w:r w:rsidRPr="0058077B">
        <w:rPr>
          <w:rFonts w:eastAsia="Calibri" w:cs="Times New Roman"/>
          <w:bCs/>
          <w:szCs w:val="24"/>
          <w:lang w:val="en-GB"/>
        </w:rPr>
        <w:t>make monetary policy decisions on a meeting-to-meeting basis depending on the assessment of incoming data, the outlook for inflation and its key factors</w:t>
      </w:r>
      <w:r w:rsidRPr="0058077B">
        <w:rPr>
          <w:rFonts w:eastAsia="Calibri" w:cs="Times New Roman"/>
          <w:szCs w:val="24"/>
          <w:lang w:val="en-GB"/>
        </w:rPr>
        <w:t>, and the effects of past monetary policy measures. </w:t>
      </w:r>
    </w:p>
    <w:p w14:paraId="38DC4F73" w14:textId="111D213D" w:rsidR="0058077B" w:rsidRPr="0058077B" w:rsidRDefault="0058077B" w:rsidP="00491183">
      <w:pPr>
        <w:rPr>
          <w:rFonts w:eastAsia="Calibri" w:cs="Times New Roman"/>
          <w:bCs/>
          <w:i/>
          <w:szCs w:val="24"/>
          <w:lang w:val="en-GB"/>
        </w:rPr>
      </w:pPr>
      <w:r w:rsidRPr="0058077B">
        <w:rPr>
          <w:rFonts w:eastAsia="Calibri" w:cs="Times New Roman"/>
          <w:bCs/>
          <w:i/>
          <w:szCs w:val="24"/>
          <w:lang w:val="sr-Cyrl-RS"/>
        </w:rPr>
        <w:t xml:space="preserve">- </w:t>
      </w:r>
      <w:r w:rsidRPr="0058077B">
        <w:rPr>
          <w:rFonts w:eastAsia="Calibri" w:cs="Times New Roman"/>
          <w:bCs/>
          <w:i/>
          <w:szCs w:val="24"/>
          <w:lang w:val="en-GB"/>
        </w:rPr>
        <w:t xml:space="preserve">Further enhance risk-based supervision in line with best international and European practices, including by further strengthening the reporting framework across the banking system, phase out temporary measures affecting market mechanisms in setting mortgage interest rates and foster NPL resolution including by further developing the secondary market for NPLs. </w:t>
      </w:r>
    </w:p>
    <w:p w14:paraId="76E0B189"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 xml:space="preserve">In terms of best international and European practices, </w:t>
      </w:r>
      <w:r w:rsidRPr="0058077B">
        <w:rPr>
          <w:rFonts w:eastAsia="Calibri" w:cs="Times New Roman"/>
          <w:bCs/>
          <w:szCs w:val="24"/>
          <w:lang w:val="en-GB"/>
        </w:rPr>
        <w:t>the National Bank of Serbia continuously fosters risk-based supervisory approach</w:t>
      </w:r>
      <w:r w:rsidRPr="0058077B">
        <w:rPr>
          <w:rFonts w:eastAsia="Calibri" w:cs="Times New Roman"/>
          <w:szCs w:val="24"/>
          <w:lang w:val="en-GB"/>
        </w:rPr>
        <w:t xml:space="preserve"> and improves the reporting process across the banking system.</w:t>
      </w:r>
    </w:p>
    <w:p w14:paraId="2507CEE8" w14:textId="77777777" w:rsidR="0058077B" w:rsidRPr="0058077B" w:rsidRDefault="0058077B" w:rsidP="00491183">
      <w:pPr>
        <w:rPr>
          <w:rFonts w:eastAsia="Calibri" w:cs="Times New Roman"/>
          <w:bCs/>
          <w:szCs w:val="24"/>
          <w:lang w:val="en-GB"/>
        </w:rPr>
      </w:pPr>
      <w:r w:rsidRPr="0058077B">
        <w:rPr>
          <w:rFonts w:eastAsia="Calibri" w:cs="Times New Roman"/>
          <w:szCs w:val="24"/>
          <w:lang w:val="en-GB"/>
        </w:rPr>
        <w:t xml:space="preserve">The Decision on Temporary Measures for Banks Relating to Natural Persons’ Housing Loans </w:t>
      </w:r>
      <w:r w:rsidRPr="0058077B">
        <w:rPr>
          <w:rFonts w:eastAsia="Calibri" w:cs="Times New Roman"/>
          <w:bCs/>
          <w:szCs w:val="24"/>
          <w:lang w:val="en-GB"/>
        </w:rPr>
        <w:t>fulfilled its goal of preventive action</w:t>
      </w:r>
      <w:r w:rsidRPr="0058077B">
        <w:rPr>
          <w:rFonts w:eastAsia="Calibri" w:cs="Times New Roman"/>
          <w:szCs w:val="24"/>
          <w:lang w:val="en-GB"/>
        </w:rPr>
        <w:t xml:space="preserve"> in conditions of global interest rate instability, preventing the emergence and growth of NPLs in the housing loan portfolio of the banking sector and preserving financial stability. </w:t>
      </w:r>
      <w:r w:rsidRPr="0058077B">
        <w:rPr>
          <w:rFonts w:eastAsia="Calibri" w:cs="Times New Roman"/>
          <w:bCs/>
          <w:szCs w:val="24"/>
          <w:lang w:val="en-GB"/>
        </w:rPr>
        <w:t>The effectiveness of this measure is evidenced by the fact that since its entry into force more than 10,000 housing loans have been approved</w:t>
      </w:r>
      <w:r w:rsidRPr="0058077B">
        <w:rPr>
          <w:rFonts w:eastAsia="Calibri" w:cs="Times New Roman"/>
          <w:szCs w:val="24"/>
          <w:lang w:val="en-GB"/>
        </w:rPr>
        <w:t xml:space="preserve">, totaling around EUR 660 million, </w:t>
      </w:r>
      <w:r w:rsidRPr="0058077B">
        <w:rPr>
          <w:rFonts w:eastAsia="Calibri" w:cs="Times New Roman"/>
          <w:bCs/>
          <w:szCs w:val="24"/>
          <w:lang w:val="en-GB"/>
        </w:rPr>
        <w:t xml:space="preserve">and the NPL indicator in the segment of housing loans was only 1.5% in August 2024. </w:t>
      </w:r>
    </w:p>
    <w:p w14:paraId="379950C1"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 xml:space="preserve">As a result of the regulatory and supervisory activities of the NBS, which are supported by the commitment of the banking sector to the timely resolution of asset quality issues, the stability of the financial system was preserved and the </w:t>
      </w:r>
      <w:r w:rsidRPr="0058077B">
        <w:rPr>
          <w:rFonts w:eastAsia="Calibri" w:cs="Times New Roman"/>
          <w:bCs/>
          <w:szCs w:val="24"/>
          <w:lang w:val="en-GB"/>
        </w:rPr>
        <w:t>NPL indicator was additionally lowered to 2.73% in August 2024, which is its historically lowest value</w:t>
      </w:r>
      <w:r w:rsidRPr="0058077B">
        <w:rPr>
          <w:rFonts w:eastAsia="Calibri" w:cs="Times New Roman"/>
          <w:szCs w:val="24"/>
          <w:lang w:val="en-GB"/>
        </w:rPr>
        <w:t>.</w:t>
      </w:r>
    </w:p>
    <w:p w14:paraId="34595FD2" w14:textId="65D7EEAA" w:rsidR="0058077B" w:rsidRPr="0058077B" w:rsidRDefault="0058077B" w:rsidP="00491183">
      <w:pPr>
        <w:rPr>
          <w:rFonts w:eastAsia="Calibri" w:cs="Times New Roman"/>
          <w:bCs/>
          <w:szCs w:val="24"/>
          <w:lang w:val="en-GB"/>
        </w:rPr>
      </w:pPr>
      <w:r w:rsidRPr="0058077B">
        <w:rPr>
          <w:rFonts w:eastAsia="Calibri" w:cs="Times New Roman"/>
          <w:bCs/>
          <w:szCs w:val="24"/>
          <w:lang w:val="en-GB"/>
        </w:rPr>
        <w:t>Currently, the resolution of the remaining problematic placements of banks in bankruptcy and placements in the name and on behalf of the Republic of Serbia, which are managed by the Deposi</w:t>
      </w:r>
      <w:r w:rsidR="00491183">
        <w:rPr>
          <w:rFonts w:eastAsia="Calibri" w:cs="Times New Roman"/>
          <w:bCs/>
          <w:szCs w:val="24"/>
          <w:lang w:val="en-GB"/>
        </w:rPr>
        <w:t>t Insurance Agency, is ongoing.</w:t>
      </w:r>
    </w:p>
    <w:p w14:paraId="05277ED8" w14:textId="5F706F2E" w:rsidR="0058077B" w:rsidRPr="0058077B" w:rsidRDefault="0058077B" w:rsidP="00491183">
      <w:pPr>
        <w:rPr>
          <w:rFonts w:eastAsia="Calibri" w:cs="Times New Roman"/>
          <w:bCs/>
          <w:i/>
          <w:szCs w:val="24"/>
          <w:lang w:val="en-GB"/>
        </w:rPr>
      </w:pPr>
      <w:r w:rsidRPr="0058077B">
        <w:rPr>
          <w:rFonts w:eastAsia="Calibri" w:cs="Times New Roman"/>
          <w:bCs/>
          <w:i/>
          <w:szCs w:val="24"/>
          <w:lang w:val="sr-Cyrl-RS"/>
        </w:rPr>
        <w:t xml:space="preserve">- </w:t>
      </w:r>
      <w:r w:rsidRPr="0058077B">
        <w:rPr>
          <w:rFonts w:eastAsia="Calibri" w:cs="Times New Roman"/>
          <w:bCs/>
          <w:i/>
          <w:szCs w:val="24"/>
          <w:lang w:val="en-GB"/>
        </w:rPr>
        <w:t>Continue efforts to promote the use of the domestic currency, including by enhancing long-term financing in domestic currency, further encouraging forex hedging and raising awareness of risks related to forex lending</w:t>
      </w:r>
    </w:p>
    <w:p w14:paraId="5739DDDD"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In order to provide</w:t>
      </w:r>
      <w:r w:rsidRPr="0058077B">
        <w:rPr>
          <w:rFonts w:eastAsia="Calibri" w:cs="Times New Roman"/>
          <w:bCs/>
          <w:szCs w:val="24"/>
          <w:lang w:val="en-GB"/>
        </w:rPr>
        <w:t xml:space="preserve"> preferential treatment of dinar sources of banks’ funding, </w:t>
      </w:r>
      <w:r w:rsidRPr="0058077B">
        <w:rPr>
          <w:rFonts w:eastAsia="Calibri" w:cs="Times New Roman"/>
          <w:szCs w:val="24"/>
          <w:lang w:val="en-GB"/>
        </w:rPr>
        <w:t xml:space="preserve">the NBS applies </w:t>
      </w:r>
      <w:r w:rsidRPr="0058077B">
        <w:rPr>
          <w:rFonts w:eastAsia="Calibri" w:cs="Times New Roman"/>
          <w:bCs/>
          <w:szCs w:val="24"/>
          <w:lang w:val="en-GB"/>
        </w:rPr>
        <w:t xml:space="preserve">lower reserve requirement rates on dinar sources </w:t>
      </w:r>
      <w:r w:rsidRPr="0058077B">
        <w:rPr>
          <w:rFonts w:eastAsia="Calibri" w:cs="Times New Roman"/>
          <w:szCs w:val="24"/>
          <w:lang w:val="en-GB"/>
        </w:rPr>
        <w:t xml:space="preserve">(especially long-term). </w:t>
      </w:r>
      <w:r w:rsidRPr="0058077B">
        <w:rPr>
          <w:rFonts w:eastAsia="Calibri" w:cs="Times New Roman"/>
          <w:bCs/>
          <w:szCs w:val="24"/>
          <w:lang w:val="en-GB"/>
        </w:rPr>
        <w:t xml:space="preserve">The latest increase of reserve requirement ratios </w:t>
      </w:r>
      <w:r w:rsidRPr="0058077B">
        <w:rPr>
          <w:rFonts w:eastAsia="Calibri" w:cs="Times New Roman"/>
          <w:szCs w:val="24"/>
          <w:lang w:val="en-GB"/>
        </w:rPr>
        <w:t>(which took place in September 2023)</w:t>
      </w:r>
      <w:r w:rsidRPr="0058077B">
        <w:rPr>
          <w:rFonts w:eastAsia="Calibri" w:cs="Times New Roman"/>
          <w:bCs/>
          <w:szCs w:val="24"/>
          <w:lang w:val="en-GB"/>
        </w:rPr>
        <w:t xml:space="preserve"> have additionally improved the treatment</w:t>
      </w:r>
      <w:r w:rsidRPr="0058077B">
        <w:rPr>
          <w:rFonts w:eastAsia="Calibri" w:cs="Times New Roman"/>
          <w:szCs w:val="24"/>
          <w:lang w:val="en-GB"/>
        </w:rPr>
        <w:t>, as the ratios for dinar sources of funding were increased to a lesser extent compared to FX sources of funding.</w:t>
      </w:r>
    </w:p>
    <w:p w14:paraId="6201465E"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 xml:space="preserve">Also, the </w:t>
      </w:r>
      <w:r w:rsidRPr="0058077B">
        <w:rPr>
          <w:rFonts w:eastAsia="Calibri" w:cs="Times New Roman"/>
          <w:bCs/>
          <w:szCs w:val="24"/>
          <w:lang w:val="en-GB"/>
        </w:rPr>
        <w:t>NBS</w:t>
      </w:r>
      <w:r w:rsidRPr="0058077B">
        <w:rPr>
          <w:rFonts w:eastAsia="Calibri" w:cs="Times New Roman"/>
          <w:szCs w:val="24"/>
          <w:lang w:val="en-GB"/>
        </w:rPr>
        <w:t xml:space="preserve"> provides preferential treatment of dinar sources, as</w:t>
      </w:r>
      <w:r w:rsidRPr="0058077B">
        <w:rPr>
          <w:rFonts w:eastAsia="Calibri" w:cs="Times New Roman"/>
          <w:bCs/>
          <w:szCs w:val="24"/>
          <w:lang w:val="en-GB"/>
        </w:rPr>
        <w:t xml:space="preserve"> </w:t>
      </w:r>
      <w:r w:rsidRPr="0058077B">
        <w:rPr>
          <w:rFonts w:eastAsia="Calibri" w:cs="Times New Roman"/>
          <w:szCs w:val="24"/>
          <w:lang w:val="en-GB"/>
        </w:rPr>
        <w:t>it</w:t>
      </w:r>
      <w:r w:rsidRPr="0058077B">
        <w:rPr>
          <w:rFonts w:eastAsia="Calibri" w:cs="Times New Roman"/>
          <w:bCs/>
          <w:szCs w:val="24"/>
          <w:lang w:val="en-GB"/>
        </w:rPr>
        <w:t xml:space="preserve"> remunerates reserve requirement allocated in dinars </w:t>
      </w:r>
      <w:r w:rsidRPr="0058077B">
        <w:rPr>
          <w:rFonts w:eastAsia="Calibri" w:cs="Times New Roman"/>
          <w:szCs w:val="24"/>
          <w:lang w:val="en-GB"/>
        </w:rPr>
        <w:t>(currently at 0.75%)</w:t>
      </w:r>
      <w:r w:rsidRPr="0058077B">
        <w:rPr>
          <w:rFonts w:eastAsia="Calibri" w:cs="Times New Roman"/>
          <w:bCs/>
          <w:szCs w:val="24"/>
          <w:lang w:val="en-GB"/>
        </w:rPr>
        <w:t>, while it does not remunerate reserve requirement allocated in foreign currency.</w:t>
      </w:r>
      <w:r w:rsidRPr="0058077B">
        <w:rPr>
          <w:rFonts w:eastAsia="Calibri" w:cs="Times New Roman"/>
          <w:szCs w:val="24"/>
          <w:lang w:val="en-GB"/>
        </w:rPr>
        <w:t xml:space="preserve"> </w:t>
      </w:r>
    </w:p>
    <w:p w14:paraId="65F5713E"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In order to limit the systemic risk of euroization, a protective capital buffer for structural systemic risk has been applied since June 2017. In the last examination in March 2024, it was maintained at the level of 3% of total foreign currency and foreign currency-indexed bank receivables approved to the enterprises and household in Serbia. All banks where this share is greater than 10% are obliged to maintain the protective capital buffer.</w:t>
      </w:r>
    </w:p>
    <w:p w14:paraId="14064359"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lastRenderedPageBreak/>
        <w:t xml:space="preserve">The NBS continues to provide banks with the possibility of concluding </w:t>
      </w:r>
      <w:r w:rsidRPr="0058077B">
        <w:rPr>
          <w:rFonts w:eastAsia="Calibri" w:cs="Times New Roman"/>
          <w:bCs/>
          <w:szCs w:val="24"/>
          <w:lang w:val="en-GB"/>
        </w:rPr>
        <w:t>bilateral swap transactions</w:t>
      </w:r>
      <w:r w:rsidRPr="0058077B">
        <w:rPr>
          <w:rFonts w:eastAsia="Calibri" w:cs="Times New Roman"/>
          <w:szCs w:val="24"/>
          <w:lang w:val="en-GB"/>
        </w:rPr>
        <w:t xml:space="preserve"> as assistance to banks in managing dinar and foreign currency liquidity and help to overcome insufficient limits for interbank trade. In these transactions the NBS mediates between two banks with neutral effect on dinar and euro liquidity of the banking sector. </w:t>
      </w:r>
    </w:p>
    <w:p w14:paraId="4F526F6B"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Coverage of the remaining public employees (Ministry of Defence, Ministry of Internal Affairs, Security Information Agency BIA and higher education institutions) will be completed by 2027.</w:t>
      </w:r>
    </w:p>
    <w:p w14:paraId="28893DA7"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The Iskra registry will play an essential role in designing and implementing a comprehensive reform of the public wage system.</w:t>
      </w:r>
    </w:p>
    <w:p w14:paraId="340F0B15" w14:textId="77777777" w:rsidR="0058077B" w:rsidRPr="0058077B" w:rsidRDefault="0058077B" w:rsidP="00491183">
      <w:pPr>
        <w:rPr>
          <w:rFonts w:eastAsia="Calibri" w:cs="Times New Roman"/>
          <w:i/>
          <w:szCs w:val="24"/>
          <w:lang w:val="en-GB"/>
        </w:rPr>
      </w:pPr>
      <w:r w:rsidRPr="0058077B">
        <w:rPr>
          <w:rFonts w:eastAsia="Calibri" w:cs="Times New Roman"/>
          <w:i/>
          <w:szCs w:val="24"/>
          <w:lang w:val="en-GB"/>
        </w:rPr>
        <w:t xml:space="preserve">- Ensure a sufficiently tight monetary policy stance as long as necessary to anchor inflation expectations at levels consistent with price stability, underpinned by a thorough assessment of possible second-round effects. </w:t>
      </w:r>
    </w:p>
    <w:p w14:paraId="4028EF2F"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Since May of this year, inflation has been within the National Bank of Serbia’s (NBS) target range and is expected to remain there until the end of the projection horizon, with a gradual decline toward the central target value.</w:t>
      </w:r>
    </w:p>
    <w:p w14:paraId="7D6CADA5"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Taking into account the actual and expected movement of key inflation factors, the NBS Executive Board proceed with monetary easing by cutting the key policy rate and, since mid of year, cumulative trim was 75 basis points, to 5.75%. However, despite the initiated easing, monetary policy remains tight.</w:t>
      </w:r>
    </w:p>
    <w:p w14:paraId="4D4E8F66"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According to latest surveys, one year ahead inflation expectations of the financial sector stood at the range 3.4–3.75%, while medium term expectations continued to move around the NBS target midpoint (3.0%).</w:t>
      </w:r>
    </w:p>
    <w:p w14:paraId="59E00AA7"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 xml:space="preserve">The NBS Executive Board will continue to follow closely and analyse developments in the domestic and international market and make monetary policy decisions on a meeting-to-meeting basis depending on the assessment of incoming data, the outlook for inflation and its key factors, and the effects of past monetary policy measures. </w:t>
      </w:r>
    </w:p>
    <w:p w14:paraId="03059744" w14:textId="77777777" w:rsidR="0058077B" w:rsidRPr="0058077B" w:rsidRDefault="0058077B" w:rsidP="00491183">
      <w:pPr>
        <w:rPr>
          <w:rFonts w:eastAsia="Calibri" w:cs="Times New Roman"/>
          <w:i/>
          <w:szCs w:val="24"/>
          <w:lang w:val="en-GB"/>
        </w:rPr>
      </w:pPr>
      <w:r w:rsidRPr="0058077B">
        <w:rPr>
          <w:rFonts w:eastAsia="Calibri" w:cs="Times New Roman"/>
          <w:i/>
          <w:szCs w:val="24"/>
          <w:lang w:val="en-GB"/>
        </w:rPr>
        <w:t xml:space="preserve">- Further enhance risk-based supervision in line with best international and European practices, including by further strengthening the reporting framework across the banking system, phase out temporary measures affecting market mechanisms in setting mortgage interest rates and foster NPL resolution including by further developing the secondary market for NPLs. </w:t>
      </w:r>
    </w:p>
    <w:p w14:paraId="0888C314"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In terms of best international and European practices, the National Bank of Serbia continuously fosters risk-based supervisory approach and improves the reporting process across the banking system</w:t>
      </w:r>
    </w:p>
    <w:p w14:paraId="01B092AA"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 xml:space="preserve">The Decision on Temporary Measures for Banks Relating to Natural Persons’ Housing Loans fulfilled its goal of preventive action in conditions of global interest rate instability, preventing the emergence and growth of NPLs in the housing loan portfolio of the banking sector and preserving financial stability. The effectiveness of this measure is evidenced by the fact that since its entry into force more than 10,000 housing loans have been approved, totaling around EUR 660 million, and the NPL indicator in the segment of housing loans was only 1.5% in August 2024. </w:t>
      </w:r>
    </w:p>
    <w:p w14:paraId="6DF7374C"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As a result of the regulatory and supervisory activities of the NBS, which are supported by the commitment of the banking sector to the timely resolution of asset quality issues, the stability of the financial system was preserved and the NPL indicator was additionally lowered to 2.73% in August 2024, which is its historically lowest value.</w:t>
      </w:r>
    </w:p>
    <w:p w14:paraId="40114E5C"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lastRenderedPageBreak/>
        <w:t>Currently, the resolution of the remaining problematic placements of banks in bankruptcy and placements in the name and on behalf of the Republic of Serbia, which are managed by the Deposit Insurance Agency, is ongoing.</w:t>
      </w:r>
    </w:p>
    <w:p w14:paraId="72F7EAB9" w14:textId="77777777" w:rsidR="0058077B" w:rsidRPr="0058077B" w:rsidRDefault="0058077B" w:rsidP="00491183">
      <w:pPr>
        <w:rPr>
          <w:rFonts w:eastAsia="Calibri" w:cs="Times New Roman"/>
          <w:i/>
          <w:szCs w:val="24"/>
          <w:lang w:val="en-GB"/>
        </w:rPr>
      </w:pPr>
      <w:r w:rsidRPr="0058077B">
        <w:rPr>
          <w:rFonts w:eastAsia="Calibri" w:cs="Times New Roman"/>
          <w:i/>
          <w:szCs w:val="24"/>
          <w:lang w:val="en-GB"/>
        </w:rPr>
        <w:t>- Continue efforts to promote the use of the domestic currency, including by enhancing long-term financing in domestic currency, further encouraging forex hedging and raising awareness of risks related to forex lending</w:t>
      </w:r>
    </w:p>
    <w:p w14:paraId="2BF4AA1A"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In order to ensure greater use of dinar sources of financing by banks, the NBS applies lower reserve requirement rates for dinar sources (particularly long-term sources). The recent increase in the reserve requirement rate (which occurred in September 2023) further improved the preferential treatment of dinar sources, as the indicators for dinar sources of financing were increased to a lesser extent compared to foreign currency sources.</w:t>
      </w:r>
    </w:p>
    <w:p w14:paraId="642E7AB0"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 xml:space="preserve">Also, the NBS provides preferential treatment of dinar sources, as it remunerates reserve requirement allocated in dinars (currently at 0.75%), while it does not remunerate reserve requirement allocated in foreign currency. </w:t>
      </w:r>
    </w:p>
    <w:p w14:paraId="6625AA92"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In order to limit the systemic risk of euroization, a protective capital buffer for structural systemic risk has been applied since June 2017. In the last examination in March 2024, it was maintained at the level of 3% of total foreign currency and foreign currency-indexed bank receivables approved to the enterprises and household in Serbia. All banks where this share exceeds 10% are required to maintain the protective capital buffer at the specified level.</w:t>
      </w:r>
    </w:p>
    <w:p w14:paraId="4E0D8DD0" w14:textId="77777777" w:rsidR="0058077B" w:rsidRPr="0058077B" w:rsidRDefault="0058077B" w:rsidP="00491183">
      <w:pPr>
        <w:rPr>
          <w:rFonts w:eastAsia="Calibri" w:cs="Times New Roman"/>
          <w:szCs w:val="24"/>
          <w:lang w:val="en-GB"/>
        </w:rPr>
      </w:pPr>
      <w:r w:rsidRPr="0058077B">
        <w:rPr>
          <w:rFonts w:eastAsia="Calibri" w:cs="Times New Roman"/>
          <w:szCs w:val="24"/>
          <w:lang w:val="en-GB"/>
        </w:rPr>
        <w:t>The NBS continues to provide banks with the possibility of concluding bilateral swap transactions as a form of assistance in managing dinar and foreign currency liquidity and overcoming insufficient limits for interbank trading. In these transactions, the NBS acts as an intermediary between two banks, with a neutral impact on the dinar and foreign currency liquidity of the banking sector.</w:t>
      </w:r>
    </w:p>
    <w:p w14:paraId="1E0A1BBE" w14:textId="15279F31" w:rsidR="00056C94" w:rsidRDefault="00056C94" w:rsidP="00AD7E7D">
      <w:pPr>
        <w:spacing w:after="240"/>
        <w:rPr>
          <w:rFonts w:eastAsia="Calibri" w:cs="Times New Roman"/>
          <w:szCs w:val="24"/>
        </w:rPr>
      </w:pPr>
      <w:r>
        <w:rPr>
          <w:rFonts w:eastAsia="Calibri" w:cs="Times New Roman"/>
          <w:szCs w:val="24"/>
        </w:rPr>
        <w:br w:type="page"/>
      </w:r>
    </w:p>
    <w:p w14:paraId="56C68455" w14:textId="51A9905B" w:rsidR="00A362E6" w:rsidRPr="00E25CAC" w:rsidRDefault="00A362E6" w:rsidP="00A362E6">
      <w:pPr>
        <w:pStyle w:val="Heading1"/>
        <w:spacing w:after="240"/>
        <w:rPr>
          <w:rFonts w:ascii="Times New Roman" w:eastAsiaTheme="minorHAnsi" w:hAnsi="Times New Roman" w:cs="Times New Roman"/>
          <w:b/>
          <w:color w:val="auto"/>
          <w:sz w:val="24"/>
          <w:szCs w:val="24"/>
          <w:lang w:val="sr-Latn-RS"/>
        </w:rPr>
      </w:pPr>
      <w:bookmarkStart w:id="5" w:name="_Toc185342327"/>
      <w:bookmarkStart w:id="6" w:name="_Toc192759971"/>
      <w:r w:rsidRPr="00E25CAC">
        <w:rPr>
          <w:rFonts w:ascii="Times New Roman" w:eastAsiaTheme="minorHAnsi" w:hAnsi="Times New Roman" w:cs="Times New Roman"/>
          <w:b/>
          <w:color w:val="auto"/>
          <w:sz w:val="24"/>
          <w:szCs w:val="24"/>
          <w:lang w:val="sr-Latn-RS"/>
        </w:rPr>
        <w:lastRenderedPageBreak/>
        <w:t xml:space="preserve">3. </w:t>
      </w:r>
      <w:bookmarkEnd w:id="5"/>
      <w:r w:rsidRPr="00E10A78">
        <w:rPr>
          <w:rFonts w:ascii="Times New Roman" w:eastAsiaTheme="minorHAnsi" w:hAnsi="Times New Roman" w:cs="Times New Roman"/>
          <w:b/>
          <w:color w:val="auto"/>
          <w:sz w:val="24"/>
          <w:szCs w:val="24"/>
          <w:lang w:val="sr-Latn-RS"/>
        </w:rPr>
        <w:t>MEDIUM-TERM MACROECONOMIC FRAMEWORK</w:t>
      </w:r>
      <w:bookmarkEnd w:id="6"/>
    </w:p>
    <w:p w14:paraId="18CF919D" w14:textId="483B857E" w:rsidR="00A362E6" w:rsidRPr="00E25CAC" w:rsidRDefault="00A362E6" w:rsidP="00A362E6">
      <w:pPr>
        <w:pStyle w:val="Heading11"/>
        <w:spacing w:before="180" w:after="180"/>
        <w:rPr>
          <w:rFonts w:ascii="Times New Roman" w:hAnsi="Times New Roman" w:cs="Times New Roman"/>
          <w:color w:val="auto"/>
          <w:sz w:val="24"/>
          <w:szCs w:val="24"/>
          <w:lang w:val="sr-Latn-RS"/>
        </w:rPr>
      </w:pPr>
      <w:bookmarkStart w:id="7" w:name="_Toc185342328"/>
      <w:bookmarkStart w:id="8" w:name="_Toc192759972"/>
      <w:r w:rsidRPr="00933940">
        <w:rPr>
          <w:rFonts w:ascii="Times New Roman" w:hAnsi="Times New Roman" w:cs="Times New Roman"/>
          <w:color w:val="auto"/>
          <w:sz w:val="24"/>
          <w:szCs w:val="24"/>
          <w:lang w:val="sr-Latn-RS"/>
        </w:rPr>
        <w:t>3.</w:t>
      </w:r>
      <w:r w:rsidRPr="00E25CAC">
        <w:rPr>
          <w:rFonts w:ascii="Times New Roman" w:hAnsi="Times New Roman" w:cs="Times New Roman"/>
          <w:color w:val="auto"/>
          <w:sz w:val="24"/>
          <w:szCs w:val="24"/>
          <w:lang w:val="sr-Latn-RS"/>
        </w:rPr>
        <w:t xml:space="preserve">1. </w:t>
      </w:r>
      <w:bookmarkEnd w:id="7"/>
      <w:r w:rsidRPr="00E10A78">
        <w:rPr>
          <w:rFonts w:ascii="Times New Roman" w:hAnsi="Times New Roman" w:cs="Times New Roman"/>
          <w:color w:val="auto"/>
          <w:sz w:val="24"/>
          <w:szCs w:val="24"/>
          <w:lang w:val="sr-Latn-RS"/>
        </w:rPr>
        <w:t>ASSESSMENTS OF THE INTERNATIONAL ECONOMIC ENVIRONMENT</w:t>
      </w:r>
      <w:bookmarkEnd w:id="8"/>
    </w:p>
    <w:p w14:paraId="6E11FA9D" w14:textId="77777777" w:rsidR="00A362E6" w:rsidRDefault="00A362E6" w:rsidP="00A362E6">
      <w:pPr>
        <w:rPr>
          <w:rFonts w:cs="Times New Roman"/>
          <w:szCs w:val="24"/>
          <w:lang w:val="sr-Cyrl-RS"/>
        </w:rPr>
      </w:pPr>
      <w:r w:rsidRPr="00FA4C67">
        <w:rPr>
          <w:rFonts w:cs="Times New Roman"/>
          <w:szCs w:val="24"/>
          <w:lang w:val="sr-Cyrl-RS"/>
        </w:rPr>
        <w:t>After almost five consecutive quarters of stagnation, from the end of 2022 and throughout 2023, the EU economy recorded moderate growth in the first three quarters of 2024, amounting to 0.8% compared to the same period of the previous year. According to the</w:t>
      </w:r>
      <w:r>
        <w:rPr>
          <w:rFonts w:cs="Times New Roman"/>
          <w:szCs w:val="24"/>
          <w:lang w:val="sr-Latn-RS"/>
        </w:rPr>
        <w:t xml:space="preserve"> </w:t>
      </w:r>
      <w:r w:rsidRPr="00FA4C67">
        <w:rPr>
          <w:rFonts w:cs="Times New Roman"/>
          <w:szCs w:val="24"/>
          <w:lang w:val="sr-Cyrl-RS"/>
        </w:rPr>
        <w:t>European Commission</w:t>
      </w:r>
      <w:r>
        <w:rPr>
          <w:rFonts w:cs="Times New Roman"/>
          <w:szCs w:val="24"/>
          <w:lang w:val="sr-Latn-RS"/>
        </w:rPr>
        <w:t>’s</w:t>
      </w:r>
      <w:r w:rsidRPr="00FA4C67">
        <w:rPr>
          <w:rFonts w:cs="Times New Roman"/>
          <w:szCs w:val="24"/>
          <w:lang w:val="sr-Cyrl-RS"/>
        </w:rPr>
        <w:t xml:space="preserve"> </w:t>
      </w:r>
      <w:r>
        <w:rPr>
          <w:rFonts w:cs="Times New Roman"/>
          <w:szCs w:val="24"/>
          <w:lang w:val="sr-Latn-RS"/>
        </w:rPr>
        <w:t>A</w:t>
      </w:r>
      <w:r w:rsidRPr="00FA4C67">
        <w:rPr>
          <w:rFonts w:cs="Times New Roman"/>
          <w:szCs w:val="24"/>
          <w:lang w:val="sr-Cyrl-RS"/>
        </w:rPr>
        <w:t xml:space="preserve">utumn </w:t>
      </w:r>
      <w:r>
        <w:rPr>
          <w:rFonts w:cs="Times New Roman"/>
          <w:szCs w:val="24"/>
          <w:lang w:val="sr-Latn-RS"/>
        </w:rPr>
        <w:t>economic forecast</w:t>
      </w:r>
      <w:r w:rsidRPr="00FA4C67">
        <w:rPr>
          <w:rFonts w:cs="Times New Roman"/>
          <w:szCs w:val="24"/>
          <w:lang w:val="sr-Cyrl-RS"/>
        </w:rPr>
        <w:t xml:space="preserve"> of the (hereinafter: EC), economic growth in EU countries will amount to 0.9% in 2024, which is a slight downward revision of 0.1 pp. compared to </w:t>
      </w:r>
      <w:r>
        <w:rPr>
          <w:rFonts w:cs="Times New Roman"/>
          <w:szCs w:val="24"/>
          <w:lang w:val="sr-Latn-RS"/>
        </w:rPr>
        <w:t>S</w:t>
      </w:r>
      <w:r w:rsidRPr="00FA4C67">
        <w:rPr>
          <w:rFonts w:cs="Times New Roman"/>
          <w:szCs w:val="24"/>
          <w:lang w:val="sr-Cyrl-RS"/>
        </w:rPr>
        <w:t xml:space="preserve">pring </w:t>
      </w:r>
      <w:r>
        <w:rPr>
          <w:rFonts w:cs="Times New Roman"/>
          <w:szCs w:val="24"/>
          <w:lang w:val="sr-Latn-RS"/>
        </w:rPr>
        <w:t>forecast</w:t>
      </w:r>
      <w:r w:rsidRPr="00FA4C67">
        <w:rPr>
          <w:rFonts w:cs="Times New Roman"/>
          <w:szCs w:val="24"/>
          <w:lang w:val="sr-Cyrl-RS"/>
        </w:rPr>
        <w:t xml:space="preserve"> and 0.4 pp. less than the previous </w:t>
      </w:r>
      <w:r>
        <w:rPr>
          <w:rFonts w:cs="Times New Roman"/>
          <w:szCs w:val="24"/>
          <w:lang w:val="sr-Latn-RS"/>
        </w:rPr>
        <w:t>A</w:t>
      </w:r>
      <w:r w:rsidRPr="00FA4C67">
        <w:rPr>
          <w:rFonts w:cs="Times New Roman"/>
          <w:szCs w:val="24"/>
          <w:lang w:val="sr-Cyrl-RS"/>
        </w:rPr>
        <w:t>utumn projection. The downward revision is primarily due to slower than previously estimated growth in private consumption and a lower volume of investment in the first half of 2024. Household disposable income continued to grow, primarily due to higher employment and real wages</w:t>
      </w:r>
      <w:r>
        <w:rPr>
          <w:rFonts w:cs="Times New Roman"/>
          <w:szCs w:val="24"/>
          <w:lang w:val="sr-Latn-RS"/>
        </w:rPr>
        <w:t xml:space="preserve"> growth</w:t>
      </w:r>
      <w:r w:rsidRPr="00FA4C67">
        <w:rPr>
          <w:rFonts w:cs="Times New Roman"/>
          <w:szCs w:val="24"/>
          <w:lang w:val="sr-Cyrl-RS"/>
        </w:rPr>
        <w:t xml:space="preserve">. However, purchasing power is still below its 2022 peak due to high inflation in the previous period, while rising uncertainty is affecting households' increased </w:t>
      </w:r>
      <w:r>
        <w:rPr>
          <w:rFonts w:cs="Times New Roman"/>
          <w:szCs w:val="24"/>
          <w:lang w:val="sr-Latn-RS"/>
        </w:rPr>
        <w:t>tendency</w:t>
      </w:r>
      <w:r w:rsidRPr="00FA4C67">
        <w:rPr>
          <w:rFonts w:cs="Times New Roman"/>
          <w:szCs w:val="24"/>
          <w:lang w:val="sr-Cyrl-RS"/>
        </w:rPr>
        <w:t xml:space="preserve"> to save. The household saving rate in the second quarter of 2024 was 14.8%, </w:t>
      </w:r>
      <w:r>
        <w:rPr>
          <w:rFonts w:cs="Times New Roman"/>
          <w:szCs w:val="24"/>
          <w:lang w:val="sr-Latn-RS"/>
        </w:rPr>
        <w:t xml:space="preserve">which is </w:t>
      </w:r>
      <w:r w:rsidRPr="00FA4C67">
        <w:rPr>
          <w:rFonts w:cs="Times New Roman"/>
          <w:szCs w:val="24"/>
          <w:lang w:val="sr-Cyrl-RS"/>
        </w:rPr>
        <w:t xml:space="preserve">more than 3 pp above the pre-pandemic average. These factors resulted in slower than previously expected growth </w:t>
      </w:r>
      <w:r>
        <w:rPr>
          <w:rFonts w:cs="Times New Roman"/>
          <w:szCs w:val="24"/>
          <w:lang w:val="sr-Latn-RS"/>
        </w:rPr>
        <w:t>of</w:t>
      </w:r>
      <w:r w:rsidRPr="00FA4C67">
        <w:rPr>
          <w:rFonts w:cs="Times New Roman"/>
          <w:szCs w:val="24"/>
          <w:lang w:val="sr-Cyrl-RS"/>
        </w:rPr>
        <w:t xml:space="preserve"> private consumption, </w:t>
      </w:r>
      <w:r>
        <w:rPr>
          <w:rFonts w:cs="Times New Roman"/>
          <w:szCs w:val="24"/>
          <w:lang w:val="sr-Latn-RS"/>
        </w:rPr>
        <w:t>which</w:t>
      </w:r>
      <w:r w:rsidRPr="00FA4C67">
        <w:rPr>
          <w:rFonts w:cs="Times New Roman"/>
          <w:szCs w:val="24"/>
          <w:lang w:val="sr-Cyrl-RS"/>
        </w:rPr>
        <w:t xml:space="preserve"> will </w:t>
      </w:r>
      <w:r>
        <w:rPr>
          <w:rFonts w:cs="Times New Roman"/>
          <w:szCs w:val="24"/>
          <w:lang w:val="sr-Latn-RS"/>
        </w:rPr>
        <w:t xml:space="preserve">still </w:t>
      </w:r>
      <w:r w:rsidRPr="00FA4C67">
        <w:rPr>
          <w:rFonts w:cs="Times New Roman"/>
          <w:szCs w:val="24"/>
          <w:lang w:val="sr-Cyrl-RS"/>
        </w:rPr>
        <w:t xml:space="preserve">remain the main generator of economic activity growth in 2024. At the same time, investment fell by around 2.5%, primarily as a result of the extremely volatile dynamics of investment in intellectual property products by multinational subsidiaries in Ireland, but also due to a decrease in investment in real estate and equipment. High interest rates and tighter credit conditions have reduced household demand for new housing, while structural changes, such as hybrid working models and online sales, are reducing demand for office and retail space. Investment in equipment has also faced pressures due to the slow recovery in manufacturing, but also to growing uncertainty about trade, energy prices and the pace of the green transition. As a result, instead of the previously projected slight growth in fixed investment in 2024, a decline of 1.6% is now expected. The recovery in global goods trade and the continued expansion of services trade have boosted exports, which </w:t>
      </w:r>
      <w:r>
        <w:rPr>
          <w:rFonts w:cs="Times New Roman"/>
          <w:szCs w:val="24"/>
          <w:lang w:val="sr-Latn-RS"/>
        </w:rPr>
        <w:t>is</w:t>
      </w:r>
      <w:r w:rsidRPr="00FA4C67">
        <w:rPr>
          <w:rFonts w:cs="Times New Roman"/>
          <w:szCs w:val="24"/>
          <w:lang w:val="sr-Cyrl-RS"/>
        </w:rPr>
        <w:t xml:space="preserve"> also projected to grow by 1.4% in the new projection, while imports will grow </w:t>
      </w:r>
      <w:r>
        <w:rPr>
          <w:rFonts w:cs="Times New Roman"/>
          <w:szCs w:val="24"/>
          <w:lang w:val="sr-Latn-RS"/>
        </w:rPr>
        <w:t xml:space="preserve">at a </w:t>
      </w:r>
      <w:r w:rsidRPr="00FA4C67">
        <w:rPr>
          <w:rFonts w:cs="Times New Roman"/>
          <w:szCs w:val="24"/>
          <w:lang w:val="sr-Cyrl-RS"/>
        </w:rPr>
        <w:t>more slowly rate of 0.2%, so that the contribution of net exports to GDP growth will remain positive in 2024.</w:t>
      </w:r>
    </w:p>
    <w:p w14:paraId="0D05BF3C" w14:textId="77777777" w:rsidR="00A362E6" w:rsidRPr="006D28C4" w:rsidRDefault="00A362E6" w:rsidP="00A362E6">
      <w:pPr>
        <w:rPr>
          <w:rFonts w:cs="Times New Roman"/>
          <w:szCs w:val="24"/>
          <w:lang w:val="sr-Latn-RS"/>
        </w:rPr>
      </w:pPr>
      <w:r w:rsidRPr="00007226">
        <w:rPr>
          <w:rFonts w:cs="Times New Roman"/>
          <w:szCs w:val="24"/>
          <w:lang w:val="sr-Cyrl-RS"/>
        </w:rPr>
        <w:t>Tighter financing conditions are expected to weigh on growth in the short term, but the impact of high interest rates is expected to fade over the projection horizon, leading to an acceleration in economic growth to 1.5% in 2025 and 1.8% in 2026. Despite a somewhat slower pace of private consumption growth, it is still expected to be the main driver of medium-term growth, driven by strong wage growth and slowing inflation, as well as rising consumer confidence. Housing investment is projected to pick up in 2025 as the effects of tighter financing conditions gradually fade and real household disposable income continues to grow. Business investment will accelerate over the projection horizon, driven by improving demand, easi</w:t>
      </w:r>
      <w:r>
        <w:rPr>
          <w:rFonts w:cs="Times New Roman"/>
          <w:szCs w:val="24"/>
          <w:lang w:val="sr-Cyrl-RS"/>
        </w:rPr>
        <w:t>ng adverse financing conditions</w:t>
      </w:r>
      <w:r w:rsidRPr="00007226">
        <w:rPr>
          <w:rFonts w:cs="Times New Roman"/>
          <w:szCs w:val="24"/>
          <w:lang w:val="sr-Cyrl-RS"/>
        </w:rPr>
        <w:t xml:space="preserve"> and increasing green and digital investment, as well as positive effects from the Next Generation EU programme. Factors affecting export competitiveness, such as higher production costs due to rising energy prices and strong real wage growth, as well as structural problems in the industrial sector in some countries, continue to weigh on export activity. Exports are expected to gradually recover in early 2025, but at rates below historical averages.</w:t>
      </w:r>
      <w:r>
        <w:rPr>
          <w:rFonts w:cs="Times New Roman"/>
          <w:szCs w:val="24"/>
          <w:lang w:val="sr-Latn-RS"/>
        </w:rPr>
        <w:t xml:space="preserve"> </w:t>
      </w:r>
      <w:r w:rsidRPr="006D28C4">
        <w:rPr>
          <w:rFonts w:cs="Times New Roman"/>
          <w:szCs w:val="24"/>
          <w:lang w:val="sr-Cyrl-RS"/>
        </w:rPr>
        <w:t xml:space="preserve">At the same time, moderate import growth is expected, resulting in a largely neutral contribution to net exports over the projection period. The economic activity of our largest foreign trade partners, primarily Germany and Italy, continues to be significantly affected by the conflict in Ukraine and problems in the industrial sector, which negatively affects all components of economic growth. Economic activity in Germany is expected to decline by 0.1% in 2024 (according to the </w:t>
      </w:r>
      <w:r>
        <w:rPr>
          <w:rFonts w:cs="Times New Roman"/>
          <w:szCs w:val="24"/>
          <w:lang w:val="sr-Latn-RS"/>
        </w:rPr>
        <w:t>S</w:t>
      </w:r>
      <w:r w:rsidRPr="006D28C4">
        <w:rPr>
          <w:rFonts w:cs="Times New Roman"/>
          <w:szCs w:val="24"/>
          <w:lang w:val="sr-Cyrl-RS"/>
        </w:rPr>
        <w:t xml:space="preserve">pring projection, growth of 0.1% was expected), while growth for 2025 has been revised downwards from 1.0% to 0.7% compared to the </w:t>
      </w:r>
      <w:r>
        <w:rPr>
          <w:rFonts w:cs="Times New Roman"/>
          <w:szCs w:val="24"/>
          <w:lang w:val="sr-Latn-RS"/>
        </w:rPr>
        <w:t>S</w:t>
      </w:r>
      <w:r w:rsidRPr="006D28C4">
        <w:rPr>
          <w:rFonts w:cs="Times New Roman"/>
          <w:szCs w:val="24"/>
          <w:lang w:val="sr-Cyrl-RS"/>
        </w:rPr>
        <w:t xml:space="preserve">pring projection. The </w:t>
      </w:r>
      <w:r w:rsidRPr="006D28C4">
        <w:rPr>
          <w:rFonts w:cs="Times New Roman"/>
          <w:szCs w:val="24"/>
          <w:lang w:val="sr-Cyrl-RS"/>
        </w:rPr>
        <w:lastRenderedPageBreak/>
        <w:t xml:space="preserve">Italian economy will grow by 0.7% in 2024, while growth will amount to 1.0% in 2025, which represents a downward revision of 0.1 p.p. compared to the </w:t>
      </w:r>
      <w:r>
        <w:rPr>
          <w:rFonts w:cs="Times New Roman"/>
          <w:szCs w:val="24"/>
          <w:lang w:val="sr-Latn-RS"/>
        </w:rPr>
        <w:t>S</w:t>
      </w:r>
      <w:r w:rsidRPr="006D28C4">
        <w:rPr>
          <w:rFonts w:cs="Times New Roman"/>
          <w:szCs w:val="24"/>
          <w:lang w:val="sr-Cyrl-RS"/>
        </w:rPr>
        <w:t>pring projection. Uncertainty and risks to the realization of the projection remain largely tilted to the downside and relate to the further course of the conflict in Ukraine and the Middle East, the negative consequences of protectionist measures on global trade, low levels of productivity, as well as climate change.</w:t>
      </w:r>
    </w:p>
    <w:tbl>
      <w:tblPr>
        <w:tblW w:w="9356" w:type="dxa"/>
        <w:jc w:val="center"/>
        <w:tblLayout w:type="fixed"/>
        <w:tblLook w:val="04A0" w:firstRow="1" w:lastRow="0" w:firstColumn="1" w:lastColumn="0" w:noHBand="0" w:noVBand="1"/>
      </w:tblPr>
      <w:tblGrid>
        <w:gridCol w:w="3686"/>
        <w:gridCol w:w="850"/>
        <w:gridCol w:w="1134"/>
        <w:gridCol w:w="851"/>
        <w:gridCol w:w="850"/>
        <w:gridCol w:w="1134"/>
        <w:gridCol w:w="851"/>
      </w:tblGrid>
      <w:tr w:rsidR="00A362E6" w:rsidRPr="006F3843" w14:paraId="69919F9D" w14:textId="77777777" w:rsidTr="00161B7E">
        <w:trPr>
          <w:trHeight w:val="316"/>
          <w:jc w:val="center"/>
        </w:trPr>
        <w:tc>
          <w:tcPr>
            <w:tcW w:w="9356" w:type="dxa"/>
            <w:gridSpan w:val="7"/>
            <w:tcBorders>
              <w:top w:val="nil"/>
              <w:left w:val="nil"/>
              <w:bottom w:val="single" w:sz="8" w:space="0" w:color="002060"/>
              <w:right w:val="nil"/>
            </w:tcBorders>
          </w:tcPr>
          <w:p w14:paraId="07BC9AF7" w14:textId="77777777" w:rsidR="00A362E6" w:rsidRPr="006F3843" w:rsidRDefault="00A362E6" w:rsidP="00161B7E">
            <w:pPr>
              <w:spacing w:after="0"/>
              <w:rPr>
                <w:rFonts w:cs="Times New Roman"/>
                <w:i/>
                <w:sz w:val="22"/>
                <w:szCs w:val="20"/>
                <w:lang w:val="sr-Cyrl-RS"/>
              </w:rPr>
            </w:pPr>
            <w:r w:rsidRPr="006F3843">
              <w:rPr>
                <w:rFonts w:cs="Times New Roman"/>
                <w:i/>
                <w:sz w:val="22"/>
                <w:szCs w:val="20"/>
                <w:lang w:val="sr-Latn-RS"/>
              </w:rPr>
              <w:t>Table</w:t>
            </w:r>
            <w:r w:rsidRPr="006F3843">
              <w:rPr>
                <w:rFonts w:cs="Times New Roman"/>
                <w:i/>
                <w:sz w:val="22"/>
                <w:szCs w:val="20"/>
                <w:lang w:val="sr-Cyrl-RS"/>
              </w:rPr>
              <w:t xml:space="preserve"> 1. Macroeconomic projections for the </w:t>
            </w:r>
            <w:r w:rsidRPr="006F3843">
              <w:rPr>
                <w:rFonts w:cs="Times New Roman"/>
                <w:i/>
                <w:sz w:val="22"/>
                <w:szCs w:val="20"/>
                <w:lang w:val="sr-Latn-RS"/>
              </w:rPr>
              <w:t>EU</w:t>
            </w:r>
            <w:r w:rsidRPr="006F3843">
              <w:rPr>
                <w:rFonts w:cs="Times New Roman"/>
                <w:i/>
                <w:sz w:val="22"/>
                <w:szCs w:val="20"/>
                <w:lang w:val="sr-Cyrl-RS"/>
              </w:rPr>
              <w:t>, changes relative to the previous year, %</w:t>
            </w:r>
          </w:p>
        </w:tc>
      </w:tr>
      <w:tr w:rsidR="00A362E6" w:rsidRPr="006F3843" w14:paraId="555D131F" w14:textId="77777777" w:rsidTr="00161B7E">
        <w:trPr>
          <w:trHeight w:val="316"/>
          <w:jc w:val="center"/>
        </w:trPr>
        <w:tc>
          <w:tcPr>
            <w:tcW w:w="3686" w:type="dxa"/>
            <w:tcBorders>
              <w:top w:val="nil"/>
              <w:left w:val="nil"/>
              <w:bottom w:val="single" w:sz="8" w:space="0" w:color="002060"/>
              <w:right w:val="nil"/>
            </w:tcBorders>
            <w:shd w:val="clear" w:color="auto" w:fill="auto"/>
            <w:noWrap/>
            <w:vAlign w:val="center"/>
            <w:hideMark/>
          </w:tcPr>
          <w:p w14:paraId="12A5387C"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 </w:t>
            </w:r>
          </w:p>
        </w:tc>
        <w:tc>
          <w:tcPr>
            <w:tcW w:w="3685" w:type="dxa"/>
            <w:gridSpan w:val="4"/>
            <w:tcBorders>
              <w:top w:val="single" w:sz="4" w:space="0" w:color="auto"/>
              <w:left w:val="nil"/>
              <w:bottom w:val="single" w:sz="8" w:space="0" w:color="002060"/>
              <w:right w:val="single" w:sz="8" w:space="0" w:color="auto"/>
            </w:tcBorders>
            <w:shd w:val="clear" w:color="auto" w:fill="auto"/>
            <w:noWrap/>
            <w:vAlign w:val="center"/>
            <w:hideMark/>
          </w:tcPr>
          <w:p w14:paraId="6774967B"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Latn-RS" w:eastAsia="en-GB"/>
              </w:rPr>
              <w:t>Current projection</w:t>
            </w:r>
          </w:p>
          <w:p w14:paraId="7EBDD7AD" w14:textId="77777777" w:rsidR="00A362E6" w:rsidRPr="006F3843" w:rsidRDefault="00A362E6" w:rsidP="00161B7E">
            <w:pPr>
              <w:spacing w:after="0"/>
              <w:rPr>
                <w:rFonts w:eastAsia="Times New Roman" w:cs="Times New Roman"/>
                <w:sz w:val="20"/>
                <w:szCs w:val="20"/>
                <w:lang w:val="sr-Cyrl-RS" w:eastAsia="en-GB"/>
              </w:rPr>
            </w:pPr>
          </w:p>
        </w:tc>
        <w:tc>
          <w:tcPr>
            <w:tcW w:w="1985" w:type="dxa"/>
            <w:gridSpan w:val="2"/>
            <w:tcBorders>
              <w:top w:val="single" w:sz="8" w:space="0" w:color="auto"/>
              <w:left w:val="single" w:sz="8" w:space="0" w:color="auto"/>
              <w:bottom w:val="single" w:sz="8" w:space="0" w:color="002060"/>
            </w:tcBorders>
            <w:shd w:val="clear" w:color="auto" w:fill="auto"/>
            <w:noWrap/>
            <w:vAlign w:val="center"/>
            <w:hideMark/>
          </w:tcPr>
          <w:p w14:paraId="540816BC"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Latn-RS" w:eastAsia="en-GB"/>
              </w:rPr>
              <w:t>Previous</w:t>
            </w:r>
            <w:r w:rsidRPr="006F3843">
              <w:rPr>
                <w:rFonts w:eastAsia="Times New Roman" w:cs="Times New Roman"/>
                <w:sz w:val="20"/>
                <w:szCs w:val="20"/>
                <w:lang w:val="sr-Cyrl-RS" w:eastAsia="en-GB"/>
              </w:rPr>
              <w:t xml:space="preserve"> (</w:t>
            </w:r>
            <w:r w:rsidRPr="006F3843">
              <w:rPr>
                <w:rFonts w:eastAsia="Times New Roman" w:cs="Times New Roman"/>
                <w:sz w:val="20"/>
                <w:szCs w:val="20"/>
                <w:lang w:val="sr-Latn-RS" w:eastAsia="en-GB"/>
              </w:rPr>
              <w:t>Spring</w:t>
            </w:r>
            <w:r w:rsidRPr="006F3843">
              <w:rPr>
                <w:rFonts w:eastAsia="Times New Roman" w:cs="Times New Roman"/>
                <w:sz w:val="20"/>
                <w:szCs w:val="20"/>
                <w:lang w:val="sr-Cyrl-RS" w:eastAsia="en-GB"/>
              </w:rPr>
              <w:t xml:space="preserve">) </w:t>
            </w:r>
            <w:r w:rsidRPr="006F3843">
              <w:rPr>
                <w:rFonts w:eastAsia="Times New Roman" w:cs="Times New Roman"/>
                <w:sz w:val="20"/>
                <w:szCs w:val="20"/>
                <w:lang w:val="sr-Latn-RS" w:eastAsia="en-GB"/>
              </w:rPr>
              <w:t>projection</w:t>
            </w:r>
          </w:p>
        </w:tc>
      </w:tr>
      <w:tr w:rsidR="00A362E6" w:rsidRPr="006F3843" w14:paraId="1DCD8848"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6EB36A85" w14:textId="77777777" w:rsidR="00A362E6" w:rsidRPr="006F3843" w:rsidRDefault="00A362E6" w:rsidP="00161B7E">
            <w:pPr>
              <w:spacing w:after="0"/>
              <w:jc w:val="center"/>
              <w:rPr>
                <w:rFonts w:eastAsia="Times New Roman" w:cs="Times New Roman"/>
                <w:sz w:val="20"/>
                <w:szCs w:val="20"/>
                <w:lang w:val="sr-Cyrl-RS" w:eastAsia="en-GB"/>
              </w:rPr>
            </w:pPr>
          </w:p>
        </w:tc>
        <w:tc>
          <w:tcPr>
            <w:tcW w:w="850" w:type="dxa"/>
            <w:tcBorders>
              <w:top w:val="nil"/>
              <w:left w:val="nil"/>
              <w:bottom w:val="single" w:sz="8" w:space="0" w:color="002060"/>
              <w:right w:val="nil"/>
            </w:tcBorders>
            <w:shd w:val="clear" w:color="auto" w:fill="auto"/>
            <w:noWrap/>
            <w:vAlign w:val="center"/>
            <w:hideMark/>
          </w:tcPr>
          <w:p w14:paraId="740A5D7C"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Cyrl-RS" w:eastAsia="en-GB"/>
              </w:rPr>
              <w:t>202</w:t>
            </w:r>
            <w:r w:rsidRPr="006F3843">
              <w:rPr>
                <w:rFonts w:eastAsia="Times New Roman" w:cs="Times New Roman"/>
                <w:sz w:val="20"/>
                <w:szCs w:val="20"/>
                <w:lang w:val="sr-Latn-RS" w:eastAsia="en-GB"/>
              </w:rPr>
              <w:t>3</w:t>
            </w:r>
          </w:p>
        </w:tc>
        <w:tc>
          <w:tcPr>
            <w:tcW w:w="1134" w:type="dxa"/>
            <w:tcBorders>
              <w:top w:val="nil"/>
              <w:left w:val="nil"/>
              <w:bottom w:val="single" w:sz="8" w:space="0" w:color="002060"/>
              <w:right w:val="nil"/>
            </w:tcBorders>
            <w:shd w:val="clear" w:color="auto" w:fill="auto"/>
            <w:noWrap/>
            <w:vAlign w:val="center"/>
            <w:hideMark/>
          </w:tcPr>
          <w:p w14:paraId="4CB150E9"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Cyrl-RS" w:eastAsia="en-GB"/>
              </w:rPr>
              <w:t>202</w:t>
            </w:r>
            <w:r w:rsidRPr="006F3843">
              <w:rPr>
                <w:rFonts w:eastAsia="Times New Roman" w:cs="Times New Roman"/>
                <w:sz w:val="20"/>
                <w:szCs w:val="20"/>
                <w:lang w:val="sr-Latn-RS" w:eastAsia="en-GB"/>
              </w:rPr>
              <w:t>4</w:t>
            </w:r>
          </w:p>
        </w:tc>
        <w:tc>
          <w:tcPr>
            <w:tcW w:w="851" w:type="dxa"/>
            <w:tcBorders>
              <w:top w:val="nil"/>
              <w:left w:val="nil"/>
              <w:bottom w:val="single" w:sz="8" w:space="0" w:color="002060"/>
            </w:tcBorders>
            <w:shd w:val="clear" w:color="auto" w:fill="auto"/>
            <w:noWrap/>
            <w:vAlign w:val="center"/>
            <w:hideMark/>
          </w:tcPr>
          <w:p w14:paraId="4979E604"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Cyrl-RS" w:eastAsia="en-GB"/>
              </w:rPr>
              <w:t>202</w:t>
            </w:r>
            <w:r w:rsidRPr="006F3843">
              <w:rPr>
                <w:rFonts w:eastAsia="Times New Roman" w:cs="Times New Roman"/>
                <w:sz w:val="20"/>
                <w:szCs w:val="20"/>
                <w:lang w:val="sr-Latn-RS" w:eastAsia="en-GB"/>
              </w:rPr>
              <w:t>5</w:t>
            </w:r>
          </w:p>
        </w:tc>
        <w:tc>
          <w:tcPr>
            <w:tcW w:w="850" w:type="dxa"/>
            <w:tcBorders>
              <w:top w:val="nil"/>
              <w:left w:val="nil"/>
              <w:bottom w:val="single" w:sz="8" w:space="0" w:color="002060"/>
              <w:right w:val="single" w:sz="8" w:space="0" w:color="auto"/>
            </w:tcBorders>
            <w:vAlign w:val="center"/>
          </w:tcPr>
          <w:p w14:paraId="647A0C74"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2026</w:t>
            </w:r>
          </w:p>
        </w:tc>
        <w:tc>
          <w:tcPr>
            <w:tcW w:w="1134" w:type="dxa"/>
            <w:tcBorders>
              <w:top w:val="nil"/>
              <w:left w:val="single" w:sz="8" w:space="0" w:color="auto"/>
              <w:bottom w:val="single" w:sz="8" w:space="0" w:color="002060"/>
              <w:right w:val="nil"/>
            </w:tcBorders>
            <w:shd w:val="clear" w:color="auto" w:fill="auto"/>
            <w:noWrap/>
            <w:vAlign w:val="center"/>
            <w:hideMark/>
          </w:tcPr>
          <w:p w14:paraId="393CB8A6"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2024</w:t>
            </w:r>
          </w:p>
        </w:tc>
        <w:tc>
          <w:tcPr>
            <w:tcW w:w="851" w:type="dxa"/>
            <w:tcBorders>
              <w:top w:val="nil"/>
              <w:left w:val="nil"/>
              <w:bottom w:val="single" w:sz="8" w:space="0" w:color="002060"/>
            </w:tcBorders>
            <w:shd w:val="clear" w:color="auto" w:fill="auto"/>
            <w:vAlign w:val="center"/>
            <w:hideMark/>
          </w:tcPr>
          <w:p w14:paraId="69849178"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Cyrl-RS" w:eastAsia="en-GB"/>
              </w:rPr>
              <w:t>202</w:t>
            </w:r>
            <w:r w:rsidRPr="006F3843">
              <w:rPr>
                <w:rFonts w:eastAsia="Times New Roman" w:cs="Times New Roman"/>
                <w:sz w:val="20"/>
                <w:szCs w:val="20"/>
                <w:lang w:val="sr-Latn-RS" w:eastAsia="en-GB"/>
              </w:rPr>
              <w:t>5</w:t>
            </w:r>
          </w:p>
        </w:tc>
      </w:tr>
      <w:tr w:rsidR="00A362E6" w:rsidRPr="006F3843" w14:paraId="10A2BB60"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70F1E3E8" w14:textId="77777777" w:rsidR="00A362E6" w:rsidRPr="006F3843" w:rsidRDefault="00A362E6" w:rsidP="00161B7E">
            <w:pPr>
              <w:spacing w:after="0"/>
              <w:rPr>
                <w:rFonts w:eastAsia="Times New Roman" w:cs="Times New Roman"/>
                <w:sz w:val="20"/>
                <w:szCs w:val="20"/>
                <w:lang w:val="sr-Latn-RS" w:eastAsia="en-GB"/>
              </w:rPr>
            </w:pPr>
            <w:r w:rsidRPr="006F3843">
              <w:rPr>
                <w:rFonts w:eastAsia="Times New Roman" w:cs="Times New Roman"/>
                <w:sz w:val="20"/>
                <w:szCs w:val="20"/>
                <w:lang w:val="sr-Latn-RS" w:eastAsia="en-GB"/>
              </w:rPr>
              <w:t>GDP</w:t>
            </w:r>
          </w:p>
        </w:tc>
        <w:tc>
          <w:tcPr>
            <w:tcW w:w="850" w:type="dxa"/>
            <w:tcBorders>
              <w:top w:val="nil"/>
              <w:left w:val="nil"/>
              <w:bottom w:val="nil"/>
              <w:right w:val="nil"/>
            </w:tcBorders>
            <w:shd w:val="clear" w:color="auto" w:fill="auto"/>
            <w:noWrap/>
            <w:vAlign w:val="center"/>
          </w:tcPr>
          <w:p w14:paraId="0AC12C80"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0,4</w:t>
            </w:r>
          </w:p>
        </w:tc>
        <w:tc>
          <w:tcPr>
            <w:tcW w:w="1134" w:type="dxa"/>
            <w:tcBorders>
              <w:top w:val="nil"/>
              <w:left w:val="nil"/>
              <w:bottom w:val="nil"/>
              <w:right w:val="nil"/>
            </w:tcBorders>
            <w:shd w:val="clear" w:color="auto" w:fill="auto"/>
            <w:noWrap/>
            <w:vAlign w:val="center"/>
          </w:tcPr>
          <w:p w14:paraId="2FD4EFA9"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0,9</w:t>
            </w:r>
          </w:p>
        </w:tc>
        <w:tc>
          <w:tcPr>
            <w:tcW w:w="851" w:type="dxa"/>
            <w:tcBorders>
              <w:top w:val="nil"/>
              <w:left w:val="nil"/>
              <w:bottom w:val="nil"/>
            </w:tcBorders>
            <w:shd w:val="clear" w:color="auto" w:fill="auto"/>
            <w:noWrap/>
            <w:vAlign w:val="center"/>
          </w:tcPr>
          <w:p w14:paraId="16FAF2F9"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1,5</w:t>
            </w:r>
          </w:p>
        </w:tc>
        <w:tc>
          <w:tcPr>
            <w:tcW w:w="850" w:type="dxa"/>
            <w:tcBorders>
              <w:top w:val="nil"/>
              <w:left w:val="nil"/>
              <w:bottom w:val="nil"/>
              <w:right w:val="single" w:sz="8" w:space="0" w:color="auto"/>
            </w:tcBorders>
            <w:vAlign w:val="center"/>
          </w:tcPr>
          <w:p w14:paraId="3448065C"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1,8</w:t>
            </w:r>
          </w:p>
        </w:tc>
        <w:tc>
          <w:tcPr>
            <w:tcW w:w="1134" w:type="dxa"/>
            <w:tcBorders>
              <w:top w:val="nil"/>
              <w:left w:val="single" w:sz="8" w:space="0" w:color="auto"/>
              <w:bottom w:val="nil"/>
              <w:right w:val="nil"/>
            </w:tcBorders>
            <w:shd w:val="clear" w:color="auto" w:fill="auto"/>
            <w:noWrap/>
            <w:vAlign w:val="center"/>
          </w:tcPr>
          <w:p w14:paraId="4A28D156"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1,0</w:t>
            </w:r>
          </w:p>
        </w:tc>
        <w:tc>
          <w:tcPr>
            <w:tcW w:w="851" w:type="dxa"/>
            <w:tcBorders>
              <w:top w:val="nil"/>
              <w:left w:val="nil"/>
              <w:bottom w:val="nil"/>
            </w:tcBorders>
            <w:shd w:val="clear" w:color="auto" w:fill="auto"/>
            <w:vAlign w:val="center"/>
          </w:tcPr>
          <w:p w14:paraId="1AF3A8E3"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1,6</w:t>
            </w:r>
          </w:p>
        </w:tc>
      </w:tr>
      <w:tr w:rsidR="00A362E6" w:rsidRPr="006F3843" w14:paraId="51FF1166"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4DFAFA1C" w14:textId="77777777" w:rsidR="00A362E6" w:rsidRPr="006F3843" w:rsidRDefault="00A362E6" w:rsidP="00161B7E">
            <w:pPr>
              <w:spacing w:after="0"/>
              <w:ind w:firstLine="340"/>
              <w:rPr>
                <w:rFonts w:eastAsia="Times New Roman" w:cs="Times New Roman"/>
                <w:sz w:val="20"/>
                <w:szCs w:val="20"/>
                <w:lang w:val="sr-Latn-RS" w:eastAsia="en-GB"/>
              </w:rPr>
            </w:pPr>
            <w:r w:rsidRPr="006F3843">
              <w:rPr>
                <w:rFonts w:eastAsia="Times New Roman" w:cs="Times New Roman"/>
                <w:sz w:val="20"/>
                <w:szCs w:val="20"/>
                <w:lang w:val="sr-Latn-RS" w:eastAsia="en-GB"/>
              </w:rPr>
              <w:t>Private consumption</w:t>
            </w:r>
          </w:p>
        </w:tc>
        <w:tc>
          <w:tcPr>
            <w:tcW w:w="850" w:type="dxa"/>
            <w:tcBorders>
              <w:top w:val="nil"/>
              <w:left w:val="nil"/>
              <w:bottom w:val="nil"/>
              <w:right w:val="nil"/>
            </w:tcBorders>
            <w:shd w:val="clear" w:color="auto" w:fill="auto"/>
            <w:noWrap/>
            <w:vAlign w:val="center"/>
          </w:tcPr>
          <w:p w14:paraId="3059F2C4"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0,5</w:t>
            </w:r>
          </w:p>
        </w:tc>
        <w:tc>
          <w:tcPr>
            <w:tcW w:w="1134" w:type="dxa"/>
            <w:tcBorders>
              <w:top w:val="nil"/>
              <w:left w:val="nil"/>
              <w:bottom w:val="nil"/>
              <w:right w:val="nil"/>
            </w:tcBorders>
            <w:shd w:val="clear" w:color="auto" w:fill="auto"/>
            <w:noWrap/>
            <w:vAlign w:val="center"/>
          </w:tcPr>
          <w:p w14:paraId="05C326F1"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1,2</w:t>
            </w:r>
          </w:p>
        </w:tc>
        <w:tc>
          <w:tcPr>
            <w:tcW w:w="851" w:type="dxa"/>
            <w:tcBorders>
              <w:top w:val="nil"/>
              <w:left w:val="nil"/>
              <w:bottom w:val="nil"/>
            </w:tcBorders>
            <w:shd w:val="clear" w:color="auto" w:fill="auto"/>
            <w:noWrap/>
            <w:vAlign w:val="center"/>
          </w:tcPr>
          <w:p w14:paraId="2AB9A7F2"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1,4</w:t>
            </w:r>
          </w:p>
        </w:tc>
        <w:tc>
          <w:tcPr>
            <w:tcW w:w="850" w:type="dxa"/>
            <w:tcBorders>
              <w:top w:val="nil"/>
              <w:left w:val="nil"/>
              <w:bottom w:val="nil"/>
              <w:right w:val="single" w:sz="8" w:space="0" w:color="auto"/>
            </w:tcBorders>
            <w:vAlign w:val="center"/>
          </w:tcPr>
          <w:p w14:paraId="2F6CB1D4"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1,6</w:t>
            </w:r>
          </w:p>
        </w:tc>
        <w:tc>
          <w:tcPr>
            <w:tcW w:w="1134" w:type="dxa"/>
            <w:tcBorders>
              <w:top w:val="nil"/>
              <w:left w:val="single" w:sz="8" w:space="0" w:color="auto"/>
              <w:bottom w:val="nil"/>
              <w:right w:val="nil"/>
            </w:tcBorders>
            <w:shd w:val="clear" w:color="auto" w:fill="auto"/>
            <w:noWrap/>
            <w:vAlign w:val="center"/>
          </w:tcPr>
          <w:p w14:paraId="77EECD5B"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1,3</w:t>
            </w:r>
          </w:p>
        </w:tc>
        <w:tc>
          <w:tcPr>
            <w:tcW w:w="851" w:type="dxa"/>
            <w:tcBorders>
              <w:top w:val="nil"/>
              <w:left w:val="nil"/>
              <w:bottom w:val="nil"/>
            </w:tcBorders>
            <w:shd w:val="clear" w:color="auto" w:fill="auto"/>
            <w:vAlign w:val="center"/>
          </w:tcPr>
          <w:p w14:paraId="1F4916DE"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1,7</w:t>
            </w:r>
          </w:p>
        </w:tc>
      </w:tr>
      <w:tr w:rsidR="00A362E6" w:rsidRPr="006F3843" w14:paraId="37642F24"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414B4C39" w14:textId="77777777" w:rsidR="00A362E6" w:rsidRPr="006F3843" w:rsidRDefault="00A362E6" w:rsidP="00161B7E">
            <w:pPr>
              <w:spacing w:after="0"/>
              <w:ind w:firstLine="340"/>
              <w:rPr>
                <w:rFonts w:eastAsia="Times New Roman" w:cs="Times New Roman"/>
                <w:sz w:val="20"/>
                <w:szCs w:val="20"/>
                <w:lang w:val="sr-Cyrl-RS" w:eastAsia="en-GB"/>
              </w:rPr>
            </w:pPr>
            <w:r w:rsidRPr="006F3843">
              <w:rPr>
                <w:rFonts w:eastAsia="Times New Roman" w:cs="Times New Roman"/>
                <w:sz w:val="20"/>
                <w:szCs w:val="20"/>
                <w:lang w:val="sr-Latn-RS" w:eastAsia="en-GB"/>
              </w:rPr>
              <w:t>Government consumption</w:t>
            </w:r>
          </w:p>
        </w:tc>
        <w:tc>
          <w:tcPr>
            <w:tcW w:w="850" w:type="dxa"/>
            <w:tcBorders>
              <w:top w:val="nil"/>
              <w:left w:val="nil"/>
              <w:bottom w:val="nil"/>
              <w:right w:val="nil"/>
            </w:tcBorders>
            <w:shd w:val="clear" w:color="auto" w:fill="auto"/>
            <w:noWrap/>
            <w:vAlign w:val="center"/>
          </w:tcPr>
          <w:p w14:paraId="00B7FC34"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1,7</w:t>
            </w:r>
          </w:p>
        </w:tc>
        <w:tc>
          <w:tcPr>
            <w:tcW w:w="1134" w:type="dxa"/>
            <w:tcBorders>
              <w:top w:val="nil"/>
              <w:left w:val="nil"/>
              <w:bottom w:val="nil"/>
              <w:right w:val="nil"/>
            </w:tcBorders>
            <w:shd w:val="clear" w:color="auto" w:fill="auto"/>
            <w:noWrap/>
            <w:vAlign w:val="center"/>
          </w:tcPr>
          <w:p w14:paraId="2D531409"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2,1</w:t>
            </w:r>
          </w:p>
        </w:tc>
        <w:tc>
          <w:tcPr>
            <w:tcW w:w="851" w:type="dxa"/>
            <w:tcBorders>
              <w:top w:val="nil"/>
              <w:left w:val="nil"/>
              <w:bottom w:val="nil"/>
            </w:tcBorders>
            <w:shd w:val="clear" w:color="auto" w:fill="auto"/>
            <w:noWrap/>
            <w:vAlign w:val="center"/>
          </w:tcPr>
          <w:p w14:paraId="67345923"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1,3</w:t>
            </w:r>
          </w:p>
        </w:tc>
        <w:tc>
          <w:tcPr>
            <w:tcW w:w="850" w:type="dxa"/>
            <w:tcBorders>
              <w:top w:val="nil"/>
              <w:left w:val="nil"/>
              <w:bottom w:val="nil"/>
              <w:right w:val="single" w:sz="8" w:space="0" w:color="auto"/>
            </w:tcBorders>
            <w:vAlign w:val="center"/>
          </w:tcPr>
          <w:p w14:paraId="5E4C7E13"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1,2</w:t>
            </w:r>
          </w:p>
        </w:tc>
        <w:tc>
          <w:tcPr>
            <w:tcW w:w="1134" w:type="dxa"/>
            <w:tcBorders>
              <w:top w:val="nil"/>
              <w:left w:val="single" w:sz="8" w:space="0" w:color="auto"/>
              <w:bottom w:val="nil"/>
              <w:right w:val="nil"/>
            </w:tcBorders>
            <w:shd w:val="clear" w:color="auto" w:fill="auto"/>
            <w:noWrap/>
            <w:vAlign w:val="center"/>
          </w:tcPr>
          <w:p w14:paraId="378D85B4"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1,6</w:t>
            </w:r>
          </w:p>
        </w:tc>
        <w:tc>
          <w:tcPr>
            <w:tcW w:w="851" w:type="dxa"/>
            <w:tcBorders>
              <w:top w:val="nil"/>
              <w:left w:val="nil"/>
              <w:bottom w:val="nil"/>
            </w:tcBorders>
            <w:shd w:val="clear" w:color="auto" w:fill="auto"/>
            <w:vAlign w:val="center"/>
          </w:tcPr>
          <w:p w14:paraId="4B4F2C52"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1,2</w:t>
            </w:r>
          </w:p>
        </w:tc>
      </w:tr>
      <w:tr w:rsidR="00A362E6" w:rsidRPr="006F3843" w14:paraId="7661F13B"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19713A64" w14:textId="77777777" w:rsidR="00A362E6" w:rsidRPr="006F3843" w:rsidRDefault="00A362E6" w:rsidP="00161B7E">
            <w:pPr>
              <w:spacing w:after="0"/>
              <w:ind w:firstLine="340"/>
              <w:rPr>
                <w:rFonts w:eastAsia="Times New Roman" w:cs="Times New Roman"/>
                <w:sz w:val="20"/>
                <w:szCs w:val="20"/>
                <w:lang w:val="sr-Cyrl-RS" w:eastAsia="en-GB"/>
              </w:rPr>
            </w:pPr>
            <w:r w:rsidRPr="006F3843">
              <w:rPr>
                <w:rFonts w:eastAsia="Times New Roman" w:cs="Times New Roman"/>
                <w:sz w:val="20"/>
                <w:szCs w:val="20"/>
                <w:lang w:val="sr-Latn-RS" w:eastAsia="en-GB"/>
              </w:rPr>
              <w:t>Gross fixed capital formations</w:t>
            </w:r>
          </w:p>
        </w:tc>
        <w:tc>
          <w:tcPr>
            <w:tcW w:w="850" w:type="dxa"/>
            <w:tcBorders>
              <w:top w:val="nil"/>
              <w:left w:val="nil"/>
              <w:bottom w:val="nil"/>
              <w:right w:val="nil"/>
            </w:tcBorders>
            <w:shd w:val="clear" w:color="auto" w:fill="auto"/>
            <w:noWrap/>
            <w:vAlign w:val="center"/>
          </w:tcPr>
          <w:p w14:paraId="27D9DEA7"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1,8</w:t>
            </w:r>
          </w:p>
        </w:tc>
        <w:tc>
          <w:tcPr>
            <w:tcW w:w="1134" w:type="dxa"/>
            <w:tcBorders>
              <w:top w:val="nil"/>
              <w:left w:val="nil"/>
              <w:bottom w:val="nil"/>
              <w:right w:val="nil"/>
            </w:tcBorders>
            <w:shd w:val="clear" w:color="auto" w:fill="auto"/>
            <w:noWrap/>
            <w:vAlign w:val="center"/>
          </w:tcPr>
          <w:p w14:paraId="6C3F7BB7"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-1,6</w:t>
            </w:r>
          </w:p>
        </w:tc>
        <w:tc>
          <w:tcPr>
            <w:tcW w:w="851" w:type="dxa"/>
            <w:tcBorders>
              <w:top w:val="nil"/>
              <w:left w:val="nil"/>
              <w:bottom w:val="nil"/>
            </w:tcBorders>
            <w:shd w:val="clear" w:color="auto" w:fill="auto"/>
            <w:noWrap/>
            <w:vAlign w:val="center"/>
          </w:tcPr>
          <w:p w14:paraId="5A7A0D85"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2,1</w:t>
            </w:r>
          </w:p>
        </w:tc>
        <w:tc>
          <w:tcPr>
            <w:tcW w:w="850" w:type="dxa"/>
            <w:tcBorders>
              <w:top w:val="nil"/>
              <w:left w:val="nil"/>
              <w:bottom w:val="nil"/>
              <w:right w:val="single" w:sz="8" w:space="0" w:color="auto"/>
            </w:tcBorders>
            <w:vAlign w:val="center"/>
          </w:tcPr>
          <w:p w14:paraId="176592D7"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2,8</w:t>
            </w:r>
          </w:p>
        </w:tc>
        <w:tc>
          <w:tcPr>
            <w:tcW w:w="1134" w:type="dxa"/>
            <w:tcBorders>
              <w:top w:val="nil"/>
              <w:left w:val="single" w:sz="8" w:space="0" w:color="auto"/>
              <w:bottom w:val="nil"/>
              <w:right w:val="nil"/>
            </w:tcBorders>
            <w:shd w:val="clear" w:color="auto" w:fill="auto"/>
            <w:noWrap/>
            <w:vAlign w:val="center"/>
          </w:tcPr>
          <w:p w14:paraId="2EBF0EAF"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0,3</w:t>
            </w:r>
          </w:p>
        </w:tc>
        <w:tc>
          <w:tcPr>
            <w:tcW w:w="851" w:type="dxa"/>
            <w:tcBorders>
              <w:top w:val="nil"/>
              <w:left w:val="nil"/>
              <w:bottom w:val="nil"/>
            </w:tcBorders>
            <w:shd w:val="clear" w:color="auto" w:fill="auto"/>
            <w:vAlign w:val="center"/>
          </w:tcPr>
          <w:p w14:paraId="72A31B79"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2,0</w:t>
            </w:r>
          </w:p>
        </w:tc>
      </w:tr>
      <w:tr w:rsidR="00A362E6" w:rsidRPr="006F3843" w14:paraId="66D0C42A"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26706370" w14:textId="77777777" w:rsidR="00A362E6" w:rsidRPr="006F3843" w:rsidRDefault="00A362E6" w:rsidP="00161B7E">
            <w:pPr>
              <w:spacing w:after="0"/>
              <w:ind w:firstLine="340"/>
              <w:rPr>
                <w:rFonts w:eastAsia="Times New Roman" w:cs="Times New Roman"/>
                <w:sz w:val="20"/>
                <w:szCs w:val="20"/>
                <w:lang w:val="sr-Latn-RS" w:eastAsia="en-GB"/>
              </w:rPr>
            </w:pPr>
            <w:r w:rsidRPr="006F3843">
              <w:rPr>
                <w:rFonts w:eastAsia="Times New Roman" w:cs="Times New Roman"/>
                <w:sz w:val="20"/>
                <w:szCs w:val="20"/>
                <w:lang w:val="sr-Latn-RS" w:eastAsia="en-GB"/>
              </w:rPr>
              <w:t>Exports</w:t>
            </w:r>
          </w:p>
        </w:tc>
        <w:tc>
          <w:tcPr>
            <w:tcW w:w="850" w:type="dxa"/>
            <w:tcBorders>
              <w:top w:val="nil"/>
              <w:left w:val="nil"/>
              <w:bottom w:val="nil"/>
              <w:right w:val="nil"/>
            </w:tcBorders>
            <w:shd w:val="clear" w:color="auto" w:fill="auto"/>
            <w:noWrap/>
            <w:vAlign w:val="center"/>
          </w:tcPr>
          <w:p w14:paraId="40A39508"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0,1</w:t>
            </w:r>
          </w:p>
        </w:tc>
        <w:tc>
          <w:tcPr>
            <w:tcW w:w="1134" w:type="dxa"/>
            <w:tcBorders>
              <w:top w:val="nil"/>
              <w:left w:val="nil"/>
              <w:bottom w:val="nil"/>
              <w:right w:val="nil"/>
            </w:tcBorders>
            <w:shd w:val="clear" w:color="auto" w:fill="auto"/>
            <w:noWrap/>
            <w:vAlign w:val="center"/>
          </w:tcPr>
          <w:p w14:paraId="5E992979"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1,4</w:t>
            </w:r>
          </w:p>
        </w:tc>
        <w:tc>
          <w:tcPr>
            <w:tcW w:w="851" w:type="dxa"/>
            <w:tcBorders>
              <w:top w:val="nil"/>
              <w:left w:val="nil"/>
              <w:bottom w:val="nil"/>
            </w:tcBorders>
            <w:shd w:val="clear" w:color="auto" w:fill="auto"/>
            <w:noWrap/>
            <w:vAlign w:val="center"/>
          </w:tcPr>
          <w:p w14:paraId="34D8F16E"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2,2</w:t>
            </w:r>
          </w:p>
        </w:tc>
        <w:tc>
          <w:tcPr>
            <w:tcW w:w="850" w:type="dxa"/>
            <w:tcBorders>
              <w:top w:val="nil"/>
              <w:left w:val="nil"/>
              <w:bottom w:val="nil"/>
              <w:right w:val="single" w:sz="8" w:space="0" w:color="auto"/>
            </w:tcBorders>
            <w:vAlign w:val="center"/>
          </w:tcPr>
          <w:p w14:paraId="01B2E713"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3,0</w:t>
            </w:r>
          </w:p>
        </w:tc>
        <w:tc>
          <w:tcPr>
            <w:tcW w:w="1134" w:type="dxa"/>
            <w:tcBorders>
              <w:top w:val="nil"/>
              <w:left w:val="single" w:sz="8" w:space="0" w:color="auto"/>
              <w:bottom w:val="nil"/>
              <w:right w:val="nil"/>
            </w:tcBorders>
            <w:shd w:val="clear" w:color="auto" w:fill="auto"/>
            <w:noWrap/>
            <w:vAlign w:val="center"/>
          </w:tcPr>
          <w:p w14:paraId="47577CC6"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1,4</w:t>
            </w:r>
          </w:p>
        </w:tc>
        <w:tc>
          <w:tcPr>
            <w:tcW w:w="851" w:type="dxa"/>
            <w:tcBorders>
              <w:top w:val="nil"/>
              <w:left w:val="nil"/>
              <w:bottom w:val="nil"/>
            </w:tcBorders>
            <w:shd w:val="clear" w:color="auto" w:fill="auto"/>
            <w:vAlign w:val="center"/>
          </w:tcPr>
          <w:p w14:paraId="025A8C9B"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3,1</w:t>
            </w:r>
          </w:p>
        </w:tc>
      </w:tr>
      <w:tr w:rsidR="00A362E6" w:rsidRPr="006F3843" w14:paraId="7E8DA352"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72025F64" w14:textId="77777777" w:rsidR="00A362E6" w:rsidRPr="006F3843" w:rsidRDefault="00A362E6" w:rsidP="00161B7E">
            <w:pPr>
              <w:spacing w:after="0"/>
              <w:ind w:firstLine="340"/>
              <w:rPr>
                <w:rFonts w:eastAsia="Times New Roman" w:cs="Times New Roman"/>
                <w:sz w:val="20"/>
                <w:szCs w:val="20"/>
                <w:lang w:val="sr-Latn-RS" w:eastAsia="en-GB"/>
              </w:rPr>
            </w:pPr>
            <w:r w:rsidRPr="006F3843">
              <w:rPr>
                <w:rFonts w:eastAsia="Times New Roman" w:cs="Times New Roman"/>
                <w:sz w:val="20"/>
                <w:szCs w:val="20"/>
                <w:lang w:val="sr-Latn-RS" w:eastAsia="en-GB"/>
              </w:rPr>
              <w:t>Imports</w:t>
            </w:r>
          </w:p>
        </w:tc>
        <w:tc>
          <w:tcPr>
            <w:tcW w:w="850" w:type="dxa"/>
            <w:tcBorders>
              <w:top w:val="nil"/>
              <w:left w:val="nil"/>
              <w:bottom w:val="nil"/>
              <w:right w:val="nil"/>
            </w:tcBorders>
            <w:shd w:val="clear" w:color="auto" w:fill="auto"/>
            <w:noWrap/>
            <w:vAlign w:val="center"/>
          </w:tcPr>
          <w:p w14:paraId="601271E4"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-1,2</w:t>
            </w:r>
          </w:p>
        </w:tc>
        <w:tc>
          <w:tcPr>
            <w:tcW w:w="1134" w:type="dxa"/>
            <w:tcBorders>
              <w:top w:val="nil"/>
              <w:left w:val="nil"/>
              <w:bottom w:val="nil"/>
              <w:right w:val="nil"/>
            </w:tcBorders>
            <w:shd w:val="clear" w:color="auto" w:fill="auto"/>
            <w:noWrap/>
            <w:vAlign w:val="center"/>
          </w:tcPr>
          <w:p w14:paraId="3EA82DB1"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0,2</w:t>
            </w:r>
          </w:p>
        </w:tc>
        <w:tc>
          <w:tcPr>
            <w:tcW w:w="851" w:type="dxa"/>
            <w:tcBorders>
              <w:top w:val="nil"/>
              <w:left w:val="nil"/>
              <w:bottom w:val="nil"/>
            </w:tcBorders>
            <w:shd w:val="clear" w:color="auto" w:fill="auto"/>
            <w:noWrap/>
            <w:vAlign w:val="center"/>
          </w:tcPr>
          <w:p w14:paraId="54EDAE6D"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2,6</w:t>
            </w:r>
          </w:p>
        </w:tc>
        <w:tc>
          <w:tcPr>
            <w:tcW w:w="850" w:type="dxa"/>
            <w:tcBorders>
              <w:top w:val="nil"/>
              <w:left w:val="nil"/>
              <w:bottom w:val="nil"/>
              <w:right w:val="single" w:sz="8" w:space="0" w:color="auto"/>
            </w:tcBorders>
            <w:vAlign w:val="center"/>
          </w:tcPr>
          <w:p w14:paraId="3D495E3E"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3,0</w:t>
            </w:r>
          </w:p>
        </w:tc>
        <w:tc>
          <w:tcPr>
            <w:tcW w:w="1134" w:type="dxa"/>
            <w:tcBorders>
              <w:top w:val="nil"/>
              <w:left w:val="single" w:sz="8" w:space="0" w:color="auto"/>
              <w:bottom w:val="nil"/>
              <w:right w:val="nil"/>
            </w:tcBorders>
            <w:shd w:val="clear" w:color="auto" w:fill="auto"/>
            <w:noWrap/>
            <w:vAlign w:val="center"/>
          </w:tcPr>
          <w:p w14:paraId="42B157C6"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1,3</w:t>
            </w:r>
          </w:p>
        </w:tc>
        <w:tc>
          <w:tcPr>
            <w:tcW w:w="851" w:type="dxa"/>
            <w:tcBorders>
              <w:top w:val="nil"/>
              <w:left w:val="nil"/>
              <w:bottom w:val="nil"/>
            </w:tcBorders>
            <w:shd w:val="clear" w:color="auto" w:fill="auto"/>
            <w:vAlign w:val="center"/>
          </w:tcPr>
          <w:p w14:paraId="28812C4F"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3,3</w:t>
            </w:r>
          </w:p>
        </w:tc>
      </w:tr>
      <w:tr w:rsidR="00A362E6" w:rsidRPr="006F3843" w14:paraId="07250E3D"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1ABF6BB7" w14:textId="77777777" w:rsidR="00A362E6" w:rsidRPr="006F3843" w:rsidRDefault="00A362E6" w:rsidP="00161B7E">
            <w:pPr>
              <w:spacing w:after="0"/>
              <w:rPr>
                <w:rFonts w:eastAsia="Times New Roman" w:cs="Times New Roman"/>
                <w:sz w:val="20"/>
                <w:szCs w:val="20"/>
                <w:lang w:val="sr-Latn-RS" w:eastAsia="en-GB"/>
              </w:rPr>
            </w:pPr>
            <w:r w:rsidRPr="006F3843">
              <w:rPr>
                <w:rFonts w:eastAsia="Times New Roman" w:cs="Times New Roman"/>
                <w:sz w:val="20"/>
                <w:szCs w:val="20"/>
                <w:lang w:val="sr-Latn-RS" w:eastAsia="en-GB"/>
              </w:rPr>
              <w:t>Employment</w:t>
            </w:r>
          </w:p>
        </w:tc>
        <w:tc>
          <w:tcPr>
            <w:tcW w:w="850" w:type="dxa"/>
            <w:tcBorders>
              <w:top w:val="nil"/>
              <w:left w:val="nil"/>
              <w:bottom w:val="nil"/>
              <w:right w:val="nil"/>
            </w:tcBorders>
            <w:shd w:val="clear" w:color="auto" w:fill="auto"/>
            <w:noWrap/>
            <w:vAlign w:val="center"/>
          </w:tcPr>
          <w:p w14:paraId="3C9406C0"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1,1</w:t>
            </w:r>
          </w:p>
        </w:tc>
        <w:tc>
          <w:tcPr>
            <w:tcW w:w="1134" w:type="dxa"/>
            <w:tcBorders>
              <w:top w:val="nil"/>
              <w:left w:val="nil"/>
              <w:bottom w:val="nil"/>
              <w:right w:val="nil"/>
            </w:tcBorders>
            <w:shd w:val="clear" w:color="auto" w:fill="auto"/>
            <w:noWrap/>
            <w:vAlign w:val="center"/>
          </w:tcPr>
          <w:p w14:paraId="15D3C13B"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0,8</w:t>
            </w:r>
          </w:p>
        </w:tc>
        <w:tc>
          <w:tcPr>
            <w:tcW w:w="851" w:type="dxa"/>
            <w:tcBorders>
              <w:top w:val="nil"/>
              <w:left w:val="nil"/>
              <w:bottom w:val="nil"/>
            </w:tcBorders>
            <w:shd w:val="clear" w:color="auto" w:fill="auto"/>
            <w:noWrap/>
            <w:vAlign w:val="center"/>
          </w:tcPr>
          <w:p w14:paraId="77A8A0DD"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0,6</w:t>
            </w:r>
          </w:p>
        </w:tc>
        <w:tc>
          <w:tcPr>
            <w:tcW w:w="850" w:type="dxa"/>
            <w:tcBorders>
              <w:top w:val="nil"/>
              <w:left w:val="nil"/>
              <w:bottom w:val="nil"/>
              <w:right w:val="single" w:sz="8" w:space="0" w:color="auto"/>
            </w:tcBorders>
            <w:vAlign w:val="center"/>
          </w:tcPr>
          <w:p w14:paraId="1B30337A"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0,5</w:t>
            </w:r>
          </w:p>
        </w:tc>
        <w:tc>
          <w:tcPr>
            <w:tcW w:w="1134" w:type="dxa"/>
            <w:tcBorders>
              <w:top w:val="nil"/>
              <w:left w:val="single" w:sz="8" w:space="0" w:color="auto"/>
              <w:bottom w:val="nil"/>
              <w:right w:val="nil"/>
            </w:tcBorders>
            <w:shd w:val="clear" w:color="auto" w:fill="auto"/>
            <w:noWrap/>
            <w:vAlign w:val="center"/>
          </w:tcPr>
          <w:p w14:paraId="23338618"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0,6</w:t>
            </w:r>
          </w:p>
        </w:tc>
        <w:tc>
          <w:tcPr>
            <w:tcW w:w="851" w:type="dxa"/>
            <w:tcBorders>
              <w:top w:val="nil"/>
              <w:left w:val="nil"/>
              <w:bottom w:val="nil"/>
            </w:tcBorders>
            <w:shd w:val="clear" w:color="auto" w:fill="auto"/>
            <w:vAlign w:val="center"/>
          </w:tcPr>
          <w:p w14:paraId="0AAC1818"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Cyrl-RS" w:eastAsia="en-GB"/>
              </w:rPr>
              <w:t>0,4</w:t>
            </w:r>
          </w:p>
        </w:tc>
      </w:tr>
      <w:tr w:rsidR="00A362E6" w:rsidRPr="006F3843" w14:paraId="6F2B30FB"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339FF282" w14:textId="77777777" w:rsidR="00A362E6" w:rsidRPr="006F3843" w:rsidRDefault="00A362E6" w:rsidP="00161B7E">
            <w:pPr>
              <w:spacing w:after="0"/>
              <w:rPr>
                <w:rFonts w:eastAsia="Times New Roman" w:cs="Times New Roman"/>
                <w:sz w:val="20"/>
                <w:szCs w:val="20"/>
                <w:lang w:val="sr-Cyrl-RS" w:eastAsia="en-GB"/>
              </w:rPr>
            </w:pPr>
            <w:r w:rsidRPr="006F3843">
              <w:rPr>
                <w:rFonts w:eastAsia="Times New Roman" w:cs="Times New Roman"/>
                <w:sz w:val="20"/>
                <w:szCs w:val="20"/>
                <w:lang w:val="sr-Latn-RS" w:eastAsia="en-GB"/>
              </w:rPr>
              <w:t>Unemployment rate</w:t>
            </w:r>
          </w:p>
        </w:tc>
        <w:tc>
          <w:tcPr>
            <w:tcW w:w="850" w:type="dxa"/>
            <w:tcBorders>
              <w:top w:val="nil"/>
              <w:left w:val="nil"/>
              <w:bottom w:val="nil"/>
              <w:right w:val="nil"/>
            </w:tcBorders>
            <w:shd w:val="clear" w:color="auto" w:fill="auto"/>
            <w:noWrap/>
            <w:vAlign w:val="center"/>
          </w:tcPr>
          <w:p w14:paraId="1A272F7C"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6,1</w:t>
            </w:r>
          </w:p>
        </w:tc>
        <w:tc>
          <w:tcPr>
            <w:tcW w:w="1134" w:type="dxa"/>
            <w:tcBorders>
              <w:top w:val="nil"/>
              <w:left w:val="nil"/>
              <w:bottom w:val="nil"/>
              <w:right w:val="nil"/>
            </w:tcBorders>
            <w:shd w:val="clear" w:color="auto" w:fill="auto"/>
            <w:noWrap/>
            <w:vAlign w:val="center"/>
          </w:tcPr>
          <w:p w14:paraId="6C555BBF"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6,1</w:t>
            </w:r>
          </w:p>
        </w:tc>
        <w:tc>
          <w:tcPr>
            <w:tcW w:w="851" w:type="dxa"/>
            <w:tcBorders>
              <w:top w:val="nil"/>
              <w:left w:val="nil"/>
              <w:bottom w:val="nil"/>
            </w:tcBorders>
            <w:shd w:val="clear" w:color="auto" w:fill="auto"/>
            <w:noWrap/>
            <w:vAlign w:val="center"/>
          </w:tcPr>
          <w:p w14:paraId="21AD94F7"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5,9</w:t>
            </w:r>
          </w:p>
        </w:tc>
        <w:tc>
          <w:tcPr>
            <w:tcW w:w="850" w:type="dxa"/>
            <w:tcBorders>
              <w:top w:val="nil"/>
              <w:left w:val="nil"/>
              <w:bottom w:val="nil"/>
              <w:right w:val="single" w:sz="8" w:space="0" w:color="auto"/>
            </w:tcBorders>
            <w:vAlign w:val="center"/>
          </w:tcPr>
          <w:p w14:paraId="1B3894D6"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5,9</w:t>
            </w:r>
          </w:p>
        </w:tc>
        <w:tc>
          <w:tcPr>
            <w:tcW w:w="1134" w:type="dxa"/>
            <w:tcBorders>
              <w:top w:val="nil"/>
              <w:left w:val="single" w:sz="8" w:space="0" w:color="auto"/>
              <w:bottom w:val="nil"/>
              <w:right w:val="nil"/>
            </w:tcBorders>
            <w:shd w:val="clear" w:color="auto" w:fill="auto"/>
            <w:noWrap/>
            <w:vAlign w:val="center"/>
          </w:tcPr>
          <w:p w14:paraId="64B285B2"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6,1</w:t>
            </w:r>
          </w:p>
        </w:tc>
        <w:tc>
          <w:tcPr>
            <w:tcW w:w="851" w:type="dxa"/>
            <w:tcBorders>
              <w:top w:val="nil"/>
              <w:left w:val="nil"/>
              <w:bottom w:val="nil"/>
            </w:tcBorders>
            <w:shd w:val="clear" w:color="auto" w:fill="auto"/>
            <w:vAlign w:val="center"/>
          </w:tcPr>
          <w:p w14:paraId="2FBFE118"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6,0</w:t>
            </w:r>
          </w:p>
        </w:tc>
      </w:tr>
      <w:tr w:rsidR="00A362E6" w:rsidRPr="006F3843" w14:paraId="6C0523AB"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6702F029" w14:textId="77777777" w:rsidR="00A362E6" w:rsidRPr="006F3843" w:rsidRDefault="00A362E6" w:rsidP="00161B7E">
            <w:pPr>
              <w:spacing w:after="0"/>
              <w:rPr>
                <w:rFonts w:eastAsia="Times New Roman" w:cs="Times New Roman"/>
                <w:sz w:val="20"/>
                <w:szCs w:val="20"/>
                <w:lang w:val="sr-Latn-RS" w:eastAsia="en-GB"/>
              </w:rPr>
            </w:pPr>
            <w:r w:rsidRPr="006F3843">
              <w:rPr>
                <w:rFonts w:eastAsia="Times New Roman" w:cs="Times New Roman"/>
                <w:sz w:val="20"/>
                <w:szCs w:val="20"/>
                <w:lang w:val="sr-Latn-RS" w:eastAsia="en-GB"/>
              </w:rPr>
              <w:t>Inflation</w:t>
            </w:r>
          </w:p>
        </w:tc>
        <w:tc>
          <w:tcPr>
            <w:tcW w:w="850" w:type="dxa"/>
            <w:tcBorders>
              <w:top w:val="nil"/>
              <w:left w:val="nil"/>
              <w:bottom w:val="nil"/>
              <w:right w:val="nil"/>
            </w:tcBorders>
            <w:shd w:val="clear" w:color="auto" w:fill="auto"/>
            <w:noWrap/>
            <w:vAlign w:val="center"/>
          </w:tcPr>
          <w:p w14:paraId="76C45325"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6,4</w:t>
            </w:r>
          </w:p>
        </w:tc>
        <w:tc>
          <w:tcPr>
            <w:tcW w:w="1134" w:type="dxa"/>
            <w:tcBorders>
              <w:top w:val="nil"/>
              <w:left w:val="nil"/>
              <w:bottom w:val="nil"/>
              <w:right w:val="nil"/>
            </w:tcBorders>
            <w:shd w:val="clear" w:color="auto" w:fill="auto"/>
            <w:noWrap/>
            <w:vAlign w:val="center"/>
          </w:tcPr>
          <w:p w14:paraId="64B6B51D"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2,6</w:t>
            </w:r>
          </w:p>
        </w:tc>
        <w:tc>
          <w:tcPr>
            <w:tcW w:w="851" w:type="dxa"/>
            <w:tcBorders>
              <w:top w:val="nil"/>
              <w:left w:val="nil"/>
              <w:bottom w:val="nil"/>
            </w:tcBorders>
            <w:shd w:val="clear" w:color="auto" w:fill="auto"/>
            <w:noWrap/>
            <w:vAlign w:val="center"/>
          </w:tcPr>
          <w:p w14:paraId="504F1158"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2,4</w:t>
            </w:r>
          </w:p>
        </w:tc>
        <w:tc>
          <w:tcPr>
            <w:tcW w:w="850" w:type="dxa"/>
            <w:tcBorders>
              <w:top w:val="nil"/>
              <w:left w:val="nil"/>
              <w:bottom w:val="nil"/>
              <w:right w:val="single" w:sz="8" w:space="0" w:color="auto"/>
            </w:tcBorders>
            <w:vAlign w:val="center"/>
          </w:tcPr>
          <w:p w14:paraId="045947D2"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2,0</w:t>
            </w:r>
          </w:p>
        </w:tc>
        <w:tc>
          <w:tcPr>
            <w:tcW w:w="1134" w:type="dxa"/>
            <w:tcBorders>
              <w:top w:val="nil"/>
              <w:left w:val="single" w:sz="8" w:space="0" w:color="auto"/>
              <w:bottom w:val="nil"/>
              <w:right w:val="nil"/>
            </w:tcBorders>
            <w:shd w:val="clear" w:color="auto" w:fill="auto"/>
            <w:noWrap/>
            <w:vAlign w:val="center"/>
          </w:tcPr>
          <w:p w14:paraId="7024F783"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2,7</w:t>
            </w:r>
          </w:p>
        </w:tc>
        <w:tc>
          <w:tcPr>
            <w:tcW w:w="851" w:type="dxa"/>
            <w:tcBorders>
              <w:top w:val="nil"/>
              <w:left w:val="nil"/>
              <w:bottom w:val="nil"/>
            </w:tcBorders>
            <w:shd w:val="clear" w:color="auto" w:fill="auto"/>
            <w:vAlign w:val="center"/>
          </w:tcPr>
          <w:p w14:paraId="55384D95"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2,2</w:t>
            </w:r>
          </w:p>
        </w:tc>
      </w:tr>
      <w:tr w:rsidR="00A362E6" w:rsidRPr="006F3843" w14:paraId="1093879A"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1C364F75" w14:textId="77777777" w:rsidR="00A362E6" w:rsidRPr="006F3843" w:rsidRDefault="00A362E6" w:rsidP="00161B7E">
            <w:pPr>
              <w:spacing w:after="0"/>
              <w:rPr>
                <w:rFonts w:eastAsia="Times New Roman" w:cs="Times New Roman"/>
                <w:sz w:val="20"/>
                <w:szCs w:val="20"/>
                <w:lang w:val="sr-Cyrl-RS" w:eastAsia="en-GB"/>
              </w:rPr>
            </w:pPr>
            <w:r w:rsidRPr="006F3843">
              <w:rPr>
                <w:rFonts w:eastAsia="Times New Roman" w:cs="Times New Roman"/>
                <w:sz w:val="20"/>
                <w:szCs w:val="20"/>
                <w:lang w:val="sr-Latn-RS" w:eastAsia="en-GB"/>
              </w:rPr>
              <w:t>Unit labour costs</w:t>
            </w:r>
          </w:p>
        </w:tc>
        <w:tc>
          <w:tcPr>
            <w:tcW w:w="850" w:type="dxa"/>
            <w:tcBorders>
              <w:top w:val="nil"/>
              <w:left w:val="nil"/>
              <w:bottom w:val="nil"/>
              <w:right w:val="nil"/>
            </w:tcBorders>
            <w:shd w:val="clear" w:color="auto" w:fill="auto"/>
            <w:noWrap/>
            <w:vAlign w:val="center"/>
          </w:tcPr>
          <w:p w14:paraId="6A930A8D"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6,8</w:t>
            </w:r>
          </w:p>
        </w:tc>
        <w:tc>
          <w:tcPr>
            <w:tcW w:w="1134" w:type="dxa"/>
            <w:tcBorders>
              <w:top w:val="nil"/>
              <w:left w:val="nil"/>
              <w:bottom w:val="nil"/>
              <w:right w:val="nil"/>
            </w:tcBorders>
            <w:shd w:val="clear" w:color="auto" w:fill="auto"/>
            <w:noWrap/>
            <w:vAlign w:val="center"/>
          </w:tcPr>
          <w:p w14:paraId="2608B544"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4,8</w:t>
            </w:r>
          </w:p>
        </w:tc>
        <w:tc>
          <w:tcPr>
            <w:tcW w:w="851" w:type="dxa"/>
            <w:tcBorders>
              <w:top w:val="nil"/>
              <w:left w:val="nil"/>
              <w:bottom w:val="nil"/>
            </w:tcBorders>
            <w:shd w:val="clear" w:color="auto" w:fill="auto"/>
            <w:noWrap/>
            <w:vAlign w:val="center"/>
          </w:tcPr>
          <w:p w14:paraId="371EB6B7"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2,5</w:t>
            </w:r>
          </w:p>
        </w:tc>
        <w:tc>
          <w:tcPr>
            <w:tcW w:w="850" w:type="dxa"/>
            <w:tcBorders>
              <w:top w:val="nil"/>
              <w:left w:val="nil"/>
              <w:bottom w:val="nil"/>
              <w:right w:val="single" w:sz="8" w:space="0" w:color="auto"/>
            </w:tcBorders>
            <w:vAlign w:val="center"/>
          </w:tcPr>
          <w:p w14:paraId="3054491F"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1,8</w:t>
            </w:r>
          </w:p>
        </w:tc>
        <w:tc>
          <w:tcPr>
            <w:tcW w:w="1134" w:type="dxa"/>
            <w:tcBorders>
              <w:top w:val="nil"/>
              <w:left w:val="single" w:sz="8" w:space="0" w:color="auto"/>
              <w:bottom w:val="nil"/>
              <w:right w:val="nil"/>
            </w:tcBorders>
            <w:shd w:val="clear" w:color="auto" w:fill="auto"/>
            <w:noWrap/>
            <w:vAlign w:val="center"/>
          </w:tcPr>
          <w:p w14:paraId="2C85FE68"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4,3</w:t>
            </w:r>
          </w:p>
        </w:tc>
        <w:tc>
          <w:tcPr>
            <w:tcW w:w="851" w:type="dxa"/>
            <w:tcBorders>
              <w:top w:val="nil"/>
              <w:left w:val="nil"/>
              <w:bottom w:val="nil"/>
            </w:tcBorders>
            <w:shd w:val="clear" w:color="auto" w:fill="auto"/>
            <w:vAlign w:val="center"/>
          </w:tcPr>
          <w:p w14:paraId="2B7DB4F3"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2,3</w:t>
            </w:r>
          </w:p>
        </w:tc>
      </w:tr>
      <w:tr w:rsidR="00A362E6" w:rsidRPr="006F3843" w14:paraId="44F2E9C6"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06C5D0B4" w14:textId="77777777" w:rsidR="00A362E6" w:rsidRPr="006F3843" w:rsidRDefault="00A362E6" w:rsidP="00161B7E">
            <w:pPr>
              <w:spacing w:after="0"/>
              <w:rPr>
                <w:rFonts w:eastAsia="Times New Roman" w:cs="Times New Roman"/>
                <w:sz w:val="20"/>
                <w:szCs w:val="20"/>
                <w:lang w:val="sr-Latn-RS" w:eastAsia="en-GB"/>
              </w:rPr>
            </w:pPr>
            <w:r w:rsidRPr="006F3843">
              <w:rPr>
                <w:rFonts w:eastAsia="Times New Roman" w:cs="Times New Roman"/>
                <w:sz w:val="20"/>
                <w:szCs w:val="20"/>
                <w:lang w:val="sr-Latn-RS" w:eastAsia="en-GB"/>
              </w:rPr>
              <w:t>General government fiscal result</w:t>
            </w:r>
            <w:r w:rsidRPr="006F3843">
              <w:rPr>
                <w:rFonts w:eastAsia="Times New Roman" w:cs="Times New Roman"/>
                <w:sz w:val="20"/>
                <w:szCs w:val="20"/>
                <w:lang w:val="sr-Cyrl-RS" w:eastAsia="en-GB"/>
              </w:rPr>
              <w:t xml:space="preserve">, % </w:t>
            </w:r>
            <w:r w:rsidRPr="006F3843">
              <w:rPr>
                <w:rFonts w:eastAsia="Times New Roman" w:cs="Times New Roman"/>
                <w:sz w:val="20"/>
                <w:szCs w:val="20"/>
                <w:lang w:val="sr-Latn-RS" w:eastAsia="en-GB"/>
              </w:rPr>
              <w:t>GDP</w:t>
            </w:r>
          </w:p>
        </w:tc>
        <w:tc>
          <w:tcPr>
            <w:tcW w:w="850" w:type="dxa"/>
            <w:tcBorders>
              <w:top w:val="nil"/>
              <w:left w:val="nil"/>
              <w:bottom w:val="nil"/>
              <w:right w:val="nil"/>
            </w:tcBorders>
            <w:shd w:val="clear" w:color="auto" w:fill="auto"/>
            <w:noWrap/>
            <w:vAlign w:val="center"/>
          </w:tcPr>
          <w:p w14:paraId="6DE42DE1"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-3,5</w:t>
            </w:r>
          </w:p>
        </w:tc>
        <w:tc>
          <w:tcPr>
            <w:tcW w:w="1134" w:type="dxa"/>
            <w:tcBorders>
              <w:top w:val="nil"/>
              <w:left w:val="nil"/>
              <w:bottom w:val="nil"/>
              <w:right w:val="nil"/>
            </w:tcBorders>
            <w:shd w:val="clear" w:color="auto" w:fill="auto"/>
            <w:noWrap/>
            <w:vAlign w:val="center"/>
          </w:tcPr>
          <w:p w14:paraId="65C0FC2F"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-3,1</w:t>
            </w:r>
          </w:p>
        </w:tc>
        <w:tc>
          <w:tcPr>
            <w:tcW w:w="851" w:type="dxa"/>
            <w:tcBorders>
              <w:top w:val="nil"/>
              <w:left w:val="nil"/>
              <w:bottom w:val="nil"/>
            </w:tcBorders>
            <w:shd w:val="clear" w:color="auto" w:fill="auto"/>
            <w:noWrap/>
            <w:vAlign w:val="center"/>
          </w:tcPr>
          <w:p w14:paraId="37978332"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-3,0</w:t>
            </w:r>
          </w:p>
        </w:tc>
        <w:tc>
          <w:tcPr>
            <w:tcW w:w="850" w:type="dxa"/>
            <w:tcBorders>
              <w:top w:val="nil"/>
              <w:left w:val="nil"/>
              <w:bottom w:val="nil"/>
              <w:right w:val="single" w:sz="8" w:space="0" w:color="auto"/>
            </w:tcBorders>
            <w:vAlign w:val="center"/>
          </w:tcPr>
          <w:p w14:paraId="4A90F320"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-2,9</w:t>
            </w:r>
          </w:p>
        </w:tc>
        <w:tc>
          <w:tcPr>
            <w:tcW w:w="1134" w:type="dxa"/>
            <w:tcBorders>
              <w:top w:val="nil"/>
              <w:left w:val="single" w:sz="8" w:space="0" w:color="auto"/>
              <w:bottom w:val="nil"/>
              <w:right w:val="nil"/>
            </w:tcBorders>
            <w:shd w:val="clear" w:color="auto" w:fill="auto"/>
            <w:noWrap/>
            <w:vAlign w:val="center"/>
          </w:tcPr>
          <w:p w14:paraId="35CBE3EC"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-3,0</w:t>
            </w:r>
          </w:p>
        </w:tc>
        <w:tc>
          <w:tcPr>
            <w:tcW w:w="851" w:type="dxa"/>
            <w:tcBorders>
              <w:top w:val="nil"/>
              <w:left w:val="nil"/>
              <w:bottom w:val="nil"/>
            </w:tcBorders>
            <w:shd w:val="clear" w:color="auto" w:fill="auto"/>
            <w:vAlign w:val="center"/>
          </w:tcPr>
          <w:p w14:paraId="69F3B1A5"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-2,9</w:t>
            </w:r>
          </w:p>
        </w:tc>
      </w:tr>
      <w:tr w:rsidR="00A362E6" w:rsidRPr="006F3843" w14:paraId="5E136DBA" w14:textId="77777777" w:rsidTr="00161B7E">
        <w:trPr>
          <w:trHeight w:val="284"/>
          <w:jc w:val="center"/>
        </w:trPr>
        <w:tc>
          <w:tcPr>
            <w:tcW w:w="3686" w:type="dxa"/>
            <w:tcBorders>
              <w:top w:val="nil"/>
              <w:left w:val="nil"/>
              <w:bottom w:val="nil"/>
              <w:right w:val="nil"/>
            </w:tcBorders>
            <w:shd w:val="clear" w:color="auto" w:fill="auto"/>
            <w:noWrap/>
            <w:vAlign w:val="center"/>
            <w:hideMark/>
          </w:tcPr>
          <w:p w14:paraId="35FF1ACF" w14:textId="77777777" w:rsidR="00A362E6" w:rsidRPr="006F3843" w:rsidRDefault="00A362E6" w:rsidP="00161B7E">
            <w:pPr>
              <w:spacing w:after="0"/>
              <w:rPr>
                <w:rFonts w:eastAsia="Times New Roman" w:cs="Times New Roman"/>
                <w:sz w:val="20"/>
                <w:szCs w:val="20"/>
                <w:lang w:val="sr-Latn-RS" w:eastAsia="en-GB"/>
              </w:rPr>
            </w:pPr>
            <w:r w:rsidRPr="006F3843">
              <w:rPr>
                <w:rFonts w:eastAsia="Times New Roman" w:cs="Times New Roman"/>
                <w:sz w:val="20"/>
                <w:szCs w:val="20"/>
                <w:lang w:val="sr-Latn-RS" w:eastAsia="en-GB"/>
              </w:rPr>
              <w:t>General government gross debt</w:t>
            </w:r>
            <w:r w:rsidRPr="006F3843">
              <w:rPr>
                <w:rFonts w:eastAsia="Times New Roman" w:cs="Times New Roman"/>
                <w:sz w:val="20"/>
                <w:szCs w:val="20"/>
                <w:lang w:val="sr-Cyrl-RS" w:eastAsia="en-GB"/>
              </w:rPr>
              <w:t xml:space="preserve">, % </w:t>
            </w:r>
            <w:r w:rsidRPr="006F3843">
              <w:rPr>
                <w:rFonts w:eastAsia="Times New Roman" w:cs="Times New Roman"/>
                <w:sz w:val="20"/>
                <w:szCs w:val="20"/>
                <w:lang w:val="sr-Latn-RS" w:eastAsia="en-GB"/>
              </w:rPr>
              <w:t>GDP</w:t>
            </w:r>
          </w:p>
        </w:tc>
        <w:tc>
          <w:tcPr>
            <w:tcW w:w="850" w:type="dxa"/>
            <w:tcBorders>
              <w:top w:val="nil"/>
              <w:left w:val="nil"/>
              <w:bottom w:val="nil"/>
              <w:right w:val="nil"/>
            </w:tcBorders>
            <w:shd w:val="clear" w:color="auto" w:fill="auto"/>
            <w:noWrap/>
            <w:vAlign w:val="center"/>
          </w:tcPr>
          <w:p w14:paraId="16B454CA"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82,1</w:t>
            </w:r>
          </w:p>
        </w:tc>
        <w:tc>
          <w:tcPr>
            <w:tcW w:w="1134" w:type="dxa"/>
            <w:tcBorders>
              <w:top w:val="nil"/>
              <w:left w:val="nil"/>
              <w:bottom w:val="nil"/>
              <w:right w:val="nil"/>
            </w:tcBorders>
            <w:shd w:val="clear" w:color="auto" w:fill="auto"/>
            <w:noWrap/>
            <w:vAlign w:val="center"/>
          </w:tcPr>
          <w:p w14:paraId="1F2577D7"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82,4</w:t>
            </w:r>
          </w:p>
        </w:tc>
        <w:tc>
          <w:tcPr>
            <w:tcW w:w="851" w:type="dxa"/>
            <w:tcBorders>
              <w:top w:val="nil"/>
              <w:left w:val="nil"/>
              <w:bottom w:val="nil"/>
            </w:tcBorders>
            <w:shd w:val="clear" w:color="auto" w:fill="auto"/>
            <w:noWrap/>
            <w:vAlign w:val="center"/>
          </w:tcPr>
          <w:p w14:paraId="7B733E41"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83,0</w:t>
            </w:r>
          </w:p>
        </w:tc>
        <w:tc>
          <w:tcPr>
            <w:tcW w:w="850" w:type="dxa"/>
            <w:tcBorders>
              <w:top w:val="nil"/>
              <w:left w:val="nil"/>
              <w:bottom w:val="nil"/>
              <w:right w:val="single" w:sz="8" w:space="0" w:color="auto"/>
            </w:tcBorders>
            <w:vAlign w:val="center"/>
          </w:tcPr>
          <w:p w14:paraId="0F284AF0"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83,4</w:t>
            </w:r>
          </w:p>
        </w:tc>
        <w:tc>
          <w:tcPr>
            <w:tcW w:w="1134" w:type="dxa"/>
            <w:tcBorders>
              <w:top w:val="nil"/>
              <w:left w:val="single" w:sz="8" w:space="0" w:color="auto"/>
              <w:bottom w:val="nil"/>
              <w:right w:val="nil"/>
            </w:tcBorders>
            <w:shd w:val="clear" w:color="auto" w:fill="auto"/>
            <w:noWrap/>
            <w:vAlign w:val="center"/>
          </w:tcPr>
          <w:p w14:paraId="17CF8E77"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82,9</w:t>
            </w:r>
          </w:p>
        </w:tc>
        <w:tc>
          <w:tcPr>
            <w:tcW w:w="851" w:type="dxa"/>
            <w:tcBorders>
              <w:top w:val="nil"/>
              <w:left w:val="nil"/>
              <w:bottom w:val="nil"/>
            </w:tcBorders>
            <w:shd w:val="clear" w:color="auto" w:fill="auto"/>
            <w:vAlign w:val="center"/>
          </w:tcPr>
          <w:p w14:paraId="10992454" w14:textId="77777777" w:rsidR="00A362E6" w:rsidRPr="006F3843" w:rsidRDefault="00A362E6" w:rsidP="00161B7E">
            <w:pPr>
              <w:spacing w:after="0"/>
              <w:jc w:val="center"/>
              <w:rPr>
                <w:rFonts w:eastAsia="Times New Roman" w:cs="Times New Roman"/>
                <w:sz w:val="20"/>
                <w:szCs w:val="20"/>
                <w:lang w:val="sr-Cyrl-RS" w:eastAsia="en-GB"/>
              </w:rPr>
            </w:pPr>
            <w:r w:rsidRPr="006F3843">
              <w:rPr>
                <w:rFonts w:eastAsia="Times New Roman" w:cs="Times New Roman"/>
                <w:sz w:val="20"/>
                <w:szCs w:val="20"/>
                <w:lang w:val="sr-Cyrl-RS" w:eastAsia="en-GB"/>
              </w:rPr>
              <w:t>83,4</w:t>
            </w:r>
          </w:p>
        </w:tc>
      </w:tr>
      <w:tr w:rsidR="00A362E6" w:rsidRPr="006F3843" w14:paraId="5B0C9294" w14:textId="77777777" w:rsidTr="00161B7E">
        <w:trPr>
          <w:trHeight w:val="284"/>
          <w:jc w:val="center"/>
        </w:trPr>
        <w:tc>
          <w:tcPr>
            <w:tcW w:w="3686" w:type="dxa"/>
            <w:tcBorders>
              <w:top w:val="nil"/>
              <w:left w:val="nil"/>
              <w:bottom w:val="single" w:sz="8" w:space="0" w:color="002060"/>
              <w:right w:val="nil"/>
            </w:tcBorders>
            <w:shd w:val="clear" w:color="auto" w:fill="auto"/>
            <w:noWrap/>
            <w:vAlign w:val="center"/>
            <w:hideMark/>
          </w:tcPr>
          <w:p w14:paraId="2A654FCA" w14:textId="77777777" w:rsidR="00A362E6" w:rsidRPr="006F3843" w:rsidRDefault="00A362E6" w:rsidP="00161B7E">
            <w:pPr>
              <w:spacing w:after="0"/>
              <w:rPr>
                <w:rFonts w:eastAsia="Times New Roman" w:cs="Times New Roman"/>
                <w:sz w:val="20"/>
                <w:szCs w:val="20"/>
                <w:lang w:val="sr-Latn-RS" w:eastAsia="en-GB"/>
              </w:rPr>
            </w:pPr>
            <w:r w:rsidRPr="006F3843">
              <w:rPr>
                <w:rFonts w:eastAsia="Times New Roman" w:cs="Times New Roman"/>
                <w:sz w:val="20"/>
                <w:szCs w:val="20"/>
                <w:lang w:val="sr-Latn-RS" w:eastAsia="en-GB"/>
              </w:rPr>
              <w:t>Current account balance</w:t>
            </w:r>
            <w:r w:rsidRPr="006F3843">
              <w:rPr>
                <w:rFonts w:eastAsia="Times New Roman" w:cs="Times New Roman"/>
                <w:sz w:val="20"/>
                <w:szCs w:val="20"/>
                <w:lang w:val="sr-Cyrl-RS" w:eastAsia="en-GB"/>
              </w:rPr>
              <w:t xml:space="preserve">, % </w:t>
            </w:r>
            <w:r w:rsidRPr="006F3843">
              <w:rPr>
                <w:rFonts w:eastAsia="Times New Roman" w:cs="Times New Roman"/>
                <w:sz w:val="20"/>
                <w:szCs w:val="20"/>
                <w:lang w:val="sr-Latn-RS" w:eastAsia="en-GB"/>
              </w:rPr>
              <w:t>GDP</w:t>
            </w:r>
          </w:p>
        </w:tc>
        <w:tc>
          <w:tcPr>
            <w:tcW w:w="850" w:type="dxa"/>
            <w:tcBorders>
              <w:top w:val="nil"/>
              <w:left w:val="nil"/>
              <w:bottom w:val="single" w:sz="8" w:space="0" w:color="002060"/>
              <w:right w:val="nil"/>
            </w:tcBorders>
            <w:shd w:val="clear" w:color="auto" w:fill="auto"/>
            <w:noWrap/>
            <w:vAlign w:val="center"/>
          </w:tcPr>
          <w:p w14:paraId="0BB2BC59"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Cyrl-RS" w:eastAsia="en-GB"/>
              </w:rPr>
              <w:t>2,6</w:t>
            </w:r>
          </w:p>
        </w:tc>
        <w:tc>
          <w:tcPr>
            <w:tcW w:w="1134" w:type="dxa"/>
            <w:tcBorders>
              <w:top w:val="nil"/>
              <w:left w:val="nil"/>
              <w:bottom w:val="single" w:sz="8" w:space="0" w:color="002060"/>
              <w:right w:val="nil"/>
            </w:tcBorders>
            <w:shd w:val="clear" w:color="auto" w:fill="auto"/>
            <w:noWrap/>
            <w:vAlign w:val="center"/>
          </w:tcPr>
          <w:p w14:paraId="62F04C24"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Cyrl-RS" w:eastAsia="en-GB"/>
              </w:rPr>
              <w:t>3,6</w:t>
            </w:r>
          </w:p>
        </w:tc>
        <w:tc>
          <w:tcPr>
            <w:tcW w:w="851" w:type="dxa"/>
            <w:tcBorders>
              <w:top w:val="nil"/>
              <w:left w:val="nil"/>
              <w:bottom w:val="single" w:sz="8" w:space="0" w:color="002060"/>
            </w:tcBorders>
            <w:shd w:val="clear" w:color="auto" w:fill="auto"/>
            <w:noWrap/>
            <w:vAlign w:val="center"/>
          </w:tcPr>
          <w:p w14:paraId="37A5E88E"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Cyrl-RS" w:eastAsia="en-GB"/>
              </w:rPr>
              <w:t>3,4</w:t>
            </w:r>
          </w:p>
        </w:tc>
        <w:tc>
          <w:tcPr>
            <w:tcW w:w="850" w:type="dxa"/>
            <w:tcBorders>
              <w:top w:val="nil"/>
              <w:left w:val="nil"/>
              <w:bottom w:val="single" w:sz="8" w:space="0" w:color="auto"/>
              <w:right w:val="single" w:sz="8" w:space="0" w:color="auto"/>
            </w:tcBorders>
            <w:vAlign w:val="center"/>
          </w:tcPr>
          <w:p w14:paraId="72D76381"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Cyrl-RS" w:eastAsia="en-GB"/>
              </w:rPr>
              <w:t>3,3</w:t>
            </w:r>
          </w:p>
        </w:tc>
        <w:tc>
          <w:tcPr>
            <w:tcW w:w="1134" w:type="dxa"/>
            <w:tcBorders>
              <w:top w:val="nil"/>
              <w:left w:val="single" w:sz="8" w:space="0" w:color="auto"/>
              <w:bottom w:val="single" w:sz="8" w:space="0" w:color="auto"/>
              <w:right w:val="nil"/>
            </w:tcBorders>
            <w:shd w:val="clear" w:color="auto" w:fill="auto"/>
            <w:noWrap/>
            <w:vAlign w:val="center"/>
          </w:tcPr>
          <w:p w14:paraId="4C11367C"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Cyrl-RS" w:eastAsia="en-GB"/>
              </w:rPr>
              <w:t>3,1</w:t>
            </w:r>
          </w:p>
        </w:tc>
        <w:tc>
          <w:tcPr>
            <w:tcW w:w="851" w:type="dxa"/>
            <w:tcBorders>
              <w:top w:val="nil"/>
              <w:left w:val="nil"/>
              <w:bottom w:val="single" w:sz="8" w:space="0" w:color="auto"/>
            </w:tcBorders>
            <w:shd w:val="clear" w:color="auto" w:fill="auto"/>
            <w:vAlign w:val="center"/>
          </w:tcPr>
          <w:p w14:paraId="4B641F2B" w14:textId="77777777" w:rsidR="00A362E6" w:rsidRPr="006F3843" w:rsidRDefault="00A362E6" w:rsidP="00161B7E">
            <w:pPr>
              <w:spacing w:after="0"/>
              <w:jc w:val="center"/>
              <w:rPr>
                <w:rFonts w:eastAsia="Times New Roman" w:cs="Times New Roman"/>
                <w:sz w:val="20"/>
                <w:szCs w:val="20"/>
                <w:lang w:val="sr-Latn-RS" w:eastAsia="en-GB"/>
              </w:rPr>
            </w:pPr>
            <w:r w:rsidRPr="006F3843">
              <w:rPr>
                <w:rFonts w:eastAsia="Times New Roman" w:cs="Times New Roman"/>
                <w:sz w:val="20"/>
                <w:szCs w:val="20"/>
                <w:lang w:val="sr-Cyrl-RS" w:eastAsia="en-GB"/>
              </w:rPr>
              <w:t>3,1</w:t>
            </w:r>
          </w:p>
        </w:tc>
      </w:tr>
    </w:tbl>
    <w:p w14:paraId="430C90CC" w14:textId="77777777" w:rsidR="00A362E6" w:rsidRPr="006F3843" w:rsidRDefault="00A362E6" w:rsidP="00A362E6">
      <w:pPr>
        <w:spacing w:before="40" w:after="180"/>
        <w:rPr>
          <w:rFonts w:eastAsiaTheme="minorEastAsia" w:cs="Times New Roman"/>
          <w:sz w:val="18"/>
          <w:szCs w:val="24"/>
          <w:lang w:val="sr-Cyrl-RS" w:eastAsia="ja-JP"/>
        </w:rPr>
      </w:pPr>
      <w:bookmarkStart w:id="9" w:name="_Toc373932747"/>
      <w:bookmarkStart w:id="10" w:name="_Toc444605529"/>
      <w:r w:rsidRPr="006F3843">
        <w:rPr>
          <w:rFonts w:eastAsiaTheme="minorEastAsia" w:cs="Times New Roman"/>
          <w:sz w:val="18"/>
          <w:szCs w:val="24"/>
          <w:lang w:val="sr-Latn-RS" w:eastAsia="ja-JP"/>
        </w:rPr>
        <w:t>Source</w:t>
      </w:r>
      <w:r w:rsidRPr="006F3843">
        <w:rPr>
          <w:rFonts w:eastAsiaTheme="minorEastAsia" w:cs="Times New Roman"/>
          <w:sz w:val="18"/>
          <w:szCs w:val="24"/>
          <w:lang w:val="sr-Cyrl-RS" w:eastAsia="ja-JP"/>
        </w:rPr>
        <w:t>: Е</w:t>
      </w:r>
      <w:r w:rsidRPr="006F3843">
        <w:rPr>
          <w:rFonts w:eastAsiaTheme="minorEastAsia" w:cs="Times New Roman"/>
          <w:sz w:val="18"/>
          <w:szCs w:val="24"/>
          <w:lang w:val="sr-Latn-RS" w:eastAsia="ja-JP"/>
        </w:rPr>
        <w:t>C</w:t>
      </w:r>
      <w:r w:rsidRPr="006F3843">
        <w:rPr>
          <w:rFonts w:eastAsiaTheme="minorEastAsia" w:cs="Times New Roman"/>
          <w:sz w:val="18"/>
          <w:szCs w:val="24"/>
          <w:lang w:val="sr-Cyrl-RS" w:eastAsia="ja-JP"/>
        </w:rPr>
        <w:t xml:space="preserve">, </w:t>
      </w:r>
      <w:r w:rsidRPr="006F3843">
        <w:rPr>
          <w:rFonts w:eastAsiaTheme="minorEastAsia" w:cs="Times New Roman"/>
          <w:sz w:val="18"/>
          <w:szCs w:val="24"/>
          <w:lang w:val="sr-Latn-RS" w:eastAsia="ja-JP"/>
        </w:rPr>
        <w:t>Autumn</w:t>
      </w:r>
      <w:r w:rsidRPr="006F3843">
        <w:rPr>
          <w:rFonts w:eastAsiaTheme="minorEastAsia" w:cs="Times New Roman"/>
          <w:sz w:val="18"/>
          <w:szCs w:val="24"/>
          <w:lang w:val="sr-Cyrl-RS" w:eastAsia="ja-JP"/>
        </w:rPr>
        <w:t xml:space="preserve"> </w:t>
      </w:r>
      <w:r w:rsidRPr="006F3843">
        <w:rPr>
          <w:rFonts w:eastAsiaTheme="minorEastAsia" w:cs="Times New Roman"/>
          <w:sz w:val="18"/>
          <w:szCs w:val="24"/>
          <w:lang w:val="sr-Latn-RS" w:eastAsia="ja-JP"/>
        </w:rPr>
        <w:t>economic forecast</w:t>
      </w:r>
      <w:r w:rsidRPr="006F3843">
        <w:rPr>
          <w:rFonts w:eastAsiaTheme="minorEastAsia" w:cs="Times New Roman"/>
          <w:sz w:val="18"/>
          <w:szCs w:val="24"/>
          <w:lang w:val="sr-Cyrl-RS" w:eastAsia="ja-JP"/>
        </w:rPr>
        <w:t xml:space="preserve">, </w:t>
      </w:r>
      <w:r w:rsidRPr="006F3843">
        <w:rPr>
          <w:rFonts w:eastAsiaTheme="minorEastAsia" w:cs="Times New Roman"/>
          <w:sz w:val="18"/>
          <w:szCs w:val="24"/>
          <w:lang w:val="sr-Latn-RS" w:eastAsia="ja-JP"/>
        </w:rPr>
        <w:t>November</w:t>
      </w:r>
      <w:r w:rsidRPr="006F3843">
        <w:rPr>
          <w:rFonts w:eastAsiaTheme="minorEastAsia" w:cs="Times New Roman"/>
          <w:sz w:val="18"/>
          <w:szCs w:val="24"/>
          <w:lang w:val="sr-Cyrl-RS" w:eastAsia="ja-JP"/>
        </w:rPr>
        <w:t xml:space="preserve"> 2024.</w:t>
      </w:r>
    </w:p>
    <w:p w14:paraId="34CD88B9" w14:textId="77777777" w:rsidR="00A362E6" w:rsidRDefault="00A362E6" w:rsidP="00A362E6">
      <w:pPr>
        <w:rPr>
          <w:rFonts w:eastAsiaTheme="minorEastAsia" w:cs="Times New Roman"/>
          <w:bCs/>
          <w:szCs w:val="24"/>
          <w:lang w:val="sr-Cyrl-RS" w:eastAsia="ja-JP"/>
        </w:rPr>
      </w:pPr>
      <w:r w:rsidRPr="00662F32">
        <w:rPr>
          <w:rFonts w:eastAsiaTheme="minorEastAsia" w:cs="Times New Roman"/>
          <w:bCs/>
          <w:szCs w:val="24"/>
          <w:lang w:val="sr-Cyrl-RS" w:eastAsia="ja-JP"/>
        </w:rPr>
        <w:t>The EU labour market is expected to remain resilient and strong, although employment and wage growth will slow down compared to previous years. In 2024, employment growth is projected to increase by 0.8%, before slowing to 0.6% and 0.5% in 2025 and 2026, respectively. Nominal wage growth will also gradually slow down, but will remain high, allowing real wages to gradually reach levels that were common before the strong increase in inflation. Labour productivity growth is expected to strengthen over the projection horizon, but productivity levels will still remain below the long-term linear trend.</w:t>
      </w:r>
    </w:p>
    <w:p w14:paraId="769CB011" w14:textId="77777777" w:rsidR="00A362E6" w:rsidRDefault="00A362E6" w:rsidP="00A362E6">
      <w:pPr>
        <w:rPr>
          <w:rStyle w:val="rynqvb"/>
          <w:rFonts w:cs="Times New Roman"/>
          <w:szCs w:val="24"/>
          <w:lang w:val="sr-Cyrl-RS"/>
        </w:rPr>
      </w:pPr>
      <w:r w:rsidRPr="009E6E3B">
        <w:rPr>
          <w:rStyle w:val="rynqvb"/>
          <w:rFonts w:cs="Times New Roman"/>
          <w:szCs w:val="24"/>
          <w:lang w:val="sr-Cyrl-RS"/>
        </w:rPr>
        <w:t xml:space="preserve">According to the EC's </w:t>
      </w:r>
      <w:r>
        <w:rPr>
          <w:rStyle w:val="rynqvb"/>
          <w:rFonts w:cs="Times New Roman"/>
          <w:szCs w:val="24"/>
          <w:lang w:val="sr-Latn-RS"/>
        </w:rPr>
        <w:t>A</w:t>
      </w:r>
      <w:r w:rsidRPr="009E6E3B">
        <w:rPr>
          <w:rStyle w:val="rynqvb"/>
          <w:rFonts w:cs="Times New Roman"/>
          <w:szCs w:val="24"/>
          <w:lang w:val="sr-Cyrl-RS"/>
        </w:rPr>
        <w:t xml:space="preserve">utumn projections, the downward trend in inflation is expected to continue over the projection horizon. Inflation in the EU is projected to slow from 6.4% in 2023 to 2.6% in 2024 and 2.4% in 2025, while in 2026 the inflation rate will be aligned with the long-term target of 2.0%. The main factors contributing to the slowdown in inflation include the decline in energy prices, the effects of the previous period's tight monetary policy, as well as the gradual slowdown in nominal wage growth. Food prices will stabilize around historical averages </w:t>
      </w:r>
      <w:r>
        <w:rPr>
          <w:rStyle w:val="rynqvb"/>
          <w:rFonts w:cs="Times New Roman"/>
          <w:szCs w:val="24"/>
          <w:lang w:val="sr-Latn-RS"/>
        </w:rPr>
        <w:t>in</w:t>
      </w:r>
      <w:r w:rsidRPr="009E6E3B">
        <w:rPr>
          <w:rStyle w:val="rynqvb"/>
          <w:rFonts w:cs="Times New Roman"/>
          <w:szCs w:val="24"/>
          <w:lang w:val="sr-Cyrl-RS"/>
        </w:rPr>
        <w:t xml:space="preserve"> mid-2025, while inflationary pressures in the services sector will remain high until early 2025, and then begin to gradually decline due to slowing wage growth, expected productivity gains and the base effect.</w:t>
      </w:r>
    </w:p>
    <w:p w14:paraId="43001BFF" w14:textId="77777777" w:rsidR="00A362E6" w:rsidRDefault="00A362E6" w:rsidP="00A362E6">
      <w:pPr>
        <w:spacing w:after="180"/>
        <w:rPr>
          <w:rFonts w:eastAsiaTheme="minorEastAsia" w:cs="Times New Roman"/>
          <w:bCs/>
          <w:szCs w:val="24"/>
          <w:lang w:val="sr-Cyrl-RS" w:eastAsia="ja-JP"/>
        </w:rPr>
      </w:pPr>
      <w:r w:rsidRPr="00456F3E">
        <w:rPr>
          <w:rFonts w:eastAsiaTheme="minorEastAsia" w:cs="Times New Roman"/>
          <w:bCs/>
          <w:szCs w:val="24"/>
          <w:lang w:val="sr-Cyrl-RS" w:eastAsia="ja-JP"/>
        </w:rPr>
        <w:t xml:space="preserve">Following the previous tightening of monetary policy, financial market conditions are becoming increasingly favourable, given the easing of inflation and the further weakening of inflationary pressures. The European Central Bank (hereinafter: ECB) has reduced its reference interest rate three times since the beginning of the year, by a total of 110 bp, reaching the current level of 3.40% in October. The reduction in the ECB reference interest rate has also led to a reduction in rates at other central banks outside the euro area, which </w:t>
      </w:r>
      <w:r>
        <w:rPr>
          <w:rFonts w:eastAsiaTheme="minorEastAsia" w:cs="Times New Roman"/>
          <w:bCs/>
          <w:szCs w:val="24"/>
          <w:lang w:val="sr-Latn-RS" w:eastAsia="ja-JP"/>
        </w:rPr>
        <w:t>created a spillover effect</w:t>
      </w:r>
      <w:r w:rsidRPr="00456F3E">
        <w:rPr>
          <w:rFonts w:eastAsiaTheme="minorEastAsia" w:cs="Times New Roman"/>
          <w:bCs/>
          <w:szCs w:val="24"/>
          <w:lang w:val="sr-Cyrl-RS" w:eastAsia="ja-JP"/>
        </w:rPr>
        <w:t xml:space="preserve"> in bank and market interest rates and, in turn, stimulate</w:t>
      </w:r>
      <w:r>
        <w:rPr>
          <w:rFonts w:eastAsiaTheme="minorEastAsia" w:cs="Times New Roman"/>
          <w:bCs/>
          <w:szCs w:val="24"/>
          <w:lang w:val="sr-Latn-RS" w:eastAsia="ja-JP"/>
        </w:rPr>
        <w:t>d</w:t>
      </w:r>
      <w:r w:rsidRPr="00456F3E">
        <w:rPr>
          <w:rFonts w:eastAsiaTheme="minorEastAsia" w:cs="Times New Roman"/>
          <w:bCs/>
          <w:szCs w:val="24"/>
          <w:lang w:val="sr-Cyrl-RS" w:eastAsia="ja-JP"/>
        </w:rPr>
        <w:t xml:space="preserve"> demand for loans. The ECB will continue to closely monitor economic developments in the coming period and, </w:t>
      </w:r>
      <w:r w:rsidRPr="00456F3E">
        <w:rPr>
          <w:rFonts w:eastAsiaTheme="minorEastAsia" w:cs="Times New Roman"/>
          <w:bCs/>
          <w:szCs w:val="24"/>
          <w:lang w:val="sr-Cyrl-RS" w:eastAsia="ja-JP"/>
        </w:rPr>
        <w:lastRenderedPageBreak/>
        <w:t>accordingly, make future decisions on increasing the restrictiveness of monetary policy, in order to bring inflation closer to the target level of 2.0% in the medium term.</w:t>
      </w:r>
    </w:p>
    <w:p w14:paraId="66130AA9" w14:textId="77777777" w:rsidR="00A362E6" w:rsidRDefault="00A362E6" w:rsidP="00A362E6">
      <w:r w:rsidRPr="00C23971">
        <w:rPr>
          <w:rFonts w:eastAsiaTheme="minorEastAsia" w:cs="Times New Roman"/>
          <w:bCs/>
          <w:szCs w:val="24"/>
          <w:lang w:val="sr-Cyrl-RS" w:eastAsia="ja-JP"/>
        </w:rPr>
        <w:t>A slightly more restrictive fiscal policy is expected in the coming period. The EU fiscal deficit in 2024 will be 0.4 p.p. lower than the previous</w:t>
      </w:r>
      <w:r>
        <w:rPr>
          <w:rFonts w:eastAsiaTheme="minorEastAsia" w:cs="Times New Roman"/>
          <w:bCs/>
          <w:szCs w:val="24"/>
          <w:lang w:val="sr-Latn-RS" w:eastAsia="ja-JP"/>
        </w:rPr>
        <w:t>ly</w:t>
      </w:r>
      <w:r w:rsidRPr="00C23971">
        <w:rPr>
          <w:rFonts w:eastAsiaTheme="minorEastAsia" w:cs="Times New Roman"/>
          <w:bCs/>
          <w:szCs w:val="24"/>
          <w:lang w:val="sr-Cyrl-RS" w:eastAsia="ja-JP"/>
        </w:rPr>
        <w:t xml:space="preserve"> estimate</w:t>
      </w:r>
      <w:r>
        <w:rPr>
          <w:rFonts w:eastAsiaTheme="minorEastAsia" w:cs="Times New Roman"/>
          <w:bCs/>
          <w:szCs w:val="24"/>
          <w:lang w:val="sr-Latn-RS" w:eastAsia="ja-JP"/>
        </w:rPr>
        <w:t>d</w:t>
      </w:r>
      <w:r w:rsidRPr="00C23971">
        <w:rPr>
          <w:rFonts w:eastAsiaTheme="minorEastAsia" w:cs="Times New Roman"/>
          <w:bCs/>
          <w:szCs w:val="24"/>
          <w:lang w:val="sr-Cyrl-RS" w:eastAsia="ja-JP"/>
        </w:rPr>
        <w:t xml:space="preserve">, amounting to 3.1% of GDP, primarily as a result of the withdrawal of support measures introduced during the energy crisis. In 2025, additional fiscal </w:t>
      </w:r>
      <w:r>
        <w:rPr>
          <w:rFonts w:eastAsiaTheme="minorEastAsia" w:cs="Times New Roman"/>
          <w:bCs/>
          <w:szCs w:val="24"/>
          <w:lang w:val="sr-Latn-RS" w:eastAsia="ja-JP"/>
        </w:rPr>
        <w:t>tightening</w:t>
      </w:r>
      <w:r w:rsidRPr="00C23971">
        <w:rPr>
          <w:rFonts w:eastAsiaTheme="minorEastAsia" w:cs="Times New Roman"/>
          <w:bCs/>
          <w:szCs w:val="24"/>
          <w:lang w:val="sr-Cyrl-RS" w:eastAsia="ja-JP"/>
        </w:rPr>
        <w:t xml:space="preserve"> will continue, which will lead to a slight reduction </w:t>
      </w:r>
      <w:r>
        <w:rPr>
          <w:rFonts w:eastAsiaTheme="minorEastAsia" w:cs="Times New Roman"/>
          <w:bCs/>
          <w:szCs w:val="24"/>
          <w:lang w:val="sr-Latn-RS" w:eastAsia="ja-JP"/>
        </w:rPr>
        <w:t>of</w:t>
      </w:r>
      <w:r w:rsidRPr="00C23971">
        <w:rPr>
          <w:rFonts w:eastAsiaTheme="minorEastAsia" w:cs="Times New Roman"/>
          <w:bCs/>
          <w:szCs w:val="24"/>
          <w:lang w:val="sr-Cyrl-RS" w:eastAsia="ja-JP"/>
        </w:rPr>
        <w:t xml:space="preserve"> the fiscal deficit to 3.0% of GDP. Although the contribution of EU funds will be significant, it is estimated that fiscal policy will have a slightly restrictive impact on the EU economy in 2024, while in 2025 and 2026 the effect will be largely neutral. The restrictive fiscal policy in 2024 is mainly the result of a temporary reduction in expenditure financed from EU funds and the abolition of tax breaks for housing in Italy. In 2025, fiscal policy is expected to be neutral, as the decline in primary net current expenditure will be largely offset by an increase in public investment, due to the use of the Recovery and Resilience Fund and other EU funds. After a decrease </w:t>
      </w:r>
      <w:r>
        <w:rPr>
          <w:rFonts w:eastAsiaTheme="minorEastAsia" w:cs="Times New Roman"/>
          <w:bCs/>
          <w:szCs w:val="24"/>
          <w:lang w:val="sr-Latn-RS" w:eastAsia="ja-JP"/>
        </w:rPr>
        <w:t>of EU</w:t>
      </w:r>
      <w:r w:rsidRPr="00C23971">
        <w:rPr>
          <w:rFonts w:eastAsiaTheme="minorEastAsia" w:cs="Times New Roman"/>
          <w:bCs/>
          <w:szCs w:val="24"/>
          <w:lang w:val="sr-Cyrl-RS" w:eastAsia="ja-JP"/>
        </w:rPr>
        <w:t xml:space="preserve"> </w:t>
      </w:r>
      <w:r>
        <w:rPr>
          <w:rFonts w:eastAsiaTheme="minorEastAsia" w:cs="Times New Roman"/>
          <w:bCs/>
          <w:szCs w:val="24"/>
          <w:lang w:val="sr-Latn-RS" w:eastAsia="ja-JP"/>
        </w:rPr>
        <w:t>debt-to-GDP ratio</w:t>
      </w:r>
      <w:r w:rsidRPr="00C23971">
        <w:rPr>
          <w:rFonts w:eastAsiaTheme="minorEastAsia" w:cs="Times New Roman"/>
          <w:bCs/>
          <w:szCs w:val="24"/>
          <w:lang w:val="sr-Cyrl-RS" w:eastAsia="ja-JP"/>
        </w:rPr>
        <w:t xml:space="preserve"> in the period from 2021 to 2023 of almost 10 pp, it is expected to increase slightly from 82.1% in 2023 to 83.4% in 2026. This increase will be a consequence of a slight </w:t>
      </w:r>
      <w:r>
        <w:rPr>
          <w:rFonts w:eastAsiaTheme="minorEastAsia" w:cs="Times New Roman"/>
          <w:bCs/>
          <w:szCs w:val="24"/>
          <w:lang w:val="sr-Latn-RS" w:eastAsia="ja-JP"/>
        </w:rPr>
        <w:t>rise</w:t>
      </w:r>
      <w:r w:rsidRPr="00C23971">
        <w:rPr>
          <w:rFonts w:eastAsiaTheme="minorEastAsia" w:cs="Times New Roman"/>
          <w:bCs/>
          <w:szCs w:val="24"/>
          <w:lang w:val="sr-Cyrl-RS" w:eastAsia="ja-JP"/>
        </w:rPr>
        <w:t xml:space="preserve"> in debt servicing costs, </w:t>
      </w:r>
      <w:r>
        <w:rPr>
          <w:rFonts w:eastAsiaTheme="minorEastAsia" w:cs="Times New Roman"/>
          <w:bCs/>
          <w:szCs w:val="24"/>
          <w:lang w:val="sr-Latn-RS" w:eastAsia="ja-JP"/>
        </w:rPr>
        <w:t>as well as</w:t>
      </w:r>
      <w:r w:rsidRPr="00C23971">
        <w:rPr>
          <w:rFonts w:eastAsiaTheme="minorEastAsia" w:cs="Times New Roman"/>
          <w:bCs/>
          <w:szCs w:val="24"/>
          <w:lang w:val="sr-Cyrl-RS" w:eastAsia="ja-JP"/>
        </w:rPr>
        <w:t xml:space="preserve"> continued primary deficits in the mentioned period, which can</w:t>
      </w:r>
      <w:r>
        <w:rPr>
          <w:rFonts w:eastAsiaTheme="minorEastAsia" w:cs="Times New Roman"/>
          <w:bCs/>
          <w:szCs w:val="24"/>
          <w:lang w:val="sr-Latn-RS" w:eastAsia="ja-JP"/>
        </w:rPr>
        <w:t xml:space="preserve"> </w:t>
      </w:r>
      <w:r w:rsidRPr="00C23971">
        <w:rPr>
          <w:rFonts w:eastAsiaTheme="minorEastAsia" w:cs="Times New Roman"/>
          <w:bCs/>
          <w:szCs w:val="24"/>
          <w:lang w:val="sr-Cyrl-RS" w:eastAsia="ja-JP"/>
        </w:rPr>
        <w:t>not be compensated by high nominal GDP growth due to the slowdown in inflation.</w:t>
      </w:r>
    </w:p>
    <w:p w14:paraId="1F16D1D3" w14:textId="25D5A8DF" w:rsidR="00AA1BAE" w:rsidRPr="00933940" w:rsidRDefault="00EE7B7E" w:rsidP="00E25CAC">
      <w:pPr>
        <w:pStyle w:val="Heading11"/>
        <w:spacing w:before="180" w:after="180"/>
        <w:rPr>
          <w:rFonts w:ascii="Times New Roman" w:hAnsi="Times New Roman" w:cs="Times New Roman"/>
          <w:color w:val="auto"/>
          <w:sz w:val="24"/>
          <w:szCs w:val="24"/>
          <w:lang w:val="sr-Latn-RS"/>
        </w:rPr>
      </w:pPr>
      <w:bookmarkStart w:id="11" w:name="_Toc192759973"/>
      <w:r w:rsidRPr="00933940">
        <w:rPr>
          <w:rFonts w:ascii="Times New Roman" w:hAnsi="Times New Roman" w:cs="Times New Roman"/>
          <w:color w:val="auto"/>
          <w:sz w:val="24"/>
          <w:szCs w:val="24"/>
          <w:lang w:val="sr-Latn-RS"/>
        </w:rPr>
        <w:t>3.</w:t>
      </w:r>
      <w:r w:rsidR="00AA1BAE" w:rsidRPr="00933940">
        <w:rPr>
          <w:rFonts w:ascii="Times New Roman" w:hAnsi="Times New Roman" w:cs="Times New Roman"/>
          <w:color w:val="auto"/>
          <w:sz w:val="24"/>
          <w:szCs w:val="24"/>
          <w:lang w:val="sr-Latn-RS"/>
        </w:rPr>
        <w:t xml:space="preserve">2. </w:t>
      </w:r>
      <w:bookmarkEnd w:id="9"/>
      <w:bookmarkEnd w:id="10"/>
      <w:r w:rsidR="004E34DB" w:rsidRPr="004E34DB">
        <w:rPr>
          <w:rFonts w:ascii="Times New Roman" w:hAnsi="Times New Roman" w:cs="Times New Roman"/>
          <w:color w:val="auto"/>
          <w:sz w:val="24"/>
          <w:szCs w:val="24"/>
          <w:lang w:val="sr-Latn-RS"/>
        </w:rPr>
        <w:t xml:space="preserve">CURRENT ECONOMIC </w:t>
      </w:r>
      <w:r w:rsidR="004E34DB">
        <w:rPr>
          <w:rFonts w:ascii="Times New Roman" w:hAnsi="Times New Roman" w:cs="Times New Roman"/>
          <w:color w:val="auto"/>
          <w:sz w:val="24"/>
          <w:szCs w:val="24"/>
          <w:lang w:val="sr-Latn-RS"/>
        </w:rPr>
        <w:t>DEVELOPMENTS</w:t>
      </w:r>
      <w:r w:rsidR="004E34DB" w:rsidRPr="004E34DB">
        <w:rPr>
          <w:rFonts w:ascii="Times New Roman" w:hAnsi="Times New Roman" w:cs="Times New Roman"/>
          <w:color w:val="auto"/>
          <w:sz w:val="24"/>
          <w:szCs w:val="24"/>
          <w:lang w:val="sr-Latn-RS"/>
        </w:rPr>
        <w:t xml:space="preserve"> AND OUTLOOK FOR 2024</w:t>
      </w:r>
      <w:bookmarkEnd w:id="11"/>
    </w:p>
    <w:p w14:paraId="497C4B57" w14:textId="29E8F5AD" w:rsidR="003816A6" w:rsidRPr="00AD7E7D" w:rsidRDefault="008F7C05" w:rsidP="003816A6">
      <w:pPr>
        <w:rPr>
          <w:rFonts w:eastAsia="Constantia" w:cs="Times New Roman"/>
          <w:szCs w:val="24"/>
          <w:lang w:val="sr-Cyrl-RS"/>
        </w:rPr>
      </w:pPr>
      <w:bookmarkStart w:id="12" w:name="_Toc373932748"/>
      <w:r>
        <w:rPr>
          <w:rFonts w:eastAsia="Constantia" w:cs="Times New Roman"/>
          <w:b/>
          <w:szCs w:val="24"/>
          <w:lang w:val="sr-Latn-RS"/>
        </w:rPr>
        <w:t>Real sector</w:t>
      </w:r>
      <w:r w:rsidR="009B0814" w:rsidRPr="008F7C05">
        <w:rPr>
          <w:rFonts w:eastAsia="Constantia" w:cs="Times New Roman"/>
          <w:szCs w:val="24"/>
          <w:lang w:val="sr-Cyrl-RS"/>
        </w:rPr>
        <w:t>.</w:t>
      </w:r>
      <w:r w:rsidR="009B0814" w:rsidRPr="00AD7E7D">
        <w:rPr>
          <w:rFonts w:eastAsia="Constantia" w:cs="Times New Roman"/>
          <w:szCs w:val="24"/>
          <w:lang w:val="sr-Cyrl-RS"/>
        </w:rPr>
        <w:t xml:space="preserve"> </w:t>
      </w:r>
      <w:r w:rsidR="008F0543" w:rsidRPr="008F0543">
        <w:rPr>
          <w:rFonts w:eastAsia="Constantia" w:cs="Times New Roman"/>
          <w:szCs w:val="24"/>
          <w:lang w:val="sr-Cyrl-RS"/>
        </w:rPr>
        <w:t>According to the Statistical Office of the Republic of Serbia (SORS), after year-on-year GDP growth in the first and second quarters of 2024 of 4.7% and 4.0%, respectively, in the third quarter GDP growth amounted to 3.1% y-o-y, which is in line with the expectations of the Ministry of Finance for this period.  Viewed from the production side, GDP growth in the first nine months of 2024 of 4.0% compared to the same period of the previous year was led by the service sector, which achieved growth of 4.9%. An increase in economic activity was recorded in all service sectors, and the most significant contribution came from trade, transport and tourism, as well as from professional and technical services and ICT. Despite the still weak external demand and the renovation of capacities in NIS and EPS, industrial production recorded a growth in GVA of 2.7% in the first three quarters of 2024, primarily due to the activation of new production capacities as a result of the effectuation of FDI from the previous period. Construction was higher by 7.1% due to the continued implementation of infrastructure projects, as well as the growth of private investments, while agriculture, according to the first estimates of the SORS, recorded a decline of around 8% due to unfavorable agrometeorological conditions. Observed by aggregates of use, GDP growth in the first three quarters of 2024 was entirely determined by domestic demand. The increase in real disposable income of the population, primarily as a result of the growth of wages and pensions along with the growth of employment, was reflected in the acceleration of private consumption, which was higher by 4.3%. At the same time, investments in fixed assets grew by 8.1%, primarily due to increased construction work, but also to the acceleration of private investments. The contribution of net exports was negative due to faster growth in import activity (8.6%) than export activity (3.1%) as a result of increased imports of equipment for investment purposes, as well as consumer goods due to the growth of private household consumption.</w:t>
      </w:r>
    </w:p>
    <w:p w14:paraId="40633195" w14:textId="1EAB7149" w:rsidR="003816A6" w:rsidRPr="00AD7E7D" w:rsidRDefault="008F0543" w:rsidP="003816A6">
      <w:pPr>
        <w:rPr>
          <w:rFonts w:cs="Times New Roman"/>
          <w:bCs/>
          <w:szCs w:val="24"/>
        </w:rPr>
      </w:pPr>
      <w:r w:rsidRPr="008F0543">
        <w:rPr>
          <w:rFonts w:cs="Times New Roman"/>
          <w:bCs/>
          <w:szCs w:val="24"/>
          <w:lang w:val="sr-Cyrl-RS"/>
        </w:rPr>
        <w:t>High-frequency indicators also point to stable economic trends during 2024 in all economic sectors, except in agriculture, where unfavorable agrometeorological conditions during the summer months largely affected the corn and industrial crop yields.</w:t>
      </w:r>
      <w:r w:rsidR="003816A6" w:rsidRPr="00AD7E7D">
        <w:rPr>
          <w:rFonts w:cs="Times New Roman"/>
          <w:bCs/>
          <w:szCs w:val="24"/>
          <w:lang w:val="sr-Cyrl-RS"/>
        </w:rPr>
        <w:t xml:space="preserve"> </w:t>
      </w:r>
    </w:p>
    <w:p w14:paraId="3871E6F6" w14:textId="623BA642" w:rsidR="00DE769B" w:rsidRPr="00AD7E7D" w:rsidRDefault="00795A72" w:rsidP="00EE7B7E">
      <w:pPr>
        <w:rPr>
          <w:rFonts w:cs="Times New Roman"/>
          <w:bCs/>
          <w:szCs w:val="24"/>
        </w:rPr>
      </w:pPr>
      <w:r w:rsidRPr="00795A72">
        <w:rPr>
          <w:rFonts w:eastAsia="Calibri" w:cs="Times New Roman"/>
          <w:bCs/>
          <w:szCs w:val="24"/>
          <w:lang w:val="sr-Cyrl-RS"/>
        </w:rPr>
        <w:lastRenderedPageBreak/>
        <w:t>In the first nine months of 2024, industrial production recorded an increase in physical volume of 2.8% y-o-y. In this period, the growth of industrial production was led by a higher volume of manufacturing industry, further supported by a higher volume of mining production, while the impact of the energy sector was negative due to lower electricity production. The manufacturing industry achieved an increase of 4.4% in the first nine months. The growth was diversified and achieved in 14 out of 24 activities. The most significant positive contribution to the growth of the manufacturing industry in this period came from the production of basic metals and the electronics industry, which recorded an increase of 38.5% and 80.5% y-o-y, respectively. In the previous nine months, the production of food products, as one of the most important activities of the manufacturing industr</w:t>
      </w:r>
      <w:r w:rsidR="008F7C05">
        <w:rPr>
          <w:rFonts w:eastAsia="Calibri" w:cs="Times New Roman"/>
          <w:bCs/>
          <w:szCs w:val="24"/>
          <w:lang w:val="sr-Cyrl-RS"/>
        </w:rPr>
        <w:t>y, recorded a growth of 5.8% y-o-y</w:t>
      </w:r>
      <w:r w:rsidRPr="00795A72">
        <w:rPr>
          <w:rFonts w:eastAsia="Calibri" w:cs="Times New Roman"/>
          <w:bCs/>
          <w:szCs w:val="24"/>
          <w:lang w:val="sr-Cyrl-RS"/>
        </w:rPr>
        <w:t>, with a positive contribution from the rubber industry, which achieved an increase in physical volume of 11.5% y-o-y. After a decline in the production of metal products in the previous year of 9.6%, the activity of this industry recovered during 2024, recording a growth of 10.0% in the first nine months. Despite the still weak external demand, the automotive industry and the production of electrical equipment achieved an increase in physical volume of 6.3% and 5.0%, respectively, thanks primarily to the effectuation of FDI from the previous period. On the other hand, the activities that achieved a decline in production collectively had a negative impact on the movement of the manufacturing industry of 1.9 p.p. The most significant negative contribution in the first nine months of 2024 came from the oil industry with a pro</w:t>
      </w:r>
      <w:r w:rsidR="008F7C05">
        <w:rPr>
          <w:rFonts w:eastAsia="Calibri" w:cs="Times New Roman"/>
          <w:bCs/>
          <w:szCs w:val="24"/>
          <w:lang w:val="sr-Cyrl-RS"/>
        </w:rPr>
        <w:t>duction decrease of 15.5% y-o-y</w:t>
      </w:r>
      <w:r w:rsidRPr="00795A72">
        <w:rPr>
          <w:rFonts w:eastAsia="Calibri" w:cs="Times New Roman"/>
          <w:bCs/>
          <w:szCs w:val="24"/>
          <w:lang w:val="sr-Cyrl-RS"/>
        </w:rPr>
        <w:t xml:space="preserve">, as a result of the planned overhaul at the NIS processing complex during April and May when the production of oil derivatives was almost completely suspended. In the same period, the production volume of the pharmaceutical and machinery industries was lower </w:t>
      </w:r>
      <w:r w:rsidR="008F7C05">
        <w:rPr>
          <w:rFonts w:eastAsia="Calibri" w:cs="Times New Roman"/>
          <w:bCs/>
          <w:szCs w:val="24"/>
          <w:lang w:val="sr-Cyrl-RS"/>
        </w:rPr>
        <w:t>by 5.6% and 7.1% y-o</w:t>
      </w:r>
      <w:r w:rsidR="008F7C05">
        <w:rPr>
          <w:rFonts w:eastAsia="Calibri" w:cs="Times New Roman"/>
          <w:bCs/>
          <w:szCs w:val="24"/>
          <w:lang w:val="sr-Latn-RS"/>
        </w:rPr>
        <w:t>-y</w:t>
      </w:r>
      <w:r w:rsidRPr="00795A72">
        <w:rPr>
          <w:rFonts w:eastAsia="Calibri" w:cs="Times New Roman"/>
          <w:bCs/>
          <w:szCs w:val="24"/>
          <w:lang w:val="sr-Cyrl-RS"/>
        </w:rPr>
        <w:t xml:space="preserve"> respectively. The production of the energy sector in the first nine months of 2024 is characterized by divergent trends. Mining recorded a growth of 8.4% primarily as a result of higher exploitation of metal ore by 19.6%, while the most significant negative contribution came from coal exploitation, which was lower by 3.7%. At the same time, the volume of electricity generation was lower by 7.4%, primarily due to the poor hydrological situation, as well as the overhaul of EPS generation capacities during the summer months.</w:t>
      </w:r>
      <w:r w:rsidR="00DE769B" w:rsidRPr="00AD7E7D">
        <w:rPr>
          <w:rFonts w:cs="Times New Roman"/>
          <w:bCs/>
          <w:szCs w:val="24"/>
        </w:rPr>
        <w:t xml:space="preserve"> </w:t>
      </w:r>
    </w:p>
    <w:p w14:paraId="04B6504D" w14:textId="4FA3189F" w:rsidR="00CF4522" w:rsidRPr="00AD7E7D" w:rsidRDefault="00795A72" w:rsidP="00DE769B">
      <w:pPr>
        <w:rPr>
          <w:rFonts w:eastAsia="Calibri" w:cs="Times New Roman"/>
          <w:bCs/>
          <w:szCs w:val="24"/>
          <w:lang w:val="sr-Cyrl-RS"/>
        </w:rPr>
      </w:pPr>
      <w:r w:rsidRPr="00795A72">
        <w:rPr>
          <w:rFonts w:eastAsia="Calibri" w:cs="Times New Roman"/>
          <w:bCs/>
          <w:szCs w:val="24"/>
          <w:lang w:val="sr-Cyrl-RS"/>
        </w:rPr>
        <w:t>Positive trends were also recorded in the construction industry. In the first nine months of 2024, the value of completed construction works in the Republic of Serbia was 9.4% higher in real terms, supported by the growth in the value of completed works in civil engineering by 10.6% and in building construction by 7.1% year-on-year.</w:t>
      </w:r>
    </w:p>
    <w:p w14:paraId="613340C9" w14:textId="343437B1" w:rsidR="00F94BD2" w:rsidRPr="00AD7E7D" w:rsidRDefault="00795A72" w:rsidP="00DE769B">
      <w:pPr>
        <w:rPr>
          <w:rFonts w:cs="Times New Roman"/>
          <w:bCs/>
          <w:szCs w:val="24"/>
          <w:lang w:val="sr-Cyrl-RS"/>
        </w:rPr>
      </w:pPr>
      <w:r w:rsidRPr="00795A72">
        <w:rPr>
          <w:rFonts w:cs="Times New Roman"/>
          <w:bCs/>
          <w:szCs w:val="24"/>
          <w:lang w:val="sr-Cyrl-RS"/>
        </w:rPr>
        <w:t xml:space="preserve">With the slowdown in inflation and the growth of real disposable income of the population since the middle of the previous year, there was an acceleration of real turnover activity in retail trade. Such trends continued during 2024, with the growth of turnover in constant prices in the first nine months being 6.7%. During this period, the increase in retail trade turnover was accompanied by a real growth in turnover of all three product categories - food products by 6.9% y-o-y, non-food products by 8.6% y-o-y and motor fuels by 2.4% y-o-y. During 2024, good trends in tourism and catering continued, with the number of tourist arrivals and overnight stays increasing by 5.7% and 1.5% year-on-year in the first nine months, respectively, accompanied by an increase in the activity of foreign tourists. In the first eight months, foreign exchange inflows from tourism increased by 13.0% year-on-year. In addition, the growth of turnover in the catering sector continued, with a real increase of 9.4% in the first eight months. The information and communication technology sector is continuously growing with an increasingly significant role of this sector, with a strong real growth of the GVA of this sector of 6.1% year-on-year in the first six months of 2024. This was also accompanied by an increase in export activity of the ICT sector during 2024., with exports from this sector valued at 2,6 </w:t>
      </w:r>
      <w:r w:rsidRPr="00795A72">
        <w:rPr>
          <w:rFonts w:cs="Times New Roman"/>
          <w:bCs/>
          <w:szCs w:val="24"/>
          <w:lang w:val="sr-Cyrl-RS"/>
        </w:rPr>
        <w:lastRenderedPageBreak/>
        <w:t>billion euros in the first eight months, a year-on-year increase of 18.6%, which accounting for just over than two-fifths of the total export of service activities.</w:t>
      </w:r>
    </w:p>
    <w:p w14:paraId="7ABE645B" w14:textId="77777777" w:rsidR="00795A72" w:rsidRDefault="00795A72" w:rsidP="00EC3436">
      <w:pPr>
        <w:rPr>
          <w:rFonts w:cs="Times New Roman"/>
          <w:bCs/>
          <w:szCs w:val="24"/>
          <w:lang w:val="sr-Cyrl-RS"/>
        </w:rPr>
      </w:pPr>
      <w:r w:rsidRPr="00795A72">
        <w:rPr>
          <w:rFonts w:cs="Times New Roman"/>
          <w:bCs/>
          <w:szCs w:val="24"/>
          <w:lang w:val="sr-Cyrl-RS"/>
        </w:rPr>
        <w:t>Based on current trends in economic activity, taking into account the adopted economic policy measures, the effects of the continued implementation of infrastructure projects additionally supported by the new investment cycle within the "Leap into the Future - Serbia 2027" program, and taking into account the economic outlook of the most important foreign trade partners, the Ministry of Finance expects GDP growth in 2024 of 3.8%, which is unchanged from previous expectations.</w:t>
      </w:r>
    </w:p>
    <w:p w14:paraId="429B5BA5" w14:textId="79E0F6A2" w:rsidR="00C21260" w:rsidRPr="00AD7E7D" w:rsidRDefault="004E34DB" w:rsidP="00EC3436">
      <w:pPr>
        <w:rPr>
          <w:rFonts w:cs="Times New Roman"/>
          <w:color w:val="FF0000"/>
          <w:szCs w:val="24"/>
          <w:lang w:val="sr-Cyrl-RS"/>
        </w:rPr>
      </w:pPr>
      <w:r>
        <w:rPr>
          <w:rFonts w:cs="Times New Roman"/>
          <w:b/>
          <w:szCs w:val="24"/>
          <w:lang w:val="sr-Latn-RS"/>
        </w:rPr>
        <w:t>Labour market</w:t>
      </w:r>
      <w:r w:rsidR="0015261E" w:rsidRPr="00AD7E7D">
        <w:rPr>
          <w:rFonts w:cs="Times New Roman"/>
          <w:b/>
          <w:szCs w:val="24"/>
          <w:lang w:val="sr-Cyrl-RS"/>
        </w:rPr>
        <w:t>.</w:t>
      </w:r>
      <w:r w:rsidR="00C21260" w:rsidRPr="00AD7E7D">
        <w:rPr>
          <w:rFonts w:cs="Times New Roman"/>
          <w:szCs w:val="24"/>
          <w:lang w:val="sr-Cyrl-RS"/>
        </w:rPr>
        <w:t xml:space="preserve"> </w:t>
      </w:r>
      <w:r w:rsidRPr="004E34DB">
        <w:rPr>
          <w:rFonts w:cs="Times New Roman"/>
          <w:szCs w:val="24"/>
          <w:lang w:val="sr-Cyrl-RS"/>
        </w:rPr>
        <w:t xml:space="preserve">The labour market in Serbia is experiencing positive changes, which are the result of continuous efforts to improve economic policies and create a favorable business environment. In recent years, the employment rate has been steadily increasing, while the unemployment rate has been decreasing, indicating increasing opportunities for employment and professional development of the population. According to data from the Central Register of Compulsory Social Insurance (CROSS), in the period January-September 2024, the average number of employees was 0.5% higher compared to the same period of the previous year, which was primarily contributed to by the growth of employment in the private sector by 9.5 thousand people, while in the public sector the growth was 2.4 thousand people. In this period, the strongest sectoral contribution to employment growth came from healthcare and scientific and technical activities, while the ICT, tourism, construction and entertainment and recreation sectors also made a positive contribution. According to data from the National Employment Service, in the same period, the number of people actively seeking employment decreased by 8.4%. According to data from the Labour Force Survey, in the first quarter of 2024, the employment rate increased by 1.4 pp to 50.9% compared to the same period of the previous year, while the unemployment rate decreased by 0.6 pp to 9.4%. At the same time, the number of employed population (15 and over) increased by 2.1%, with a decrease in the unemployed part of the population by 4.8%. The positive trends continued in the second quarter of 2024, as the number of employed persons increased by 48,400, reaching 2,899,700, while the number of unemployed persons decreased by 44,800 to 257,800. The employment rate was 51.4%, an increase of 1.1 percentage points compared to the same period of the previous year. This employment growth indicates positive trends in employment, which is the result of continuous efforts to improve the business environment and attract investment. It is particularly significant that the increase in employment is based on the growth of formal employment as a whole, which is key to economic growth and stability, as it creates jobs that contribute to tax revenues and provides social security. The unemployment rate decreased to 8.2%, a decrease of 1.4 percentage points compared to the same period of the previous year. This decrease in the unemployment rate shows that the labour market is stabilizing and that new employment opportunities are opening up. Also, the number of people outside the labour force decreased by 30,300, which further confirms the positive changes in the labour market. Informal employment, which is often an indicator of precarious jobs, also decreased by 8,100. The informal employment rate was 11.8%, a decrease of 0.5 pp. compared to the same period of the previous year. The decrease in informal employment outside agriculture, which fell to 5.9%, is particularly significant. The youth unemployment rate decreased by 4.2 pp. to 20.2% in this period. Based on data from the Republic Statistical Office in the period January-September 2024, the average net salary was 96,675 dinars. Compared to the same period of the previous year, the average net salary was nominally 14.5% higher, while the real increase was 9.3%. The high growth in real salaries is the result of positive economic trends and increased productivity in various sectors of the economy, as well as a significant slowdown in inflation. Real salary growth in the private sector was 9.2% and was driven primarily by an increase in salaries in the manufacturing industry and trade. At the same time, a real increase in public </w:t>
      </w:r>
      <w:r w:rsidRPr="004E34DB">
        <w:rPr>
          <w:rFonts w:cs="Times New Roman"/>
          <w:szCs w:val="24"/>
          <w:lang w:val="sr-Cyrl-RS"/>
        </w:rPr>
        <w:lastRenderedPageBreak/>
        <w:t>sector wages of 9.3% was recorded, which was influenced by the Government's decision to increase wages by 10% from January 2024, as well as the decision to increase the wages of teachers and some healthcare workers by 5.5% from October 2023.</w:t>
      </w:r>
    </w:p>
    <w:p w14:paraId="1802B781" w14:textId="77777777" w:rsidR="00306071" w:rsidRPr="00306071" w:rsidRDefault="00306071" w:rsidP="00306071">
      <w:pPr>
        <w:spacing w:line="276" w:lineRule="auto"/>
        <w:rPr>
          <w:rFonts w:eastAsia="Calibri" w:cs="Times New Roman"/>
          <w:sz w:val="22"/>
          <w:szCs w:val="24"/>
          <w:lang w:val="en-GB"/>
        </w:rPr>
      </w:pPr>
      <w:r w:rsidRPr="00306071">
        <w:rPr>
          <w:rFonts w:eastAsia="Calibri" w:cs="Times New Roman"/>
          <w:b/>
          <w:i/>
          <w:sz w:val="22"/>
          <w:szCs w:val="24"/>
          <w:lang w:val="en-GB"/>
        </w:rPr>
        <w:t xml:space="preserve">External sector. </w:t>
      </w:r>
      <w:r w:rsidRPr="00306071">
        <w:rPr>
          <w:rFonts w:eastAsia="Calibri" w:cs="Times New Roman"/>
          <w:bCs/>
          <w:iCs/>
          <w:sz w:val="22"/>
          <w:szCs w:val="24"/>
          <w:lang w:val="en-GB"/>
        </w:rPr>
        <w:t xml:space="preserve">After hitting an almost record low level in 2023 (EUR 1.8 billion or 2.4% of GDP) amid a narrowing of the trade in goods deficit due to lower energy imports and the demonstrated resilience of exports to dampened external demand, the current account deficit expectedly rebounded in the first nine months of 2024, amounting to EUR 3.3 billion, buoyed by growing investment and personal consumption. </w:t>
      </w:r>
      <w:r w:rsidRPr="00306071">
        <w:rPr>
          <w:rFonts w:eastAsia="Calibri" w:cs="Times New Roman"/>
          <w:sz w:val="22"/>
          <w:szCs w:val="24"/>
          <w:lang w:val="en-GB"/>
        </w:rPr>
        <w:t xml:space="preserve"> Compared to the same period of 2023, the deficit on trade in goods increased by EUR 1,041.4 million and the deficit on the primary income account by EUR 665.5 million, while the surplus on trade in services and the secondary income account decreased by EUR 426.3 million and 401.5 million, respectively. The current account deficit was almost fully (97.8%) covered by the net FDI inflow.  </w:t>
      </w:r>
    </w:p>
    <w:p w14:paraId="3B469ADE" w14:textId="77777777" w:rsidR="00306071" w:rsidRPr="00306071" w:rsidRDefault="00306071" w:rsidP="00306071">
      <w:pPr>
        <w:spacing w:line="276" w:lineRule="auto"/>
        <w:rPr>
          <w:rFonts w:eastAsia="Calibri" w:cs="Times New Roman"/>
          <w:sz w:val="22"/>
          <w:szCs w:val="24"/>
          <w:lang w:val="en-GB"/>
        </w:rPr>
      </w:pPr>
      <w:r w:rsidRPr="00306071">
        <w:rPr>
          <w:rFonts w:eastAsia="Calibri" w:cs="Times New Roman"/>
          <w:sz w:val="22"/>
          <w:szCs w:val="24"/>
          <w:lang w:val="en-GB"/>
        </w:rPr>
        <w:t>Despite slackening external demand, goods exports continued recording positive growth rates in 2024, supported primarily by investment into tradable sectors in the prior period. In the nine months of 2024 goods exports amounted to EUR 21.3 billion, having increased by 1.5% y-o-y.</w:t>
      </w:r>
      <w:r w:rsidRPr="00306071">
        <w:rPr>
          <w:rFonts w:ascii="Calibri" w:eastAsia="Calibri" w:hAnsi="Calibri" w:cs="Times New Roman"/>
          <w:sz w:val="22"/>
          <w:vertAlign w:val="superscript"/>
          <w:lang w:val="en-GB"/>
        </w:rPr>
        <w:footnoteReference w:id="1"/>
      </w:r>
      <w:r w:rsidRPr="00306071">
        <w:rPr>
          <w:rFonts w:eastAsia="Calibri" w:cs="Times New Roman"/>
          <w:sz w:val="22"/>
          <w:szCs w:val="24"/>
          <w:lang w:val="en-GB"/>
        </w:rPr>
        <w:t xml:space="preserve"> The strongest contribution came from manufacturing (2.9% y-o-y, contribution of 2.5 pp), where export growth was registered in a half of the branches, as well as from agriculture, hunting and service activities (43.0% y-o-y, contribution of 1.3 pp) and mining (6.6% y-o-y, contribution of 0.3 pp). Looking at markets, goods exports mostly went to the EU </w:t>
      </w:r>
      <w:r w:rsidRPr="00306071">
        <w:rPr>
          <w:rFonts w:eastAsia="Calibri" w:cs="Times New Roman"/>
          <w:sz w:val="22"/>
          <w:lang w:val="en-GB"/>
        </w:rPr>
        <w:t>(61.6%), CEFTA (15.3%) and Eurasian Union countries (4.2%). The following areas were the key drivers of export activity</w:t>
      </w:r>
      <w:r w:rsidRPr="00306071">
        <w:rPr>
          <w:rFonts w:eastAsia="Calibri" w:cs="Times New Roman"/>
          <w:sz w:val="22"/>
          <w:szCs w:val="24"/>
          <w:lang w:val="en-GB"/>
        </w:rPr>
        <w:t>: production of base metals (2.6 pp), agriculture, hunting and service activities (1.3 pp), production of other transport equipment (0.9 pp), production of computers, electronic and optical products (0.5 pp), and the production of metal products except machinery (0.4 pp). A drop in exports was registered for electricity, gas and steam supply (-2.8 pp), partly because of the exceptionally high base, but also because of the drought-reduced hydropotential. A decrease in exports was also seen in the production of miscellaneous machinery and equipment (-0.9 pp) and electrical equipment (-0.7 pp).</w:t>
      </w:r>
    </w:p>
    <w:p w14:paraId="1EB009AC" w14:textId="77777777" w:rsidR="00306071" w:rsidRPr="00306071" w:rsidRDefault="00306071" w:rsidP="00306071">
      <w:pPr>
        <w:spacing w:line="276" w:lineRule="auto"/>
        <w:rPr>
          <w:rFonts w:eastAsia="Calibri" w:cs="Times New Roman"/>
          <w:sz w:val="22"/>
          <w:szCs w:val="24"/>
          <w:lang w:val="en-GB"/>
        </w:rPr>
      </w:pPr>
      <w:r w:rsidRPr="00306071">
        <w:rPr>
          <w:rFonts w:eastAsia="Calibri" w:cs="Times New Roman"/>
          <w:sz w:val="22"/>
          <w:szCs w:val="24"/>
          <w:lang w:val="en-GB"/>
        </w:rPr>
        <w:t>In the nine months of 2024, goods imports amounted to EUR 26.8 billion, up by 5.3% y-o-y. In addition to unclassified goods, the largest contribution to import growth came from metal products except machinery (1.3 pp), other transport equipment (1.0 pp), coke and petroleum products (0.9 pp), metal ore (0.5 pp) and motor vehicles and trailers (0.5 pp). A drop in imports was recorded for crude oil and natural gas (-1.8 pp), electricity (-0.7 pp) and coal exploitation (-0.5 pp).</w:t>
      </w:r>
    </w:p>
    <w:p w14:paraId="626FC8D9" w14:textId="77777777" w:rsidR="00306071" w:rsidRPr="00306071" w:rsidRDefault="00306071" w:rsidP="00306071">
      <w:pPr>
        <w:spacing w:line="276" w:lineRule="auto"/>
        <w:rPr>
          <w:rFonts w:eastAsia="Calibri" w:cs="Times New Roman"/>
          <w:sz w:val="22"/>
          <w:szCs w:val="24"/>
          <w:lang w:val="en-GB"/>
        </w:rPr>
      </w:pPr>
      <w:r w:rsidRPr="00306071">
        <w:rPr>
          <w:rFonts w:eastAsia="Calibri" w:cs="Times New Roman"/>
          <w:sz w:val="22"/>
          <w:szCs w:val="24"/>
          <w:lang w:val="en-GB"/>
        </w:rPr>
        <w:t>Exports of services increased by 10.4% relative to the same period last year, mainly as a result of stronger exports of ICT services (4.9 pp), other business services (2.7 pp) and tourism (2.2 pp). At the same time, imports of services went up by 19.5% y-o-y, driven chiefly by tourism (7.5 pp), other business services (3.6 pp) and intellectual property rights (3.0 pp). The services account is traditionally in a surplus, which contracted in the nine months of 2024 by 19.2% y-o-y, reflecting increased net imports of tourism, intellectual property rights and transport services, while ICT services worked in the opposite direction.</w:t>
      </w:r>
    </w:p>
    <w:p w14:paraId="757923F7" w14:textId="77777777" w:rsidR="00306071" w:rsidRPr="00306071" w:rsidRDefault="00306071" w:rsidP="00306071">
      <w:pPr>
        <w:spacing w:line="276" w:lineRule="auto"/>
        <w:rPr>
          <w:rFonts w:eastAsia="Calibri" w:cs="Times New Roman"/>
          <w:sz w:val="22"/>
          <w:szCs w:val="24"/>
          <w:lang w:val="en-GB"/>
        </w:rPr>
      </w:pPr>
      <w:r w:rsidRPr="00306071">
        <w:rPr>
          <w:rFonts w:eastAsia="Calibri" w:cs="Times New Roman"/>
          <w:sz w:val="22"/>
          <w:szCs w:val="24"/>
          <w:lang w:val="en-GB"/>
        </w:rPr>
        <w:t>Around 71% of the trade in services pertains to 15 countries, of which seven are members of the EU (Germany, the Netherlands, Austria, Ireland, Croatia, Slovenia, Italy), two of CEFTA (Bosnia and Herzegovina and Montenegro) and one of EFTA (Switzerland). A significant exchange of services also takes place with the USA, UK, Russian Federation, United Arab Emirates and Turkey.</w:t>
      </w:r>
    </w:p>
    <w:p w14:paraId="4365B397" w14:textId="77777777" w:rsidR="00306071" w:rsidRPr="00306071" w:rsidRDefault="00306071" w:rsidP="00306071">
      <w:pPr>
        <w:spacing w:line="276" w:lineRule="auto"/>
        <w:rPr>
          <w:rFonts w:eastAsia="Calibri" w:cs="Times New Roman"/>
          <w:sz w:val="22"/>
          <w:szCs w:val="24"/>
          <w:lang w:val="en-GB"/>
        </w:rPr>
      </w:pPr>
      <w:r w:rsidRPr="00306071">
        <w:rPr>
          <w:rFonts w:eastAsia="Calibri" w:cs="Times New Roman"/>
          <w:sz w:val="22"/>
          <w:szCs w:val="24"/>
          <w:lang w:val="en-GB"/>
        </w:rPr>
        <w:lastRenderedPageBreak/>
        <w:t xml:space="preserve">The deficit on the primary income account expanded by 23.7% y-o-y, primarily because of higher outflows under income from direct investments (by 29.3% y-o-y), while the surplus on the secondary income account contracted by 9.2% y-o-y amid reduced inflows in respect of grants to the Government (-29.8% y-o-y), and partly also amid lower inflows of remittances (-4.8% y-o-y). Namely, the inflow of remittances amounted to EUR 3.8 billion in the nine months of 2024 and was by EUR 163.1 million lower than in the same period of 2023. Remittances came from Germany (26%), Switzerland (13%), Austria (9%), France (6%), Croatia (6%), i.e. countries from which Serbia traditionally receives most remittances. </w:t>
      </w:r>
    </w:p>
    <w:p w14:paraId="2FA7813F" w14:textId="77777777" w:rsidR="00306071" w:rsidRPr="00306071" w:rsidRDefault="00306071" w:rsidP="00306071">
      <w:pPr>
        <w:spacing w:line="276" w:lineRule="auto"/>
        <w:rPr>
          <w:rFonts w:eastAsia="Calibri" w:cs="Times New Roman"/>
          <w:sz w:val="22"/>
          <w:szCs w:val="24"/>
          <w:lang w:val="en-GB"/>
        </w:rPr>
      </w:pPr>
      <w:r w:rsidRPr="00306071">
        <w:rPr>
          <w:rFonts w:eastAsia="Calibri" w:cs="Times New Roman"/>
          <w:sz w:val="22"/>
          <w:szCs w:val="24"/>
          <w:lang w:val="en-GB"/>
        </w:rPr>
        <w:t>The financial account (without change in FX reserves) registered a net inflow of EUR 5.3 billion in the period January–September 2024. At the same time, net FDI inflow measured EUR 3.2 billion. The inflow to Serbia amounted to EUR 3.6 billion, up by EUR 399.5 million relative to the same period a year earlier. FDI inflow remained project-diversified, the bulk of it being absorbed by construction (28.9%), mining (25.1%) and manufacturing (11.8%). Based on the data for the first half of 2024, the major portion of FDI inflows continued to come from European (64.6%, from the EU – 43.4%) and Asian countries (32.1%).</w:t>
      </w:r>
    </w:p>
    <w:p w14:paraId="48161C1D" w14:textId="77777777" w:rsidR="00306071" w:rsidRPr="00306071" w:rsidRDefault="00306071" w:rsidP="00306071">
      <w:pPr>
        <w:spacing w:line="276" w:lineRule="auto"/>
        <w:rPr>
          <w:rFonts w:eastAsia="Calibri" w:cs="Times New Roman"/>
          <w:sz w:val="22"/>
          <w:lang w:val="en-GB"/>
        </w:rPr>
      </w:pPr>
      <w:r w:rsidRPr="00306071">
        <w:rPr>
          <w:rFonts w:eastAsia="Calibri" w:cs="Times New Roman"/>
          <w:sz w:val="22"/>
          <w:lang w:val="en-GB"/>
        </w:rPr>
        <w:t xml:space="preserve">Portfolio investments provided a net inflow of EUR 91.3 million in the period January–September 2024. Non-resident investment in eurobonds generated a net inflow of EUR 824.1 million. In June alone, net inflow from portfolio investments amounted to EUR 1.1 billion, as a result of Serbia’s successful issue of USD-denominated 10-year ESG eurobonds in the international financial market, at the coupon rate of 6.00%. Bonds were issued in the total amount of USD 1.5 billion, while investor demand exceeded EUR 6.5 billion. In addition, in the local primary market non-residents invested in dinar government securities worth EUR 463.1 million, while the maturing of government securities and sale in the secondary market resulted in a net outflow of EUR 378.3 million. On the other hand, resident investment in the international market accounted for an outflow of EUR 815.4 million, the investment pertaining mainly to foreign debt securities. </w:t>
      </w:r>
    </w:p>
    <w:p w14:paraId="1341504A" w14:textId="77777777" w:rsidR="00306071" w:rsidRPr="00306071" w:rsidRDefault="00306071" w:rsidP="00306071">
      <w:pPr>
        <w:spacing w:line="276" w:lineRule="auto"/>
        <w:rPr>
          <w:rFonts w:eastAsia="Calibri" w:cs="Times New Roman"/>
          <w:sz w:val="22"/>
          <w:szCs w:val="24"/>
          <w:lang w:val="en-GB"/>
        </w:rPr>
      </w:pPr>
      <w:r w:rsidRPr="00306071">
        <w:rPr>
          <w:rFonts w:eastAsia="Calibri" w:cs="Times New Roman"/>
          <w:sz w:val="22"/>
          <w:szCs w:val="24"/>
          <w:lang w:val="en-GB"/>
        </w:rPr>
        <w:t>NBS FX reserves (without cross-currency and asset price changes) grew by EUR 2.5 billion in this period, staying well above the level ensuring adequate protection from external shocks. At end-September, FX reserves equalled EUR 28.3 billion, their highest level so far, covering more than seven months’ worth of the country’s imports of goods and services, 183.4% of M1 and around 347% of debt</w:t>
      </w:r>
      <w:r w:rsidRPr="00306071">
        <w:rPr>
          <w:rFonts w:eastAsia="Calibri" w:cs="Times New Roman"/>
          <w:sz w:val="22"/>
          <w:szCs w:val="24"/>
          <w:vertAlign w:val="superscript"/>
          <w:lang w:val="en-GB"/>
        </w:rPr>
        <w:footnoteReference w:id="2"/>
      </w:r>
      <w:r w:rsidRPr="00306071">
        <w:rPr>
          <w:rFonts w:eastAsia="Calibri" w:cs="Times New Roman"/>
          <w:sz w:val="22"/>
          <w:szCs w:val="24"/>
          <w:lang w:val="en-GB"/>
        </w:rPr>
        <w:t xml:space="preserve"> maturing in up to one year. </w:t>
      </w:r>
    </w:p>
    <w:p w14:paraId="4BB1F2DC" w14:textId="77777777" w:rsidR="00306071" w:rsidRPr="00306071" w:rsidRDefault="00306071" w:rsidP="00306071">
      <w:pPr>
        <w:spacing w:line="276" w:lineRule="auto"/>
        <w:rPr>
          <w:rFonts w:eastAsia="Calibri" w:cs="Times New Roman"/>
          <w:sz w:val="22"/>
          <w:szCs w:val="24"/>
          <w:lang w:val="en-GB"/>
        </w:rPr>
      </w:pPr>
      <w:r w:rsidRPr="00306071">
        <w:rPr>
          <w:rFonts w:eastAsia="Calibri" w:cs="Times New Roman"/>
          <w:sz w:val="22"/>
          <w:szCs w:val="24"/>
          <w:lang w:val="en-GB"/>
        </w:rPr>
        <w:t>In the year as a whole, the current account deficit is projected at EUR 3.9 billion or 4.7% of GDP,  with the maintained faster growth of imports than of exports of goods and services (8.2% vs. 5.8%) due to the pick-up in fixed investment and consequently higher imports of equipment and intermediate goods, and the sustained stable growth in the imports of consumer goods and an increase in private consumption.</w:t>
      </w:r>
    </w:p>
    <w:p w14:paraId="04BEC2CF" w14:textId="77777777" w:rsidR="00306071" w:rsidRPr="00306071" w:rsidRDefault="00306071" w:rsidP="00306071">
      <w:pPr>
        <w:spacing w:line="276" w:lineRule="auto"/>
        <w:rPr>
          <w:rFonts w:eastAsia="Calibri" w:cs="Times New Roman"/>
          <w:sz w:val="22"/>
          <w:lang w:val="en-GB"/>
        </w:rPr>
      </w:pPr>
      <w:r w:rsidRPr="00306071">
        <w:rPr>
          <w:rFonts w:eastAsia="Calibri" w:cs="Times New Roman"/>
          <w:b/>
          <w:i/>
          <w:sz w:val="22"/>
          <w:lang w:val="en-GB"/>
        </w:rPr>
        <w:t>Exchange rate.</w:t>
      </w:r>
      <w:r w:rsidRPr="00306071">
        <w:rPr>
          <w:rFonts w:eastAsia="Calibri" w:cs="Times New Roman"/>
          <w:sz w:val="22"/>
          <w:lang w:val="en-GB"/>
        </w:rPr>
        <w:t xml:space="preserve"> Appreciation pressures on the dinar continue to prevail in 2024. To maintain relative stability of the exchange rate of the dinar against the euro, in the nine months of 2024 the NBS bought EUR 1.99 billion net in the local FX market and the dinar appreciated vis-à-vis the euro by 0.1% nominally. Appreciation pressures were supported by the inflows to the financial account of the balance of payments, which more than covered the current account deficit. FX supply largely originated from domestic companies, but other factors on the supply side also played a role – banks’ net purchase of foreign cash from authorised exchange dealers and natural persons, and the lengthening of banks’ FX position because of payment card use and their growing net indexed assets.  </w:t>
      </w:r>
    </w:p>
    <w:p w14:paraId="25442D5B" w14:textId="77777777" w:rsidR="00306071" w:rsidRPr="00306071" w:rsidRDefault="00306071" w:rsidP="00306071">
      <w:pPr>
        <w:spacing w:line="276" w:lineRule="auto"/>
        <w:rPr>
          <w:rFonts w:eastAsia="Calibri" w:cs="Times New Roman"/>
          <w:sz w:val="22"/>
        </w:rPr>
      </w:pPr>
      <w:r w:rsidRPr="00306071">
        <w:rPr>
          <w:rFonts w:eastAsia="Calibri" w:cs="Times New Roman"/>
          <w:sz w:val="22"/>
        </w:rPr>
        <w:lastRenderedPageBreak/>
        <w:t xml:space="preserve">As of early 2024, </w:t>
      </w:r>
      <w:r w:rsidRPr="00306071">
        <w:rPr>
          <w:rFonts w:eastAsia="Calibri" w:cs="Times New Roman"/>
          <w:b/>
          <w:i/>
          <w:iCs/>
          <w:sz w:val="22"/>
        </w:rPr>
        <w:t>inflation</w:t>
      </w:r>
      <w:r w:rsidRPr="00306071">
        <w:rPr>
          <w:rFonts w:eastAsia="Calibri" w:cs="Times New Roman"/>
          <w:b/>
          <w:sz w:val="22"/>
        </w:rPr>
        <w:t xml:space="preserve"> </w:t>
      </w:r>
      <w:r w:rsidRPr="00306071">
        <w:rPr>
          <w:rFonts w:eastAsia="Calibri" w:cs="Times New Roman"/>
          <w:sz w:val="22"/>
        </w:rPr>
        <w:t xml:space="preserve">in Serbia continued decelerating and returned within the NBS target band (3±1.5%) in May. Afterwards, it continued to move within this band and measured 4.5% in October. Inflation decline relative to the peak reached in March 2023 was driven by all its key components, and most of all by food prices whose y-o-y growth since February this year has been continuously lower than headline inflation. Core inflation also fell sharply in this period (CPI excluding food, energy, alcohol and cigarettes). It halved from the peak posted in March last year as a result of the past monetary tightening, deceleration of imported inflation and a decline in inflation expectations. As in other countries of the region, including the euro area, core inflation was higher than headline inflation and moved slightly above 5% y-o-y in recent months, propped up by the higher prices of services.   </w:t>
      </w:r>
    </w:p>
    <w:p w14:paraId="438CD1B4" w14:textId="77777777" w:rsidR="00306071" w:rsidRPr="00306071" w:rsidRDefault="00306071" w:rsidP="00306071">
      <w:pPr>
        <w:spacing w:line="276" w:lineRule="auto"/>
        <w:rPr>
          <w:rFonts w:eastAsia="Calibri" w:cs="Times New Roman"/>
          <w:bCs/>
          <w:iCs/>
          <w:sz w:val="22"/>
          <w:szCs w:val="24"/>
        </w:rPr>
      </w:pPr>
      <w:bookmarkStart w:id="13" w:name="_Hlk88465511"/>
      <w:r w:rsidRPr="00306071">
        <w:rPr>
          <w:rFonts w:eastAsia="Calibri" w:cs="Times New Roman"/>
          <w:b/>
          <w:i/>
          <w:sz w:val="22"/>
        </w:rPr>
        <w:t>Lending activity and monetary developments.</w:t>
      </w:r>
      <w:r w:rsidRPr="00306071">
        <w:rPr>
          <w:rFonts w:eastAsia="Calibri" w:cs="Times New Roman"/>
          <w:sz w:val="22"/>
        </w:rPr>
        <w:t xml:space="preserve"> In 2024, the y-o-y growth of total domestic loans accelerated to 6.6% in September (from 1.0% at end-2023) owing to the increase in corporate and household loan demand amid relaxed credit standards. Lending growth was aided also by the lower funding costs, with the interest rates on dinar and euro loans on the decline since the end of last year owing to market expectations that the NBS and the ECB would soon start monetary policy easing. The easing was initiated in June this year, which only reinforced the downward trajectory of interest rates. By sector, corporate loans growth accelerated to 5.0% y-o-y, and household loans to 7.8%. The negative impact on the stock of corporate loans, stemming from the maturity of guarantee scheme loans, was significantly weaker than before. </w:t>
      </w:r>
    </w:p>
    <w:p w14:paraId="0C55B179" w14:textId="77777777" w:rsidR="00306071" w:rsidRPr="00306071" w:rsidRDefault="00306071" w:rsidP="00306071">
      <w:pPr>
        <w:spacing w:line="276" w:lineRule="auto"/>
        <w:rPr>
          <w:rFonts w:eastAsia="Calibri" w:cs="Times New Roman"/>
          <w:bCs/>
          <w:iCs/>
          <w:sz w:val="22"/>
          <w:szCs w:val="24"/>
        </w:rPr>
      </w:pPr>
      <w:r w:rsidRPr="00306071">
        <w:rPr>
          <w:rFonts w:eastAsia="Calibri" w:cs="Times New Roman"/>
          <w:sz w:val="22"/>
        </w:rPr>
        <w:t>Bank Lending Survey conducted by the NBS shows that in 2024 banks eased corporate and household credit standards, dominantly for dinar loans. The easing was driven primarily by the lower costs of funding, with interbank competition and expectations of a positive economic outlook working in the same direction. Household loan demand was on the increase throughout the year, led mainly by the need to refinance existing loans, purchase real estate, and procure durable consumer goods, with the positive influence from higher wages. Collectively, corporate loan demand went up in Q2 only, while the demand for dinar loans increased in Q1 and Q3. The growth in corporate demand was aided by the need to finance working capital, followed by debt restructuring and investments, while companies’ internal financing and loans of non-bank institutions worked in the opposite direction. Banks expect the easing of standards and a rise in the demand for loans in Q4 in case of both corporates and households.</w:t>
      </w:r>
    </w:p>
    <w:p w14:paraId="4E862295" w14:textId="77777777" w:rsidR="00306071" w:rsidRPr="00306071" w:rsidRDefault="00306071" w:rsidP="00306071">
      <w:pPr>
        <w:spacing w:line="276" w:lineRule="auto"/>
        <w:rPr>
          <w:rFonts w:eastAsia="Calibri" w:cs="Times New Roman"/>
          <w:sz w:val="22"/>
          <w:szCs w:val="24"/>
        </w:rPr>
      </w:pPr>
      <w:r w:rsidRPr="00306071">
        <w:rPr>
          <w:rFonts w:eastAsia="Calibri" w:cs="Times New Roman"/>
          <w:sz w:val="22"/>
        </w:rPr>
        <w:t xml:space="preserve">In 2024, corporates mostly used liquidity and working capital loans, followed by import and investment loans. Such movements resulted in the share of liquidity and working capital loans in total corporate loans increasing to 47.8% in September, and the share of the next dominant category, investment loans measuring 40.6%. Corporate borrowing increased in almost every sector, and most of all in manufacturing and trade, whereas only the debt of agricultural corporates decreased. By size, loans granted to micro, small and medium-sized enterprises accounted for 58.7% of total corporate loans in September and their stock was 5.6% higher than a year earlier. The rise in household loans was driven by cash loans and their high disbursement was supported by bank promotional activities, lower interest rates and mitigated credit standards. Housing loans come next – in banks’ view, the demand for these loans has been on the rise since early 2024, which can be attributed to the NBS’s decision to temporarily cap interest rates on housing loans, the initiated easing of the ECB monetary policy, but also to the growth in wages. </w:t>
      </w:r>
    </w:p>
    <w:p w14:paraId="0AE98DBE" w14:textId="77777777" w:rsidR="00306071" w:rsidRPr="00306071" w:rsidRDefault="00306071" w:rsidP="00306071">
      <w:pPr>
        <w:spacing w:line="276" w:lineRule="auto"/>
        <w:rPr>
          <w:rFonts w:eastAsia="Calibri" w:cs="Times New Roman"/>
          <w:sz w:val="22"/>
          <w:szCs w:val="24"/>
        </w:rPr>
      </w:pPr>
      <w:r w:rsidRPr="00306071">
        <w:rPr>
          <w:rFonts w:eastAsia="Calibri" w:cs="Times New Roman"/>
          <w:sz w:val="22"/>
        </w:rPr>
        <w:t>In 2024, the dinarisation of the stock of total corporate and household receivables increased by 2.3 pp, to 36.8% in September, primarily owing to higher dinar lending. The degree of dinarisation of corporate receivables increased by 2.7 pp to 20.0% in September, and of household receivables by 1.2 pp to 55.3%. The continuous growth in dinar loans was favourably affected by the Decision on Capital Adequacy of Banks, which sets out that starting from 2025, when calculating capital adequacy ratios, banks are required to reduce capital if the share of FX-indexed and FX loans in their total loans to non-</w:t>
      </w:r>
      <w:r w:rsidRPr="00306071">
        <w:rPr>
          <w:rFonts w:eastAsia="Calibri" w:cs="Times New Roman"/>
          <w:sz w:val="22"/>
        </w:rPr>
        <w:lastRenderedPageBreak/>
        <w:t>financial and non-government sector, approved after 1 July 2023, exceeds the established ceiling (71% in 2025).</w:t>
      </w:r>
      <w:r w:rsidRPr="00306071">
        <w:rPr>
          <w:rFonts w:ascii="Calibri" w:eastAsia="Calibri" w:hAnsi="Calibri" w:cs="Times New Roman"/>
          <w:sz w:val="22"/>
          <w:vertAlign w:val="superscript"/>
        </w:rPr>
        <w:footnoteReference w:id="3"/>
      </w:r>
    </w:p>
    <w:p w14:paraId="3CEF5CCF" w14:textId="77777777" w:rsidR="00306071" w:rsidRPr="00306071" w:rsidRDefault="00306071" w:rsidP="00306071">
      <w:pPr>
        <w:spacing w:line="276" w:lineRule="auto"/>
        <w:rPr>
          <w:rFonts w:eastAsia="Calibri" w:cs="Times New Roman"/>
          <w:sz w:val="22"/>
          <w:szCs w:val="24"/>
        </w:rPr>
      </w:pPr>
      <w:r w:rsidRPr="00306071">
        <w:rPr>
          <w:rFonts w:eastAsia="Calibri" w:cs="Times New Roman"/>
          <w:sz w:val="22"/>
        </w:rPr>
        <w:t xml:space="preserve">For this and the next year we expect lending growth of 7% each, owing to more favourable financing conditions and stepped-up economic growth. In the medium term, lending growth is expected to accelerate gradually, consistent with nominal GDP growth. </w:t>
      </w:r>
    </w:p>
    <w:p w14:paraId="45C8402C" w14:textId="77777777" w:rsidR="00306071" w:rsidRPr="00306071" w:rsidRDefault="00306071" w:rsidP="00306071">
      <w:pPr>
        <w:spacing w:line="276" w:lineRule="auto"/>
        <w:rPr>
          <w:rFonts w:eastAsia="Calibri" w:cs="Times New Roman"/>
          <w:sz w:val="22"/>
          <w:szCs w:val="24"/>
        </w:rPr>
      </w:pPr>
      <w:r w:rsidRPr="00306071">
        <w:rPr>
          <w:rFonts w:eastAsia="Calibri" w:cs="Times New Roman"/>
          <w:sz w:val="22"/>
        </w:rPr>
        <w:t>In September, monetary aggregates M1 and M2 recorded nominal y-o-y growth of 15.5% each and M3 of 12.0%. Dinar demand deposits and savings and time deposits increased to a similar extent, with the rise in both cases driven by household deposits. Dinar household savings reached a new peak (RSD 171.4 billion) in September,</w:t>
      </w:r>
      <w:r w:rsidRPr="00306071">
        <w:rPr>
          <w:rFonts w:ascii="Calibri" w:eastAsia="Calibri" w:hAnsi="Calibri" w:cs="Times New Roman"/>
          <w:sz w:val="22"/>
          <w:vertAlign w:val="superscript"/>
        </w:rPr>
        <w:footnoteReference w:id="4"/>
      </w:r>
      <w:r w:rsidRPr="00306071">
        <w:rPr>
          <w:rFonts w:eastAsia="Calibri" w:cs="Times New Roman"/>
          <w:sz w:val="22"/>
        </w:rPr>
        <w:t xml:space="preserve"> whereby their share in total household savings rose to 9.4% (compared to 8.0% at end-2023 and 1.9% at end-2012). FX deposits also continued to increase, driven by household (affected also by remittances inflow) and corporate deposits (owing to growing FDIs, exports and cross-border borrowing). The dinarisation of corporate and household deposits stood at 44.2% in September, which is close to the record level posted at end-2023 (44.4%) and significantly higher than at end-2012 (19.3%).   </w:t>
      </w:r>
      <w:bookmarkEnd w:id="13"/>
    </w:p>
    <w:p w14:paraId="2E52C30F"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b/>
          <w:bCs/>
          <w:i/>
          <w:iCs/>
          <w:sz w:val="22"/>
        </w:rPr>
        <w:t>Financial sector.</w:t>
      </w:r>
      <w:r w:rsidRPr="00306071">
        <w:rPr>
          <w:rFonts w:ascii="Tahoma" w:eastAsia="Times New Roman" w:hAnsi="Tahoma" w:cs="Tahoma"/>
          <w:b/>
          <w:bCs/>
          <w:sz w:val="17"/>
          <w:szCs w:val="17"/>
        </w:rPr>
        <w:t xml:space="preserve"> </w:t>
      </w:r>
      <w:r w:rsidRPr="00306071">
        <w:rPr>
          <w:rFonts w:eastAsia="Times New Roman" w:cs="Times New Roman"/>
          <w:sz w:val="22"/>
          <w:lang w:val="en-GB"/>
        </w:rPr>
        <w:t>There were no significant changes in the structure of Serbia’s financial sector during 2024 – the banking sector remains dominant, accounting for over 90% of total financial sector assets. As at 30 September 2024, Serbia’s banking sector comprised 20 banks, of which 15 were majority-owned by foreign entities, two were majority-owned by the Republic of Serbia, and three were majority-owned by domestic legal persons. The market is dominated by banks with majority foreign ownership, accounting for 77.5% of total balance sheet assets, 80.7% of total gross loans, and 76.5% of total deposits of the banking sector.</w:t>
      </w:r>
    </w:p>
    <w:p w14:paraId="3811DF94"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At end-September 2024, balance sheet assets and capital of the banking sector amounted to RSD 6,308 billion and RSD 895 billion, respectively. Solid capital reserves built by banks in previous years have made them more resilient to risks in the context of ongoing uncertainties in the international environment. At end-September 2024, the capital adequacy ratio of the banking sector stood at 21.85%, and leverage ratio (according to Basel III) at 10.57%, confirming the high solvency of the banking sector.</w:t>
      </w:r>
    </w:p>
    <w:p w14:paraId="20BB1566"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Banking sector liquidity reserves are more than sufficient to cover potential liquidity needs, as confirmed by all key liquidity indicators. At end-September 2024, the liquidity coverage ratio was 195.30%, and the net stable funding ratio 182.21%.</w:t>
      </w:r>
    </w:p>
    <w:p w14:paraId="44309B5C"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The banking sector maintained satisfactory profitability in 2024. Total net pre-tax profit achieved in the year to September amounted to RSD 143.01 billion, with profitability indicators of ROA at 3.11% and ROE at 22.26%.</w:t>
      </w:r>
    </w:p>
    <w:p w14:paraId="17C4DFD5"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Nine years after the adoption of the NPL Resolution Strategy, the NPL share in total gross loans decreased by 19.50 pp, amounting to 2.75% at end-September 2024. The gross NPL balance in the same period fell by 76.64% (from RSD 427.3 billion to RSD 99.8 billion). The NPL share in total corporate and household loans was 2.28% and 3.73%, respectively. The coverage of NPLs by allowances for impairment carried out in accordance with the IFRS amounted to 61.78% at end-September 2024.</w:t>
      </w:r>
    </w:p>
    <w:p w14:paraId="76CBA5D3"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lastRenderedPageBreak/>
        <w:t xml:space="preserve">The NBS regularly reviews the </w:t>
      </w:r>
      <w:r w:rsidRPr="00306071">
        <w:rPr>
          <w:rFonts w:eastAsia="Times New Roman" w:cs="Times New Roman"/>
          <w:b/>
          <w:bCs/>
          <w:i/>
          <w:iCs/>
          <w:sz w:val="22"/>
          <w:lang w:val="en-GB"/>
        </w:rPr>
        <w:t>capital buffer requirements</w:t>
      </w:r>
      <w:r w:rsidRPr="00306071">
        <w:rPr>
          <w:rFonts w:eastAsia="Times New Roman" w:cs="Times New Roman"/>
          <w:sz w:val="22"/>
          <w:lang w:val="en-GB"/>
        </w:rPr>
        <w:t xml:space="preserve"> aimed at mitigating systemic risks in the financial system of the Republic of Serbia. The most recent review of the systemic risk buffer took place in March 2024, when the NBS decided to maintain this buffer at 3% of a bank’s total FX and FX-indexed corporate and household loans. Capital buffer for systemically important banks is reviewed at least annually, and nine banks identified as systemically important for the Republic of Serbia are required to maintain this buffer as of 30 June 2024 (four banks at a rate of 2%, and the remaining five banks at a rate of 1%)</w:t>
      </w:r>
      <w:r w:rsidRPr="00306071">
        <w:rPr>
          <w:rFonts w:ascii="Tahoma" w:eastAsia="Times New Roman" w:hAnsi="Tahoma" w:cs="Tahoma"/>
          <w:sz w:val="17"/>
          <w:szCs w:val="17"/>
        </w:rPr>
        <w:footnoteReference w:id="5"/>
      </w:r>
      <w:r w:rsidRPr="00306071">
        <w:rPr>
          <w:rFonts w:eastAsia="Times New Roman" w:cs="Times New Roman"/>
          <w:sz w:val="22"/>
          <w:lang w:val="en-GB"/>
        </w:rPr>
        <w:t>. The countercyclical capital buffer (CCyB) rate for the Republic of Serbia is reviewed quarterly. On 12 September 2024, the NBS decided to maintain the CCyB rate at 0%, given that the share of total loans in GDP in Q2 2024 hovered around its long-term trend and that the credit-to-GDP gap remained below the 2 pp threshold needed for the introduction of CCyB. By keeping the CCyB rate at 0%, the NBS supports the lending market in an environment of persistently tight global financing conditions. In September 2024, banks allocated a total of RSD 199.3 billion of Common Equity Tier 1 capital, or 5.7% of risk-weighted assets, to maintain all prescribed capital buffer requirements.</w:t>
      </w:r>
    </w:p>
    <w:p w14:paraId="7DA5795F"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 xml:space="preserve">In November 2023, the NBS adopted the new </w:t>
      </w:r>
      <w:r w:rsidRPr="00306071">
        <w:rPr>
          <w:rFonts w:eastAsia="Times New Roman" w:cs="Times New Roman"/>
          <w:b/>
          <w:bCs/>
          <w:sz w:val="22"/>
          <w:lang w:val="en-GB"/>
        </w:rPr>
        <w:t>Decision on Liquidity Risk Management by Banks</w:t>
      </w:r>
      <w:r w:rsidRPr="00306071">
        <w:rPr>
          <w:rFonts w:eastAsia="Times New Roman" w:cs="Times New Roman"/>
          <w:sz w:val="22"/>
          <w:lang w:val="en-GB"/>
        </w:rPr>
        <w:t xml:space="preserve">, which introduced the net stable funding ratio (NSFR) and aligned the rules for calculating the existing liquidity coverage ratio (LCR) with changes in the EU. The existing indicators – liquidity ratio and narrow liquidity ratio of banks – were further adjusted. </w:t>
      </w:r>
    </w:p>
    <w:p w14:paraId="502E3D1A"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 xml:space="preserve">In this regard, the </w:t>
      </w:r>
      <w:r w:rsidRPr="00306071">
        <w:rPr>
          <w:rFonts w:eastAsia="Times New Roman" w:cs="Times New Roman"/>
          <w:b/>
          <w:bCs/>
          <w:sz w:val="22"/>
          <w:lang w:val="en-GB"/>
        </w:rPr>
        <w:t>Decision Amending the</w:t>
      </w:r>
      <w:r w:rsidRPr="00306071">
        <w:rPr>
          <w:rFonts w:eastAsia="Times New Roman" w:cs="Times New Roman"/>
          <w:b/>
          <w:bCs/>
          <w:color w:val="333333"/>
          <w:spacing w:val="15"/>
          <w:sz w:val="22"/>
          <w:lang w:val="en-GB"/>
        </w:rPr>
        <w:t xml:space="preserve"> </w:t>
      </w:r>
      <w:r w:rsidRPr="00306071">
        <w:rPr>
          <w:rFonts w:eastAsia="Times New Roman" w:cs="Times New Roman"/>
          <w:b/>
          <w:bCs/>
          <w:sz w:val="22"/>
          <w:lang w:val="en-GB"/>
        </w:rPr>
        <w:t>Decision on Reporting Requirements for Banks</w:t>
      </w:r>
      <w:r w:rsidRPr="00306071">
        <w:rPr>
          <w:rFonts w:eastAsia="Times New Roman" w:cs="Times New Roman"/>
          <w:sz w:val="22"/>
          <w:lang w:val="en-GB"/>
        </w:rPr>
        <w:t xml:space="preserve"> was adopted to implement the regulatory solutions from the Decision on Liquidity Risk Management by Banks through the reporting system. Specifically, new reports for calculating the NSFR were introduced, along with corresponding amendments to the existing reports required for LCR calculation and the daily liquidity ratio report. Both Decisions have been applied since 30 June 2024. </w:t>
      </w:r>
    </w:p>
    <w:p w14:paraId="18EAF793"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This established a comprehensive and modern legal framework for liquidity risk management in banks – in accordance with Basel standards and European regulations, while taking into account local specificities.</w:t>
      </w:r>
    </w:p>
    <w:p w14:paraId="09286FD0" w14:textId="77777777" w:rsidR="00306071" w:rsidRPr="00306071" w:rsidRDefault="00306071" w:rsidP="00306071">
      <w:pPr>
        <w:spacing w:line="276" w:lineRule="auto"/>
        <w:ind w:right="75"/>
        <w:rPr>
          <w:rFonts w:eastAsia="Times New Roman" w:cs="Times New Roman"/>
          <w:color w:val="333333"/>
          <w:spacing w:val="15"/>
          <w:sz w:val="22"/>
          <w:lang w:val="en-GB"/>
        </w:rPr>
      </w:pPr>
      <w:r w:rsidRPr="00306071">
        <w:rPr>
          <w:rFonts w:eastAsia="Times New Roman" w:cs="Times New Roman"/>
          <w:sz w:val="22"/>
          <w:lang w:val="en-GB"/>
        </w:rPr>
        <w:t xml:space="preserve">The NBS prepared the </w:t>
      </w:r>
      <w:r w:rsidRPr="00306071">
        <w:rPr>
          <w:rFonts w:eastAsia="Times New Roman" w:cs="Times New Roman"/>
          <w:b/>
          <w:bCs/>
          <w:sz w:val="22"/>
          <w:lang w:val="en-GB"/>
        </w:rPr>
        <w:t>Draft Law Amending the Law on Banks</w:t>
      </w:r>
      <w:r w:rsidRPr="00306071">
        <w:rPr>
          <w:rFonts w:eastAsia="Times New Roman" w:cs="Times New Roman"/>
          <w:sz w:val="22"/>
          <w:lang w:val="en-GB"/>
        </w:rPr>
        <w:t xml:space="preserve"> to further enhance and modernise the legal framework for the operation, supervision and resolution of banks</w:t>
      </w:r>
      <w:r w:rsidRPr="00306071">
        <w:rPr>
          <w:rFonts w:eastAsia="Times New Roman" w:cs="Times New Roman"/>
          <w:color w:val="333333"/>
          <w:spacing w:val="15"/>
          <w:sz w:val="22"/>
          <w:lang w:val="en-GB"/>
        </w:rPr>
        <w:t>.</w:t>
      </w:r>
    </w:p>
    <w:p w14:paraId="6F5634E2"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 xml:space="preserve">The most significant novelty is the establishment of the </w:t>
      </w:r>
      <w:r w:rsidRPr="00306071">
        <w:rPr>
          <w:rFonts w:eastAsia="Times New Roman" w:cs="Times New Roman"/>
          <w:b/>
          <w:bCs/>
          <w:sz w:val="22"/>
          <w:lang w:val="en-GB"/>
        </w:rPr>
        <w:t>Bank Resolution Fund</w:t>
      </w:r>
      <w:r w:rsidRPr="00306071">
        <w:rPr>
          <w:rFonts w:eastAsia="Times New Roman" w:cs="Times New Roman"/>
          <w:sz w:val="22"/>
          <w:lang w:val="en-GB"/>
        </w:rPr>
        <w:t>, which will be managed by the NBS. This protective mechanism ensures alignment with the Directive establishing a framework for the recovery and resolution of credit institutions and investment firms. Fund membership will be mandatory for all banks, which will, by paying contributions, directly ensure funds for financing potential bank resolution procedures, thereby reducing the risk of using taxpayer money for such purposes.</w:t>
      </w:r>
    </w:p>
    <w:p w14:paraId="5937B664"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 xml:space="preserve">Moreover, the </w:t>
      </w:r>
      <w:r w:rsidRPr="00306071">
        <w:rPr>
          <w:rFonts w:eastAsia="Times New Roman" w:cs="Times New Roman"/>
          <w:b/>
          <w:bCs/>
          <w:sz w:val="22"/>
          <w:lang w:val="en-GB"/>
        </w:rPr>
        <w:t xml:space="preserve">bank operational framework </w:t>
      </w:r>
      <w:r w:rsidRPr="00306071">
        <w:rPr>
          <w:rFonts w:eastAsia="Times New Roman" w:cs="Times New Roman"/>
          <w:sz w:val="22"/>
          <w:lang w:val="en-GB"/>
        </w:rPr>
        <w:t xml:space="preserve">will be further strengthened, primarily through more detailed regulation of corporate governance in banks (introducing the concept of key function holders in banks, additional condition related to the appointment and dismissal of managing board members, improving internal controls in banks) and the management of risks to which banks are exposed in their operations. Particular attention was also paid to relevant aspects of </w:t>
      </w:r>
      <w:r w:rsidRPr="00306071">
        <w:rPr>
          <w:rFonts w:eastAsia="Times New Roman" w:cs="Times New Roman"/>
          <w:b/>
          <w:bCs/>
          <w:sz w:val="22"/>
          <w:lang w:val="en-GB"/>
        </w:rPr>
        <w:t>money laundering and terrorist financing risk management</w:t>
      </w:r>
      <w:r w:rsidRPr="00306071">
        <w:rPr>
          <w:rFonts w:eastAsia="Times New Roman" w:cs="Times New Roman"/>
          <w:sz w:val="22"/>
          <w:lang w:val="en-GB"/>
        </w:rPr>
        <w:t>.</w:t>
      </w:r>
    </w:p>
    <w:p w14:paraId="495CF092"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 xml:space="preserve">The NBS </w:t>
      </w:r>
      <w:r w:rsidRPr="00306071">
        <w:rPr>
          <w:rFonts w:eastAsia="Times New Roman" w:cs="Times New Roman"/>
          <w:b/>
          <w:bCs/>
          <w:sz w:val="22"/>
          <w:lang w:val="en-GB"/>
        </w:rPr>
        <w:t>supervisory function is also being modernised</w:t>
      </w:r>
      <w:r w:rsidRPr="00306071">
        <w:rPr>
          <w:rFonts w:eastAsia="Times New Roman" w:cs="Times New Roman"/>
          <w:sz w:val="22"/>
          <w:lang w:val="en-GB"/>
        </w:rPr>
        <w:t xml:space="preserve">, especially by introducing the possibility of concluding the so-called supervision agreements between the NBS and banks, particularly in situations </w:t>
      </w:r>
      <w:r w:rsidRPr="00306071">
        <w:rPr>
          <w:rFonts w:eastAsia="Times New Roman" w:cs="Times New Roman"/>
          <w:sz w:val="22"/>
          <w:lang w:val="en-GB"/>
        </w:rPr>
        <w:lastRenderedPageBreak/>
        <w:t>requiring a swift response to address irregularities, especially those causing or contributing to material losses for consumers. Supervision in the form of mystery shopping is also regulated, allowing NBS supervisors to gain insight into how banks apply regulations governing banking services concerning consumers. The framework for fines for banks and members of their executive and managing boards has been upgraded, and the disclosure of measures imposed during supervisory procedures has been regulated.</w:t>
      </w:r>
    </w:p>
    <w:p w14:paraId="0D85ED81"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A public debate about the Draft Law Amending the Law on Banks was carried out, and the adoption of the proposed amendments is expected by the end of 2024.</w:t>
      </w:r>
    </w:p>
    <w:p w14:paraId="65F526E2" w14:textId="77777777" w:rsidR="00306071" w:rsidRPr="00306071" w:rsidRDefault="00306071" w:rsidP="00306071">
      <w:pPr>
        <w:spacing w:line="276" w:lineRule="auto"/>
        <w:ind w:right="75"/>
        <w:rPr>
          <w:rFonts w:eastAsia="Times New Roman" w:cs="Times New Roman"/>
          <w:sz w:val="22"/>
          <w:lang w:val="en-GB"/>
        </w:rPr>
      </w:pPr>
      <w:r w:rsidRPr="00306071">
        <w:rPr>
          <w:rFonts w:eastAsia="Times New Roman" w:cs="Times New Roman"/>
          <w:sz w:val="22"/>
          <w:lang w:val="en-GB"/>
        </w:rPr>
        <w:t>By adopting the proposed amendments to the Law on Banks, the process of harmonising domestic legislation with EU regulations will continue, completing an efficient and effective bank resolution framework, aligning the legal framework for bank operations with actual needs and practical experience, and significantly enhancing the NBS supervisory function by expanding the range of supervisory instruments available.</w:t>
      </w:r>
    </w:p>
    <w:p w14:paraId="08E18EB6" w14:textId="77777777" w:rsidR="00306071" w:rsidRPr="00306071" w:rsidRDefault="00306071" w:rsidP="00306071">
      <w:pPr>
        <w:spacing w:line="276" w:lineRule="auto"/>
        <w:rPr>
          <w:rFonts w:eastAsia="Times New Roman" w:cs="Times New Roman"/>
          <w:sz w:val="22"/>
          <w:lang w:val="en-GB"/>
        </w:rPr>
      </w:pPr>
      <w:r w:rsidRPr="00306071">
        <w:rPr>
          <w:rFonts w:eastAsia="Times New Roman" w:cs="Times New Roman"/>
          <w:sz w:val="22"/>
          <w:lang w:val="en-GB"/>
        </w:rPr>
        <w:t xml:space="preserve">By establishing the </w:t>
      </w:r>
      <w:r w:rsidRPr="00306071">
        <w:rPr>
          <w:rFonts w:eastAsia="Times New Roman" w:cs="Times New Roman"/>
          <w:b/>
          <w:bCs/>
          <w:sz w:val="22"/>
          <w:lang w:val="en-GB"/>
        </w:rPr>
        <w:t>instant payments system</w:t>
      </w:r>
      <w:r w:rsidRPr="00306071">
        <w:rPr>
          <w:rFonts w:eastAsia="Times New Roman" w:cs="Times New Roman"/>
          <w:sz w:val="22"/>
          <w:lang w:val="en-GB"/>
        </w:rPr>
        <w:t xml:space="preserve"> – the NBS IPS system, the NBS has enabled retail payments to be executed in real time, 24/7/365. Alongside developing the infrastructure for accepting instant payments at merchants’ points of sale – via cash registers, fiscal software, merchant mobile applications, POS terminals, and online sales platforms, the NBS has enhanced the online instant payment service by implementing deep link technology. This allows customers to complete the entire purchasing process using only one device (e.g. a mobile phone) without leaving sensitive payment instrument data online. Bill/invoice payments have been simplified by scanning the NBS IPS QR code on bills/invoices, eliminating the need to visit a bank – a feature that proved particularly effective during the pandemic. Since September 2021, banks can offer their customers the new “Transfer” service, within m-banking applications, enabling citizens to send money to a recipient’s account in a simple, fast and safe way, using just their mobile phone number. Instant payment of fees for public administration services has also been enabled through the eGovernment portal by scanning the NBS IPS QR code on unique payment slips, contributing to the digitalisation of the public administration and improving the efficiency of public services.</w:t>
      </w:r>
    </w:p>
    <w:p w14:paraId="502C9117" w14:textId="77777777" w:rsidR="00306071" w:rsidRPr="00306071" w:rsidRDefault="00306071" w:rsidP="00306071">
      <w:pPr>
        <w:spacing w:line="276" w:lineRule="auto"/>
        <w:rPr>
          <w:rFonts w:eastAsia="Times New Roman" w:cs="Times New Roman"/>
          <w:sz w:val="22"/>
          <w:lang w:val="en-GB"/>
        </w:rPr>
      </w:pPr>
      <w:r w:rsidRPr="00306071">
        <w:rPr>
          <w:rFonts w:eastAsia="Times New Roman" w:cs="Times New Roman"/>
          <w:sz w:val="22"/>
          <w:lang w:val="en-GB"/>
        </w:rPr>
        <w:t xml:space="preserve">With the development of the new payment infrastructure based on instant payments, non-bank payment service providers are enabled to participate in the NBS IPS system and offer instant payment services, fostering competition in the payment services market. </w:t>
      </w:r>
    </w:p>
    <w:p w14:paraId="58C7094E" w14:textId="77777777" w:rsidR="00306071" w:rsidRPr="00306071" w:rsidRDefault="00306071" w:rsidP="00306071">
      <w:pPr>
        <w:spacing w:line="276" w:lineRule="auto"/>
        <w:rPr>
          <w:rFonts w:eastAsia="Times New Roman" w:cs="Times New Roman"/>
          <w:sz w:val="22"/>
          <w:lang w:val="en-GB"/>
        </w:rPr>
      </w:pPr>
      <w:r w:rsidRPr="00306071">
        <w:rPr>
          <w:rFonts w:eastAsia="Times New Roman" w:cs="Times New Roman"/>
          <w:sz w:val="22"/>
          <w:lang w:val="en-GB"/>
        </w:rPr>
        <w:t xml:space="preserve">As part of the activities to meet the criteria for joining the Single Euro Payments Area (SEPA), the NBS fully transposed the Payment Services Directive 2 (PSD2) into national legislation with amendments to the </w:t>
      </w:r>
      <w:r w:rsidRPr="00306071">
        <w:rPr>
          <w:rFonts w:eastAsia="Times New Roman" w:cs="Times New Roman"/>
          <w:b/>
          <w:bCs/>
          <w:sz w:val="22"/>
          <w:lang w:val="en-GB"/>
        </w:rPr>
        <w:t>Law on Payment Services</w:t>
      </w:r>
      <w:r w:rsidRPr="00306071">
        <w:rPr>
          <w:rFonts w:eastAsia="Times New Roman" w:cs="Times New Roman"/>
          <w:sz w:val="22"/>
          <w:lang w:val="en-GB"/>
        </w:rPr>
        <w:t xml:space="preserve">, adopted on 31 July 2024 and effective as of 8 August 2024. It also adopted the Decision on Special Requirements for Credit Transfers and Direct Debits in Euro (RS Official Gazette, No 68/2024), implementing Article 5 and Annex of Regulation (EU) No 260/2012. </w:t>
      </w:r>
    </w:p>
    <w:p w14:paraId="66BCC907" w14:textId="77777777" w:rsidR="00306071" w:rsidRPr="00306071" w:rsidRDefault="00306071" w:rsidP="00306071">
      <w:pPr>
        <w:spacing w:line="276" w:lineRule="auto"/>
        <w:rPr>
          <w:rFonts w:eastAsia="Times New Roman" w:cs="Times New Roman"/>
          <w:sz w:val="22"/>
          <w:lang w:val="en-GB"/>
        </w:rPr>
      </w:pPr>
      <w:r w:rsidRPr="00306071">
        <w:rPr>
          <w:rFonts w:eastAsia="Times New Roman" w:cs="Times New Roman"/>
          <w:sz w:val="22"/>
          <w:lang w:val="en-GB"/>
        </w:rPr>
        <w:t xml:space="preserve">Furthermore, on 14 August 2024, the NBS submitted the Draft Application for the Accession of the Republic of Serbia to the Single Euro Payments Area – SEPA to the European Commission’s Directorate-General for Financial Stability, Financial Services and Capital Markets Union (DG FISMA), followed by a submission to the European Payments Council on 23 August to obtain a preliminary opinion. The Draft Application contains comprehensive information showing that Serbia meets the criteria prescribed by the European Payments Council document “Criteria for the extension of the SEPA geographical scope”. </w:t>
      </w:r>
    </w:p>
    <w:p w14:paraId="73790D9F" w14:textId="77777777" w:rsidR="00306071" w:rsidRPr="00306071" w:rsidRDefault="00306071" w:rsidP="00306071">
      <w:pPr>
        <w:spacing w:line="276" w:lineRule="auto"/>
        <w:rPr>
          <w:rFonts w:eastAsia="Times New Roman" w:cs="Times New Roman"/>
          <w:sz w:val="22"/>
          <w:lang w:val="en-GB"/>
        </w:rPr>
      </w:pPr>
      <w:r w:rsidRPr="00306071">
        <w:rPr>
          <w:rFonts w:eastAsia="Times New Roman" w:cs="Times New Roman"/>
          <w:sz w:val="22"/>
          <w:lang w:val="en-GB"/>
        </w:rPr>
        <w:t>The NBS plans to submit a formal (complete) application to the European Payments Council no later than the end of Q1 2025.</w:t>
      </w:r>
    </w:p>
    <w:p w14:paraId="19BFE05C" w14:textId="6DF8EACC" w:rsidR="001D58B7" w:rsidRPr="00306071" w:rsidRDefault="00306071" w:rsidP="00306071">
      <w:pPr>
        <w:spacing w:line="276" w:lineRule="auto"/>
        <w:rPr>
          <w:rFonts w:eastAsia="Times New Roman" w:cs="Times New Roman"/>
          <w:sz w:val="22"/>
          <w:lang w:val="en-GB"/>
        </w:rPr>
      </w:pPr>
      <w:r w:rsidRPr="00306071">
        <w:rPr>
          <w:rFonts w:eastAsia="Times New Roman" w:cs="Times New Roman"/>
          <w:sz w:val="22"/>
          <w:lang w:val="en-GB"/>
        </w:rPr>
        <w:lastRenderedPageBreak/>
        <w:t xml:space="preserve">Keeping abreast with global trends, Serbia adopted </w:t>
      </w:r>
      <w:r w:rsidRPr="00306071">
        <w:rPr>
          <w:rFonts w:eastAsia="Times New Roman" w:cs="Times New Roman"/>
          <w:b/>
          <w:bCs/>
          <w:sz w:val="22"/>
          <w:lang w:val="en-GB"/>
        </w:rPr>
        <w:t>the Law on Digital Assets</w:t>
      </w:r>
      <w:r w:rsidRPr="00306071">
        <w:rPr>
          <w:rFonts w:eastAsia="Times New Roman" w:cs="Times New Roman"/>
          <w:sz w:val="22"/>
          <w:lang w:val="en-GB"/>
        </w:rPr>
        <w:t>, which regulates the issuance and secondary trading of digital assets, including the operation of platforms for trading virtual currencies and their exchange for money. Since the start of application of the Law – 29 June 2021, the NBS has issued two licences to provide digital asset services. Currently, two licensed digital asset service providers operate in Serbia.</w:t>
      </w:r>
    </w:p>
    <w:p w14:paraId="159A369E" w14:textId="7D36F0D6" w:rsidR="004240F0" w:rsidRPr="00B35062" w:rsidRDefault="004240F0" w:rsidP="004240F0">
      <w:pPr>
        <w:pStyle w:val="Heading11"/>
        <w:spacing w:before="180" w:after="180"/>
        <w:rPr>
          <w:rFonts w:ascii="Times New Roman" w:hAnsi="Times New Roman" w:cs="Times New Roman"/>
          <w:color w:val="auto"/>
          <w:sz w:val="24"/>
          <w:szCs w:val="24"/>
          <w:lang w:val="sr-Latn-RS"/>
        </w:rPr>
      </w:pPr>
      <w:bookmarkStart w:id="14" w:name="_Toc185342330"/>
      <w:bookmarkStart w:id="15" w:name="_Toc192759974"/>
      <w:bookmarkEnd w:id="0"/>
      <w:bookmarkEnd w:id="1"/>
      <w:bookmarkEnd w:id="12"/>
      <w:r w:rsidRPr="00B35062">
        <w:rPr>
          <w:rFonts w:ascii="Times New Roman" w:hAnsi="Times New Roman" w:cs="Times New Roman"/>
          <w:color w:val="auto"/>
          <w:sz w:val="24"/>
          <w:szCs w:val="24"/>
          <w:lang w:val="sr-Latn-RS"/>
        </w:rPr>
        <w:t>3.3. MEDIUM-TERM MACROECONOMIC SCENARIO</w:t>
      </w:r>
      <w:bookmarkEnd w:id="14"/>
      <w:bookmarkEnd w:id="15"/>
    </w:p>
    <w:p w14:paraId="582E14C1" w14:textId="77777777" w:rsidR="004240F0" w:rsidRDefault="004240F0" w:rsidP="004240F0">
      <w:pPr>
        <w:rPr>
          <w:rFonts w:cs="Times New Roman"/>
          <w:bCs/>
          <w:szCs w:val="24"/>
          <w:lang w:val="sr-Cyrl-RS"/>
        </w:rPr>
      </w:pPr>
      <w:r w:rsidRPr="000459AB">
        <w:rPr>
          <w:rFonts w:cs="Times New Roman"/>
          <w:bCs/>
          <w:szCs w:val="24"/>
          <w:lang w:val="sr-Cyrl-RS"/>
        </w:rPr>
        <w:t>The expected medium-term trends in the real sector take into account current economic trends and prospects for Serbia and the international environment. The government will continue to pursue a responsible and predictable fiscal policy, synchronized with monetary policy, focusing on minimizing the negative economic consequences of increased geopolitical tensions while also identifying new sources of growth. This three-year scenario reaffirms the government's commitment to preserving the economic growth model based on investments and exports, which is supported by the growth of private consumption and the further improvement of living standards.</w:t>
      </w:r>
    </w:p>
    <w:p w14:paraId="7ADF0348" w14:textId="77777777" w:rsidR="004240F0" w:rsidRDefault="004240F0" w:rsidP="004240F0">
      <w:pPr>
        <w:rPr>
          <w:rFonts w:cs="Times New Roman"/>
          <w:bCs/>
          <w:szCs w:val="24"/>
          <w:lang w:val="sr-Cyrl-RS"/>
        </w:rPr>
      </w:pPr>
      <w:r w:rsidRPr="00BE74AD">
        <w:rPr>
          <w:rFonts w:cs="Times New Roman"/>
          <w:bCs/>
          <w:szCs w:val="24"/>
          <w:lang w:val="sr-Cyrl-RS"/>
        </w:rPr>
        <w:t>According to the medium-term macroeconomic projection, the cumulative growth rate in the period from 2025 to 2027 will be 13.7%. Economic growth will be determined by the growth of domestic demand, with a slightly negative contribution from net exports. This source of growth is determined by both the strong continuation of the investment cycle and the growth of investment activity, as well as the increase in private household consumption due to the growth of real disposable income. On average, the Serbian economy will grow at a rate of 4.4%</w:t>
      </w:r>
      <w:r>
        <w:rPr>
          <w:rFonts w:cs="Times New Roman"/>
          <w:bCs/>
          <w:szCs w:val="24"/>
          <w:lang w:val="sr-Latn-RS"/>
        </w:rPr>
        <w:t xml:space="preserve"> annualy</w:t>
      </w:r>
      <w:r w:rsidRPr="00BE74AD">
        <w:rPr>
          <w:rFonts w:cs="Times New Roman"/>
          <w:bCs/>
          <w:szCs w:val="24"/>
          <w:lang w:val="sr-Cyrl-RS"/>
        </w:rPr>
        <w:t>. The increase in real household consumption will follow the growth of economic activity and will average 3.4%. Stable growth in fixed investments is expected, averaging 7.4% per year. The high level of public investment will be accompanied by the growt</w:t>
      </w:r>
      <w:r>
        <w:rPr>
          <w:rFonts w:cs="Times New Roman"/>
          <w:bCs/>
          <w:szCs w:val="24"/>
          <w:lang w:val="sr-Cyrl-RS"/>
        </w:rPr>
        <w:t>h of private investment, so</w:t>
      </w:r>
      <w:r w:rsidRPr="00BE74AD">
        <w:rPr>
          <w:rFonts w:cs="Times New Roman"/>
          <w:bCs/>
          <w:szCs w:val="24"/>
          <w:lang w:val="sr-Cyrl-RS"/>
        </w:rPr>
        <w:t xml:space="preserve"> the share of fixed investment in GDP is expected to be 26.5%.</w:t>
      </w:r>
      <w:r w:rsidRPr="00BE74AD">
        <w:t xml:space="preserve"> </w:t>
      </w:r>
      <w:r w:rsidRPr="00BE74AD">
        <w:rPr>
          <w:rFonts w:cs="Times New Roman"/>
          <w:bCs/>
          <w:szCs w:val="24"/>
          <w:lang w:val="sr-Cyrl-RS"/>
        </w:rPr>
        <w:t>at the end of the projection period</w:t>
      </w:r>
      <w:r>
        <w:rPr>
          <w:rFonts w:cs="Times New Roman"/>
          <w:bCs/>
          <w:szCs w:val="24"/>
          <w:lang w:val="sr-Latn-RS"/>
        </w:rPr>
        <w:t>.</w:t>
      </w:r>
      <w:r w:rsidRPr="00BE74AD">
        <w:rPr>
          <w:rFonts w:cs="Times New Roman"/>
          <w:bCs/>
          <w:szCs w:val="24"/>
          <w:lang w:val="sr-Cyrl-RS"/>
        </w:rPr>
        <w:t xml:space="preserve"> With the activation of new production capacities and the recovery of external demand, the volume of foreign trade will also increase. In addition, the implementation of FDI from the previous period will contribute to increased competition and affect the efficiency of domestic producers, while on the other hand, new sales channels will be activated and new market niches will be opened. Exports will grow at an average annual rate of 7.6%, which is faster than the expected annual growth of imports, which will average 6.9%, but due to the higher share of imports, the contribution of net exports to GDP growth will be slightly negative.</w:t>
      </w:r>
    </w:p>
    <w:p w14:paraId="18201E64" w14:textId="77777777" w:rsidR="004240F0" w:rsidRPr="000459AB" w:rsidRDefault="004240F0" w:rsidP="004240F0">
      <w:pPr>
        <w:rPr>
          <w:rFonts w:eastAsia="Calibri" w:cs="Times New Roman"/>
          <w:bCs/>
          <w:i/>
          <w:szCs w:val="24"/>
          <w:lang w:val="sr-Cyrl-RS"/>
        </w:rPr>
      </w:pPr>
      <w:r w:rsidRPr="000459AB">
        <w:rPr>
          <w:rFonts w:eastAsia="Calibri" w:cs="Times New Roman"/>
          <w:bCs/>
          <w:i/>
          <w:szCs w:val="24"/>
          <w:lang w:val="sr-Latn-RS"/>
        </w:rPr>
        <w:t>Table</w:t>
      </w:r>
      <w:r w:rsidRPr="000459AB">
        <w:rPr>
          <w:rFonts w:eastAsia="Calibri" w:cs="Times New Roman"/>
          <w:bCs/>
          <w:i/>
          <w:szCs w:val="24"/>
          <w:lang w:val="sr-Cyrl-RS"/>
        </w:rPr>
        <w:t xml:space="preserve"> 2. Projection of key macroeconomic indicators of the Republic of Serbia </w:t>
      </w:r>
      <w:r w:rsidRPr="000459AB">
        <w:rPr>
          <w:rFonts w:eastAsia="Calibri" w:cs="Times New Roman"/>
          <w:bCs/>
          <w:i/>
          <w:szCs w:val="24"/>
          <w:lang w:val="sr-Cyrl-RS"/>
        </w:rPr>
        <w:fldChar w:fldCharType="begin"/>
      </w:r>
      <w:r w:rsidRPr="000459AB">
        <w:rPr>
          <w:rFonts w:eastAsia="Calibri" w:cs="Times New Roman"/>
          <w:bCs/>
          <w:i/>
          <w:szCs w:val="24"/>
          <w:lang w:val="sr-Cyrl-RS"/>
        </w:rPr>
        <w:instrText xml:space="preserve"> LINK Excel.Sheet.12 "Book1" "Sheet1!R1C2:R10C7" \a \f 5 \h  \* MERGEFORMAT </w:instrText>
      </w:r>
      <w:r w:rsidRPr="000459AB">
        <w:rPr>
          <w:rFonts w:eastAsia="Calibri" w:cs="Times New Roman"/>
          <w:bCs/>
          <w:i/>
          <w:szCs w:val="24"/>
          <w:lang w:val="sr-Cyrl-RS"/>
        </w:rPr>
        <w:fldChar w:fldCharType="separate"/>
      </w:r>
    </w:p>
    <w:tbl>
      <w:tblPr>
        <w:tblStyle w:val="TableGrid"/>
        <w:tblW w:w="8607" w:type="dxa"/>
        <w:tblLook w:val="04A0" w:firstRow="1" w:lastRow="0" w:firstColumn="1" w:lastColumn="0" w:noHBand="0" w:noVBand="1"/>
      </w:tblPr>
      <w:tblGrid>
        <w:gridCol w:w="2901"/>
        <w:gridCol w:w="1296"/>
        <w:gridCol w:w="861"/>
        <w:gridCol w:w="1182"/>
        <w:gridCol w:w="1182"/>
        <w:gridCol w:w="1185"/>
      </w:tblGrid>
      <w:tr w:rsidR="004240F0" w:rsidRPr="000459AB" w14:paraId="7B537BB6" w14:textId="77777777" w:rsidTr="00161B7E">
        <w:trPr>
          <w:cnfStyle w:val="100000000000" w:firstRow="1" w:lastRow="0" w:firstColumn="0" w:lastColumn="0" w:oddVBand="0" w:evenVBand="0" w:oddHBand="0" w:evenHBand="0" w:firstRowFirstColumn="0" w:firstRowLastColumn="0" w:lastRowFirstColumn="0" w:lastRowLastColumn="0"/>
          <w:trHeight w:val="147"/>
        </w:trPr>
        <w:tc>
          <w:tcPr>
            <w:tcW w:w="2901" w:type="dxa"/>
            <w:vMerge w:val="restart"/>
            <w:hideMark/>
          </w:tcPr>
          <w:p w14:paraId="233AA697" w14:textId="77777777" w:rsidR="004240F0" w:rsidRPr="000459AB" w:rsidRDefault="004240F0" w:rsidP="00161B7E">
            <w:pPr>
              <w:spacing w:before="0" w:after="0"/>
              <w:ind w:left="0" w:right="0"/>
              <w:rPr>
                <w:rFonts w:eastAsia="Calibri" w:cs="Times New Roman"/>
                <w:bCs/>
                <w:szCs w:val="24"/>
              </w:rPr>
            </w:pPr>
            <w:r w:rsidRPr="000459AB">
              <w:rPr>
                <w:rFonts w:eastAsia="Calibri" w:cs="Times New Roman"/>
                <w:bCs/>
                <w:szCs w:val="24"/>
                <w:lang w:val="sr-Cyrl-RS"/>
              </w:rPr>
              <w:t> </w:t>
            </w:r>
          </w:p>
        </w:tc>
        <w:tc>
          <w:tcPr>
            <w:tcW w:w="1296" w:type="dxa"/>
            <w:hideMark/>
          </w:tcPr>
          <w:p w14:paraId="1C15B48B" w14:textId="77777777" w:rsidR="004240F0" w:rsidRPr="000459AB" w:rsidRDefault="004240F0" w:rsidP="00161B7E">
            <w:pPr>
              <w:spacing w:before="0" w:after="0"/>
              <w:ind w:left="0" w:right="0"/>
              <w:jc w:val="center"/>
              <w:rPr>
                <w:rFonts w:eastAsia="Calibri" w:cs="Times New Roman"/>
                <w:bCs/>
                <w:szCs w:val="24"/>
                <w:lang w:val="sr-Latn-RS"/>
              </w:rPr>
            </w:pPr>
            <w:r w:rsidRPr="000459AB">
              <w:rPr>
                <w:rFonts w:eastAsia="Calibri" w:cs="Times New Roman"/>
                <w:bCs/>
                <w:szCs w:val="24"/>
                <w:lang w:val="sr-Latn-RS"/>
              </w:rPr>
              <w:t>Estimate</w:t>
            </w:r>
          </w:p>
        </w:tc>
        <w:tc>
          <w:tcPr>
            <w:tcW w:w="861" w:type="dxa"/>
            <w:vMerge w:val="restart"/>
            <w:hideMark/>
          </w:tcPr>
          <w:p w14:paraId="07BBE921" w14:textId="77777777" w:rsidR="004240F0" w:rsidRPr="000459AB" w:rsidRDefault="004240F0" w:rsidP="00161B7E">
            <w:pPr>
              <w:spacing w:before="0" w:after="0"/>
              <w:ind w:left="0" w:right="0"/>
              <w:rPr>
                <w:rFonts w:eastAsia="Calibri" w:cs="Times New Roman"/>
                <w:b w:val="0"/>
                <w:bCs/>
                <w:szCs w:val="24"/>
              </w:rPr>
            </w:pPr>
            <w:r w:rsidRPr="000459AB">
              <w:rPr>
                <w:rFonts w:eastAsia="Calibri" w:cs="Times New Roman"/>
                <w:bCs/>
                <w:szCs w:val="24"/>
                <w:lang w:val="sr-Cyrl-RS"/>
              </w:rPr>
              <w:t> </w:t>
            </w:r>
          </w:p>
          <w:p w14:paraId="4EEB460B"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 </w:t>
            </w:r>
          </w:p>
          <w:p w14:paraId="32EAF089"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 </w:t>
            </w:r>
          </w:p>
          <w:p w14:paraId="7A1A77C1"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 </w:t>
            </w:r>
          </w:p>
          <w:p w14:paraId="64712BF6"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 </w:t>
            </w:r>
          </w:p>
          <w:p w14:paraId="64B05827"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 </w:t>
            </w:r>
          </w:p>
          <w:p w14:paraId="5C32BD90"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 </w:t>
            </w:r>
          </w:p>
          <w:p w14:paraId="219F1EA6"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 </w:t>
            </w:r>
          </w:p>
          <w:p w14:paraId="706777E8"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 </w:t>
            </w:r>
          </w:p>
        </w:tc>
        <w:tc>
          <w:tcPr>
            <w:tcW w:w="3549" w:type="dxa"/>
            <w:gridSpan w:val="3"/>
            <w:hideMark/>
          </w:tcPr>
          <w:p w14:paraId="4C6FE290" w14:textId="77777777" w:rsidR="004240F0" w:rsidRPr="000459AB" w:rsidRDefault="004240F0" w:rsidP="00161B7E">
            <w:pPr>
              <w:spacing w:before="0" w:after="0"/>
              <w:ind w:left="0" w:right="0"/>
              <w:jc w:val="center"/>
              <w:rPr>
                <w:rFonts w:eastAsia="Calibri" w:cs="Times New Roman"/>
                <w:bCs/>
                <w:szCs w:val="24"/>
                <w:lang w:val="sr-Latn-RS"/>
              </w:rPr>
            </w:pPr>
            <w:r w:rsidRPr="000459AB">
              <w:rPr>
                <w:rFonts w:eastAsia="Calibri" w:cs="Times New Roman"/>
                <w:bCs/>
                <w:szCs w:val="24"/>
                <w:lang w:val="sr-Latn-RS"/>
              </w:rPr>
              <w:t>Projections</w:t>
            </w:r>
          </w:p>
        </w:tc>
      </w:tr>
      <w:tr w:rsidR="004240F0" w:rsidRPr="000459AB" w14:paraId="6524405E" w14:textId="77777777" w:rsidTr="00161B7E">
        <w:trPr>
          <w:trHeight w:val="147"/>
        </w:trPr>
        <w:tc>
          <w:tcPr>
            <w:tcW w:w="2901" w:type="dxa"/>
            <w:vMerge/>
            <w:hideMark/>
          </w:tcPr>
          <w:p w14:paraId="4CBDE74F" w14:textId="77777777" w:rsidR="004240F0" w:rsidRPr="000459AB" w:rsidRDefault="004240F0" w:rsidP="00161B7E">
            <w:pPr>
              <w:spacing w:before="0" w:after="0"/>
              <w:ind w:left="0" w:right="0"/>
              <w:rPr>
                <w:rFonts w:eastAsia="Calibri" w:cs="Times New Roman"/>
                <w:bCs/>
                <w:szCs w:val="24"/>
              </w:rPr>
            </w:pPr>
          </w:p>
        </w:tc>
        <w:tc>
          <w:tcPr>
            <w:tcW w:w="1296" w:type="dxa"/>
            <w:hideMark/>
          </w:tcPr>
          <w:p w14:paraId="2C5F94A5" w14:textId="77777777" w:rsidR="004240F0" w:rsidRPr="000459AB" w:rsidRDefault="004240F0" w:rsidP="00161B7E">
            <w:pPr>
              <w:spacing w:before="0" w:after="0"/>
              <w:ind w:left="0" w:right="0"/>
              <w:jc w:val="center"/>
              <w:rPr>
                <w:rFonts w:eastAsia="Calibri" w:cs="Times New Roman"/>
                <w:bCs/>
                <w:szCs w:val="24"/>
              </w:rPr>
            </w:pPr>
            <w:r w:rsidRPr="000459AB">
              <w:rPr>
                <w:rFonts w:eastAsia="Calibri" w:cs="Times New Roman"/>
                <w:bCs/>
                <w:szCs w:val="24"/>
                <w:lang w:val="sr-Cyrl-RS"/>
              </w:rPr>
              <w:t>2024</w:t>
            </w:r>
          </w:p>
        </w:tc>
        <w:tc>
          <w:tcPr>
            <w:tcW w:w="861" w:type="dxa"/>
            <w:vMerge/>
            <w:hideMark/>
          </w:tcPr>
          <w:p w14:paraId="69D65AB3" w14:textId="77777777" w:rsidR="004240F0" w:rsidRPr="000459AB" w:rsidRDefault="004240F0" w:rsidP="00161B7E">
            <w:pPr>
              <w:spacing w:before="0" w:after="0"/>
              <w:ind w:left="0" w:right="0"/>
              <w:jc w:val="right"/>
              <w:rPr>
                <w:rFonts w:eastAsia="Calibri" w:cs="Times New Roman"/>
                <w:bCs/>
                <w:szCs w:val="24"/>
              </w:rPr>
            </w:pPr>
          </w:p>
        </w:tc>
        <w:tc>
          <w:tcPr>
            <w:tcW w:w="1182" w:type="dxa"/>
            <w:hideMark/>
          </w:tcPr>
          <w:p w14:paraId="5F628048" w14:textId="77777777" w:rsidR="004240F0" w:rsidRPr="000459AB" w:rsidRDefault="004240F0" w:rsidP="00161B7E">
            <w:pPr>
              <w:spacing w:before="0" w:after="0"/>
              <w:ind w:left="0" w:right="0"/>
              <w:jc w:val="center"/>
              <w:rPr>
                <w:rFonts w:eastAsia="Calibri" w:cs="Times New Roman"/>
                <w:bCs/>
                <w:szCs w:val="24"/>
              </w:rPr>
            </w:pPr>
            <w:r w:rsidRPr="000459AB">
              <w:rPr>
                <w:rFonts w:eastAsia="Calibri" w:cs="Times New Roman"/>
                <w:bCs/>
                <w:szCs w:val="24"/>
                <w:lang w:val="sr-Cyrl-RS"/>
              </w:rPr>
              <w:t>2025</w:t>
            </w:r>
          </w:p>
        </w:tc>
        <w:tc>
          <w:tcPr>
            <w:tcW w:w="1182" w:type="dxa"/>
            <w:hideMark/>
          </w:tcPr>
          <w:p w14:paraId="60E042A4" w14:textId="77777777" w:rsidR="004240F0" w:rsidRPr="000459AB" w:rsidRDefault="004240F0" w:rsidP="00161B7E">
            <w:pPr>
              <w:spacing w:before="0" w:after="0"/>
              <w:ind w:left="0" w:right="0"/>
              <w:jc w:val="center"/>
              <w:rPr>
                <w:rFonts w:eastAsia="Calibri" w:cs="Times New Roman"/>
                <w:bCs/>
                <w:szCs w:val="24"/>
              </w:rPr>
            </w:pPr>
            <w:r w:rsidRPr="000459AB">
              <w:rPr>
                <w:rFonts w:eastAsia="Calibri" w:cs="Times New Roman"/>
                <w:bCs/>
                <w:szCs w:val="24"/>
                <w:lang w:val="sr-Cyrl-RS"/>
              </w:rPr>
              <w:t>2026</w:t>
            </w:r>
          </w:p>
        </w:tc>
        <w:tc>
          <w:tcPr>
            <w:tcW w:w="1183" w:type="dxa"/>
            <w:hideMark/>
          </w:tcPr>
          <w:p w14:paraId="16696A6B" w14:textId="77777777" w:rsidR="004240F0" w:rsidRPr="000459AB" w:rsidRDefault="004240F0" w:rsidP="00161B7E">
            <w:pPr>
              <w:spacing w:before="0" w:after="0"/>
              <w:ind w:left="0" w:right="0"/>
              <w:jc w:val="center"/>
              <w:rPr>
                <w:rFonts w:eastAsia="Calibri" w:cs="Times New Roman"/>
                <w:bCs/>
                <w:szCs w:val="24"/>
              </w:rPr>
            </w:pPr>
            <w:r w:rsidRPr="000459AB">
              <w:rPr>
                <w:rFonts w:eastAsia="Calibri" w:cs="Times New Roman"/>
                <w:bCs/>
                <w:szCs w:val="24"/>
                <w:lang w:val="sr-Cyrl-RS"/>
              </w:rPr>
              <w:t>2027</w:t>
            </w:r>
          </w:p>
        </w:tc>
      </w:tr>
      <w:tr w:rsidR="004240F0" w:rsidRPr="000459AB" w14:paraId="2D4DFEA2" w14:textId="77777777" w:rsidTr="00161B7E">
        <w:trPr>
          <w:trHeight w:val="273"/>
        </w:trPr>
        <w:tc>
          <w:tcPr>
            <w:tcW w:w="2901" w:type="dxa"/>
            <w:hideMark/>
          </w:tcPr>
          <w:p w14:paraId="3AC64A83" w14:textId="77777777" w:rsidR="004240F0" w:rsidRPr="000459AB" w:rsidRDefault="004240F0" w:rsidP="00161B7E">
            <w:pPr>
              <w:spacing w:before="0" w:after="0"/>
              <w:ind w:left="0" w:right="0"/>
              <w:jc w:val="left"/>
              <w:rPr>
                <w:rFonts w:eastAsia="Calibri" w:cs="Times New Roman"/>
                <w:bCs/>
                <w:szCs w:val="24"/>
                <w:lang w:val="sr-Latn-RS"/>
              </w:rPr>
            </w:pPr>
            <w:r w:rsidRPr="000459AB">
              <w:rPr>
                <w:rFonts w:eastAsia="Calibri" w:cs="Times New Roman"/>
                <w:bCs/>
                <w:szCs w:val="24"/>
                <w:lang w:val="sr-Latn-RS"/>
              </w:rPr>
              <w:t>GDP, billion dinars (current prices)</w:t>
            </w:r>
          </w:p>
        </w:tc>
        <w:tc>
          <w:tcPr>
            <w:tcW w:w="1296" w:type="dxa"/>
            <w:hideMark/>
          </w:tcPr>
          <w:p w14:paraId="642560CC"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9.604,8</w:t>
            </w:r>
          </w:p>
        </w:tc>
        <w:tc>
          <w:tcPr>
            <w:tcW w:w="861" w:type="dxa"/>
            <w:vMerge/>
            <w:hideMark/>
          </w:tcPr>
          <w:p w14:paraId="08FF70D1" w14:textId="77777777" w:rsidR="004240F0" w:rsidRPr="000459AB" w:rsidRDefault="004240F0" w:rsidP="00161B7E">
            <w:pPr>
              <w:spacing w:before="0" w:after="0"/>
              <w:ind w:left="0" w:right="0"/>
              <w:jc w:val="right"/>
              <w:rPr>
                <w:rFonts w:eastAsia="Calibri" w:cs="Times New Roman"/>
                <w:bCs/>
                <w:szCs w:val="24"/>
              </w:rPr>
            </w:pPr>
          </w:p>
        </w:tc>
        <w:tc>
          <w:tcPr>
            <w:tcW w:w="1182" w:type="dxa"/>
            <w:hideMark/>
          </w:tcPr>
          <w:p w14:paraId="4A97BB52"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10.328,9</w:t>
            </w:r>
          </w:p>
        </w:tc>
        <w:tc>
          <w:tcPr>
            <w:tcW w:w="1182" w:type="dxa"/>
            <w:hideMark/>
          </w:tcPr>
          <w:p w14:paraId="39FA17E0"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11.087,6</w:t>
            </w:r>
          </w:p>
        </w:tc>
        <w:tc>
          <w:tcPr>
            <w:tcW w:w="1183" w:type="dxa"/>
            <w:hideMark/>
          </w:tcPr>
          <w:p w14:paraId="4A72B31B"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11.993,1</w:t>
            </w:r>
          </w:p>
        </w:tc>
      </w:tr>
      <w:tr w:rsidR="004240F0" w:rsidRPr="000459AB" w14:paraId="650DEE91" w14:textId="77777777" w:rsidTr="00161B7E">
        <w:trPr>
          <w:trHeight w:val="273"/>
        </w:trPr>
        <w:tc>
          <w:tcPr>
            <w:tcW w:w="2901" w:type="dxa"/>
            <w:hideMark/>
          </w:tcPr>
          <w:p w14:paraId="242E4EF1" w14:textId="77777777" w:rsidR="004240F0" w:rsidRPr="000459AB" w:rsidRDefault="004240F0" w:rsidP="00161B7E">
            <w:pPr>
              <w:spacing w:before="0" w:after="0"/>
              <w:ind w:left="0" w:right="0"/>
              <w:jc w:val="left"/>
              <w:rPr>
                <w:rFonts w:eastAsia="Calibri" w:cs="Times New Roman"/>
                <w:bCs/>
                <w:szCs w:val="24"/>
                <w:lang w:val="sr-Latn-RS"/>
              </w:rPr>
            </w:pPr>
            <w:r w:rsidRPr="000459AB">
              <w:rPr>
                <w:rFonts w:eastAsia="Calibri" w:cs="Times New Roman"/>
                <w:bCs/>
                <w:szCs w:val="24"/>
                <w:lang w:val="sr-Latn-RS"/>
              </w:rPr>
              <w:t>Real GDP growth, %</w:t>
            </w:r>
          </w:p>
        </w:tc>
        <w:tc>
          <w:tcPr>
            <w:tcW w:w="1296" w:type="dxa"/>
            <w:hideMark/>
          </w:tcPr>
          <w:p w14:paraId="1F972EF9"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3,8</w:t>
            </w:r>
          </w:p>
        </w:tc>
        <w:tc>
          <w:tcPr>
            <w:tcW w:w="861" w:type="dxa"/>
            <w:vMerge/>
            <w:hideMark/>
          </w:tcPr>
          <w:p w14:paraId="05F1BB83" w14:textId="77777777" w:rsidR="004240F0" w:rsidRPr="000459AB" w:rsidRDefault="004240F0" w:rsidP="00161B7E">
            <w:pPr>
              <w:spacing w:before="0" w:after="0"/>
              <w:ind w:left="0" w:right="0"/>
              <w:jc w:val="right"/>
              <w:rPr>
                <w:rFonts w:eastAsia="Calibri" w:cs="Times New Roman"/>
                <w:bCs/>
                <w:szCs w:val="24"/>
              </w:rPr>
            </w:pPr>
          </w:p>
        </w:tc>
        <w:tc>
          <w:tcPr>
            <w:tcW w:w="1182" w:type="dxa"/>
            <w:hideMark/>
          </w:tcPr>
          <w:p w14:paraId="25B334C8"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4,2</w:t>
            </w:r>
          </w:p>
        </w:tc>
        <w:tc>
          <w:tcPr>
            <w:tcW w:w="1182" w:type="dxa"/>
            <w:hideMark/>
          </w:tcPr>
          <w:p w14:paraId="66FCAC3A"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4,0</w:t>
            </w:r>
          </w:p>
        </w:tc>
        <w:tc>
          <w:tcPr>
            <w:tcW w:w="1183" w:type="dxa"/>
            <w:hideMark/>
          </w:tcPr>
          <w:p w14:paraId="06682988"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5,0</w:t>
            </w:r>
          </w:p>
        </w:tc>
      </w:tr>
      <w:tr w:rsidR="004240F0" w:rsidRPr="000459AB" w14:paraId="50F36B8E" w14:textId="77777777" w:rsidTr="00161B7E">
        <w:trPr>
          <w:trHeight w:val="273"/>
        </w:trPr>
        <w:tc>
          <w:tcPr>
            <w:tcW w:w="2901" w:type="dxa"/>
            <w:hideMark/>
          </w:tcPr>
          <w:p w14:paraId="6286184D" w14:textId="77777777" w:rsidR="004240F0" w:rsidRPr="000459AB" w:rsidRDefault="004240F0" w:rsidP="00161B7E">
            <w:pPr>
              <w:spacing w:before="0" w:after="0"/>
              <w:ind w:left="0" w:right="0"/>
              <w:jc w:val="left"/>
              <w:rPr>
                <w:rFonts w:eastAsia="Calibri" w:cs="Times New Roman"/>
                <w:bCs/>
                <w:szCs w:val="24"/>
                <w:lang w:val="sr-Latn-RS"/>
              </w:rPr>
            </w:pPr>
            <w:r w:rsidRPr="000459AB">
              <w:rPr>
                <w:rFonts w:eastAsia="Calibri" w:cs="Times New Roman"/>
                <w:bCs/>
                <w:szCs w:val="24"/>
                <w:lang w:val="sr-Latn-RS"/>
              </w:rPr>
              <w:t>GDP deflator, %</w:t>
            </w:r>
          </w:p>
        </w:tc>
        <w:tc>
          <w:tcPr>
            <w:tcW w:w="1296" w:type="dxa"/>
            <w:hideMark/>
          </w:tcPr>
          <w:p w14:paraId="4D5F23D4"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5,0</w:t>
            </w:r>
          </w:p>
        </w:tc>
        <w:tc>
          <w:tcPr>
            <w:tcW w:w="861" w:type="dxa"/>
            <w:vMerge/>
            <w:hideMark/>
          </w:tcPr>
          <w:p w14:paraId="55EE5E65" w14:textId="77777777" w:rsidR="004240F0" w:rsidRPr="000459AB" w:rsidRDefault="004240F0" w:rsidP="00161B7E">
            <w:pPr>
              <w:spacing w:before="0" w:after="0"/>
              <w:ind w:left="0" w:right="0"/>
              <w:jc w:val="right"/>
              <w:rPr>
                <w:rFonts w:eastAsia="Calibri" w:cs="Times New Roman"/>
                <w:bCs/>
                <w:szCs w:val="24"/>
              </w:rPr>
            </w:pPr>
          </w:p>
        </w:tc>
        <w:tc>
          <w:tcPr>
            <w:tcW w:w="1182" w:type="dxa"/>
            <w:hideMark/>
          </w:tcPr>
          <w:p w14:paraId="34A8357D"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3,2</w:t>
            </w:r>
          </w:p>
        </w:tc>
        <w:tc>
          <w:tcPr>
            <w:tcW w:w="1182" w:type="dxa"/>
            <w:hideMark/>
          </w:tcPr>
          <w:p w14:paraId="3418CC5C"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3,2</w:t>
            </w:r>
          </w:p>
        </w:tc>
        <w:tc>
          <w:tcPr>
            <w:tcW w:w="1183" w:type="dxa"/>
            <w:hideMark/>
          </w:tcPr>
          <w:p w14:paraId="3664B7FE"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3,0</w:t>
            </w:r>
          </w:p>
        </w:tc>
      </w:tr>
      <w:tr w:rsidR="004240F0" w:rsidRPr="000459AB" w14:paraId="04DF8340" w14:textId="77777777" w:rsidTr="00161B7E">
        <w:trPr>
          <w:trHeight w:val="273"/>
        </w:trPr>
        <w:tc>
          <w:tcPr>
            <w:tcW w:w="2901" w:type="dxa"/>
            <w:hideMark/>
          </w:tcPr>
          <w:p w14:paraId="25721016" w14:textId="77777777" w:rsidR="004240F0" w:rsidRPr="000459AB" w:rsidRDefault="004240F0" w:rsidP="00161B7E">
            <w:pPr>
              <w:spacing w:before="0" w:after="0"/>
              <w:ind w:left="0" w:right="0"/>
              <w:jc w:val="left"/>
              <w:rPr>
                <w:rFonts w:eastAsia="Calibri" w:cs="Times New Roman"/>
                <w:bCs/>
                <w:szCs w:val="24"/>
                <w:lang w:val="sr-Latn-RS"/>
              </w:rPr>
            </w:pPr>
            <w:r w:rsidRPr="000459AB">
              <w:rPr>
                <w:rFonts w:eastAsia="Calibri" w:cs="Times New Roman"/>
                <w:bCs/>
                <w:szCs w:val="24"/>
                <w:lang w:val="sr-Latn-RS"/>
              </w:rPr>
              <w:t>Private consumption</w:t>
            </w:r>
          </w:p>
        </w:tc>
        <w:tc>
          <w:tcPr>
            <w:tcW w:w="1296" w:type="dxa"/>
            <w:hideMark/>
          </w:tcPr>
          <w:p w14:paraId="23DFEC3E"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4,5</w:t>
            </w:r>
          </w:p>
        </w:tc>
        <w:tc>
          <w:tcPr>
            <w:tcW w:w="861" w:type="dxa"/>
            <w:vMerge/>
            <w:hideMark/>
          </w:tcPr>
          <w:p w14:paraId="6076CE9A" w14:textId="77777777" w:rsidR="004240F0" w:rsidRPr="000459AB" w:rsidRDefault="004240F0" w:rsidP="00161B7E">
            <w:pPr>
              <w:spacing w:before="0" w:after="0"/>
              <w:ind w:left="0" w:right="0"/>
              <w:jc w:val="right"/>
              <w:rPr>
                <w:rFonts w:eastAsia="Calibri" w:cs="Times New Roman"/>
                <w:bCs/>
                <w:szCs w:val="24"/>
              </w:rPr>
            </w:pPr>
          </w:p>
        </w:tc>
        <w:tc>
          <w:tcPr>
            <w:tcW w:w="1182" w:type="dxa"/>
            <w:hideMark/>
          </w:tcPr>
          <w:p w14:paraId="48E0E01B"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4,1</w:t>
            </w:r>
          </w:p>
        </w:tc>
        <w:tc>
          <w:tcPr>
            <w:tcW w:w="1182" w:type="dxa"/>
            <w:hideMark/>
          </w:tcPr>
          <w:p w14:paraId="760256CE"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3,2</w:t>
            </w:r>
          </w:p>
        </w:tc>
        <w:tc>
          <w:tcPr>
            <w:tcW w:w="1183" w:type="dxa"/>
            <w:hideMark/>
          </w:tcPr>
          <w:p w14:paraId="52C9055C"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2,9</w:t>
            </w:r>
          </w:p>
        </w:tc>
      </w:tr>
      <w:tr w:rsidR="004240F0" w:rsidRPr="000459AB" w14:paraId="35E47C86" w14:textId="77777777" w:rsidTr="00161B7E">
        <w:trPr>
          <w:trHeight w:val="273"/>
        </w:trPr>
        <w:tc>
          <w:tcPr>
            <w:tcW w:w="2901" w:type="dxa"/>
            <w:hideMark/>
          </w:tcPr>
          <w:p w14:paraId="0DBAE626" w14:textId="77777777" w:rsidR="004240F0" w:rsidRPr="000459AB" w:rsidRDefault="004240F0" w:rsidP="00161B7E">
            <w:pPr>
              <w:spacing w:before="0" w:after="0"/>
              <w:ind w:left="0" w:right="0"/>
              <w:jc w:val="left"/>
              <w:rPr>
                <w:rFonts w:eastAsia="Calibri" w:cs="Times New Roman"/>
                <w:bCs/>
                <w:szCs w:val="24"/>
                <w:lang w:val="sr-Latn-RS"/>
              </w:rPr>
            </w:pPr>
            <w:r w:rsidRPr="000459AB">
              <w:rPr>
                <w:rFonts w:eastAsia="Calibri" w:cs="Times New Roman"/>
                <w:bCs/>
                <w:szCs w:val="24"/>
                <w:lang w:val="sr-Latn-RS"/>
              </w:rPr>
              <w:t>Government consumption</w:t>
            </w:r>
          </w:p>
        </w:tc>
        <w:tc>
          <w:tcPr>
            <w:tcW w:w="1296" w:type="dxa"/>
            <w:hideMark/>
          </w:tcPr>
          <w:p w14:paraId="561C069C"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3,1</w:t>
            </w:r>
          </w:p>
        </w:tc>
        <w:tc>
          <w:tcPr>
            <w:tcW w:w="861" w:type="dxa"/>
            <w:vMerge/>
            <w:hideMark/>
          </w:tcPr>
          <w:p w14:paraId="0C368177" w14:textId="77777777" w:rsidR="004240F0" w:rsidRPr="000459AB" w:rsidRDefault="004240F0" w:rsidP="00161B7E">
            <w:pPr>
              <w:spacing w:before="0" w:after="0"/>
              <w:ind w:left="0" w:right="0"/>
              <w:jc w:val="right"/>
              <w:rPr>
                <w:rFonts w:eastAsia="Calibri" w:cs="Times New Roman"/>
                <w:bCs/>
                <w:szCs w:val="24"/>
              </w:rPr>
            </w:pPr>
          </w:p>
        </w:tc>
        <w:tc>
          <w:tcPr>
            <w:tcW w:w="1182" w:type="dxa"/>
            <w:hideMark/>
          </w:tcPr>
          <w:p w14:paraId="22117033"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2,2</w:t>
            </w:r>
          </w:p>
        </w:tc>
        <w:tc>
          <w:tcPr>
            <w:tcW w:w="1182" w:type="dxa"/>
            <w:hideMark/>
          </w:tcPr>
          <w:p w14:paraId="120A1053"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2,2</w:t>
            </w:r>
          </w:p>
        </w:tc>
        <w:tc>
          <w:tcPr>
            <w:tcW w:w="1183" w:type="dxa"/>
            <w:hideMark/>
          </w:tcPr>
          <w:p w14:paraId="2720F1AF"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2,0</w:t>
            </w:r>
          </w:p>
        </w:tc>
      </w:tr>
      <w:tr w:rsidR="004240F0" w:rsidRPr="000459AB" w14:paraId="0FDD7DF0" w14:textId="77777777" w:rsidTr="00161B7E">
        <w:trPr>
          <w:trHeight w:val="273"/>
        </w:trPr>
        <w:tc>
          <w:tcPr>
            <w:tcW w:w="2901" w:type="dxa"/>
            <w:hideMark/>
          </w:tcPr>
          <w:p w14:paraId="1989F221" w14:textId="77777777" w:rsidR="004240F0" w:rsidRPr="000459AB" w:rsidRDefault="004240F0" w:rsidP="00161B7E">
            <w:pPr>
              <w:spacing w:before="0" w:after="0"/>
              <w:ind w:left="0" w:right="0"/>
              <w:jc w:val="left"/>
              <w:rPr>
                <w:rFonts w:eastAsia="Calibri" w:cs="Times New Roman"/>
                <w:bCs/>
                <w:szCs w:val="24"/>
                <w:lang w:val="sr-Latn-RS"/>
              </w:rPr>
            </w:pPr>
            <w:r w:rsidRPr="000459AB">
              <w:rPr>
                <w:rFonts w:eastAsia="Calibri" w:cs="Times New Roman"/>
                <w:bCs/>
                <w:szCs w:val="24"/>
                <w:lang w:val="sr-Latn-RS"/>
              </w:rPr>
              <w:t>Gross fixed capital formation</w:t>
            </w:r>
          </w:p>
        </w:tc>
        <w:tc>
          <w:tcPr>
            <w:tcW w:w="1296" w:type="dxa"/>
            <w:hideMark/>
          </w:tcPr>
          <w:p w14:paraId="5C1AA079"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9,2</w:t>
            </w:r>
          </w:p>
        </w:tc>
        <w:tc>
          <w:tcPr>
            <w:tcW w:w="861" w:type="dxa"/>
            <w:vMerge/>
            <w:hideMark/>
          </w:tcPr>
          <w:p w14:paraId="048B1C8D" w14:textId="77777777" w:rsidR="004240F0" w:rsidRPr="000459AB" w:rsidRDefault="004240F0" w:rsidP="00161B7E">
            <w:pPr>
              <w:spacing w:before="0" w:after="0"/>
              <w:ind w:left="0" w:right="0"/>
              <w:jc w:val="right"/>
              <w:rPr>
                <w:rFonts w:eastAsia="Calibri" w:cs="Times New Roman"/>
                <w:bCs/>
                <w:szCs w:val="24"/>
              </w:rPr>
            </w:pPr>
          </w:p>
        </w:tc>
        <w:tc>
          <w:tcPr>
            <w:tcW w:w="1182" w:type="dxa"/>
            <w:hideMark/>
          </w:tcPr>
          <w:p w14:paraId="67D2F17C"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7,7</w:t>
            </w:r>
          </w:p>
        </w:tc>
        <w:tc>
          <w:tcPr>
            <w:tcW w:w="1182" w:type="dxa"/>
            <w:hideMark/>
          </w:tcPr>
          <w:p w14:paraId="22871EF4"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7,5</w:t>
            </w:r>
          </w:p>
        </w:tc>
        <w:tc>
          <w:tcPr>
            <w:tcW w:w="1183" w:type="dxa"/>
            <w:hideMark/>
          </w:tcPr>
          <w:p w14:paraId="34BB489D"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7,0</w:t>
            </w:r>
          </w:p>
        </w:tc>
      </w:tr>
      <w:tr w:rsidR="004240F0" w:rsidRPr="000459AB" w14:paraId="0C074928" w14:textId="77777777" w:rsidTr="00161B7E">
        <w:trPr>
          <w:trHeight w:val="273"/>
        </w:trPr>
        <w:tc>
          <w:tcPr>
            <w:tcW w:w="2901" w:type="dxa"/>
            <w:hideMark/>
          </w:tcPr>
          <w:p w14:paraId="3F351DEE" w14:textId="77777777" w:rsidR="004240F0" w:rsidRPr="000459AB" w:rsidRDefault="004240F0" w:rsidP="00161B7E">
            <w:pPr>
              <w:spacing w:before="0" w:after="0"/>
              <w:ind w:left="0" w:right="0"/>
              <w:jc w:val="left"/>
              <w:rPr>
                <w:rFonts w:eastAsia="Calibri" w:cs="Times New Roman"/>
                <w:bCs/>
                <w:szCs w:val="24"/>
                <w:lang w:val="sr-Latn-RS"/>
              </w:rPr>
            </w:pPr>
            <w:r w:rsidRPr="000459AB">
              <w:rPr>
                <w:rFonts w:eastAsia="Calibri" w:cs="Times New Roman"/>
                <w:bCs/>
                <w:szCs w:val="24"/>
                <w:lang w:val="sr-Latn-RS"/>
              </w:rPr>
              <w:t>Exports of goods and services</w:t>
            </w:r>
          </w:p>
        </w:tc>
        <w:tc>
          <w:tcPr>
            <w:tcW w:w="1296" w:type="dxa"/>
            <w:hideMark/>
          </w:tcPr>
          <w:p w14:paraId="73CA00B6"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4,4</w:t>
            </w:r>
          </w:p>
        </w:tc>
        <w:tc>
          <w:tcPr>
            <w:tcW w:w="861" w:type="dxa"/>
            <w:vMerge/>
            <w:hideMark/>
          </w:tcPr>
          <w:p w14:paraId="278A2A60" w14:textId="77777777" w:rsidR="004240F0" w:rsidRPr="000459AB" w:rsidRDefault="004240F0" w:rsidP="00161B7E">
            <w:pPr>
              <w:spacing w:before="0" w:after="0"/>
              <w:ind w:left="0" w:right="0"/>
              <w:jc w:val="right"/>
              <w:rPr>
                <w:rFonts w:eastAsia="Calibri" w:cs="Times New Roman"/>
                <w:bCs/>
                <w:szCs w:val="24"/>
              </w:rPr>
            </w:pPr>
          </w:p>
        </w:tc>
        <w:tc>
          <w:tcPr>
            <w:tcW w:w="1182" w:type="dxa"/>
            <w:hideMark/>
          </w:tcPr>
          <w:p w14:paraId="7A8859D9"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5,9</w:t>
            </w:r>
          </w:p>
        </w:tc>
        <w:tc>
          <w:tcPr>
            <w:tcW w:w="1182" w:type="dxa"/>
            <w:hideMark/>
          </w:tcPr>
          <w:p w14:paraId="5BEBC3C7"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6,9</w:t>
            </w:r>
          </w:p>
        </w:tc>
        <w:tc>
          <w:tcPr>
            <w:tcW w:w="1183" w:type="dxa"/>
            <w:hideMark/>
          </w:tcPr>
          <w:p w14:paraId="7EC2A37F"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9,9</w:t>
            </w:r>
          </w:p>
        </w:tc>
      </w:tr>
      <w:tr w:rsidR="004240F0" w:rsidRPr="000459AB" w14:paraId="0CC335C8" w14:textId="77777777" w:rsidTr="00161B7E">
        <w:trPr>
          <w:trHeight w:val="273"/>
        </w:trPr>
        <w:tc>
          <w:tcPr>
            <w:tcW w:w="2901" w:type="dxa"/>
            <w:hideMark/>
          </w:tcPr>
          <w:p w14:paraId="0E8E4D7D" w14:textId="77777777" w:rsidR="004240F0" w:rsidRPr="000459AB" w:rsidRDefault="004240F0" w:rsidP="00161B7E">
            <w:pPr>
              <w:spacing w:before="0" w:after="0"/>
              <w:ind w:left="0" w:right="0"/>
              <w:jc w:val="left"/>
              <w:rPr>
                <w:rFonts w:eastAsia="Calibri" w:cs="Times New Roman"/>
                <w:bCs/>
                <w:szCs w:val="24"/>
                <w:lang w:val="sr-Latn-RS"/>
              </w:rPr>
            </w:pPr>
            <w:r w:rsidRPr="000459AB">
              <w:rPr>
                <w:rFonts w:eastAsia="Calibri" w:cs="Times New Roman"/>
                <w:bCs/>
                <w:szCs w:val="24"/>
                <w:lang w:val="sr-Latn-RS"/>
              </w:rPr>
              <w:t>Imports of goods and services</w:t>
            </w:r>
          </w:p>
        </w:tc>
        <w:tc>
          <w:tcPr>
            <w:tcW w:w="1296" w:type="dxa"/>
            <w:hideMark/>
          </w:tcPr>
          <w:p w14:paraId="043F729B"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8,0</w:t>
            </w:r>
          </w:p>
        </w:tc>
        <w:tc>
          <w:tcPr>
            <w:tcW w:w="861" w:type="dxa"/>
            <w:vMerge/>
            <w:hideMark/>
          </w:tcPr>
          <w:p w14:paraId="111C4EA5" w14:textId="77777777" w:rsidR="004240F0" w:rsidRPr="000459AB" w:rsidRDefault="004240F0" w:rsidP="00161B7E">
            <w:pPr>
              <w:spacing w:before="0" w:after="0"/>
              <w:ind w:left="0" w:right="0"/>
              <w:jc w:val="right"/>
              <w:rPr>
                <w:rFonts w:eastAsia="Calibri" w:cs="Times New Roman"/>
                <w:bCs/>
                <w:szCs w:val="24"/>
              </w:rPr>
            </w:pPr>
          </w:p>
        </w:tc>
        <w:tc>
          <w:tcPr>
            <w:tcW w:w="1182" w:type="dxa"/>
            <w:hideMark/>
          </w:tcPr>
          <w:p w14:paraId="0601DB79"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6,5</w:t>
            </w:r>
          </w:p>
        </w:tc>
        <w:tc>
          <w:tcPr>
            <w:tcW w:w="1182" w:type="dxa"/>
            <w:hideMark/>
          </w:tcPr>
          <w:p w14:paraId="104D6808"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6,8</w:t>
            </w:r>
          </w:p>
        </w:tc>
        <w:tc>
          <w:tcPr>
            <w:tcW w:w="1183" w:type="dxa"/>
            <w:hideMark/>
          </w:tcPr>
          <w:p w14:paraId="049CC1CB" w14:textId="77777777" w:rsidR="004240F0" w:rsidRPr="000459AB" w:rsidRDefault="004240F0" w:rsidP="00161B7E">
            <w:pPr>
              <w:spacing w:before="0" w:after="0"/>
              <w:ind w:left="0" w:right="0"/>
              <w:jc w:val="right"/>
              <w:rPr>
                <w:rFonts w:eastAsia="Calibri" w:cs="Times New Roman"/>
                <w:bCs/>
                <w:szCs w:val="24"/>
              </w:rPr>
            </w:pPr>
            <w:r w:rsidRPr="000459AB">
              <w:rPr>
                <w:rFonts w:eastAsia="Calibri" w:cs="Times New Roman"/>
                <w:bCs/>
                <w:szCs w:val="24"/>
                <w:lang w:val="sr-Cyrl-RS"/>
              </w:rPr>
              <w:t>7,4</w:t>
            </w:r>
          </w:p>
        </w:tc>
      </w:tr>
    </w:tbl>
    <w:p w14:paraId="3F9FD330" w14:textId="7175B6D8" w:rsidR="004240F0" w:rsidRPr="00BE74AD" w:rsidRDefault="004240F0" w:rsidP="004240F0">
      <w:pPr>
        <w:spacing w:before="40" w:after="180"/>
        <w:rPr>
          <w:rFonts w:eastAsia="Calibri" w:cs="Times New Roman"/>
          <w:bCs/>
          <w:sz w:val="22"/>
          <w:szCs w:val="24"/>
          <w:lang w:val="sr-Cyrl-RS"/>
        </w:rPr>
      </w:pPr>
      <w:r w:rsidRPr="000459AB">
        <w:rPr>
          <w:rFonts w:eastAsia="Calibri" w:cs="Times New Roman"/>
          <w:bCs/>
          <w:szCs w:val="24"/>
          <w:lang w:val="sr-Cyrl-RS"/>
        </w:rPr>
        <w:fldChar w:fldCharType="end"/>
      </w:r>
      <w:r w:rsidRPr="004240F0">
        <w:rPr>
          <w:rFonts w:eastAsia="Calibri" w:cs="Times New Roman"/>
          <w:bCs/>
          <w:sz w:val="22"/>
          <w:szCs w:val="24"/>
          <w:lang w:val="sr-Latn-RS"/>
        </w:rPr>
        <w:t xml:space="preserve"> </w:t>
      </w:r>
      <w:r w:rsidRPr="00BE74AD">
        <w:rPr>
          <w:rFonts w:eastAsia="Calibri" w:cs="Times New Roman"/>
          <w:bCs/>
          <w:sz w:val="22"/>
          <w:szCs w:val="24"/>
          <w:lang w:val="sr-Latn-RS"/>
        </w:rPr>
        <w:t>Source</w:t>
      </w:r>
      <w:r w:rsidRPr="00BE74AD">
        <w:rPr>
          <w:rFonts w:eastAsia="Calibri" w:cs="Times New Roman"/>
          <w:bCs/>
          <w:sz w:val="22"/>
          <w:szCs w:val="24"/>
          <w:lang w:val="sr-Cyrl-RS"/>
        </w:rPr>
        <w:t xml:space="preserve">: </w:t>
      </w:r>
      <w:r w:rsidRPr="00BE74AD">
        <w:rPr>
          <w:rFonts w:eastAsia="Calibri" w:cs="Times New Roman"/>
          <w:bCs/>
          <w:sz w:val="22"/>
          <w:szCs w:val="24"/>
          <w:lang w:val="sr-Latn-RS"/>
        </w:rPr>
        <w:t>MoF</w:t>
      </w:r>
      <w:r w:rsidRPr="00BE74AD">
        <w:rPr>
          <w:rFonts w:eastAsia="Calibri" w:cs="Times New Roman"/>
          <w:bCs/>
          <w:sz w:val="22"/>
          <w:szCs w:val="24"/>
          <w:lang w:val="sr-Cyrl-RS"/>
        </w:rPr>
        <w:t xml:space="preserve"> </w:t>
      </w:r>
    </w:p>
    <w:p w14:paraId="4E068389" w14:textId="77777777" w:rsidR="004240F0" w:rsidRDefault="004240F0" w:rsidP="004240F0">
      <w:pPr>
        <w:rPr>
          <w:rFonts w:cs="Times New Roman"/>
          <w:bCs/>
          <w:szCs w:val="24"/>
          <w:lang w:val="sr-Cyrl-RS"/>
        </w:rPr>
      </w:pPr>
      <w:r w:rsidRPr="00DD59F5">
        <w:rPr>
          <w:rFonts w:cs="Times New Roman"/>
          <w:bCs/>
          <w:szCs w:val="24"/>
          <w:lang w:val="sr-Cyrl-RS"/>
        </w:rPr>
        <w:t xml:space="preserve">From the supply side, the service and industry sector, with the largest share in GDP, will consequently retain their role as dominant sources of growth and increase the created GVA </w:t>
      </w:r>
      <w:r w:rsidRPr="00DD59F5">
        <w:rPr>
          <w:rFonts w:cs="Times New Roman"/>
          <w:bCs/>
          <w:szCs w:val="24"/>
          <w:lang w:val="sr-Cyrl-RS"/>
        </w:rPr>
        <w:lastRenderedPageBreak/>
        <w:t xml:space="preserve">with an average annual growth of 4.5% and 4.4%, respectively. A significant positive contribution will also </w:t>
      </w:r>
      <w:r>
        <w:rPr>
          <w:rFonts w:cs="Times New Roman"/>
          <w:bCs/>
          <w:szCs w:val="24"/>
          <w:lang w:val="sr-Latn-RS"/>
        </w:rPr>
        <w:t>come from</w:t>
      </w:r>
      <w:r w:rsidRPr="00DD59F5">
        <w:rPr>
          <w:rFonts w:cs="Times New Roman"/>
          <w:bCs/>
          <w:szCs w:val="24"/>
          <w:lang w:val="sr-Cyrl-RS"/>
        </w:rPr>
        <w:t xml:space="preserve"> construction, which will record an average growth of 7.6% as a result of the acceleration of the implementation of infrastructure projects, as well as the start of a new investment cycle, but</w:t>
      </w:r>
      <w:r>
        <w:rPr>
          <w:rFonts w:cs="Times New Roman"/>
          <w:bCs/>
          <w:szCs w:val="24"/>
          <w:lang w:val="sr-Latn-RS"/>
        </w:rPr>
        <w:t xml:space="preserve"> also</w:t>
      </w:r>
      <w:r w:rsidRPr="00DD59F5">
        <w:rPr>
          <w:rFonts w:cs="Times New Roman"/>
          <w:bCs/>
          <w:szCs w:val="24"/>
          <w:lang w:val="sr-Cyrl-RS"/>
        </w:rPr>
        <w:t xml:space="preserve"> </w:t>
      </w:r>
      <w:r>
        <w:rPr>
          <w:rFonts w:cs="Times New Roman"/>
          <w:bCs/>
          <w:szCs w:val="24"/>
          <w:lang w:val="sr-Latn-RS"/>
        </w:rPr>
        <w:t>due to</w:t>
      </w:r>
      <w:r w:rsidRPr="00DD59F5">
        <w:rPr>
          <w:rFonts w:cs="Times New Roman"/>
          <w:bCs/>
          <w:szCs w:val="24"/>
          <w:lang w:val="sr-Cyrl-RS"/>
        </w:rPr>
        <w:t xml:space="preserve"> the acceleration of private investments. Achieving European standards and increasing competitiveness in agriculture should reduce the variability of production in this sector caused by agrometeorological conditions, but the assumption of an average agricultural season is retained in this macroeconomic framework</w:t>
      </w:r>
      <w:r>
        <w:rPr>
          <w:rFonts w:cs="Times New Roman"/>
          <w:bCs/>
          <w:szCs w:val="24"/>
          <w:lang w:val="sr-Latn-RS"/>
        </w:rPr>
        <w:t xml:space="preserve"> too</w:t>
      </w:r>
      <w:r w:rsidRPr="00DD59F5">
        <w:rPr>
          <w:rFonts w:cs="Times New Roman"/>
          <w:bCs/>
          <w:szCs w:val="24"/>
          <w:lang w:val="sr-Cyrl-RS"/>
        </w:rPr>
        <w:t>.</w:t>
      </w:r>
    </w:p>
    <w:p w14:paraId="2FD1E95B" w14:textId="77777777" w:rsidR="004240F0" w:rsidRPr="007A7DD6" w:rsidRDefault="004240F0" w:rsidP="004240F0">
      <w:pPr>
        <w:rPr>
          <w:rFonts w:eastAsia="Calibri" w:cs="Times New Roman"/>
          <w:bCs/>
          <w:i/>
          <w:szCs w:val="24"/>
          <w:lang w:val="sr-Cyrl-RS"/>
        </w:rPr>
      </w:pPr>
      <w:r w:rsidRPr="007A7DD6">
        <w:rPr>
          <w:rFonts w:eastAsia="Calibri" w:cs="Times New Roman"/>
          <w:bCs/>
          <w:i/>
          <w:szCs w:val="24"/>
          <w:lang w:val="sr-Latn-RS"/>
        </w:rPr>
        <w:t>Chart</w:t>
      </w:r>
      <w:r w:rsidRPr="007A7DD6">
        <w:rPr>
          <w:rFonts w:eastAsia="Calibri" w:cs="Times New Roman"/>
          <w:bCs/>
          <w:i/>
          <w:szCs w:val="24"/>
          <w:lang w:val="sr-Cyrl-RS"/>
        </w:rPr>
        <w:t xml:space="preserve"> </w:t>
      </w:r>
      <w:r w:rsidRPr="007A7DD6">
        <w:rPr>
          <w:rFonts w:eastAsia="Calibri" w:cs="Times New Roman"/>
          <w:bCs/>
          <w:i/>
          <w:szCs w:val="24"/>
          <w:lang w:val="sr-Latn-RS"/>
        </w:rPr>
        <w:t>1</w:t>
      </w:r>
      <w:r w:rsidRPr="007A7DD6">
        <w:rPr>
          <w:rFonts w:eastAsia="Calibri" w:cs="Times New Roman"/>
          <w:bCs/>
          <w:i/>
          <w:szCs w:val="24"/>
          <w:lang w:val="sr-Cyrl-RS"/>
        </w:rPr>
        <w:t xml:space="preserve">. </w:t>
      </w:r>
      <w:r w:rsidRPr="007A7DD6">
        <w:rPr>
          <w:rFonts w:eastAsia="Calibri" w:cs="Times New Roman"/>
          <w:bCs/>
          <w:i/>
          <w:szCs w:val="24"/>
          <w:lang w:val="sr-Latn-RS"/>
        </w:rPr>
        <w:t>Contributions to the real GDP growth rate</w:t>
      </w:r>
      <w:r w:rsidRPr="007A7DD6">
        <w:rPr>
          <w:rFonts w:eastAsia="Calibri" w:cs="Times New Roman"/>
          <w:bCs/>
          <w:i/>
          <w:szCs w:val="24"/>
          <w:lang w:val="sr-Cyrl-RS"/>
        </w:rPr>
        <w:t>,</w:t>
      </w:r>
      <w:r w:rsidRPr="007A7DD6">
        <w:rPr>
          <w:rFonts w:eastAsia="Calibri" w:cs="Times New Roman"/>
          <w:bCs/>
          <w:i/>
          <w:szCs w:val="24"/>
          <w:lang w:val="sr-Latn-RS"/>
        </w:rPr>
        <w:t xml:space="preserve"> production and expenditure approach, pp</w:t>
      </w:r>
    </w:p>
    <w:p w14:paraId="7AE9E580" w14:textId="5C9C0533" w:rsidR="006E3D67" w:rsidRPr="00AD7E7D" w:rsidRDefault="00CF6476" w:rsidP="006E3D67">
      <w:pPr>
        <w:spacing w:after="240"/>
        <w:rPr>
          <w:rFonts w:eastAsia="Calibri" w:cs="Times New Roman"/>
          <w:bCs/>
          <w:szCs w:val="24"/>
          <w:lang w:val="sr-Cyrl-RS"/>
        </w:rPr>
      </w:pPr>
      <w:r w:rsidRPr="00AD7E7D">
        <w:rPr>
          <w:rFonts w:eastAsia="Calibri" w:cs="Times New Roman"/>
          <w:bCs/>
          <w:szCs w:val="24"/>
          <w:lang w:val="sr-Cyrl-RS"/>
        </w:rPr>
        <w:t xml:space="preserve"> </w:t>
      </w:r>
      <w:r w:rsidR="004240F0" w:rsidRPr="007A7DD6">
        <w:rPr>
          <w:noProof/>
        </w:rPr>
        <w:drawing>
          <wp:inline distT="0" distB="0" distL="0" distR="0" wp14:anchorId="28271AFE" wp14:editId="7F435644">
            <wp:extent cx="2750820" cy="2306332"/>
            <wp:effectExtent l="0" t="0" r="0" b="0"/>
            <wp:docPr id="50" name="Chart 50">
              <a:extLst xmlns:a="http://schemas.openxmlformats.org/drawingml/2006/main">
                <a:ext uri="{FF2B5EF4-FFF2-40B4-BE49-F238E27FC236}">
                  <a16:creationId xmlns:a16="http://schemas.microsoft.com/office/drawing/2014/main" id="{00000000-0008-0000-0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4240F0" w:rsidRPr="007A7DD6">
        <w:rPr>
          <w:noProof/>
        </w:rPr>
        <w:drawing>
          <wp:inline distT="0" distB="0" distL="0" distR="0" wp14:anchorId="68806C10" wp14:editId="21BE894A">
            <wp:extent cx="2743200" cy="2303253"/>
            <wp:effectExtent l="0" t="0" r="0" b="1905"/>
            <wp:docPr id="45" name="Chart 45">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C157E6" w14:textId="7A0EA836" w:rsidR="004240F0" w:rsidRDefault="004240F0" w:rsidP="004240F0">
      <w:pPr>
        <w:keepNext/>
        <w:rPr>
          <w:rFonts w:cs="Times New Roman"/>
          <w:szCs w:val="24"/>
          <w:lang w:val="sr-Cyrl-RS"/>
        </w:rPr>
      </w:pPr>
      <w:r w:rsidRPr="00DC2D9E">
        <w:rPr>
          <w:rFonts w:cs="Times New Roman"/>
          <w:szCs w:val="24"/>
          <w:lang w:val="sr-Cyrl-RS"/>
        </w:rPr>
        <w:t>According to the central scenario, potential GDP growth is expected to continue at a rate of 4% in the medium term. The implementation of capital projects and the continuation of the initiated investment cycle, supported by both a stable inflow of FDI and investments in innovation and development, will ensure an increasingly strong contribution of capital and factor productivity to the growth of potential GDP. Digitalization will significantly accelerate these processes and further increase the efficiency of the use of available capacities. The government will further influence the potential of the economy through significant investments</w:t>
      </w:r>
      <w:r>
        <w:rPr>
          <w:rFonts w:cs="Times New Roman"/>
          <w:szCs w:val="24"/>
          <w:lang w:val="sr-Latn-RS"/>
        </w:rPr>
        <w:t xml:space="preserve"> </w:t>
      </w:r>
      <w:r w:rsidRPr="00DC2D9E">
        <w:rPr>
          <w:rFonts w:cs="Times New Roman"/>
          <w:szCs w:val="24"/>
          <w:lang w:val="sr-Cyrl-RS"/>
        </w:rPr>
        <w:t>planned in energy infrastructure. An adequate and credible monetary policy, along with further improvements in the financial system and a more favorable investment environment, the transfer of knowledge and technology from the most developed countries should ensure a positive impact on both factors of production. On the other hand, strengthening the rule of law, reforming economic and business legislation, speeding up procedures and increasing administrative efficiency should ensure the maximization of factor</w:t>
      </w:r>
      <w:r>
        <w:rPr>
          <w:rFonts w:cs="Times New Roman"/>
          <w:szCs w:val="24"/>
          <w:lang w:val="sr-Cyrl-RS"/>
        </w:rPr>
        <w:t xml:space="preserve"> </w:t>
      </w:r>
      <w:r w:rsidRPr="00DC2D9E">
        <w:rPr>
          <w:rFonts w:cs="Times New Roman"/>
          <w:szCs w:val="24"/>
          <w:lang w:val="sr-Cyrl-RS"/>
        </w:rPr>
        <w:t>productivity in the medium term. Favorable developments in the labo</w:t>
      </w:r>
      <w:r w:rsidR="004E34DB">
        <w:rPr>
          <w:rFonts w:cs="Times New Roman"/>
          <w:szCs w:val="24"/>
          <w:lang w:val="sr-Latn-RS"/>
        </w:rPr>
        <w:t>u</w:t>
      </w:r>
      <w:r w:rsidRPr="00DC2D9E">
        <w:rPr>
          <w:rFonts w:cs="Times New Roman"/>
          <w:szCs w:val="24"/>
          <w:lang w:val="sr-Cyrl-RS"/>
        </w:rPr>
        <w:t>r market will also contribute to potential GDP growth, although at a slower pace than in the previous period.</w:t>
      </w:r>
    </w:p>
    <w:p w14:paraId="7A7000D4" w14:textId="77777777" w:rsidR="004240F0" w:rsidRPr="00DD2747" w:rsidRDefault="004240F0" w:rsidP="004240F0">
      <w:pPr>
        <w:keepNext/>
        <w:rPr>
          <w:rFonts w:eastAsia="Calibri" w:cs="Times New Roman"/>
          <w:bCs/>
          <w:i/>
          <w:szCs w:val="24"/>
          <w:lang w:val="sr-Cyrl-RS"/>
        </w:rPr>
      </w:pPr>
      <w:r w:rsidRPr="00DD2747">
        <w:rPr>
          <w:rFonts w:eastAsia="Calibri" w:cs="Times New Roman"/>
          <w:bCs/>
          <w:i/>
          <w:szCs w:val="24"/>
          <w:lang w:val="sr-Latn-RS"/>
        </w:rPr>
        <w:t>Chart</w:t>
      </w:r>
      <w:r w:rsidRPr="00DD2747">
        <w:rPr>
          <w:rFonts w:eastAsia="Calibri" w:cs="Times New Roman"/>
          <w:bCs/>
          <w:i/>
          <w:szCs w:val="24"/>
          <w:lang w:val="sr-Cyrl-RS"/>
        </w:rPr>
        <w:t xml:space="preserve"> </w:t>
      </w:r>
      <w:r w:rsidRPr="00DD2747">
        <w:rPr>
          <w:rFonts w:eastAsia="Calibri" w:cs="Times New Roman"/>
          <w:bCs/>
          <w:i/>
          <w:szCs w:val="24"/>
          <w:lang w:val="sr-Latn-RS"/>
        </w:rPr>
        <w:t>2</w:t>
      </w:r>
      <w:r w:rsidRPr="00DD2747">
        <w:rPr>
          <w:rFonts w:eastAsia="Calibri" w:cs="Times New Roman"/>
          <w:bCs/>
          <w:i/>
          <w:szCs w:val="24"/>
          <w:lang w:val="sr-Cyrl-RS"/>
        </w:rPr>
        <w:t>. Contributions of the factors of production to the potential GDP growth rate, pp</w:t>
      </w:r>
    </w:p>
    <w:p w14:paraId="564DDD22" w14:textId="6E977F99" w:rsidR="003B248B" w:rsidRPr="00AD7E7D" w:rsidRDefault="004240F0" w:rsidP="000B3740">
      <w:pPr>
        <w:ind w:firstLine="720"/>
        <w:rPr>
          <w:rFonts w:eastAsia="Calibri" w:cs="Times New Roman"/>
          <w:szCs w:val="24"/>
          <w:lang w:val="sr-Cyrl-RS"/>
        </w:rPr>
      </w:pPr>
      <w:r>
        <w:rPr>
          <w:noProof/>
        </w:rPr>
        <w:drawing>
          <wp:inline distT="0" distB="0" distL="0" distR="0" wp14:anchorId="4507029F" wp14:editId="07E2DE34">
            <wp:extent cx="4868883" cy="1876301"/>
            <wp:effectExtent l="0" t="0" r="8255" b="0"/>
            <wp:docPr id="3" name="Chart 3">
              <a:extLst xmlns:a="http://schemas.openxmlformats.org/drawingml/2006/main">
                <a:ext uri="{FF2B5EF4-FFF2-40B4-BE49-F238E27FC236}">
                  <a16:creationId xmlns:a16="http://schemas.microsoft.com/office/drawing/2014/main" id="{00000000-0008-0000-0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BD9837" w14:textId="3319474B" w:rsidR="004240F0" w:rsidRDefault="004240F0" w:rsidP="00B7761B">
      <w:pPr>
        <w:spacing w:after="160"/>
        <w:rPr>
          <w:rFonts w:cs="Times New Roman"/>
          <w:szCs w:val="24"/>
          <w:lang w:val="sr-Cyrl-RS"/>
        </w:rPr>
      </w:pPr>
      <w:r w:rsidRPr="00983BA1">
        <w:rPr>
          <w:rFonts w:cs="Times New Roman"/>
          <w:b/>
          <w:szCs w:val="24"/>
          <w:lang w:val="sr-Cyrl-RS"/>
        </w:rPr>
        <w:lastRenderedPageBreak/>
        <w:t>Labo</w:t>
      </w:r>
      <w:r w:rsidR="004E34DB">
        <w:rPr>
          <w:rFonts w:cs="Times New Roman"/>
          <w:b/>
          <w:szCs w:val="24"/>
          <w:lang w:val="sr-Latn-RS"/>
        </w:rPr>
        <w:t>u</w:t>
      </w:r>
      <w:r w:rsidRPr="00983BA1">
        <w:rPr>
          <w:rFonts w:cs="Times New Roman"/>
          <w:b/>
          <w:szCs w:val="24"/>
          <w:lang w:val="sr-Cyrl-RS"/>
        </w:rPr>
        <w:t xml:space="preserve">r market. </w:t>
      </w:r>
      <w:r w:rsidRPr="00983BA1">
        <w:rPr>
          <w:rFonts w:cs="Times New Roman"/>
          <w:szCs w:val="24"/>
          <w:lang w:val="sr-Cyrl-RS"/>
        </w:rPr>
        <w:t>In the coming period, the labo</w:t>
      </w:r>
      <w:r w:rsidR="004E34DB">
        <w:rPr>
          <w:rFonts w:cs="Times New Roman"/>
          <w:szCs w:val="24"/>
          <w:lang w:val="sr-Latn-RS"/>
        </w:rPr>
        <w:t>u</w:t>
      </w:r>
      <w:r w:rsidRPr="00983BA1">
        <w:rPr>
          <w:rFonts w:cs="Times New Roman"/>
          <w:szCs w:val="24"/>
          <w:lang w:val="sr-Cyrl-RS"/>
        </w:rPr>
        <w:t>r market is expected to maintain positive trends, in line with favorable macroeconomic indicators, as well as due to the encouragement of entrepreneurship, modernization of the education system and support for the employment of vulnerable groups. Increasing labo</w:t>
      </w:r>
      <w:r w:rsidR="004E34DB">
        <w:rPr>
          <w:rFonts w:cs="Times New Roman"/>
          <w:szCs w:val="24"/>
          <w:lang w:val="sr-Latn-RS"/>
        </w:rPr>
        <w:t>u</w:t>
      </w:r>
      <w:r w:rsidRPr="00983BA1">
        <w:rPr>
          <w:rFonts w:cs="Times New Roman"/>
          <w:szCs w:val="24"/>
          <w:lang w:val="sr-Cyrl-RS"/>
        </w:rPr>
        <w:t>r mobility and strengthening cooperation between educational institutions and the economy will contribute to further reducing unemployment and increasing employment, thereby improving the living standards of the population. Public policy makers are actively working on measures aimed at improving the quality of the labo</w:t>
      </w:r>
      <w:r w:rsidR="004E34DB">
        <w:rPr>
          <w:rFonts w:cs="Times New Roman"/>
          <w:szCs w:val="24"/>
          <w:lang w:val="sr-Latn-RS"/>
        </w:rPr>
        <w:t>u</w:t>
      </w:r>
      <w:r w:rsidRPr="00983BA1">
        <w:rPr>
          <w:rFonts w:cs="Times New Roman"/>
          <w:szCs w:val="24"/>
          <w:lang w:val="sr-Cyrl-RS"/>
        </w:rPr>
        <w:t>r force and investing in human capital, in order to facilitate employment, especially in sectors with higher added value. Efforts will continue to reduce the number of employees in the gray economy and their transition to the formal sector, which will improve working conditions and positively affect budget revenues. In the medium term, positive effects are expected from active employment policy measures, retraining and support for social entrepreneurship, which will facilitate access to jobs for socially vulnerable categories and ensure inclusive economic growth. Projections indicate a decrease in the unemployment rate and continued real wage growth. In the private sector, wage growth is expected to be correlated with productivity growth, while wages in the public sector will grow in accordance with established fiscal rules.</w:t>
      </w:r>
    </w:p>
    <w:p w14:paraId="066EEED6" w14:textId="77777777" w:rsidR="00306071" w:rsidRPr="00B7761B" w:rsidRDefault="00306071" w:rsidP="00B7761B">
      <w:pPr>
        <w:spacing w:after="200"/>
        <w:rPr>
          <w:rFonts w:eastAsia="Calibri" w:cs="Times New Roman"/>
          <w:iCs/>
          <w:szCs w:val="24"/>
          <w:lang w:val="en-GB"/>
        </w:rPr>
      </w:pPr>
      <w:r w:rsidRPr="00B7761B">
        <w:rPr>
          <w:rFonts w:eastAsia="Calibri" w:cs="Times New Roman"/>
          <w:b/>
          <w:i/>
          <w:szCs w:val="24"/>
          <w:lang w:val="en-GB"/>
        </w:rPr>
        <w:t xml:space="preserve">Monetary policy, exchange rate policy and inflation  </w:t>
      </w:r>
    </w:p>
    <w:p w14:paraId="68CD44CE" w14:textId="77777777" w:rsidR="00306071" w:rsidRPr="00B7761B" w:rsidRDefault="00306071" w:rsidP="00B7761B">
      <w:pPr>
        <w:rPr>
          <w:rFonts w:eastAsia="Calibri" w:cs="Times New Roman"/>
          <w:szCs w:val="24"/>
          <w:lang w:val="en-GB"/>
        </w:rPr>
      </w:pPr>
      <w:r w:rsidRPr="00B7761B">
        <w:rPr>
          <w:rFonts w:eastAsia="Calibri" w:cs="Times New Roman"/>
          <w:szCs w:val="24"/>
          <w:lang w:val="en-GB"/>
        </w:rPr>
        <w:t>The NBS has implemented</w:t>
      </w:r>
      <w:r w:rsidRPr="00B7761B">
        <w:rPr>
          <w:rFonts w:eastAsia="Calibri" w:cs="Times New Roman"/>
          <w:szCs w:val="24"/>
          <w:lang w:val="sr-Cyrl-RS"/>
        </w:rPr>
        <w:t xml:space="preserve"> </w:t>
      </w:r>
      <w:r w:rsidRPr="00B7761B">
        <w:rPr>
          <w:rFonts w:eastAsia="Calibri" w:cs="Times New Roman"/>
          <w:szCs w:val="24"/>
        </w:rPr>
        <w:t>the</w:t>
      </w:r>
      <w:r w:rsidRPr="00B7761B">
        <w:rPr>
          <w:rFonts w:eastAsia="Calibri" w:cs="Times New Roman"/>
          <w:szCs w:val="24"/>
          <w:lang w:val="en-GB"/>
        </w:rPr>
        <w:t xml:space="preserve"> </w:t>
      </w:r>
      <w:r w:rsidRPr="00B7761B">
        <w:rPr>
          <w:rFonts w:eastAsia="Calibri" w:cs="Times New Roman"/>
          <w:b/>
          <w:bCs/>
          <w:i/>
          <w:iCs/>
          <w:szCs w:val="24"/>
          <w:lang w:val="en-GB"/>
        </w:rPr>
        <w:t>inflation targeting regime</w:t>
      </w:r>
      <w:r w:rsidRPr="00B7761B">
        <w:rPr>
          <w:rFonts w:eastAsia="Calibri" w:cs="Times New Roman"/>
          <w:szCs w:val="24"/>
          <w:lang w:val="en-GB"/>
        </w:rPr>
        <w:t xml:space="preserve"> as its monetary strategy since 2009. Thanks to the achieved price stability, anchored inflation expectations, significant improvement in macroeconomic indicators and outlook for Serbia, and above all, the sustainable narrowing of external and internal imbalances, since 2017 the inflation target has been lowered to </w:t>
      </w:r>
      <w:r w:rsidRPr="00B7761B">
        <w:rPr>
          <w:rFonts w:eastAsia="Calibri" w:cs="Times New Roman"/>
          <w:b/>
          <w:bCs/>
          <w:szCs w:val="24"/>
          <w:lang w:val="en-GB"/>
        </w:rPr>
        <w:t>3%±1.5 pp and set at that level by end-2026</w:t>
      </w:r>
      <w:r w:rsidRPr="00B7761B">
        <w:rPr>
          <w:rFonts w:eastAsia="Calibri" w:cs="Times New Roman"/>
          <w:szCs w:val="24"/>
          <w:lang w:val="en-GB"/>
        </w:rPr>
        <w:t>. This confirms the NBS and Serbian Government’s commitment to taking measures toward maintaining low, stable and predictable inflation in the medium term.</w:t>
      </w:r>
    </w:p>
    <w:p w14:paraId="25D59477" w14:textId="77777777" w:rsidR="00306071" w:rsidRPr="00B7761B" w:rsidRDefault="00306071" w:rsidP="00B7761B">
      <w:pPr>
        <w:rPr>
          <w:rFonts w:eastAsia="Calibri" w:cs="Times New Roman"/>
          <w:szCs w:val="24"/>
          <w:lang w:val="en-GB"/>
        </w:rPr>
      </w:pPr>
      <w:r w:rsidRPr="00B7761B">
        <w:rPr>
          <w:rFonts w:eastAsia="Calibri" w:cs="Times New Roman"/>
          <w:szCs w:val="24"/>
          <w:lang w:val="en-GB"/>
        </w:rPr>
        <w:t xml:space="preserve">The main instrument for achieving the inflation target is the </w:t>
      </w:r>
      <w:r w:rsidRPr="00B7761B">
        <w:rPr>
          <w:rFonts w:eastAsia="Calibri" w:cs="Times New Roman"/>
          <w:b/>
          <w:bCs/>
          <w:szCs w:val="24"/>
          <w:lang w:val="en-GB"/>
        </w:rPr>
        <w:t>key policy rate</w:t>
      </w:r>
      <w:r w:rsidRPr="00B7761B">
        <w:rPr>
          <w:rFonts w:eastAsia="Calibri" w:cs="Times New Roman"/>
          <w:szCs w:val="24"/>
          <w:lang w:val="en-GB"/>
        </w:rPr>
        <w:t xml:space="preserve"> applied in one-week reverse repo operations, while other monetary policy instruments (lending and deposit facilities, required reserves and FX market interventions) have a supporting role. </w:t>
      </w:r>
    </w:p>
    <w:p w14:paraId="0DAD55DA" w14:textId="77777777" w:rsidR="00306071" w:rsidRPr="00B7761B" w:rsidRDefault="00306071" w:rsidP="00B7761B">
      <w:pPr>
        <w:rPr>
          <w:rFonts w:eastAsia="Calibri" w:cs="Times New Roman"/>
          <w:szCs w:val="24"/>
          <w:lang w:val="en-GB"/>
        </w:rPr>
      </w:pPr>
      <w:r w:rsidRPr="00B7761B">
        <w:rPr>
          <w:rFonts w:eastAsia="Calibri" w:cs="Times New Roman"/>
          <w:szCs w:val="24"/>
          <w:lang w:val="en-GB"/>
        </w:rPr>
        <w:t xml:space="preserve">In accordance with the chosen monetary strategy, the NBS </w:t>
      </w:r>
      <w:r w:rsidRPr="00B7761B">
        <w:rPr>
          <w:rFonts w:eastAsia="Calibri" w:cs="Times New Roman"/>
          <w:b/>
          <w:bCs/>
          <w:szCs w:val="24"/>
          <w:lang w:val="en-GB"/>
        </w:rPr>
        <w:t>will continue to implement the managed floating exchange rate regime</w:t>
      </w:r>
      <w:r w:rsidRPr="00B7761B">
        <w:rPr>
          <w:rFonts w:eastAsia="Calibri" w:cs="Times New Roman"/>
          <w:szCs w:val="24"/>
          <w:lang w:val="en-GB"/>
        </w:rPr>
        <w:t>. It will intervene in the FX market in order to ease excessive short-term volatility of the dinar exchange rate against the euro, preserve price and financial system stability, and maintain an adequate level of FX reserves.</w:t>
      </w:r>
    </w:p>
    <w:p w14:paraId="4DC33DA6" w14:textId="77777777" w:rsidR="00306071" w:rsidRPr="00B7761B" w:rsidRDefault="00306071" w:rsidP="00B7761B">
      <w:pPr>
        <w:rPr>
          <w:rFonts w:eastAsia="Calibri" w:cs="Times New Roman"/>
          <w:szCs w:val="24"/>
          <w:lang w:val="en-GB"/>
        </w:rPr>
      </w:pPr>
      <w:r w:rsidRPr="00B7761B">
        <w:rPr>
          <w:rFonts w:eastAsia="Calibri" w:cs="Times New Roman"/>
          <w:szCs w:val="24"/>
          <w:lang w:val="en-GB"/>
        </w:rPr>
        <w:t>Having in mind the continuously declining inflation at home, its return within the target band in May 2024, and the outlook for inflation and other macroeconomic indicators from the domestic and international environment, at its meetings in June, July and September, the NBS Executive Board lowered the key policy rate by 25 bp each, to the level of 5.75%. The rates on deposit and lending facilities were trimmed to the same extent, to 4.50% and 7.00%, respectively.</w:t>
      </w:r>
    </w:p>
    <w:p w14:paraId="5620DEA6" w14:textId="77777777" w:rsidR="00306071" w:rsidRPr="00B7761B" w:rsidRDefault="00306071" w:rsidP="00B7761B">
      <w:pPr>
        <w:rPr>
          <w:rFonts w:eastAsia="Calibri" w:cs="Times New Roman"/>
          <w:szCs w:val="24"/>
          <w:lang w:val="en-GB"/>
        </w:rPr>
      </w:pPr>
      <w:r w:rsidRPr="00B7761B">
        <w:rPr>
          <w:rFonts w:eastAsia="Calibri" w:cs="Times New Roman"/>
          <w:szCs w:val="24"/>
          <w:lang w:val="en-GB"/>
        </w:rPr>
        <w:t xml:space="preserve">In addition, using the flexibility of its monetary framework, as of June the NBS decided to gradually scale down the supply in one-week repo auctions in line with the estimated banks’ demand, which together with the key policy rate cuts, helped decrease the weighted average repo rate to 4.52% (13 November), i.e. by 105 bp  relative to end-May, sharper than the decrease in the key policy rate in the same period (75 bp). </w:t>
      </w:r>
    </w:p>
    <w:p w14:paraId="460A5BDF" w14:textId="77777777" w:rsidR="00306071" w:rsidRPr="00B7761B" w:rsidRDefault="00306071" w:rsidP="00B7761B">
      <w:pPr>
        <w:rPr>
          <w:rFonts w:eastAsia="Calibri" w:cs="Times New Roman"/>
          <w:szCs w:val="24"/>
          <w:lang w:val="en-GB"/>
        </w:rPr>
      </w:pPr>
      <w:r w:rsidRPr="00B7761B">
        <w:rPr>
          <w:rFonts w:eastAsia="Calibri" w:cs="Times New Roman"/>
          <w:b/>
          <w:i/>
          <w:szCs w:val="24"/>
          <w:lang w:val="en-GB"/>
        </w:rPr>
        <w:t xml:space="preserve">Medium-term inflation projection </w:t>
      </w:r>
      <w:r w:rsidRPr="00B7761B">
        <w:rPr>
          <w:rFonts w:eastAsia="Calibri" w:cs="Times New Roman"/>
          <w:szCs w:val="24"/>
          <w:lang w:val="en-GB"/>
        </w:rPr>
        <w:t xml:space="preserve"> </w:t>
      </w:r>
    </w:p>
    <w:p w14:paraId="1673647D" w14:textId="77777777" w:rsidR="00306071" w:rsidRPr="00B7761B" w:rsidRDefault="00306071" w:rsidP="00B7761B">
      <w:pPr>
        <w:rPr>
          <w:rFonts w:eastAsia="Calibri" w:cs="Times New Roman"/>
          <w:szCs w:val="24"/>
          <w:lang w:val="en-GB"/>
        </w:rPr>
      </w:pPr>
      <w:bookmarkStart w:id="16" w:name="_Hlk120005795"/>
      <w:r w:rsidRPr="00B7761B">
        <w:rPr>
          <w:rFonts w:eastAsia="Calibri" w:cs="Times New Roman"/>
          <w:szCs w:val="24"/>
          <w:lang w:val="en-GB"/>
        </w:rPr>
        <w:t xml:space="preserve">According to the NBS November projection, y-o-y inflation will continue to move within the target tolerance band (3±1.5%) in the next two years, i.e. over the projection horizon. Y-o-y inflation should gradually slow down in the coming period and approach the target midpoint </w:t>
      </w:r>
      <w:r w:rsidRPr="00B7761B">
        <w:rPr>
          <w:rFonts w:eastAsia="Calibri" w:cs="Times New Roman"/>
          <w:szCs w:val="24"/>
          <w:lang w:val="en-GB"/>
        </w:rPr>
        <w:lastRenderedPageBreak/>
        <w:t>in late 2025. Such inflation profile will be underpinned mainly by the still restrictive monetary conditions, the anchoring of not only medium-term but also short-term inflation expectations within the target band, as well as by the lower imported inflation and slower economic growth in the euro area. The downward inflation trajectory will also be supported by the projected softer growth in real wages and the anticipated drop in global oil prices as indicated by futures.</w:t>
      </w:r>
    </w:p>
    <w:p w14:paraId="63E2C728" w14:textId="77777777" w:rsidR="00306071" w:rsidRPr="00B7761B" w:rsidRDefault="00306071" w:rsidP="00B7761B">
      <w:pPr>
        <w:rPr>
          <w:rFonts w:eastAsia="Calibri" w:cs="Times New Roman"/>
          <w:szCs w:val="24"/>
          <w:lang w:val="en-GB"/>
        </w:rPr>
      </w:pPr>
      <w:r w:rsidRPr="00B7761B">
        <w:rPr>
          <w:rFonts w:eastAsia="Calibri" w:cs="Times New Roman"/>
          <w:szCs w:val="24"/>
          <w:lang w:val="en-GB"/>
        </w:rPr>
        <w:t xml:space="preserve">The key risks to the inflation projection are still primarily associated with factors from the international environment, notably geopolitical relations, protectionist measures and the global economic outlook, as well as their impact on global energy and other primary commodity prices. When it comes to domestic factors, they include the impact of weather conditions on the supply and prices of fruits and vegetables, as well as the pace of growth of domestic demand, above all investment demand, based on the level of FDI inflows and investment in infrastructure and the energy sector. Overall, the risks over the projection horizon are judged to be balanced. </w:t>
      </w:r>
    </w:p>
    <w:bookmarkEnd w:id="16"/>
    <w:p w14:paraId="0DFF28C5" w14:textId="77777777" w:rsidR="00306071" w:rsidRPr="00B7761B" w:rsidRDefault="00306071" w:rsidP="00B7761B">
      <w:pPr>
        <w:rPr>
          <w:rFonts w:eastAsia="Times New Roman" w:cs="Times New Roman"/>
          <w:b/>
          <w:i/>
          <w:szCs w:val="24"/>
          <w:lang w:val="en-GB"/>
        </w:rPr>
      </w:pPr>
      <w:r w:rsidRPr="00B7761B">
        <w:rPr>
          <w:rFonts w:eastAsia="Times New Roman" w:cs="Times New Roman"/>
          <w:b/>
          <w:i/>
          <w:szCs w:val="24"/>
          <w:lang w:val="en-GB"/>
        </w:rPr>
        <w:t xml:space="preserve">External sector and its medium-term sustainability </w:t>
      </w:r>
    </w:p>
    <w:p w14:paraId="10CBBBE0" w14:textId="77777777" w:rsidR="00306071" w:rsidRPr="00B7761B" w:rsidRDefault="00306071" w:rsidP="00B7761B">
      <w:pPr>
        <w:rPr>
          <w:rFonts w:eastAsia="Times New Roman" w:cs="Times New Roman"/>
          <w:szCs w:val="24"/>
          <w:lang w:val="en-GB"/>
        </w:rPr>
      </w:pPr>
      <w:r w:rsidRPr="00B7761B">
        <w:rPr>
          <w:rFonts w:eastAsia="Times New Roman" w:cs="Times New Roman"/>
          <w:szCs w:val="24"/>
          <w:lang w:val="en-GB"/>
        </w:rPr>
        <w:t xml:space="preserve">Thanks to FDI inflow to export-oriented sectors, supported by the achieved macroeconomic stability and a more stimulating business environment, the past few years have seen increased export diversification </w:t>
      </w:r>
      <w:r w:rsidRPr="00B7761B">
        <w:rPr>
          <w:rFonts w:eastAsia="Calibri" w:cs="Times New Roman"/>
          <w:szCs w:val="24"/>
          <w:lang w:val="en-GB"/>
        </w:rPr>
        <w:t xml:space="preserve">– both by product and geography. This is suggested by the lowering of the </w:t>
      </w:r>
      <w:r w:rsidRPr="00B7761B">
        <w:rPr>
          <w:rFonts w:eastAsia="Times New Roman" w:cs="Times New Roman"/>
          <w:iCs/>
          <w:szCs w:val="24"/>
          <w:lang w:val="en-GB"/>
        </w:rPr>
        <w:t>HHI i</w:t>
      </w:r>
      <w:r w:rsidRPr="00B7761B">
        <w:rPr>
          <w:rFonts w:eastAsia="Times New Roman" w:cs="Times New Roman"/>
          <w:szCs w:val="24"/>
          <w:lang w:val="en-GB"/>
        </w:rPr>
        <w:t>ndex by product in the past decade,  from 0.22 in 2013 to 0.20 in 2024, аnd by partner country from 0.26 to 0.23.</w:t>
      </w:r>
    </w:p>
    <w:p w14:paraId="72F33D97" w14:textId="77777777" w:rsidR="00306071" w:rsidRPr="00B7761B" w:rsidRDefault="00306071" w:rsidP="00B7761B">
      <w:pPr>
        <w:rPr>
          <w:rFonts w:eastAsia="Calibri" w:cs="Times New Roman"/>
          <w:szCs w:val="24"/>
          <w:lang w:val="en-GB"/>
        </w:rPr>
      </w:pPr>
      <w:r w:rsidRPr="00B7761B">
        <w:rPr>
          <w:rFonts w:eastAsia="Calibri" w:cs="Times New Roman"/>
          <w:szCs w:val="24"/>
          <w:lang w:val="en-GB"/>
        </w:rPr>
        <w:t xml:space="preserve">By </w:t>
      </w:r>
      <w:r w:rsidRPr="00B7761B">
        <w:rPr>
          <w:rFonts w:eastAsia="Calibri" w:cs="Times New Roman"/>
          <w:b/>
          <w:bCs/>
          <w:i/>
          <w:iCs/>
          <w:szCs w:val="24"/>
          <w:lang w:val="en-GB"/>
        </w:rPr>
        <w:t>stages of processing</w:t>
      </w:r>
      <w:r w:rsidRPr="00B7761B">
        <w:rPr>
          <w:rFonts w:eastAsia="Calibri" w:cs="Times New Roman"/>
          <w:szCs w:val="24"/>
          <w:lang w:val="en-GB"/>
        </w:rPr>
        <w:t>, in the composition of goods exports in the nine months of 2024, the largest share was held by products in the middle stage of processing (31.0%). Next are resource-based products (26.9%), products of lower processing stage (17.0%) (furniture, plastic products, flat-rolled products, base metal products, footwear), while primary commodities made up 13.3% of total exports. The share of high technology products (mostly electrical machinery) in total exports came at 7.9% in the first nine months of 2024, which is a 3.1 pp increase from 2013, when they stood at 4.8%.</w:t>
      </w:r>
    </w:p>
    <w:p w14:paraId="788EB30D" w14:textId="77777777" w:rsidR="00306071" w:rsidRPr="00B7761B" w:rsidRDefault="00306071" w:rsidP="00B7761B">
      <w:pPr>
        <w:rPr>
          <w:rFonts w:eastAsia="Calibri" w:cs="Times New Roman"/>
          <w:szCs w:val="24"/>
          <w:lang w:val="en-GB"/>
        </w:rPr>
      </w:pPr>
      <w:r w:rsidRPr="00B7761B">
        <w:rPr>
          <w:rFonts w:eastAsia="Calibri" w:cs="Times New Roman"/>
          <w:szCs w:val="24"/>
          <w:lang w:val="en-GB"/>
        </w:rPr>
        <w:t xml:space="preserve">As for </w:t>
      </w:r>
      <w:r w:rsidRPr="00B7761B">
        <w:rPr>
          <w:rFonts w:eastAsia="Calibri" w:cs="Times New Roman"/>
          <w:b/>
          <w:i/>
          <w:szCs w:val="24"/>
          <w:lang w:val="en-GB"/>
        </w:rPr>
        <w:t>indicators of price competitiveness,</w:t>
      </w:r>
      <w:r w:rsidRPr="00B7761B">
        <w:rPr>
          <w:rFonts w:eastAsia="Calibri" w:cs="Times New Roman"/>
          <w:szCs w:val="24"/>
          <w:lang w:val="en-GB"/>
        </w:rPr>
        <w:t xml:space="preserve"> it is important to note that the real effective exchange rate of the dinar (calculated based on consumer prices according to the currency basket including the euro and the dollar</w:t>
      </w:r>
      <w:r w:rsidRPr="00B7761B">
        <w:rPr>
          <w:rFonts w:eastAsia="Calibri" w:cs="Times New Roman"/>
          <w:szCs w:val="24"/>
          <w:vertAlign w:val="superscript"/>
          <w:lang w:val="en-GB"/>
        </w:rPr>
        <w:footnoteReference w:id="6"/>
      </w:r>
      <w:r w:rsidRPr="00B7761B">
        <w:rPr>
          <w:rFonts w:eastAsia="Calibri" w:cs="Times New Roman"/>
          <w:szCs w:val="24"/>
          <w:lang w:val="en-GB"/>
        </w:rPr>
        <w:t xml:space="preserve">) in the eight years concluding with 2022, in cumulative terms, remained almost unchanged. Under the impact of higher inflation in Serbia compared to that in the euro area and the USA, 2023 saw real effective appreciation of 7.7%, while in the nine months of 2024 the average real effective appreciation of the dinar equalled 2.4% y-o-y. Calculated on the basis of unit labour costs, the dinar has appreciated against the euro in real terms since 2017, due to faster growth in unit labour costs in Serbia compared to those in the EU and in part also because of the mild nominal appreciation of the dinar against the euro. In 2024, Serbian wages increased faster than economic activity, so unit labour costs in Serbia continued to grow, more sharply than in the euro area, which, coupled with the unchanged dinar’s value against the euro, resulted in real appreciation of the dinar of around 5% y-o-y in H1, according to currently available data. That cost competitiveness does not have a major impact on FDI inflow, while the preserved macroeconomic stability and achieved structural improvements do, is shown by the fact that FDI inflow from 2017 through September of this year amounted to nearly EUR 29.4 billion (around 7.2% of GDP on average per annum), despite the pandemic, heightened geopolitical tensions and other challenges stemming from the international environment. Also, goods and services exports continued up in the face of the still weak external demand, exactly as a result of high inflow of FDI which considerably </w:t>
      </w:r>
      <w:r w:rsidRPr="00B7761B">
        <w:rPr>
          <w:rFonts w:eastAsia="Calibri" w:cs="Times New Roman"/>
          <w:szCs w:val="24"/>
          <w:lang w:val="en-GB"/>
        </w:rPr>
        <w:lastRenderedPageBreak/>
        <w:t xml:space="preserve">boosted export offer, so that exports demonstrated significant resilience even amid the contraction in external demand. </w:t>
      </w:r>
    </w:p>
    <w:p w14:paraId="1577FAD4" w14:textId="77777777" w:rsidR="00306071" w:rsidRPr="00B7761B" w:rsidRDefault="00306071" w:rsidP="00B7761B">
      <w:pPr>
        <w:rPr>
          <w:rFonts w:eastAsia="Calibri" w:cs="Times New Roman"/>
          <w:b/>
          <w:szCs w:val="24"/>
          <w:lang w:val="en-GB"/>
        </w:rPr>
      </w:pPr>
      <w:r w:rsidRPr="00B7761B">
        <w:rPr>
          <w:rFonts w:eastAsia="Calibri" w:cs="Times New Roman"/>
          <w:b/>
          <w:i/>
          <w:szCs w:val="24"/>
          <w:lang w:val="en-GB"/>
        </w:rPr>
        <w:t>International investment position.</w:t>
      </w:r>
      <w:r w:rsidRPr="00B7761B">
        <w:rPr>
          <w:rFonts w:eastAsia="Calibri" w:cs="Times New Roman"/>
          <w:szCs w:val="24"/>
          <w:lang w:val="en-GB"/>
        </w:rPr>
        <w:t xml:space="preserve"> Serbia’s negative international investment position (IIP) came at EUR 50.5 billion at end-Q2 2024 (compared to EUR 50.1 billion or 66.6% of GDP at end-2023). On the assets side, the stock of FX reserves, deposits, and portfolio and direct investments by residents abroad increased. On the liabilities side, the stock of FDIs, portfolio investments and financial loans went up. </w:t>
      </w:r>
      <w:r w:rsidRPr="00B7761B">
        <w:rPr>
          <w:rFonts w:eastAsia="Calibri" w:cs="Times New Roman"/>
          <w:b/>
          <w:bCs/>
          <w:szCs w:val="24"/>
          <w:lang w:val="en-GB"/>
        </w:rPr>
        <w:t>At end-Q2 2024, net FDIs made up around 104% of the net IIP</w:t>
      </w:r>
      <w:r w:rsidRPr="00B7761B">
        <w:rPr>
          <w:rFonts w:eastAsia="Calibri" w:cs="Times New Roman"/>
          <w:b/>
          <w:szCs w:val="24"/>
          <w:lang w:val="en-GB"/>
        </w:rPr>
        <w:t>, indicating that the IIP structure is very favourable from the viewpoint of external sustainability.</w:t>
      </w:r>
    </w:p>
    <w:p w14:paraId="36DE494B" w14:textId="77777777" w:rsidR="00306071" w:rsidRPr="00B7761B" w:rsidRDefault="00306071" w:rsidP="00B7761B">
      <w:pPr>
        <w:rPr>
          <w:rFonts w:eastAsia="Calibri" w:cs="Times New Roman"/>
          <w:szCs w:val="24"/>
          <w:lang w:val="en-GB"/>
        </w:rPr>
      </w:pPr>
      <w:r w:rsidRPr="00B7761B">
        <w:rPr>
          <w:rFonts w:eastAsia="Calibri" w:cs="Times New Roman"/>
          <w:szCs w:val="24"/>
          <w:lang w:val="en-GB"/>
        </w:rPr>
        <w:t xml:space="preserve">Within the liabilities of the IIP, the share of debt instruments was around 52%, of which intercompany loans made up 23.1%. About a half </w:t>
      </w:r>
      <w:r w:rsidRPr="00B7761B">
        <w:rPr>
          <w:rFonts w:eastAsia="Calibri" w:cs="Times New Roman"/>
          <w:b/>
          <w:bCs/>
          <w:i/>
          <w:iCs/>
          <w:szCs w:val="24"/>
          <w:lang w:val="en-GB"/>
        </w:rPr>
        <w:t>of total external debt</w:t>
      </w:r>
      <w:r w:rsidRPr="00B7761B">
        <w:rPr>
          <w:rFonts w:eastAsia="Calibri" w:cs="Times New Roman"/>
          <w:b/>
          <w:bCs/>
          <w:szCs w:val="24"/>
          <w:lang w:val="en-GB"/>
        </w:rPr>
        <w:t xml:space="preserve"> </w:t>
      </w:r>
      <w:r w:rsidRPr="00B7761B">
        <w:rPr>
          <w:rFonts w:eastAsia="Calibri" w:cs="Times New Roman"/>
          <w:szCs w:val="24"/>
          <w:lang w:val="en-GB"/>
        </w:rPr>
        <w:t>refers to public sector debt (54.7%). By remaining maturity, total external debt of the public sector (comprising the general government and the NBS) is long-term, and around 70.7% was contracted at a fixed interest rate. Two currencies dominate the public external debt – the euro (70.8%) and the US dollar (19.4%). It is important to note that the share of the euro and the US dollar in FX reserves is largely matched with the currency structure of public external debt.</w:t>
      </w:r>
    </w:p>
    <w:p w14:paraId="08AE9785" w14:textId="77777777" w:rsidR="00306071" w:rsidRPr="00B7761B" w:rsidRDefault="00306071" w:rsidP="00B7761B">
      <w:pPr>
        <w:rPr>
          <w:rFonts w:eastAsia="Calibri" w:cs="Times New Roman"/>
          <w:szCs w:val="24"/>
          <w:lang w:val="en-GB"/>
        </w:rPr>
      </w:pPr>
      <w:r w:rsidRPr="00B7761B">
        <w:rPr>
          <w:rFonts w:eastAsia="Calibri" w:cs="Times New Roman"/>
          <w:szCs w:val="24"/>
          <w:lang w:val="en-GB"/>
        </w:rPr>
        <w:t>The bulk of private sector external debt is company debt (around 83.7%). As over 88% of company debt is denominated in euros, and around 83% of export collections are made in euros, the currency risk on account of external debt of companies is low. In addition, 48.0% of the debt is contracted at a fixed interest rate. By remaining maturity, almost 97% of company debt is long-term. Around 96% of the external debt of banks is denominated in euros and 91.8% is contracted at a variable interest rate. By remaining maturity, almost 89.5% of banking sector external debt (excluding deposits) is long-term.</w:t>
      </w:r>
    </w:p>
    <w:p w14:paraId="2CF7718E" w14:textId="77777777" w:rsidR="00306071" w:rsidRPr="00B7761B" w:rsidRDefault="00306071" w:rsidP="00B7761B">
      <w:pPr>
        <w:rPr>
          <w:rFonts w:eastAsia="Calibri" w:cs="Times New Roman"/>
          <w:szCs w:val="24"/>
          <w:lang w:val="en-GB"/>
        </w:rPr>
      </w:pPr>
      <w:r w:rsidRPr="00B7761B">
        <w:rPr>
          <w:rFonts w:eastAsia="Calibri" w:cs="Times New Roman"/>
          <w:b/>
          <w:i/>
          <w:szCs w:val="24"/>
          <w:lang w:val="en-GB"/>
        </w:rPr>
        <w:t xml:space="preserve">Medium-term external sustainability. </w:t>
      </w:r>
      <w:r w:rsidRPr="00B7761B">
        <w:rPr>
          <w:rFonts w:eastAsia="Calibri" w:cs="Times New Roman"/>
          <w:bCs/>
          <w:iCs/>
          <w:szCs w:val="24"/>
          <w:lang w:val="en-GB"/>
        </w:rPr>
        <w:t xml:space="preserve">The current account deficit is projected at around 5% of GDP in the medium term. It will remain fully or almost fully covered by net FDI inflows. Current account developments in the medium term will mostly be determined by structural factors. Continued growth in investments and the implementation of projects under the “Leap into the Future – Serbia Expo 2027” programme will push up imports of capital and intermediate goods. Growth in goods and services imports is thus estimated to measure between 7% and 9% in the coming years. At the same time, </w:t>
      </w:r>
      <w:r w:rsidRPr="00B7761B">
        <w:rPr>
          <w:rFonts w:eastAsia="Calibri" w:cs="Times New Roman"/>
          <w:szCs w:val="24"/>
          <w:lang w:val="en-GB"/>
        </w:rPr>
        <w:t>as a result of past investment in tradable sectors and, most importantly, high FDI inflows, as well as the expected rallying of external demand, we expect growth in exports of goods and services to measure between 6% and 9% per annum. According to our projection, the secondary income surplus will level off at around 7% of GDP in the coming period, while the expected trajectory of net FDI inflows of around 5% of GDP will keep the return on FDI a solid expenditure item on the primary income account, the deficit on which will therefore rise moderately.</w:t>
      </w:r>
    </w:p>
    <w:p w14:paraId="2BCC1CD2" w14:textId="77777777" w:rsidR="00306071" w:rsidRPr="00B7761B" w:rsidRDefault="00306071" w:rsidP="00B7761B">
      <w:pPr>
        <w:rPr>
          <w:rFonts w:eastAsia="Calibri" w:cs="Times New Roman"/>
          <w:szCs w:val="24"/>
          <w:lang w:val="en-GB"/>
        </w:rPr>
      </w:pPr>
      <w:r w:rsidRPr="00B7761B">
        <w:rPr>
          <w:rFonts w:eastAsia="Calibri" w:cs="Times New Roman"/>
          <w:szCs w:val="24"/>
          <w:lang w:val="en-GB"/>
        </w:rPr>
        <w:t>FX reserves are expected to stay at an adequate level over the medium term. They will cover around 7 months’ worth of average monthly imports of goods and services, while coverage of short-term debt (by remaining maturity) by FX reserves will go up.</w:t>
      </w:r>
    </w:p>
    <w:p w14:paraId="3ED5AF9D" w14:textId="3BDFBB9B" w:rsidR="00E8578D" w:rsidRPr="00B7761B" w:rsidRDefault="00306071" w:rsidP="00B7761B">
      <w:pPr>
        <w:rPr>
          <w:rFonts w:eastAsia="Calibri" w:cs="Times New Roman"/>
          <w:szCs w:val="24"/>
          <w:lang w:val="en-GB"/>
        </w:rPr>
      </w:pPr>
      <w:r w:rsidRPr="00B7761B">
        <w:rPr>
          <w:rFonts w:eastAsia="Calibri" w:cs="Times New Roman"/>
          <w:szCs w:val="24"/>
          <w:lang w:val="en-GB"/>
        </w:rPr>
        <w:t xml:space="preserve">The analysis of sustainability of external debt shows that, under all macroeconomic scenarios (assuming a different rate of growth in GDP, interest rates and the exchange rate), except for the scenario assuming a real depreciation by 30% in 2025, </w:t>
      </w:r>
      <w:r w:rsidRPr="00B7761B">
        <w:rPr>
          <w:rFonts w:eastAsia="Calibri" w:cs="Times New Roman"/>
          <w:b/>
          <w:bCs/>
          <w:szCs w:val="24"/>
          <w:lang w:val="en-GB"/>
        </w:rPr>
        <w:t>external debt will subside in the medium term. Under the baseline scenario, Serbia’s external debt will measure around 55% of GDP</w:t>
      </w:r>
      <w:r w:rsidRPr="00B7761B">
        <w:rPr>
          <w:rFonts w:eastAsia="Calibri" w:cs="Times New Roman"/>
          <w:szCs w:val="24"/>
          <w:lang w:val="en-GB"/>
        </w:rPr>
        <w:t xml:space="preserve"> </w:t>
      </w:r>
      <w:r w:rsidRPr="00B7761B">
        <w:rPr>
          <w:rFonts w:eastAsia="Calibri" w:cs="Times New Roman"/>
          <w:b/>
          <w:bCs/>
          <w:szCs w:val="24"/>
          <w:lang w:val="en-GB"/>
        </w:rPr>
        <w:t>at end-2027</w:t>
      </w:r>
      <w:r w:rsidRPr="00B7761B">
        <w:rPr>
          <w:rFonts w:eastAsia="Calibri" w:cs="Times New Roman"/>
          <w:szCs w:val="24"/>
          <w:lang w:val="en-GB"/>
        </w:rPr>
        <w:t xml:space="preserve">. One of the key factors contributing to this decline is the increase in the degree of openness of the Serbian economy (measured as the percentage of exports and imports of goods and services in GDP) to around 130% of GDP in 2027. Increased openness of the Serbian economy and its greater integration in global trade flows are certainly supported </w:t>
      </w:r>
      <w:r w:rsidRPr="00B7761B">
        <w:rPr>
          <w:rFonts w:eastAsia="Calibri" w:cs="Times New Roman"/>
          <w:szCs w:val="24"/>
          <w:lang w:val="en-GB"/>
        </w:rPr>
        <w:lastRenderedPageBreak/>
        <w:t>by high FDI inflows, projected at around EUR 4.6 billion this year and beyond, which is close to the record-high level recorded last year. As the bulk of investments has been channelled to tradable sectors for years, foreign-owned companies are among Serbia’s largest exporters. The continuation of EU integration, together with bilateral free trade agreements and agreements with trade associations (CEFTA, EFTA, Eurasian Economic Union) concluded by the Serbian Government, and maintenance of the macroeconomic stability, will lead to a further improvement of the business climate, spurring foreign trade and continued growth in FDIs.</w:t>
      </w:r>
    </w:p>
    <w:p w14:paraId="00098DA7" w14:textId="746FFC02" w:rsidR="004240F0" w:rsidRPr="00915EC2" w:rsidRDefault="004240F0" w:rsidP="004240F0">
      <w:pPr>
        <w:pStyle w:val="Heading11"/>
        <w:spacing w:before="180" w:after="180"/>
        <w:rPr>
          <w:rFonts w:ascii="Times New Roman" w:hAnsi="Times New Roman" w:cs="Times New Roman"/>
          <w:color w:val="auto"/>
          <w:sz w:val="24"/>
          <w:szCs w:val="24"/>
          <w:lang w:val="sr-Latn-RS"/>
        </w:rPr>
      </w:pPr>
      <w:bookmarkStart w:id="17" w:name="_Toc185342331"/>
      <w:bookmarkStart w:id="18" w:name="_Toc192759975"/>
      <w:r w:rsidRPr="00915EC2">
        <w:rPr>
          <w:rFonts w:ascii="Times New Roman" w:hAnsi="Times New Roman" w:cs="Times New Roman"/>
          <w:color w:val="auto"/>
          <w:sz w:val="24"/>
          <w:szCs w:val="24"/>
          <w:lang w:val="sr-Latn-RS"/>
        </w:rPr>
        <w:t xml:space="preserve">3.4. </w:t>
      </w:r>
      <w:bookmarkEnd w:id="17"/>
      <w:r>
        <w:rPr>
          <w:rFonts w:ascii="Times New Roman" w:hAnsi="Times New Roman" w:cs="Times New Roman"/>
          <w:color w:val="auto"/>
          <w:sz w:val="24"/>
          <w:szCs w:val="24"/>
          <w:lang w:val="sr-Latn-RS"/>
        </w:rPr>
        <w:t>ALTERNATIVE SCENARIO AND RISKS</w:t>
      </w:r>
      <w:bookmarkEnd w:id="18"/>
    </w:p>
    <w:p w14:paraId="098C0295" w14:textId="67694ED5" w:rsidR="004240F0" w:rsidRDefault="004240F0" w:rsidP="004240F0">
      <w:pPr>
        <w:autoSpaceDE w:val="0"/>
        <w:autoSpaceDN w:val="0"/>
        <w:adjustRightInd w:val="0"/>
        <w:contextualSpacing/>
        <w:rPr>
          <w:rFonts w:cs="Times New Roman"/>
          <w:bCs/>
          <w:szCs w:val="24"/>
          <w:lang w:val="sr-Cyrl-RS"/>
        </w:rPr>
      </w:pPr>
      <w:r w:rsidRPr="00B35062">
        <w:rPr>
          <w:rFonts w:cs="Times New Roman"/>
          <w:bCs/>
          <w:szCs w:val="24"/>
          <w:lang w:val="sr-Cyrl-RS"/>
        </w:rPr>
        <w:t>The medium-term scenario of economic activity in the Republic of Serbia continues to be influenced by numerous risks, primarily from the international environment. The risks of the macroeconomic framework largely stem from uncertainty regarding the development of international economic and political relations. Further geo-economic fragmentation and restrictions on trade relations may further affect the volume of global trade and the global economic outlook. The escalation of the conflict in Ukraine and the Middle East may cause sudden jumps in energy prices and further increase investor uncertainty and concern, causing stronger inflationary pressures and an even slower recovery of the economies of our largest foreign trade partners. The pessimistic scenario assumes the materialization of negative risks from the international environment, which would have an adverse impact on the export activity of our economy, higher inflation due to shocks in the energy market and lower real disposable income of the population and private consumption, as well as slower growth in investments, primarily private ones. The materialization of these risks would result in a lower medium-term GDP growth rate in the period 2025-2027 by 1.3 p.p. on average than in the baseline scenario, and would amount to 3.1% on average per year.</w:t>
      </w:r>
    </w:p>
    <w:p w14:paraId="4E021D77" w14:textId="77777777" w:rsidR="00B7761B" w:rsidRDefault="00B7761B" w:rsidP="004240F0">
      <w:pPr>
        <w:autoSpaceDE w:val="0"/>
        <w:autoSpaceDN w:val="0"/>
        <w:adjustRightInd w:val="0"/>
        <w:contextualSpacing/>
        <w:rPr>
          <w:rFonts w:cs="Times New Roman"/>
          <w:bCs/>
          <w:szCs w:val="24"/>
          <w:lang w:val="sr-Cyrl-RS"/>
        </w:rPr>
      </w:pPr>
    </w:p>
    <w:p w14:paraId="556B7873" w14:textId="4C7E554D" w:rsidR="009B402F" w:rsidRPr="00AD7E7D" w:rsidRDefault="004240F0" w:rsidP="00B7761B">
      <w:pPr>
        <w:autoSpaceDE w:val="0"/>
        <w:autoSpaceDN w:val="0"/>
        <w:adjustRightInd w:val="0"/>
        <w:spacing w:before="120" w:after="240"/>
        <w:jc w:val="left"/>
        <w:rPr>
          <w:rFonts w:cs="Times New Roman"/>
          <w:szCs w:val="24"/>
          <w:lang w:val="sr-Cyrl-RS"/>
        </w:rPr>
      </w:pPr>
      <w:r>
        <w:rPr>
          <w:rFonts w:eastAsia="Constantia" w:cs="Times New Roman"/>
          <w:i/>
          <w:szCs w:val="24"/>
          <w:lang w:val="sr-Latn-RS"/>
        </w:rPr>
        <w:t>Chart</w:t>
      </w:r>
      <w:r w:rsidRPr="005D223F">
        <w:rPr>
          <w:rFonts w:eastAsia="Constantia" w:cs="Times New Roman"/>
          <w:i/>
          <w:szCs w:val="24"/>
          <w:lang w:val="sr-Cyrl-RS"/>
        </w:rPr>
        <w:t xml:space="preserve"> </w:t>
      </w:r>
      <w:r>
        <w:rPr>
          <w:rFonts w:eastAsia="Constantia" w:cs="Times New Roman"/>
          <w:i/>
          <w:szCs w:val="24"/>
          <w:lang w:val="sr-Latn-RS"/>
        </w:rPr>
        <w:t>3</w:t>
      </w:r>
      <w:r w:rsidRPr="005D223F">
        <w:rPr>
          <w:rFonts w:eastAsia="Constantia" w:cs="Times New Roman"/>
          <w:i/>
          <w:szCs w:val="24"/>
          <w:lang w:val="sr-Cyrl-RS"/>
        </w:rPr>
        <w:t xml:space="preserve">. </w:t>
      </w:r>
      <w:r w:rsidRPr="00B35062">
        <w:rPr>
          <w:rFonts w:eastAsia="Constantia" w:cs="Times New Roman"/>
          <w:i/>
          <w:szCs w:val="24"/>
          <w:lang w:val="sr-Cyrl-RS"/>
        </w:rPr>
        <w:t>Projection of GDP trends, annual growth rate, %</w:t>
      </w:r>
      <w:r w:rsidR="00740EE7" w:rsidRPr="00AD7E7D">
        <w:rPr>
          <w:rFonts w:cs="Times New Roman"/>
          <w:noProof/>
          <w:szCs w:val="24"/>
        </w:rPr>
        <w:drawing>
          <wp:inline distT="0" distB="0" distL="0" distR="0" wp14:anchorId="3A2DF94C" wp14:editId="10C1A078">
            <wp:extent cx="5762625" cy="2305050"/>
            <wp:effectExtent l="0" t="0" r="0" b="0"/>
            <wp:docPr id="96" name="Chart 9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D8E473" w14:textId="77777777" w:rsidR="00B7761B" w:rsidRDefault="00B7761B" w:rsidP="004240F0">
      <w:pPr>
        <w:autoSpaceDE w:val="0"/>
        <w:autoSpaceDN w:val="0"/>
        <w:adjustRightInd w:val="0"/>
        <w:rPr>
          <w:rFonts w:eastAsia="Constantia" w:cs="Times New Roman"/>
          <w:i/>
          <w:szCs w:val="24"/>
          <w:lang w:val="sr-Latn-RS"/>
        </w:rPr>
      </w:pPr>
    </w:p>
    <w:p w14:paraId="5968C36D" w14:textId="77777777" w:rsidR="00B7761B" w:rsidRDefault="00B7761B" w:rsidP="004240F0">
      <w:pPr>
        <w:autoSpaceDE w:val="0"/>
        <w:autoSpaceDN w:val="0"/>
        <w:adjustRightInd w:val="0"/>
        <w:rPr>
          <w:rFonts w:eastAsia="Constantia" w:cs="Times New Roman"/>
          <w:i/>
          <w:szCs w:val="24"/>
          <w:lang w:val="sr-Latn-RS"/>
        </w:rPr>
      </w:pPr>
    </w:p>
    <w:p w14:paraId="0F0524C7" w14:textId="77777777" w:rsidR="00B7761B" w:rsidRDefault="00B7761B" w:rsidP="004240F0">
      <w:pPr>
        <w:autoSpaceDE w:val="0"/>
        <w:autoSpaceDN w:val="0"/>
        <w:adjustRightInd w:val="0"/>
        <w:rPr>
          <w:rFonts w:eastAsia="Constantia" w:cs="Times New Roman"/>
          <w:i/>
          <w:szCs w:val="24"/>
          <w:lang w:val="sr-Latn-RS"/>
        </w:rPr>
      </w:pPr>
    </w:p>
    <w:p w14:paraId="07857820" w14:textId="77777777" w:rsidR="00B7761B" w:rsidRDefault="00B7761B" w:rsidP="004240F0">
      <w:pPr>
        <w:autoSpaceDE w:val="0"/>
        <w:autoSpaceDN w:val="0"/>
        <w:adjustRightInd w:val="0"/>
        <w:rPr>
          <w:rFonts w:eastAsia="Constantia" w:cs="Times New Roman"/>
          <w:i/>
          <w:szCs w:val="24"/>
          <w:lang w:val="sr-Latn-RS"/>
        </w:rPr>
      </w:pPr>
    </w:p>
    <w:p w14:paraId="2A391673" w14:textId="77777777" w:rsidR="00B7761B" w:rsidRDefault="00B7761B" w:rsidP="004240F0">
      <w:pPr>
        <w:autoSpaceDE w:val="0"/>
        <w:autoSpaceDN w:val="0"/>
        <w:adjustRightInd w:val="0"/>
        <w:rPr>
          <w:rFonts w:eastAsia="Constantia" w:cs="Times New Roman"/>
          <w:i/>
          <w:szCs w:val="24"/>
          <w:lang w:val="sr-Latn-RS"/>
        </w:rPr>
      </w:pPr>
    </w:p>
    <w:p w14:paraId="1B0EF05C" w14:textId="77777777" w:rsidR="00B7761B" w:rsidRDefault="00B7761B" w:rsidP="004240F0">
      <w:pPr>
        <w:autoSpaceDE w:val="0"/>
        <w:autoSpaceDN w:val="0"/>
        <w:adjustRightInd w:val="0"/>
        <w:rPr>
          <w:rFonts w:eastAsia="Constantia" w:cs="Times New Roman"/>
          <w:i/>
          <w:szCs w:val="24"/>
          <w:lang w:val="sr-Latn-RS"/>
        </w:rPr>
      </w:pPr>
    </w:p>
    <w:p w14:paraId="56AA0B76" w14:textId="77777777" w:rsidR="00B7761B" w:rsidRDefault="00B7761B" w:rsidP="004240F0">
      <w:pPr>
        <w:autoSpaceDE w:val="0"/>
        <w:autoSpaceDN w:val="0"/>
        <w:adjustRightInd w:val="0"/>
        <w:rPr>
          <w:rFonts w:eastAsia="Constantia" w:cs="Times New Roman"/>
          <w:i/>
          <w:szCs w:val="24"/>
          <w:lang w:val="sr-Latn-RS"/>
        </w:rPr>
      </w:pPr>
    </w:p>
    <w:p w14:paraId="69F39BB2" w14:textId="4D30729F" w:rsidR="004240F0" w:rsidRPr="00B35062" w:rsidRDefault="004240F0" w:rsidP="004240F0">
      <w:pPr>
        <w:autoSpaceDE w:val="0"/>
        <w:autoSpaceDN w:val="0"/>
        <w:adjustRightInd w:val="0"/>
        <w:rPr>
          <w:rFonts w:eastAsia="Constantia" w:cs="Times New Roman"/>
          <w:i/>
          <w:szCs w:val="24"/>
          <w:lang w:val="sr-Cyrl-RS"/>
        </w:rPr>
      </w:pPr>
      <w:r w:rsidRPr="00B35062">
        <w:rPr>
          <w:rFonts w:eastAsia="Constantia" w:cs="Times New Roman"/>
          <w:i/>
          <w:szCs w:val="24"/>
          <w:lang w:val="sr-Latn-RS"/>
        </w:rPr>
        <w:lastRenderedPageBreak/>
        <w:t>Chart</w:t>
      </w:r>
      <w:r w:rsidRPr="00B35062">
        <w:rPr>
          <w:rFonts w:eastAsia="Constantia" w:cs="Times New Roman"/>
          <w:i/>
          <w:szCs w:val="24"/>
          <w:lang w:val="sr-Cyrl-RS"/>
        </w:rPr>
        <w:t xml:space="preserve"> 3. </w:t>
      </w:r>
      <w:r w:rsidRPr="00B35062">
        <w:rPr>
          <w:rFonts w:eastAsia="Constantia" w:cs="Times New Roman"/>
          <w:i/>
          <w:szCs w:val="24"/>
          <w:lang w:val="sr-Latn-RS"/>
        </w:rPr>
        <w:t>Alternative macroeconomic scenario</w:t>
      </w:r>
    </w:p>
    <w:tbl>
      <w:tblPr>
        <w:tblStyle w:val="TableGrid1"/>
        <w:tblW w:w="5003" w:type="pct"/>
        <w:tblLayout w:type="fixed"/>
        <w:tblLook w:val="04A0" w:firstRow="1" w:lastRow="0" w:firstColumn="1" w:lastColumn="0" w:noHBand="0" w:noVBand="1"/>
      </w:tblPr>
      <w:tblGrid>
        <w:gridCol w:w="4299"/>
        <w:gridCol w:w="1180"/>
        <w:gridCol w:w="1180"/>
        <w:gridCol w:w="1180"/>
        <w:gridCol w:w="1182"/>
      </w:tblGrid>
      <w:tr w:rsidR="004240F0" w:rsidRPr="00B35062" w14:paraId="0BBBA175" w14:textId="77777777" w:rsidTr="00161B7E">
        <w:trPr>
          <w:trHeight w:val="237"/>
        </w:trPr>
        <w:tc>
          <w:tcPr>
            <w:tcW w:w="2382" w:type="pct"/>
            <w:vMerge w:val="restart"/>
            <w:noWrap/>
            <w:hideMark/>
          </w:tcPr>
          <w:p w14:paraId="048A14F0" w14:textId="77777777" w:rsidR="004240F0" w:rsidRPr="00B35062" w:rsidRDefault="004240F0" w:rsidP="00161B7E">
            <w:pPr>
              <w:spacing w:after="0"/>
              <w:rPr>
                <w:szCs w:val="24"/>
                <w:lang w:val="sr-Cyrl-RS"/>
              </w:rPr>
            </w:pPr>
          </w:p>
          <w:p w14:paraId="4051E778" w14:textId="77777777" w:rsidR="004240F0" w:rsidRPr="00B35062" w:rsidRDefault="004240F0" w:rsidP="00161B7E">
            <w:pPr>
              <w:spacing w:after="0"/>
              <w:rPr>
                <w:szCs w:val="24"/>
                <w:lang w:val="sr-Cyrl-RS"/>
              </w:rPr>
            </w:pPr>
          </w:p>
        </w:tc>
        <w:tc>
          <w:tcPr>
            <w:tcW w:w="654" w:type="pct"/>
            <w:noWrap/>
            <w:hideMark/>
          </w:tcPr>
          <w:p w14:paraId="2129CDD9" w14:textId="77777777" w:rsidR="004240F0" w:rsidRPr="00B35062" w:rsidRDefault="004240F0" w:rsidP="00161B7E">
            <w:pPr>
              <w:spacing w:after="0"/>
              <w:jc w:val="center"/>
              <w:rPr>
                <w:szCs w:val="24"/>
                <w:lang w:val="sr-Latn-RS"/>
              </w:rPr>
            </w:pPr>
            <w:r w:rsidRPr="00B35062">
              <w:rPr>
                <w:szCs w:val="24"/>
                <w:lang w:val="sr-Latn-RS"/>
              </w:rPr>
              <w:t>Estimate</w:t>
            </w:r>
          </w:p>
        </w:tc>
        <w:tc>
          <w:tcPr>
            <w:tcW w:w="1963" w:type="pct"/>
            <w:gridSpan w:val="3"/>
            <w:hideMark/>
          </w:tcPr>
          <w:p w14:paraId="5BCABCD8" w14:textId="77777777" w:rsidR="004240F0" w:rsidRPr="00B35062" w:rsidRDefault="004240F0" w:rsidP="00161B7E">
            <w:pPr>
              <w:spacing w:after="0"/>
              <w:jc w:val="center"/>
              <w:rPr>
                <w:szCs w:val="24"/>
                <w:lang w:val="sr-Latn-RS"/>
              </w:rPr>
            </w:pPr>
            <w:r w:rsidRPr="00B35062">
              <w:rPr>
                <w:szCs w:val="24"/>
                <w:lang w:val="sr-Latn-RS"/>
              </w:rPr>
              <w:t>Projections</w:t>
            </w:r>
          </w:p>
        </w:tc>
      </w:tr>
      <w:tr w:rsidR="004240F0" w:rsidRPr="00B35062" w14:paraId="6436200B" w14:textId="77777777" w:rsidTr="00161B7E">
        <w:trPr>
          <w:trHeight w:val="196"/>
        </w:trPr>
        <w:tc>
          <w:tcPr>
            <w:tcW w:w="2382" w:type="pct"/>
            <w:vMerge/>
            <w:hideMark/>
          </w:tcPr>
          <w:p w14:paraId="382DCA10" w14:textId="77777777" w:rsidR="004240F0" w:rsidRPr="00B35062" w:rsidRDefault="004240F0" w:rsidP="00161B7E">
            <w:pPr>
              <w:spacing w:after="0"/>
              <w:rPr>
                <w:szCs w:val="24"/>
                <w:lang w:val="sr-Cyrl-RS"/>
              </w:rPr>
            </w:pPr>
          </w:p>
        </w:tc>
        <w:tc>
          <w:tcPr>
            <w:tcW w:w="654" w:type="pct"/>
            <w:noWrap/>
          </w:tcPr>
          <w:p w14:paraId="4FADA95E" w14:textId="77777777" w:rsidR="004240F0" w:rsidRPr="00B35062" w:rsidRDefault="004240F0" w:rsidP="00161B7E">
            <w:pPr>
              <w:spacing w:after="0"/>
              <w:jc w:val="center"/>
              <w:rPr>
                <w:b/>
                <w:bCs/>
                <w:szCs w:val="24"/>
                <w:lang w:val="sr-Cyrl-RS"/>
              </w:rPr>
            </w:pPr>
            <w:r w:rsidRPr="00B35062">
              <w:rPr>
                <w:b/>
                <w:bCs/>
                <w:szCs w:val="24"/>
                <w:lang w:val="sr-Cyrl-RS"/>
              </w:rPr>
              <w:t>2024</w:t>
            </w:r>
          </w:p>
        </w:tc>
        <w:tc>
          <w:tcPr>
            <w:tcW w:w="654" w:type="pct"/>
            <w:noWrap/>
          </w:tcPr>
          <w:p w14:paraId="54476805" w14:textId="77777777" w:rsidR="004240F0" w:rsidRPr="00B35062" w:rsidRDefault="004240F0" w:rsidP="00161B7E">
            <w:pPr>
              <w:spacing w:after="0"/>
              <w:jc w:val="center"/>
              <w:rPr>
                <w:b/>
                <w:bCs/>
                <w:szCs w:val="24"/>
                <w:lang w:val="sr-Cyrl-RS"/>
              </w:rPr>
            </w:pPr>
            <w:r w:rsidRPr="00B35062">
              <w:rPr>
                <w:b/>
                <w:bCs/>
                <w:szCs w:val="24"/>
                <w:lang w:val="sr-Cyrl-RS"/>
              </w:rPr>
              <w:t>2025</w:t>
            </w:r>
          </w:p>
        </w:tc>
        <w:tc>
          <w:tcPr>
            <w:tcW w:w="654" w:type="pct"/>
            <w:noWrap/>
          </w:tcPr>
          <w:p w14:paraId="526E5EBC" w14:textId="77777777" w:rsidR="004240F0" w:rsidRPr="00B35062" w:rsidRDefault="004240F0" w:rsidP="00161B7E">
            <w:pPr>
              <w:spacing w:after="0"/>
              <w:jc w:val="center"/>
              <w:rPr>
                <w:b/>
                <w:bCs/>
                <w:szCs w:val="24"/>
                <w:lang w:val="sr-Cyrl-RS"/>
              </w:rPr>
            </w:pPr>
            <w:r w:rsidRPr="00B35062">
              <w:rPr>
                <w:b/>
                <w:bCs/>
                <w:szCs w:val="24"/>
                <w:lang w:val="sr-Cyrl-RS"/>
              </w:rPr>
              <w:t>2026</w:t>
            </w:r>
          </w:p>
        </w:tc>
        <w:tc>
          <w:tcPr>
            <w:tcW w:w="655" w:type="pct"/>
            <w:noWrap/>
          </w:tcPr>
          <w:p w14:paraId="6F3520BF" w14:textId="77777777" w:rsidR="004240F0" w:rsidRPr="00B35062" w:rsidRDefault="004240F0" w:rsidP="00161B7E">
            <w:pPr>
              <w:spacing w:after="0"/>
              <w:jc w:val="center"/>
              <w:rPr>
                <w:b/>
                <w:bCs/>
                <w:szCs w:val="24"/>
                <w:lang w:val="sr-Cyrl-RS"/>
              </w:rPr>
            </w:pPr>
            <w:r w:rsidRPr="00B35062">
              <w:rPr>
                <w:b/>
                <w:bCs/>
                <w:szCs w:val="24"/>
                <w:lang w:val="sr-Cyrl-RS"/>
              </w:rPr>
              <w:t>2027</w:t>
            </w:r>
          </w:p>
        </w:tc>
      </w:tr>
      <w:tr w:rsidR="004240F0" w:rsidRPr="00B35062" w14:paraId="0DE972C8" w14:textId="77777777" w:rsidTr="00161B7E">
        <w:trPr>
          <w:trHeight w:val="237"/>
        </w:trPr>
        <w:tc>
          <w:tcPr>
            <w:tcW w:w="2382" w:type="pct"/>
            <w:noWrap/>
            <w:vAlign w:val="center"/>
            <w:hideMark/>
          </w:tcPr>
          <w:p w14:paraId="0B782C20" w14:textId="77777777" w:rsidR="004240F0" w:rsidRPr="00B35062" w:rsidRDefault="004240F0" w:rsidP="00161B7E">
            <w:pPr>
              <w:spacing w:after="0"/>
              <w:jc w:val="left"/>
              <w:rPr>
                <w:rFonts w:eastAsia="Calibri"/>
                <w:b/>
                <w:bCs/>
                <w:szCs w:val="24"/>
                <w:lang w:val="sr-Latn-RS"/>
              </w:rPr>
            </w:pPr>
            <w:r w:rsidRPr="00B35062">
              <w:rPr>
                <w:rFonts w:eastAsia="Calibri"/>
                <w:b/>
                <w:bCs/>
                <w:szCs w:val="24"/>
                <w:lang w:val="sr-Latn-RS"/>
              </w:rPr>
              <w:t>GDP, billion dinars (current prices)</w:t>
            </w:r>
          </w:p>
        </w:tc>
        <w:tc>
          <w:tcPr>
            <w:tcW w:w="654" w:type="pct"/>
            <w:tcBorders>
              <w:top w:val="single" w:sz="4" w:space="0" w:color="002060"/>
            </w:tcBorders>
            <w:noWrap/>
          </w:tcPr>
          <w:p w14:paraId="1C419135" w14:textId="77777777" w:rsidR="004240F0" w:rsidRPr="00B35062" w:rsidRDefault="004240F0" w:rsidP="00161B7E">
            <w:pPr>
              <w:spacing w:after="0"/>
              <w:jc w:val="center"/>
              <w:rPr>
                <w:b/>
                <w:bCs/>
                <w:szCs w:val="24"/>
                <w:lang w:val="sr-Cyrl-RS"/>
              </w:rPr>
            </w:pPr>
            <w:r w:rsidRPr="00B35062">
              <w:rPr>
                <w:b/>
                <w:bCs/>
                <w:szCs w:val="24"/>
                <w:lang w:val="sr-Cyrl-RS"/>
              </w:rPr>
              <w:t>9.604,8</w:t>
            </w:r>
          </w:p>
        </w:tc>
        <w:tc>
          <w:tcPr>
            <w:tcW w:w="654" w:type="pct"/>
            <w:tcBorders>
              <w:top w:val="single" w:sz="4" w:space="0" w:color="002060"/>
            </w:tcBorders>
            <w:noWrap/>
          </w:tcPr>
          <w:p w14:paraId="1A6C5FF8" w14:textId="77777777" w:rsidR="004240F0" w:rsidRPr="00B35062" w:rsidRDefault="004240F0" w:rsidP="00161B7E">
            <w:pPr>
              <w:spacing w:after="0"/>
              <w:jc w:val="center"/>
              <w:rPr>
                <w:b/>
                <w:bCs/>
                <w:szCs w:val="24"/>
                <w:lang w:val="sr-Cyrl-RS"/>
              </w:rPr>
            </w:pPr>
            <w:r w:rsidRPr="00B35062">
              <w:rPr>
                <w:b/>
                <w:bCs/>
                <w:szCs w:val="24"/>
                <w:lang w:val="sr-Cyrl-RS"/>
              </w:rPr>
              <w:t>10.278,3</w:t>
            </w:r>
          </w:p>
        </w:tc>
        <w:tc>
          <w:tcPr>
            <w:tcW w:w="654" w:type="pct"/>
            <w:tcBorders>
              <w:top w:val="single" w:sz="4" w:space="0" w:color="002060"/>
            </w:tcBorders>
            <w:noWrap/>
          </w:tcPr>
          <w:p w14:paraId="4AAA6C08" w14:textId="77777777" w:rsidR="004240F0" w:rsidRPr="00B35062" w:rsidRDefault="004240F0" w:rsidP="00161B7E">
            <w:pPr>
              <w:spacing w:after="0"/>
              <w:jc w:val="center"/>
              <w:rPr>
                <w:b/>
                <w:bCs/>
                <w:szCs w:val="24"/>
                <w:lang w:val="sr-Cyrl-RS"/>
              </w:rPr>
            </w:pPr>
            <w:r w:rsidRPr="00B35062">
              <w:rPr>
                <w:b/>
                <w:bCs/>
                <w:szCs w:val="24"/>
                <w:lang w:val="sr-Cyrl-RS"/>
              </w:rPr>
              <w:t>10.954,7</w:t>
            </w:r>
          </w:p>
        </w:tc>
        <w:tc>
          <w:tcPr>
            <w:tcW w:w="655" w:type="pct"/>
            <w:tcBorders>
              <w:top w:val="single" w:sz="4" w:space="0" w:color="002060"/>
            </w:tcBorders>
            <w:noWrap/>
          </w:tcPr>
          <w:p w14:paraId="06FF5EEE" w14:textId="77777777" w:rsidR="004240F0" w:rsidRPr="00B35062" w:rsidRDefault="004240F0" w:rsidP="00161B7E">
            <w:pPr>
              <w:spacing w:after="0"/>
              <w:jc w:val="center"/>
              <w:rPr>
                <w:b/>
                <w:bCs/>
                <w:szCs w:val="24"/>
                <w:lang w:val="sr-Cyrl-RS"/>
              </w:rPr>
            </w:pPr>
            <w:r w:rsidRPr="00B35062">
              <w:rPr>
                <w:b/>
                <w:bCs/>
                <w:szCs w:val="24"/>
                <w:lang w:val="sr-Cyrl-RS"/>
              </w:rPr>
              <w:t>11.705,7</w:t>
            </w:r>
          </w:p>
        </w:tc>
      </w:tr>
      <w:tr w:rsidR="004240F0" w:rsidRPr="00B35062" w14:paraId="74F40762" w14:textId="77777777" w:rsidTr="00161B7E">
        <w:trPr>
          <w:trHeight w:val="162"/>
        </w:trPr>
        <w:tc>
          <w:tcPr>
            <w:tcW w:w="2382" w:type="pct"/>
            <w:noWrap/>
            <w:vAlign w:val="center"/>
            <w:hideMark/>
          </w:tcPr>
          <w:p w14:paraId="4FE51D79" w14:textId="77777777" w:rsidR="004240F0" w:rsidRPr="00B35062" w:rsidRDefault="004240F0" w:rsidP="00161B7E">
            <w:pPr>
              <w:spacing w:after="0"/>
              <w:jc w:val="left"/>
              <w:rPr>
                <w:rFonts w:eastAsia="Calibri"/>
                <w:bCs/>
                <w:szCs w:val="24"/>
                <w:lang w:val="sr-Latn-RS"/>
              </w:rPr>
            </w:pPr>
            <w:r w:rsidRPr="00B35062">
              <w:rPr>
                <w:rFonts w:eastAsia="Calibri"/>
                <w:bCs/>
                <w:szCs w:val="24"/>
                <w:lang w:val="sr-Latn-RS"/>
              </w:rPr>
              <w:t>Real GDP growth, %</w:t>
            </w:r>
          </w:p>
        </w:tc>
        <w:tc>
          <w:tcPr>
            <w:tcW w:w="654" w:type="pct"/>
            <w:tcBorders>
              <w:top w:val="single" w:sz="4" w:space="0" w:color="002060"/>
            </w:tcBorders>
            <w:noWrap/>
          </w:tcPr>
          <w:p w14:paraId="23A89B5A" w14:textId="77777777" w:rsidR="004240F0" w:rsidRPr="00B35062" w:rsidRDefault="004240F0" w:rsidP="00161B7E">
            <w:pPr>
              <w:spacing w:after="0"/>
              <w:jc w:val="center"/>
              <w:rPr>
                <w:bCs/>
                <w:szCs w:val="24"/>
                <w:lang w:val="sr-Cyrl-RS"/>
              </w:rPr>
            </w:pPr>
            <w:r w:rsidRPr="00B35062">
              <w:rPr>
                <w:bCs/>
                <w:szCs w:val="24"/>
                <w:lang w:val="sr-Cyrl-RS"/>
              </w:rPr>
              <w:t>3,8</w:t>
            </w:r>
          </w:p>
        </w:tc>
        <w:tc>
          <w:tcPr>
            <w:tcW w:w="654" w:type="pct"/>
            <w:tcBorders>
              <w:top w:val="single" w:sz="4" w:space="0" w:color="002060"/>
            </w:tcBorders>
            <w:noWrap/>
          </w:tcPr>
          <w:p w14:paraId="165C90DB" w14:textId="77777777" w:rsidR="004240F0" w:rsidRPr="00B35062" w:rsidRDefault="004240F0" w:rsidP="00161B7E">
            <w:pPr>
              <w:spacing w:after="0"/>
              <w:jc w:val="center"/>
              <w:rPr>
                <w:bCs/>
                <w:szCs w:val="24"/>
                <w:lang w:val="sr-Cyrl-RS"/>
              </w:rPr>
            </w:pPr>
            <w:r w:rsidRPr="00B35062">
              <w:rPr>
                <w:bCs/>
                <w:szCs w:val="24"/>
                <w:lang w:val="sr-Cyrl-RS"/>
              </w:rPr>
              <w:t>3,1</w:t>
            </w:r>
          </w:p>
        </w:tc>
        <w:tc>
          <w:tcPr>
            <w:tcW w:w="654" w:type="pct"/>
            <w:tcBorders>
              <w:top w:val="single" w:sz="4" w:space="0" w:color="002060"/>
            </w:tcBorders>
            <w:noWrap/>
          </w:tcPr>
          <w:p w14:paraId="782DEE22" w14:textId="77777777" w:rsidR="004240F0" w:rsidRPr="00B35062" w:rsidRDefault="004240F0" w:rsidP="00161B7E">
            <w:pPr>
              <w:spacing w:after="0"/>
              <w:jc w:val="center"/>
              <w:rPr>
                <w:bCs/>
                <w:szCs w:val="24"/>
                <w:lang w:val="sr-Cyrl-RS"/>
              </w:rPr>
            </w:pPr>
            <w:r w:rsidRPr="00B35062">
              <w:rPr>
                <w:bCs/>
                <w:szCs w:val="24"/>
                <w:lang w:val="sr-Cyrl-RS"/>
              </w:rPr>
              <w:t>2,9</w:t>
            </w:r>
          </w:p>
        </w:tc>
        <w:tc>
          <w:tcPr>
            <w:tcW w:w="655" w:type="pct"/>
            <w:tcBorders>
              <w:top w:val="single" w:sz="4" w:space="0" w:color="002060"/>
            </w:tcBorders>
            <w:noWrap/>
          </w:tcPr>
          <w:p w14:paraId="1515809F" w14:textId="77777777" w:rsidR="004240F0" w:rsidRPr="00B35062" w:rsidRDefault="004240F0" w:rsidP="00161B7E">
            <w:pPr>
              <w:spacing w:after="0"/>
              <w:jc w:val="center"/>
              <w:rPr>
                <w:bCs/>
                <w:szCs w:val="24"/>
                <w:lang w:val="sr-Cyrl-RS"/>
              </w:rPr>
            </w:pPr>
            <w:r w:rsidRPr="00B35062">
              <w:rPr>
                <w:bCs/>
                <w:szCs w:val="24"/>
                <w:lang w:val="sr-Cyrl-RS"/>
              </w:rPr>
              <w:t>3,2</w:t>
            </w:r>
          </w:p>
        </w:tc>
      </w:tr>
      <w:tr w:rsidR="004240F0" w:rsidRPr="00B35062" w14:paraId="3263CD83" w14:textId="77777777" w:rsidTr="00161B7E">
        <w:trPr>
          <w:trHeight w:val="126"/>
        </w:trPr>
        <w:tc>
          <w:tcPr>
            <w:tcW w:w="2382" w:type="pct"/>
            <w:tcBorders>
              <w:bottom w:val="single" w:sz="4" w:space="0" w:color="000000"/>
            </w:tcBorders>
            <w:noWrap/>
            <w:vAlign w:val="center"/>
            <w:hideMark/>
          </w:tcPr>
          <w:p w14:paraId="50CC4093" w14:textId="77777777" w:rsidR="004240F0" w:rsidRPr="00B35062" w:rsidRDefault="004240F0" w:rsidP="00161B7E">
            <w:pPr>
              <w:spacing w:after="0"/>
              <w:jc w:val="left"/>
              <w:rPr>
                <w:rFonts w:eastAsia="Calibri"/>
                <w:bCs/>
                <w:szCs w:val="24"/>
                <w:lang w:val="sr-Latn-RS"/>
              </w:rPr>
            </w:pPr>
            <w:r w:rsidRPr="00B35062">
              <w:rPr>
                <w:rFonts w:eastAsia="Calibri"/>
                <w:bCs/>
                <w:szCs w:val="24"/>
                <w:lang w:val="sr-Latn-RS"/>
              </w:rPr>
              <w:t>GDP deflator, %</w:t>
            </w:r>
          </w:p>
        </w:tc>
        <w:tc>
          <w:tcPr>
            <w:tcW w:w="654" w:type="pct"/>
            <w:tcBorders>
              <w:bottom w:val="single" w:sz="4" w:space="0" w:color="000000"/>
            </w:tcBorders>
            <w:noWrap/>
          </w:tcPr>
          <w:p w14:paraId="46D6188D" w14:textId="77777777" w:rsidR="004240F0" w:rsidRPr="00B35062" w:rsidRDefault="004240F0" w:rsidP="00161B7E">
            <w:pPr>
              <w:spacing w:after="0"/>
              <w:jc w:val="center"/>
              <w:rPr>
                <w:bCs/>
                <w:szCs w:val="24"/>
                <w:lang w:val="sr-Cyrl-RS"/>
              </w:rPr>
            </w:pPr>
            <w:r w:rsidRPr="00B35062">
              <w:rPr>
                <w:bCs/>
                <w:szCs w:val="24"/>
                <w:lang w:val="sr-Cyrl-RS"/>
              </w:rPr>
              <w:t>5,0</w:t>
            </w:r>
          </w:p>
        </w:tc>
        <w:tc>
          <w:tcPr>
            <w:tcW w:w="654" w:type="pct"/>
            <w:tcBorders>
              <w:bottom w:val="single" w:sz="4" w:space="0" w:color="000000"/>
            </w:tcBorders>
            <w:noWrap/>
          </w:tcPr>
          <w:p w14:paraId="1E78A833" w14:textId="77777777" w:rsidR="004240F0" w:rsidRPr="00B35062" w:rsidRDefault="004240F0" w:rsidP="00161B7E">
            <w:pPr>
              <w:spacing w:after="0"/>
              <w:jc w:val="center"/>
              <w:rPr>
                <w:bCs/>
                <w:szCs w:val="24"/>
                <w:lang w:val="sr-Cyrl-RS"/>
              </w:rPr>
            </w:pPr>
            <w:r w:rsidRPr="00B35062">
              <w:rPr>
                <w:bCs/>
                <w:szCs w:val="24"/>
                <w:lang w:val="sr-Cyrl-RS"/>
              </w:rPr>
              <w:t>3,8</w:t>
            </w:r>
          </w:p>
        </w:tc>
        <w:tc>
          <w:tcPr>
            <w:tcW w:w="654" w:type="pct"/>
            <w:tcBorders>
              <w:bottom w:val="single" w:sz="4" w:space="0" w:color="000000"/>
            </w:tcBorders>
            <w:noWrap/>
          </w:tcPr>
          <w:p w14:paraId="15D9713D" w14:textId="77777777" w:rsidR="004240F0" w:rsidRPr="00B35062" w:rsidRDefault="004240F0" w:rsidP="00161B7E">
            <w:pPr>
              <w:spacing w:after="0"/>
              <w:jc w:val="center"/>
              <w:rPr>
                <w:bCs/>
                <w:szCs w:val="24"/>
                <w:lang w:val="sr-Cyrl-RS"/>
              </w:rPr>
            </w:pPr>
            <w:r w:rsidRPr="00B35062">
              <w:rPr>
                <w:bCs/>
                <w:szCs w:val="24"/>
                <w:lang w:val="sr-Cyrl-RS"/>
              </w:rPr>
              <w:t>3,6</w:t>
            </w:r>
          </w:p>
        </w:tc>
        <w:tc>
          <w:tcPr>
            <w:tcW w:w="655" w:type="pct"/>
            <w:tcBorders>
              <w:bottom w:val="single" w:sz="4" w:space="0" w:color="000000"/>
            </w:tcBorders>
            <w:noWrap/>
          </w:tcPr>
          <w:p w14:paraId="51D9FA4A" w14:textId="77777777" w:rsidR="004240F0" w:rsidRPr="00B35062" w:rsidRDefault="004240F0" w:rsidP="00161B7E">
            <w:pPr>
              <w:spacing w:after="0"/>
              <w:jc w:val="center"/>
              <w:rPr>
                <w:bCs/>
                <w:szCs w:val="24"/>
                <w:lang w:val="sr-Cyrl-RS"/>
              </w:rPr>
            </w:pPr>
            <w:r w:rsidRPr="00B35062">
              <w:rPr>
                <w:bCs/>
                <w:szCs w:val="24"/>
                <w:lang w:val="sr-Cyrl-RS"/>
              </w:rPr>
              <w:t>3,5</w:t>
            </w:r>
          </w:p>
        </w:tc>
      </w:tr>
      <w:tr w:rsidR="004240F0" w:rsidRPr="00B35062" w14:paraId="7790728D" w14:textId="77777777" w:rsidTr="00161B7E">
        <w:trPr>
          <w:trHeight w:val="198"/>
        </w:trPr>
        <w:tc>
          <w:tcPr>
            <w:tcW w:w="2382" w:type="pct"/>
            <w:tcBorders>
              <w:right w:val="nil"/>
            </w:tcBorders>
            <w:noWrap/>
            <w:hideMark/>
          </w:tcPr>
          <w:p w14:paraId="39CFF242" w14:textId="77777777" w:rsidR="004240F0" w:rsidRPr="00B35062" w:rsidRDefault="004240F0" w:rsidP="00161B7E">
            <w:pPr>
              <w:spacing w:after="0"/>
              <w:rPr>
                <w:i/>
                <w:iCs/>
                <w:szCs w:val="24"/>
                <w:lang w:val="sr-Cyrl-RS"/>
              </w:rPr>
            </w:pPr>
            <w:r w:rsidRPr="00B35062">
              <w:rPr>
                <w:i/>
                <w:iCs/>
                <w:szCs w:val="24"/>
                <w:lang w:val="sr-Latn-RS"/>
              </w:rPr>
              <w:t>Real growth of GDP components,</w:t>
            </w:r>
            <w:r w:rsidRPr="00B35062">
              <w:rPr>
                <w:i/>
                <w:iCs/>
                <w:szCs w:val="24"/>
                <w:lang w:val="sr-Cyrl-RS"/>
              </w:rPr>
              <w:t xml:space="preserve"> %</w:t>
            </w:r>
          </w:p>
        </w:tc>
        <w:tc>
          <w:tcPr>
            <w:tcW w:w="654" w:type="pct"/>
            <w:tcBorders>
              <w:left w:val="nil"/>
              <w:right w:val="nil"/>
            </w:tcBorders>
          </w:tcPr>
          <w:p w14:paraId="798D9561" w14:textId="77777777" w:rsidR="004240F0" w:rsidRPr="00B35062" w:rsidRDefault="004240F0" w:rsidP="00161B7E">
            <w:pPr>
              <w:spacing w:after="0"/>
              <w:jc w:val="center"/>
              <w:rPr>
                <w:i/>
                <w:iCs/>
                <w:szCs w:val="24"/>
                <w:lang w:val="sr-Cyrl-RS"/>
              </w:rPr>
            </w:pPr>
          </w:p>
        </w:tc>
        <w:tc>
          <w:tcPr>
            <w:tcW w:w="654" w:type="pct"/>
            <w:tcBorders>
              <w:left w:val="nil"/>
              <w:right w:val="nil"/>
            </w:tcBorders>
          </w:tcPr>
          <w:p w14:paraId="47A8AE69" w14:textId="77777777" w:rsidR="004240F0" w:rsidRPr="00B35062" w:rsidRDefault="004240F0" w:rsidP="00161B7E">
            <w:pPr>
              <w:spacing w:after="0"/>
              <w:jc w:val="center"/>
              <w:rPr>
                <w:i/>
                <w:iCs/>
                <w:szCs w:val="24"/>
                <w:lang w:val="sr-Cyrl-RS"/>
              </w:rPr>
            </w:pPr>
          </w:p>
        </w:tc>
        <w:tc>
          <w:tcPr>
            <w:tcW w:w="654" w:type="pct"/>
            <w:tcBorders>
              <w:left w:val="nil"/>
              <w:right w:val="nil"/>
            </w:tcBorders>
          </w:tcPr>
          <w:p w14:paraId="2D37DBDF" w14:textId="77777777" w:rsidR="004240F0" w:rsidRPr="00B35062" w:rsidRDefault="004240F0" w:rsidP="00161B7E">
            <w:pPr>
              <w:spacing w:after="0"/>
              <w:jc w:val="center"/>
              <w:rPr>
                <w:i/>
                <w:iCs/>
                <w:szCs w:val="24"/>
                <w:lang w:val="sr-Cyrl-RS"/>
              </w:rPr>
            </w:pPr>
          </w:p>
        </w:tc>
        <w:tc>
          <w:tcPr>
            <w:tcW w:w="655" w:type="pct"/>
            <w:tcBorders>
              <w:left w:val="nil"/>
            </w:tcBorders>
          </w:tcPr>
          <w:p w14:paraId="52FAB8CD" w14:textId="77777777" w:rsidR="004240F0" w:rsidRPr="00B35062" w:rsidRDefault="004240F0" w:rsidP="00161B7E">
            <w:pPr>
              <w:spacing w:after="0"/>
              <w:jc w:val="center"/>
              <w:rPr>
                <w:i/>
                <w:iCs/>
                <w:szCs w:val="24"/>
                <w:lang w:val="sr-Cyrl-RS"/>
              </w:rPr>
            </w:pPr>
          </w:p>
        </w:tc>
      </w:tr>
      <w:tr w:rsidR="004240F0" w:rsidRPr="00B35062" w14:paraId="11154B41" w14:textId="77777777" w:rsidTr="00161B7E">
        <w:trPr>
          <w:trHeight w:val="162"/>
        </w:trPr>
        <w:tc>
          <w:tcPr>
            <w:tcW w:w="2382" w:type="pct"/>
            <w:noWrap/>
            <w:vAlign w:val="center"/>
            <w:hideMark/>
          </w:tcPr>
          <w:p w14:paraId="7B878281" w14:textId="77777777" w:rsidR="004240F0" w:rsidRPr="00B35062" w:rsidRDefault="004240F0" w:rsidP="00161B7E">
            <w:pPr>
              <w:spacing w:after="0"/>
              <w:jc w:val="left"/>
              <w:rPr>
                <w:rFonts w:eastAsia="Calibri"/>
                <w:bCs/>
                <w:szCs w:val="24"/>
                <w:lang w:val="sr-Latn-RS"/>
              </w:rPr>
            </w:pPr>
            <w:r w:rsidRPr="00B35062">
              <w:rPr>
                <w:rFonts w:eastAsia="Calibri"/>
                <w:bCs/>
                <w:szCs w:val="24"/>
                <w:lang w:val="sr-Latn-RS"/>
              </w:rPr>
              <w:t>Private consumption</w:t>
            </w:r>
          </w:p>
        </w:tc>
        <w:tc>
          <w:tcPr>
            <w:tcW w:w="654" w:type="pct"/>
            <w:noWrap/>
          </w:tcPr>
          <w:p w14:paraId="18A695A9" w14:textId="77777777" w:rsidR="004240F0" w:rsidRPr="00B35062" w:rsidRDefault="004240F0" w:rsidP="00161B7E">
            <w:pPr>
              <w:spacing w:after="0"/>
              <w:jc w:val="center"/>
              <w:rPr>
                <w:bCs/>
                <w:szCs w:val="24"/>
                <w:lang w:val="sr-Cyrl-RS"/>
              </w:rPr>
            </w:pPr>
            <w:r w:rsidRPr="00B35062">
              <w:rPr>
                <w:bCs/>
                <w:szCs w:val="24"/>
                <w:lang w:val="sr-Cyrl-RS"/>
              </w:rPr>
              <w:t>4,5</w:t>
            </w:r>
          </w:p>
        </w:tc>
        <w:tc>
          <w:tcPr>
            <w:tcW w:w="654" w:type="pct"/>
            <w:noWrap/>
          </w:tcPr>
          <w:p w14:paraId="49C8458B" w14:textId="77777777" w:rsidR="004240F0" w:rsidRPr="00B35062" w:rsidRDefault="004240F0" w:rsidP="00161B7E">
            <w:pPr>
              <w:spacing w:after="0"/>
              <w:jc w:val="center"/>
              <w:rPr>
                <w:bCs/>
                <w:szCs w:val="24"/>
                <w:lang w:val="sr-Cyrl-RS"/>
              </w:rPr>
            </w:pPr>
            <w:r w:rsidRPr="00B35062">
              <w:rPr>
                <w:bCs/>
                <w:szCs w:val="24"/>
                <w:lang w:val="sr-Cyrl-RS"/>
              </w:rPr>
              <w:t>2,8</w:t>
            </w:r>
          </w:p>
        </w:tc>
        <w:tc>
          <w:tcPr>
            <w:tcW w:w="654" w:type="pct"/>
            <w:noWrap/>
          </w:tcPr>
          <w:p w14:paraId="2320B479" w14:textId="77777777" w:rsidR="004240F0" w:rsidRPr="00B35062" w:rsidRDefault="004240F0" w:rsidP="00161B7E">
            <w:pPr>
              <w:spacing w:after="0"/>
              <w:jc w:val="center"/>
              <w:rPr>
                <w:bCs/>
                <w:szCs w:val="24"/>
                <w:lang w:val="sr-Cyrl-RS"/>
              </w:rPr>
            </w:pPr>
            <w:r w:rsidRPr="00B35062">
              <w:rPr>
                <w:bCs/>
                <w:szCs w:val="24"/>
                <w:lang w:val="sr-Cyrl-RS"/>
              </w:rPr>
              <w:t>2,6</w:t>
            </w:r>
          </w:p>
        </w:tc>
        <w:tc>
          <w:tcPr>
            <w:tcW w:w="655" w:type="pct"/>
            <w:noWrap/>
          </w:tcPr>
          <w:p w14:paraId="38B84AAB" w14:textId="77777777" w:rsidR="004240F0" w:rsidRPr="00B35062" w:rsidRDefault="004240F0" w:rsidP="00161B7E">
            <w:pPr>
              <w:spacing w:after="0"/>
              <w:jc w:val="center"/>
              <w:rPr>
                <w:bCs/>
                <w:szCs w:val="24"/>
                <w:lang w:val="sr-Cyrl-RS"/>
              </w:rPr>
            </w:pPr>
            <w:r w:rsidRPr="00B35062">
              <w:rPr>
                <w:bCs/>
                <w:szCs w:val="24"/>
                <w:lang w:val="sr-Cyrl-RS"/>
              </w:rPr>
              <w:t>2,3</w:t>
            </w:r>
          </w:p>
        </w:tc>
      </w:tr>
      <w:tr w:rsidR="004240F0" w:rsidRPr="00B35062" w14:paraId="4FF4214E" w14:textId="77777777" w:rsidTr="00161B7E">
        <w:trPr>
          <w:trHeight w:val="135"/>
        </w:trPr>
        <w:tc>
          <w:tcPr>
            <w:tcW w:w="2382" w:type="pct"/>
            <w:noWrap/>
            <w:vAlign w:val="center"/>
            <w:hideMark/>
          </w:tcPr>
          <w:p w14:paraId="78F4BAE0" w14:textId="77777777" w:rsidR="004240F0" w:rsidRPr="00B35062" w:rsidRDefault="004240F0" w:rsidP="00161B7E">
            <w:pPr>
              <w:spacing w:after="0"/>
              <w:jc w:val="left"/>
              <w:rPr>
                <w:rFonts w:eastAsia="Calibri"/>
                <w:bCs/>
                <w:szCs w:val="24"/>
                <w:lang w:val="sr-Latn-RS"/>
              </w:rPr>
            </w:pPr>
            <w:r w:rsidRPr="00B35062">
              <w:rPr>
                <w:rFonts w:eastAsia="Calibri"/>
                <w:bCs/>
                <w:szCs w:val="24"/>
                <w:lang w:val="sr-Latn-RS"/>
              </w:rPr>
              <w:t>Government consumption</w:t>
            </w:r>
          </w:p>
        </w:tc>
        <w:tc>
          <w:tcPr>
            <w:tcW w:w="654" w:type="pct"/>
            <w:noWrap/>
          </w:tcPr>
          <w:p w14:paraId="5FB22167" w14:textId="77777777" w:rsidR="004240F0" w:rsidRPr="00B35062" w:rsidRDefault="004240F0" w:rsidP="00161B7E">
            <w:pPr>
              <w:spacing w:after="0"/>
              <w:jc w:val="center"/>
              <w:rPr>
                <w:bCs/>
                <w:szCs w:val="24"/>
                <w:lang w:val="sr-Cyrl-RS"/>
              </w:rPr>
            </w:pPr>
            <w:r w:rsidRPr="00B35062">
              <w:rPr>
                <w:bCs/>
                <w:szCs w:val="24"/>
                <w:lang w:val="sr-Cyrl-RS"/>
              </w:rPr>
              <w:t>3,1</w:t>
            </w:r>
          </w:p>
        </w:tc>
        <w:tc>
          <w:tcPr>
            <w:tcW w:w="654" w:type="pct"/>
            <w:noWrap/>
          </w:tcPr>
          <w:p w14:paraId="4FB85A56" w14:textId="77777777" w:rsidR="004240F0" w:rsidRPr="00B35062" w:rsidRDefault="004240F0" w:rsidP="00161B7E">
            <w:pPr>
              <w:spacing w:after="0"/>
              <w:jc w:val="center"/>
              <w:rPr>
                <w:bCs/>
                <w:szCs w:val="24"/>
                <w:lang w:val="sr-Cyrl-RS"/>
              </w:rPr>
            </w:pPr>
            <w:r w:rsidRPr="00B35062">
              <w:rPr>
                <w:bCs/>
                <w:szCs w:val="24"/>
                <w:lang w:val="sr-Cyrl-RS"/>
              </w:rPr>
              <w:t>2,0</w:t>
            </w:r>
          </w:p>
        </w:tc>
        <w:tc>
          <w:tcPr>
            <w:tcW w:w="654" w:type="pct"/>
            <w:noWrap/>
          </w:tcPr>
          <w:p w14:paraId="6E6E80FD" w14:textId="77777777" w:rsidR="004240F0" w:rsidRPr="00B35062" w:rsidRDefault="004240F0" w:rsidP="00161B7E">
            <w:pPr>
              <w:spacing w:after="0"/>
              <w:jc w:val="center"/>
              <w:rPr>
                <w:bCs/>
                <w:szCs w:val="24"/>
                <w:lang w:val="sr-Cyrl-RS"/>
              </w:rPr>
            </w:pPr>
            <w:r w:rsidRPr="00B35062">
              <w:rPr>
                <w:bCs/>
                <w:szCs w:val="24"/>
                <w:lang w:val="sr-Cyrl-RS"/>
              </w:rPr>
              <w:t>0,5</w:t>
            </w:r>
          </w:p>
        </w:tc>
        <w:tc>
          <w:tcPr>
            <w:tcW w:w="655" w:type="pct"/>
            <w:noWrap/>
          </w:tcPr>
          <w:p w14:paraId="20574B65" w14:textId="77777777" w:rsidR="004240F0" w:rsidRPr="00B35062" w:rsidRDefault="004240F0" w:rsidP="00161B7E">
            <w:pPr>
              <w:spacing w:after="0"/>
              <w:jc w:val="center"/>
              <w:rPr>
                <w:bCs/>
                <w:szCs w:val="24"/>
                <w:lang w:val="sr-Cyrl-RS"/>
              </w:rPr>
            </w:pPr>
            <w:r w:rsidRPr="00B35062">
              <w:rPr>
                <w:bCs/>
                <w:szCs w:val="24"/>
                <w:lang w:val="sr-Cyrl-RS"/>
              </w:rPr>
              <w:t>0,5</w:t>
            </w:r>
          </w:p>
        </w:tc>
      </w:tr>
      <w:tr w:rsidR="004240F0" w:rsidRPr="00B35062" w14:paraId="7254A277" w14:textId="77777777" w:rsidTr="00161B7E">
        <w:trPr>
          <w:trHeight w:val="237"/>
        </w:trPr>
        <w:tc>
          <w:tcPr>
            <w:tcW w:w="2382" w:type="pct"/>
            <w:noWrap/>
            <w:vAlign w:val="center"/>
            <w:hideMark/>
          </w:tcPr>
          <w:p w14:paraId="63AE8F57" w14:textId="77777777" w:rsidR="004240F0" w:rsidRPr="00B35062" w:rsidRDefault="004240F0" w:rsidP="00161B7E">
            <w:pPr>
              <w:spacing w:after="0"/>
              <w:jc w:val="left"/>
              <w:rPr>
                <w:rFonts w:eastAsia="Calibri"/>
                <w:bCs/>
                <w:szCs w:val="24"/>
                <w:lang w:val="sr-Latn-RS"/>
              </w:rPr>
            </w:pPr>
            <w:r w:rsidRPr="00B35062">
              <w:rPr>
                <w:rFonts w:eastAsia="Calibri"/>
                <w:bCs/>
                <w:szCs w:val="24"/>
                <w:lang w:val="sr-Latn-RS"/>
              </w:rPr>
              <w:t>Gross fixed capital formation</w:t>
            </w:r>
          </w:p>
        </w:tc>
        <w:tc>
          <w:tcPr>
            <w:tcW w:w="654" w:type="pct"/>
            <w:noWrap/>
          </w:tcPr>
          <w:p w14:paraId="3ABDECEC" w14:textId="77777777" w:rsidR="004240F0" w:rsidRPr="00B35062" w:rsidRDefault="004240F0" w:rsidP="00161B7E">
            <w:pPr>
              <w:spacing w:after="0"/>
              <w:jc w:val="center"/>
              <w:rPr>
                <w:bCs/>
                <w:szCs w:val="24"/>
                <w:lang w:val="sr-Cyrl-RS"/>
              </w:rPr>
            </w:pPr>
            <w:r w:rsidRPr="00B35062">
              <w:rPr>
                <w:bCs/>
                <w:szCs w:val="24"/>
                <w:lang w:val="sr-Cyrl-RS"/>
              </w:rPr>
              <w:t>9,2</w:t>
            </w:r>
          </w:p>
        </w:tc>
        <w:tc>
          <w:tcPr>
            <w:tcW w:w="654" w:type="pct"/>
            <w:noWrap/>
          </w:tcPr>
          <w:p w14:paraId="2336FE4A" w14:textId="77777777" w:rsidR="004240F0" w:rsidRPr="00B35062" w:rsidRDefault="004240F0" w:rsidP="00161B7E">
            <w:pPr>
              <w:spacing w:after="0"/>
              <w:jc w:val="center"/>
              <w:rPr>
                <w:bCs/>
                <w:szCs w:val="24"/>
                <w:lang w:val="sr-Cyrl-RS"/>
              </w:rPr>
            </w:pPr>
            <w:r w:rsidRPr="00B35062">
              <w:rPr>
                <w:bCs/>
                <w:szCs w:val="24"/>
                <w:lang w:val="sr-Cyrl-RS"/>
              </w:rPr>
              <w:t>4,3</w:t>
            </w:r>
          </w:p>
        </w:tc>
        <w:tc>
          <w:tcPr>
            <w:tcW w:w="654" w:type="pct"/>
            <w:noWrap/>
          </w:tcPr>
          <w:p w14:paraId="0FC62D95" w14:textId="77777777" w:rsidR="004240F0" w:rsidRPr="00B35062" w:rsidRDefault="004240F0" w:rsidP="00161B7E">
            <w:pPr>
              <w:spacing w:after="0"/>
              <w:jc w:val="center"/>
              <w:rPr>
                <w:bCs/>
                <w:szCs w:val="24"/>
                <w:lang w:val="sr-Cyrl-RS"/>
              </w:rPr>
            </w:pPr>
            <w:r w:rsidRPr="00B35062">
              <w:rPr>
                <w:bCs/>
                <w:szCs w:val="24"/>
                <w:lang w:val="sr-Cyrl-RS"/>
              </w:rPr>
              <w:t>3,0</w:t>
            </w:r>
          </w:p>
        </w:tc>
        <w:tc>
          <w:tcPr>
            <w:tcW w:w="655" w:type="pct"/>
            <w:noWrap/>
          </w:tcPr>
          <w:p w14:paraId="40CF78A8" w14:textId="77777777" w:rsidR="004240F0" w:rsidRPr="00B35062" w:rsidRDefault="004240F0" w:rsidP="00161B7E">
            <w:pPr>
              <w:spacing w:after="0"/>
              <w:jc w:val="center"/>
              <w:rPr>
                <w:bCs/>
                <w:szCs w:val="24"/>
                <w:lang w:val="sr-Cyrl-RS"/>
              </w:rPr>
            </w:pPr>
            <w:r w:rsidRPr="00B35062">
              <w:rPr>
                <w:bCs/>
                <w:szCs w:val="24"/>
                <w:lang w:val="sr-Cyrl-RS"/>
              </w:rPr>
              <w:t>3,0</w:t>
            </w:r>
          </w:p>
        </w:tc>
      </w:tr>
      <w:tr w:rsidR="004240F0" w:rsidRPr="00B35062" w14:paraId="762C722C" w14:textId="77777777" w:rsidTr="00161B7E">
        <w:trPr>
          <w:trHeight w:val="135"/>
        </w:trPr>
        <w:tc>
          <w:tcPr>
            <w:tcW w:w="2382" w:type="pct"/>
            <w:noWrap/>
            <w:vAlign w:val="center"/>
            <w:hideMark/>
          </w:tcPr>
          <w:p w14:paraId="33E99C7A" w14:textId="77777777" w:rsidR="004240F0" w:rsidRPr="00B35062" w:rsidRDefault="004240F0" w:rsidP="00161B7E">
            <w:pPr>
              <w:spacing w:after="0"/>
              <w:jc w:val="left"/>
              <w:rPr>
                <w:rFonts w:eastAsia="Calibri"/>
                <w:bCs/>
                <w:szCs w:val="24"/>
                <w:lang w:val="sr-Latn-RS"/>
              </w:rPr>
            </w:pPr>
            <w:r w:rsidRPr="00B35062">
              <w:rPr>
                <w:rFonts w:eastAsia="Calibri"/>
                <w:bCs/>
                <w:szCs w:val="24"/>
                <w:lang w:val="sr-Latn-RS"/>
              </w:rPr>
              <w:t>Exports of goods and services</w:t>
            </w:r>
          </w:p>
        </w:tc>
        <w:tc>
          <w:tcPr>
            <w:tcW w:w="654" w:type="pct"/>
            <w:noWrap/>
          </w:tcPr>
          <w:p w14:paraId="2424C7DE" w14:textId="77777777" w:rsidR="004240F0" w:rsidRPr="00B35062" w:rsidRDefault="004240F0" w:rsidP="00161B7E">
            <w:pPr>
              <w:spacing w:after="0"/>
              <w:jc w:val="center"/>
              <w:rPr>
                <w:bCs/>
                <w:szCs w:val="24"/>
                <w:lang w:val="sr-Cyrl-RS"/>
              </w:rPr>
            </w:pPr>
            <w:r w:rsidRPr="00B35062">
              <w:rPr>
                <w:bCs/>
                <w:szCs w:val="24"/>
                <w:lang w:val="sr-Cyrl-RS"/>
              </w:rPr>
              <w:t>4,4</w:t>
            </w:r>
          </w:p>
        </w:tc>
        <w:tc>
          <w:tcPr>
            <w:tcW w:w="654" w:type="pct"/>
            <w:noWrap/>
          </w:tcPr>
          <w:p w14:paraId="3214576E" w14:textId="77777777" w:rsidR="004240F0" w:rsidRPr="00B35062" w:rsidRDefault="004240F0" w:rsidP="00161B7E">
            <w:pPr>
              <w:spacing w:after="0"/>
              <w:jc w:val="center"/>
              <w:rPr>
                <w:bCs/>
                <w:szCs w:val="24"/>
                <w:lang w:val="sr-Cyrl-RS"/>
              </w:rPr>
            </w:pPr>
            <w:r w:rsidRPr="00B35062">
              <w:rPr>
                <w:bCs/>
                <w:szCs w:val="24"/>
                <w:lang w:val="sr-Cyrl-RS"/>
              </w:rPr>
              <w:t>3,3</w:t>
            </w:r>
          </w:p>
        </w:tc>
        <w:tc>
          <w:tcPr>
            <w:tcW w:w="654" w:type="pct"/>
            <w:noWrap/>
          </w:tcPr>
          <w:p w14:paraId="516AF140" w14:textId="77777777" w:rsidR="004240F0" w:rsidRPr="00B35062" w:rsidRDefault="004240F0" w:rsidP="00161B7E">
            <w:pPr>
              <w:spacing w:after="0"/>
              <w:jc w:val="center"/>
              <w:rPr>
                <w:bCs/>
                <w:szCs w:val="24"/>
                <w:lang w:val="sr-Cyrl-RS"/>
              </w:rPr>
            </w:pPr>
            <w:r w:rsidRPr="00B35062">
              <w:rPr>
                <w:bCs/>
                <w:szCs w:val="24"/>
                <w:lang w:val="sr-Cyrl-RS"/>
              </w:rPr>
              <w:t>3,9</w:t>
            </w:r>
          </w:p>
        </w:tc>
        <w:tc>
          <w:tcPr>
            <w:tcW w:w="655" w:type="pct"/>
            <w:noWrap/>
          </w:tcPr>
          <w:p w14:paraId="0EB5F95F" w14:textId="77777777" w:rsidR="004240F0" w:rsidRPr="00B35062" w:rsidRDefault="004240F0" w:rsidP="00161B7E">
            <w:pPr>
              <w:spacing w:after="0"/>
              <w:jc w:val="center"/>
              <w:rPr>
                <w:bCs/>
                <w:szCs w:val="24"/>
                <w:lang w:val="sr-Cyrl-RS"/>
              </w:rPr>
            </w:pPr>
            <w:r w:rsidRPr="00B35062">
              <w:rPr>
                <w:bCs/>
                <w:szCs w:val="24"/>
                <w:lang w:val="sr-Cyrl-RS"/>
              </w:rPr>
              <w:t>5,2</w:t>
            </w:r>
          </w:p>
        </w:tc>
      </w:tr>
      <w:tr w:rsidR="004240F0" w:rsidRPr="00AD7E7D" w14:paraId="63BA12A8" w14:textId="77777777" w:rsidTr="00161B7E">
        <w:trPr>
          <w:trHeight w:val="99"/>
        </w:trPr>
        <w:tc>
          <w:tcPr>
            <w:tcW w:w="2382" w:type="pct"/>
            <w:noWrap/>
            <w:vAlign w:val="center"/>
            <w:hideMark/>
          </w:tcPr>
          <w:p w14:paraId="2224F8D3" w14:textId="77777777" w:rsidR="004240F0" w:rsidRPr="00B35062" w:rsidRDefault="004240F0" w:rsidP="00161B7E">
            <w:pPr>
              <w:spacing w:after="0"/>
              <w:jc w:val="left"/>
              <w:rPr>
                <w:rFonts w:eastAsia="Calibri"/>
                <w:bCs/>
                <w:szCs w:val="24"/>
                <w:lang w:val="sr-Latn-RS"/>
              </w:rPr>
            </w:pPr>
            <w:r w:rsidRPr="00B35062">
              <w:rPr>
                <w:rFonts w:eastAsia="Calibri"/>
                <w:bCs/>
                <w:szCs w:val="24"/>
                <w:lang w:val="sr-Latn-RS"/>
              </w:rPr>
              <w:t>Imports of goods and services</w:t>
            </w:r>
          </w:p>
        </w:tc>
        <w:tc>
          <w:tcPr>
            <w:tcW w:w="654" w:type="pct"/>
            <w:noWrap/>
          </w:tcPr>
          <w:p w14:paraId="7F6A6D6C" w14:textId="77777777" w:rsidR="004240F0" w:rsidRPr="00B35062" w:rsidRDefault="004240F0" w:rsidP="00161B7E">
            <w:pPr>
              <w:spacing w:after="0"/>
              <w:jc w:val="center"/>
              <w:rPr>
                <w:bCs/>
                <w:szCs w:val="24"/>
                <w:lang w:val="sr-Cyrl-RS"/>
              </w:rPr>
            </w:pPr>
            <w:r w:rsidRPr="00B35062">
              <w:rPr>
                <w:bCs/>
                <w:szCs w:val="24"/>
                <w:lang w:val="sr-Cyrl-RS"/>
              </w:rPr>
              <w:t>8,0</w:t>
            </w:r>
          </w:p>
        </w:tc>
        <w:tc>
          <w:tcPr>
            <w:tcW w:w="654" w:type="pct"/>
            <w:noWrap/>
          </w:tcPr>
          <w:p w14:paraId="30F4BFF9" w14:textId="77777777" w:rsidR="004240F0" w:rsidRPr="00B35062" w:rsidRDefault="004240F0" w:rsidP="00161B7E">
            <w:pPr>
              <w:spacing w:after="0"/>
              <w:jc w:val="center"/>
              <w:rPr>
                <w:bCs/>
                <w:szCs w:val="24"/>
                <w:lang w:val="sr-Cyrl-RS"/>
              </w:rPr>
            </w:pPr>
            <w:r w:rsidRPr="00B35062">
              <w:rPr>
                <w:bCs/>
                <w:szCs w:val="24"/>
                <w:lang w:val="sr-Cyrl-RS"/>
              </w:rPr>
              <w:t>3,1</w:t>
            </w:r>
          </w:p>
        </w:tc>
        <w:tc>
          <w:tcPr>
            <w:tcW w:w="654" w:type="pct"/>
            <w:noWrap/>
          </w:tcPr>
          <w:p w14:paraId="38757120" w14:textId="77777777" w:rsidR="004240F0" w:rsidRPr="00B35062" w:rsidRDefault="004240F0" w:rsidP="00161B7E">
            <w:pPr>
              <w:spacing w:after="0"/>
              <w:jc w:val="center"/>
              <w:rPr>
                <w:bCs/>
                <w:szCs w:val="24"/>
                <w:lang w:val="sr-Cyrl-RS"/>
              </w:rPr>
            </w:pPr>
            <w:r w:rsidRPr="00B35062">
              <w:rPr>
                <w:bCs/>
                <w:szCs w:val="24"/>
                <w:lang w:val="sr-Cyrl-RS"/>
              </w:rPr>
              <w:t>3,0</w:t>
            </w:r>
          </w:p>
        </w:tc>
        <w:tc>
          <w:tcPr>
            <w:tcW w:w="655" w:type="pct"/>
            <w:noWrap/>
          </w:tcPr>
          <w:p w14:paraId="0C819EE9" w14:textId="77777777" w:rsidR="004240F0" w:rsidRPr="00AD7E7D" w:rsidRDefault="004240F0" w:rsidP="00161B7E">
            <w:pPr>
              <w:spacing w:after="0"/>
              <w:jc w:val="center"/>
              <w:rPr>
                <w:bCs/>
                <w:szCs w:val="24"/>
                <w:lang w:val="sr-Cyrl-RS"/>
              </w:rPr>
            </w:pPr>
            <w:r w:rsidRPr="00B35062">
              <w:rPr>
                <w:bCs/>
                <w:szCs w:val="24"/>
                <w:lang w:val="sr-Cyrl-RS"/>
              </w:rPr>
              <w:t>3,0</w:t>
            </w:r>
          </w:p>
        </w:tc>
      </w:tr>
    </w:tbl>
    <w:p w14:paraId="313EE863" w14:textId="77777777" w:rsidR="00DA545E" w:rsidRPr="00AD7E7D" w:rsidRDefault="00DA545E" w:rsidP="00F16F51">
      <w:pPr>
        <w:rPr>
          <w:rFonts w:cs="Times New Roman"/>
          <w:szCs w:val="24"/>
          <w:lang w:val="sr-Cyrl-RS" w:eastAsia="ja-JP"/>
        </w:rPr>
      </w:pPr>
    </w:p>
    <w:p w14:paraId="5565E36C" w14:textId="77777777" w:rsidR="00056C94" w:rsidRDefault="00056C94" w:rsidP="00F16F51">
      <w:pPr>
        <w:rPr>
          <w:rFonts w:cs="Times New Roman"/>
          <w:szCs w:val="24"/>
          <w:lang w:val="sr-Cyrl-RS" w:eastAsia="ja-JP"/>
        </w:rPr>
      </w:pPr>
      <w:r>
        <w:rPr>
          <w:rFonts w:cs="Times New Roman"/>
          <w:szCs w:val="24"/>
          <w:lang w:val="sr-Cyrl-RS" w:eastAsia="ja-JP"/>
        </w:rPr>
        <w:br w:type="page"/>
      </w:r>
    </w:p>
    <w:p w14:paraId="40D28EAF" w14:textId="315B6BDC" w:rsidR="006D0778" w:rsidRPr="00933940" w:rsidRDefault="00933940" w:rsidP="005D223F">
      <w:pPr>
        <w:pStyle w:val="Heading1"/>
        <w:spacing w:before="0" w:after="240"/>
        <w:rPr>
          <w:rFonts w:ascii="Times New Roman" w:eastAsiaTheme="minorHAnsi" w:hAnsi="Times New Roman" w:cs="Times New Roman"/>
          <w:b/>
          <w:color w:val="auto"/>
          <w:sz w:val="24"/>
          <w:szCs w:val="24"/>
          <w:lang w:val="sr-Latn-RS"/>
        </w:rPr>
      </w:pPr>
      <w:bookmarkStart w:id="19" w:name="_Toc530635103"/>
      <w:bookmarkStart w:id="20" w:name="_Toc192759976"/>
      <w:r w:rsidRPr="00E25CAC">
        <w:rPr>
          <w:rFonts w:ascii="Times New Roman" w:eastAsiaTheme="minorHAnsi" w:hAnsi="Times New Roman" w:cs="Times New Roman"/>
          <w:b/>
          <w:color w:val="auto"/>
          <w:sz w:val="24"/>
          <w:szCs w:val="24"/>
          <w:lang w:val="sr-Latn-RS"/>
        </w:rPr>
        <w:lastRenderedPageBreak/>
        <w:t>4</w:t>
      </w:r>
      <w:r w:rsidR="006D0778" w:rsidRPr="00933940">
        <w:rPr>
          <w:rFonts w:ascii="Times New Roman" w:eastAsiaTheme="minorHAnsi" w:hAnsi="Times New Roman" w:cs="Times New Roman"/>
          <w:b/>
          <w:color w:val="auto"/>
          <w:sz w:val="24"/>
          <w:szCs w:val="24"/>
          <w:lang w:val="sr-Latn-RS"/>
        </w:rPr>
        <w:t xml:space="preserve">. </w:t>
      </w:r>
      <w:r w:rsidR="007A3D02" w:rsidRPr="007A3D02">
        <w:rPr>
          <w:rFonts w:ascii="Times New Roman" w:eastAsiaTheme="minorHAnsi" w:hAnsi="Times New Roman" w:cs="Times New Roman"/>
          <w:b/>
          <w:color w:val="auto"/>
          <w:sz w:val="24"/>
          <w:szCs w:val="24"/>
          <w:lang w:val="sr-Latn-RS"/>
        </w:rPr>
        <w:t xml:space="preserve">FISCAL FRAMEWORK </w:t>
      </w:r>
      <w:bookmarkEnd w:id="19"/>
      <w:r w:rsidR="00634FC3">
        <w:rPr>
          <w:rFonts w:ascii="Times New Roman" w:eastAsiaTheme="minorHAnsi" w:hAnsi="Times New Roman" w:cs="Times New Roman"/>
          <w:b/>
          <w:color w:val="auto"/>
          <w:sz w:val="24"/>
          <w:szCs w:val="24"/>
          <w:lang w:val="sr-Latn-RS"/>
        </w:rPr>
        <w:t>FOR THE</w:t>
      </w:r>
      <w:r w:rsidR="00E95A8E">
        <w:rPr>
          <w:rFonts w:ascii="Times New Roman" w:eastAsiaTheme="minorHAnsi" w:hAnsi="Times New Roman" w:cs="Times New Roman"/>
          <w:b/>
          <w:color w:val="auto"/>
          <w:sz w:val="24"/>
          <w:szCs w:val="24"/>
          <w:lang w:val="sr-Latn-RS"/>
        </w:rPr>
        <w:t xml:space="preserve"> </w:t>
      </w:r>
      <w:r w:rsidR="00634FC3">
        <w:rPr>
          <w:rFonts w:ascii="Times New Roman" w:eastAsiaTheme="minorHAnsi" w:hAnsi="Times New Roman" w:cs="Times New Roman"/>
          <w:b/>
          <w:color w:val="auto"/>
          <w:sz w:val="24"/>
          <w:szCs w:val="24"/>
          <w:lang w:val="sr-Latn-RS"/>
        </w:rPr>
        <w:t>PERIOD 2025</w:t>
      </w:r>
      <w:r w:rsidR="00D51853">
        <w:rPr>
          <w:rFonts w:ascii="Times New Roman" w:eastAsiaTheme="minorHAnsi" w:hAnsi="Times New Roman" w:cs="Times New Roman"/>
          <w:b/>
          <w:color w:val="auto"/>
          <w:sz w:val="24"/>
          <w:szCs w:val="24"/>
          <w:lang w:val="sr-Latn-RS"/>
        </w:rPr>
        <w:t xml:space="preserve">- </w:t>
      </w:r>
      <w:r w:rsidR="00634FC3">
        <w:rPr>
          <w:rFonts w:ascii="Times New Roman" w:eastAsiaTheme="minorHAnsi" w:hAnsi="Times New Roman" w:cs="Times New Roman"/>
          <w:b/>
          <w:color w:val="auto"/>
          <w:sz w:val="24"/>
          <w:szCs w:val="24"/>
          <w:lang w:val="sr-Latn-RS"/>
        </w:rPr>
        <w:t>2027</w:t>
      </w:r>
      <w:bookmarkEnd w:id="20"/>
    </w:p>
    <w:p w14:paraId="447AED6F" w14:textId="2CCBA55F" w:rsidR="007A3D02" w:rsidRDefault="00933940" w:rsidP="007A3D02">
      <w:pPr>
        <w:pStyle w:val="Heading11"/>
        <w:spacing w:before="180" w:after="180"/>
        <w:rPr>
          <w:rFonts w:cs="Times New Roman"/>
          <w:bCs/>
          <w:szCs w:val="24"/>
          <w:lang w:val="sr-Cyrl-RS" w:eastAsia="ja-JP"/>
        </w:rPr>
      </w:pPr>
      <w:bookmarkStart w:id="21" w:name="_Toc192759977"/>
      <w:r w:rsidRPr="00915EC2">
        <w:rPr>
          <w:rFonts w:ascii="Times New Roman" w:hAnsi="Times New Roman" w:cs="Times New Roman"/>
          <w:color w:val="auto"/>
          <w:sz w:val="24"/>
          <w:szCs w:val="24"/>
          <w:lang w:val="sr-Latn-RS"/>
        </w:rPr>
        <w:t>4.</w:t>
      </w:r>
      <w:r w:rsidR="006D0778" w:rsidRPr="00915EC2">
        <w:rPr>
          <w:rFonts w:ascii="Times New Roman" w:hAnsi="Times New Roman" w:cs="Times New Roman"/>
          <w:color w:val="auto"/>
          <w:sz w:val="24"/>
          <w:szCs w:val="24"/>
          <w:lang w:val="sr-Latn-RS"/>
        </w:rPr>
        <w:t xml:space="preserve">1. </w:t>
      </w:r>
      <w:bookmarkStart w:id="22" w:name="_Toc530635106"/>
      <w:r w:rsidR="007A3D02" w:rsidRPr="007A3D02">
        <w:rPr>
          <w:rFonts w:ascii="Times New Roman" w:hAnsi="Times New Roman" w:cs="Times New Roman"/>
          <w:color w:val="auto"/>
          <w:sz w:val="24"/>
          <w:szCs w:val="24"/>
          <w:lang w:val="sr-Latn-RS"/>
        </w:rPr>
        <w:t>POLICY STRATEGY AND MEDIUM-TERM OBJECTIVES</w:t>
      </w:r>
      <w:bookmarkEnd w:id="21"/>
    </w:p>
    <w:p w14:paraId="54A119DF" w14:textId="77777777" w:rsidR="007A3D02" w:rsidRPr="007A3D02" w:rsidRDefault="007A3D02" w:rsidP="007A3D02">
      <w:pPr>
        <w:rPr>
          <w:rFonts w:cs="Times New Roman"/>
          <w:bCs/>
          <w:szCs w:val="24"/>
          <w:lang w:val="sr-Cyrl-RS" w:eastAsia="ja-JP"/>
        </w:rPr>
      </w:pPr>
      <w:r w:rsidRPr="007A3D02">
        <w:rPr>
          <w:rFonts w:cs="Times New Roman"/>
          <w:bCs/>
          <w:szCs w:val="24"/>
          <w:lang w:val="sr-Cyrl-RS" w:eastAsia="ja-JP"/>
        </w:rPr>
        <w:t>The stabilization of the COVID-19 pandemic, high inflation driven by crises in international energy and raw material markets, and the conflict in Ukraine have marked the recent period globally, accompanied by uncertainty that could persist for a longer duration. In such a context, the task of economic and fiscal policy was to ensure the stability of economic flows and safeguard citizens’ living standards.</w:t>
      </w:r>
    </w:p>
    <w:p w14:paraId="436A6BC2" w14:textId="77777777" w:rsidR="007A3D02" w:rsidRPr="007A3D02" w:rsidRDefault="007A3D02" w:rsidP="007A3D02">
      <w:pPr>
        <w:rPr>
          <w:rFonts w:cs="Times New Roman"/>
          <w:bCs/>
          <w:szCs w:val="24"/>
          <w:lang w:val="sr-Cyrl-RS" w:eastAsia="ja-JP"/>
        </w:rPr>
      </w:pPr>
      <w:r w:rsidRPr="007A3D02">
        <w:rPr>
          <w:rFonts w:cs="Times New Roman"/>
          <w:bCs/>
          <w:szCs w:val="24"/>
          <w:lang w:val="sr-Cyrl-RS" w:eastAsia="ja-JP"/>
        </w:rPr>
        <w:t>The previous year, however, was relatively stable in economic terms, with expected dynamics in macroeconomic trends and slightly better results in fiscal aggregates. Favorable fiscal trends, reflected in better-than-expected revenue collection and savings on funds allocated for overcoming the energy crisis, led to lower levels of deficit and debt. This development enables an improved fiscal outlook in the medium term, faster reduction of public debt levels, and greater fiscal space.</w:t>
      </w:r>
    </w:p>
    <w:p w14:paraId="64B4D2F5" w14:textId="77777777" w:rsidR="007A3D02" w:rsidRPr="007A3D02" w:rsidRDefault="007A3D02" w:rsidP="007A3D02">
      <w:pPr>
        <w:rPr>
          <w:rFonts w:cs="Times New Roman"/>
          <w:bCs/>
          <w:szCs w:val="24"/>
          <w:lang w:val="sr-Cyrl-RS" w:eastAsia="ja-JP"/>
        </w:rPr>
      </w:pPr>
      <w:r w:rsidRPr="007A3D02">
        <w:rPr>
          <w:rFonts w:cs="Times New Roman"/>
          <w:bCs/>
          <w:szCs w:val="24"/>
          <w:lang w:val="sr-Cyrl-RS" w:eastAsia="ja-JP"/>
        </w:rPr>
        <w:t>The increased fiscal space, along with an overall strong fiscal position and anticipated favorable macroeconomic trends, paves the way for a new investment cycle embodied in the "Leap to the Future - Serbia 2027" program and the EXPO 2027 exhibition. This program will be the cornerstone of the country’s economic and social development in the coming period. Given the significant investments anticipated as part of the program and preparations for the Expo, a temporarily more expansive fiscal policy is expected, while adhering to the principle of reducing public debt levels. Importantly, the increase in the deficit will result from the growth in capital expenditures, which will further support macroeconomic flows and accelerate economic growth. Concurrently, it is essential to create room for timely fiscal policy responses to economic shocks.</w:t>
      </w:r>
    </w:p>
    <w:p w14:paraId="080DE6E9" w14:textId="77777777" w:rsidR="007A3D02" w:rsidRPr="007A3D02" w:rsidRDefault="007A3D02" w:rsidP="007A3D02">
      <w:pPr>
        <w:rPr>
          <w:rFonts w:cs="Times New Roman"/>
          <w:bCs/>
          <w:szCs w:val="24"/>
          <w:lang w:val="sr-Cyrl-RS" w:eastAsia="ja-JP"/>
        </w:rPr>
      </w:pPr>
      <w:r w:rsidRPr="007A3D02">
        <w:rPr>
          <w:rFonts w:cs="Times New Roman"/>
          <w:bCs/>
          <w:szCs w:val="24"/>
          <w:lang w:val="sr-Cyrl-RS" w:eastAsia="ja-JP"/>
        </w:rPr>
        <w:t>The international environment remains uncertain in terms of global economic trends, so any potential fiscal intervention by the state to minimize negative external effects would certainly be combined with efforts to continue development programs and infrastructure projects financed from the budget.</w:t>
      </w:r>
    </w:p>
    <w:p w14:paraId="18602D52" w14:textId="77777777" w:rsidR="007A3D02" w:rsidRPr="007A3D02" w:rsidRDefault="007A3D02" w:rsidP="007A3D02">
      <w:pPr>
        <w:rPr>
          <w:rFonts w:cs="Times New Roman"/>
          <w:bCs/>
          <w:szCs w:val="24"/>
          <w:lang w:val="sr-Cyrl-RS" w:eastAsia="ja-JP"/>
        </w:rPr>
      </w:pPr>
      <w:r w:rsidRPr="007A3D02">
        <w:rPr>
          <w:rFonts w:cs="Times New Roman"/>
          <w:bCs/>
          <w:szCs w:val="24"/>
          <w:lang w:val="sr-Cyrl-RS" w:eastAsia="ja-JP"/>
        </w:rPr>
        <w:t>Considering the uncertain economic situation, the budget will undoubtedly serve as a "safety net" in the event of adverse developments. On one hand, it will ensure the continuity of development and social programs, and on the other, the sustainability of public finances and continued reduction of public debt as a share of GDP. In light of expected macroeconomic trends, the projected annual fiscal deficits will allow for a further decrease in the share of general government debt in GDP in the coming period.</w:t>
      </w:r>
    </w:p>
    <w:p w14:paraId="622B43F8" w14:textId="478ABA35" w:rsidR="006D0778" w:rsidRPr="00AD7E7D" w:rsidRDefault="007A3D02" w:rsidP="007A3D02">
      <w:pPr>
        <w:rPr>
          <w:rFonts w:cs="Times New Roman"/>
          <w:bCs/>
          <w:szCs w:val="24"/>
          <w:lang w:val="sr-Cyrl-RS" w:eastAsia="ja-JP"/>
        </w:rPr>
      </w:pPr>
      <w:r w:rsidRPr="007A3D02">
        <w:rPr>
          <w:rFonts w:cs="Times New Roman"/>
          <w:bCs/>
          <w:szCs w:val="24"/>
          <w:lang w:val="sr-Cyrl-RS" w:eastAsia="ja-JP"/>
        </w:rPr>
        <w:t>Fiscal policy in the forthcoming period will focus, in line with available fiscal space, on further reducing the overall tax burden on labo</w:t>
      </w:r>
      <w:r w:rsidR="004E34DB">
        <w:rPr>
          <w:rFonts w:cs="Times New Roman"/>
          <w:bCs/>
          <w:szCs w:val="24"/>
          <w:lang w:val="sr-Latn-RS" w:eastAsia="ja-JP"/>
        </w:rPr>
        <w:t>u</w:t>
      </w:r>
      <w:r w:rsidRPr="007A3D02">
        <w:rPr>
          <w:rFonts w:cs="Times New Roman"/>
          <w:bCs/>
          <w:szCs w:val="24"/>
          <w:lang w:val="sr-Cyrl-RS" w:eastAsia="ja-JP"/>
        </w:rPr>
        <w:t xml:space="preserve">r, thereby relieving the economy and enhancing the competitiveness of the private sector. On the expenditure side, in addition to infrastructure and capital projects, priority will be given to pension and wage policies to continue improving the population's living standards. </w:t>
      </w:r>
      <w:r w:rsidR="006D0778" w:rsidRPr="00AD7E7D">
        <w:rPr>
          <w:rFonts w:cs="Times New Roman"/>
          <w:bCs/>
          <w:szCs w:val="24"/>
          <w:lang w:val="sr-Cyrl-RS" w:eastAsia="ja-JP"/>
        </w:rPr>
        <w:t xml:space="preserve"> </w:t>
      </w:r>
    </w:p>
    <w:p w14:paraId="14835790" w14:textId="1D8FFF4E" w:rsidR="00E425D7" w:rsidRPr="00915EC2" w:rsidRDefault="00E425D7" w:rsidP="00E425D7">
      <w:pPr>
        <w:pStyle w:val="Heading11"/>
        <w:spacing w:before="0" w:after="180"/>
        <w:rPr>
          <w:rFonts w:ascii="Times New Roman" w:hAnsi="Times New Roman" w:cs="Times New Roman"/>
          <w:color w:val="auto"/>
          <w:sz w:val="24"/>
          <w:szCs w:val="24"/>
          <w:lang w:val="sr-Latn-RS"/>
        </w:rPr>
      </w:pPr>
      <w:bookmarkStart w:id="23" w:name="_Toc186010347"/>
      <w:bookmarkStart w:id="24" w:name="_Toc192759978"/>
      <w:bookmarkStart w:id="25" w:name="_Toc185342336"/>
      <w:bookmarkStart w:id="26" w:name="_Toc91769802"/>
      <w:bookmarkEnd w:id="22"/>
      <w:r w:rsidRPr="00915EC2">
        <w:rPr>
          <w:rFonts w:ascii="Times New Roman" w:hAnsi="Times New Roman" w:cs="Times New Roman"/>
          <w:color w:val="auto"/>
          <w:sz w:val="24"/>
          <w:szCs w:val="24"/>
          <w:lang w:val="sr-Latn-RS"/>
        </w:rPr>
        <w:lastRenderedPageBreak/>
        <w:t xml:space="preserve">4.2. </w:t>
      </w:r>
      <w:r>
        <w:rPr>
          <w:rFonts w:ascii="Times New Roman" w:hAnsi="Times New Roman" w:cs="Times New Roman"/>
          <w:color w:val="auto"/>
          <w:sz w:val="24"/>
          <w:szCs w:val="24"/>
          <w:lang w:val="sr-Latn-RS"/>
        </w:rPr>
        <w:t xml:space="preserve">BUDGET </w:t>
      </w:r>
      <w:r w:rsidR="00C91243">
        <w:rPr>
          <w:rFonts w:ascii="Times New Roman" w:hAnsi="Times New Roman" w:cs="Times New Roman"/>
          <w:color w:val="auto"/>
          <w:sz w:val="24"/>
          <w:szCs w:val="24"/>
          <w:lang w:val="sr-Latn-RS"/>
        </w:rPr>
        <w:t xml:space="preserve">IMPLEMENTATION </w:t>
      </w:r>
      <w:r>
        <w:rPr>
          <w:rFonts w:ascii="Times New Roman" w:hAnsi="Times New Roman" w:cs="Times New Roman"/>
          <w:color w:val="auto"/>
          <w:sz w:val="24"/>
          <w:szCs w:val="24"/>
          <w:lang w:val="sr-Latn-RS"/>
        </w:rPr>
        <w:t>IN 2024</w:t>
      </w:r>
      <w:bookmarkEnd w:id="23"/>
      <w:bookmarkEnd w:id="24"/>
    </w:p>
    <w:p w14:paraId="0DC2E39E" w14:textId="77777777" w:rsidR="00E425D7" w:rsidRPr="009C0D16" w:rsidRDefault="00E425D7" w:rsidP="00E425D7">
      <w:pPr>
        <w:keepNext/>
        <w:keepLines/>
        <w:rPr>
          <w:rFonts w:cs="Times New Roman"/>
          <w:bCs/>
          <w:szCs w:val="24"/>
          <w:lang w:val="sr-Cyrl-RS" w:eastAsia="ja-JP"/>
        </w:rPr>
      </w:pPr>
      <w:r>
        <w:rPr>
          <w:rFonts w:cs="Times New Roman"/>
          <w:bCs/>
          <w:szCs w:val="24"/>
          <w:lang w:val="sr-Cyrl-RS" w:eastAsia="ja-JP"/>
        </w:rPr>
        <w:t>Fiscal f</w:t>
      </w:r>
      <w:r w:rsidRPr="009C0D16">
        <w:rPr>
          <w:rFonts w:cs="Times New Roman"/>
          <w:bCs/>
          <w:szCs w:val="24"/>
          <w:lang w:val="sr-Cyrl-RS" w:eastAsia="ja-JP"/>
        </w:rPr>
        <w:t>ramework for 2024 was planned considering the uncertainty both in the domestic market and in the international environment. The planning was approached cautiously to leave room for budgetary interventions in case of adverse events. The macroeconomic framework for 2024 envisaged moderate acceleration of economic activity compared to 2023, with a gradual easing of the inflation rate, which would, among other things, also affect the increase in real consumption.</w:t>
      </w:r>
    </w:p>
    <w:p w14:paraId="08A2CFA3" w14:textId="77777777" w:rsidR="00E425D7" w:rsidRPr="009C0D16" w:rsidRDefault="00E425D7" w:rsidP="00E425D7">
      <w:pPr>
        <w:keepNext/>
        <w:keepLines/>
        <w:rPr>
          <w:rFonts w:cs="Times New Roman"/>
          <w:bCs/>
          <w:szCs w:val="24"/>
          <w:lang w:val="sr-Cyrl-RS" w:eastAsia="ja-JP"/>
        </w:rPr>
      </w:pPr>
      <w:r w:rsidRPr="009C0D16">
        <w:rPr>
          <w:rFonts w:cs="Times New Roman"/>
          <w:bCs/>
          <w:szCs w:val="24"/>
          <w:lang w:val="sr-Cyrl-RS" w:eastAsia="ja-JP"/>
        </w:rPr>
        <w:t>Measures implemented at the end of 2023 impacted the planning of the fiscal framework for 2024. At the end of the previous year, a 5,5% wage increase was implemented for employees in education and part of the healthcare sector, an extraordinary pension increase of 5,5%, and at the beginning of 2024, in accordance with the legal formula for adjustment, pensions were increased by 14,8%. To maintain the standard of living and purchasing power of the population, the following measures were adopted: an increase in the minimum wage for 2024 by 17,8%, a 10% wage increase in the public sector, along with further reduction of the tax burden on wages below 60%. These measures contribute to an increase in personal consumption and consequently, to the revenue from consumption taxes. A positive trend in the revenue from labor taxation was also expected despite the reduction in the tax burden, due to the effects of the proposed measures on employment and wages in the private sector. Significant funds were planned for intervention in the energy market in 2024, but due to the stabilization of prices and availability of energy resources, some unused funds were reallocated.</w:t>
      </w:r>
    </w:p>
    <w:p w14:paraId="69044C45" w14:textId="77777777" w:rsidR="00E425D7" w:rsidRPr="009C0D16" w:rsidRDefault="00E425D7" w:rsidP="00E425D7">
      <w:pPr>
        <w:keepNext/>
        <w:keepLines/>
        <w:rPr>
          <w:rFonts w:cs="Times New Roman"/>
          <w:bCs/>
          <w:szCs w:val="24"/>
          <w:lang w:val="sr-Cyrl-RS" w:eastAsia="ja-JP"/>
        </w:rPr>
      </w:pPr>
      <w:r w:rsidRPr="009C0D16">
        <w:rPr>
          <w:rFonts w:cs="Times New Roman"/>
          <w:bCs/>
          <w:szCs w:val="24"/>
          <w:lang w:val="sr-Cyrl-RS" w:eastAsia="ja-JP"/>
        </w:rPr>
        <w:t>The excise policy was returned to regular processes, including partial increases in the real amounts of excise rates. By the legal regulation adopted at the end of the previous year, among other things, excise rates were increased by 8%, and further adjustment with the inflation rate of 2023 was planned at the beginning of 2024. These increases only partially compensate for the real value of excise amounts compared to the period before the energy crisis and accelerated inflation, so the excise rates remain 13% lower than the rates that would have been in effect with regular indexation in the previous period. The estimated revenue loss in 2022 and 2023 due to the lack of regular indexation amounted to over 100 billion dinars, or 1,3% of GDP. At the beginning of 2024, a decision was made to delay the planned adjustment for three months, due to the solid growth of excise revenues at the end of the previous year, and to partially mitigate and postpone the inflationary effect of raising excise duties.</w:t>
      </w:r>
    </w:p>
    <w:p w14:paraId="64EEEBC6" w14:textId="77777777" w:rsidR="00E425D7" w:rsidRPr="009C0D16" w:rsidRDefault="00E425D7" w:rsidP="00E425D7">
      <w:pPr>
        <w:keepNext/>
        <w:keepLines/>
        <w:rPr>
          <w:rFonts w:cs="Times New Roman"/>
          <w:bCs/>
          <w:szCs w:val="24"/>
          <w:lang w:val="sr-Cyrl-RS" w:eastAsia="ja-JP"/>
        </w:rPr>
      </w:pPr>
      <w:r w:rsidRPr="009C0D16">
        <w:rPr>
          <w:rFonts w:cs="Times New Roman"/>
          <w:bCs/>
          <w:szCs w:val="24"/>
          <w:lang w:val="sr-Cyrl-RS" w:eastAsia="ja-JP"/>
        </w:rPr>
        <w:t>The risks considered during the planning of the fiscal framework for this year are still present, but with somewhat reduced intensity. Economic activity and inflation growth were in line with the projected quarterly dynamics. The economic growth estimate for this year was slightly revised upwards compared to the original budget estimate, and unchanged compared to the spring Fiscal Strategy.</w:t>
      </w:r>
    </w:p>
    <w:p w14:paraId="3CD7FCAC" w14:textId="77777777" w:rsidR="00E425D7" w:rsidRDefault="00E425D7" w:rsidP="00E425D7">
      <w:pPr>
        <w:keepNext/>
        <w:keepLines/>
        <w:rPr>
          <w:rFonts w:cs="Times New Roman"/>
          <w:bCs/>
          <w:szCs w:val="24"/>
          <w:lang w:val="sr-Cyrl-RS" w:eastAsia="ja-JP"/>
        </w:rPr>
      </w:pPr>
      <w:r w:rsidRPr="009C0D16">
        <w:rPr>
          <w:rFonts w:cs="Times New Roman"/>
          <w:bCs/>
          <w:szCs w:val="24"/>
          <w:lang w:val="sr-Cyrl-RS" w:eastAsia="ja-JP"/>
        </w:rPr>
        <w:t xml:space="preserve">Revenue performance in the first nine months of the current year is better than originally planned. Developments in the labor market exceeded expectations, which, along with the simultaneous growth in real income, positively impacted the collection of all consumption tax revenues. The profitability of business entities in 2023 and the collection of </w:t>
      </w:r>
      <w:r>
        <w:rPr>
          <w:rFonts w:cs="Times New Roman"/>
          <w:bCs/>
          <w:szCs w:val="24"/>
          <w:lang w:val="sr-Latn-RS" w:eastAsia="ja-JP"/>
        </w:rPr>
        <w:t>corporate income</w:t>
      </w:r>
      <w:r w:rsidRPr="009C0D16">
        <w:rPr>
          <w:rFonts w:cs="Times New Roman"/>
          <w:bCs/>
          <w:szCs w:val="24"/>
          <w:lang w:val="sr-Cyrl-RS" w:eastAsia="ja-JP"/>
        </w:rPr>
        <w:t xml:space="preserve"> tax in the first nine months of the current year are a significant factor in the upward revision of revenues for 2024. The decision to postpone the excise indexation did not negatively affect the amount of revenue from this tax type, primarily due to the recovery in consumption in the last quarter of the previous and the first half of the current year. As usual, unplanned extraordinary non-tax revenues collected in the past period, as well as better realization of regular revenues, were included in the revised estimate of non-tax revenues. Better performance at the end of the previous year was also a significant factor that led to the upward revision of revenues.</w:t>
      </w:r>
    </w:p>
    <w:p w14:paraId="450521FC" w14:textId="77777777" w:rsidR="00E425D7" w:rsidRDefault="00E425D7" w:rsidP="00E425D7">
      <w:pPr>
        <w:keepNext/>
        <w:keepLines/>
        <w:rPr>
          <w:rFonts w:cs="Times New Roman"/>
          <w:bCs/>
          <w:szCs w:val="24"/>
          <w:lang w:val="sr-Cyrl-RS" w:eastAsia="ja-JP"/>
        </w:rPr>
      </w:pPr>
      <w:r w:rsidRPr="009C0D16">
        <w:rPr>
          <w:rFonts w:cs="Times New Roman"/>
          <w:bCs/>
          <w:szCs w:val="24"/>
          <w:lang w:val="sr-Cyrl-RS" w:eastAsia="ja-JP"/>
        </w:rPr>
        <w:lastRenderedPageBreak/>
        <w:t xml:space="preserve">The revised fiscal framework for 2024, in line with the adopted </w:t>
      </w:r>
      <w:r>
        <w:rPr>
          <w:rFonts w:cs="Times New Roman"/>
          <w:bCs/>
          <w:szCs w:val="24"/>
          <w:lang w:val="sr-Latn-RS" w:eastAsia="ja-JP"/>
        </w:rPr>
        <w:t xml:space="preserve">amended </w:t>
      </w:r>
      <w:r>
        <w:rPr>
          <w:rFonts w:cs="Times New Roman"/>
          <w:bCs/>
          <w:szCs w:val="24"/>
          <w:lang w:val="sr-Cyrl-RS" w:eastAsia="ja-JP"/>
        </w:rPr>
        <w:t>budget</w:t>
      </w:r>
      <w:r w:rsidRPr="009C0D16">
        <w:rPr>
          <w:rFonts w:cs="Times New Roman"/>
          <w:bCs/>
          <w:szCs w:val="24"/>
          <w:lang w:val="sr-Cyrl-RS" w:eastAsia="ja-JP"/>
        </w:rPr>
        <w:t xml:space="preserve">, foresees a fiscal deficit of 2,7% of GDP, which is 0,6 percentage points higher than the original budget plan. The share of public debt in GDP at the end of 2024 will amount to 47,9%. The revenue side was increased by 166 billion dinars, and the expenditure side by 232,1 billion dinars. Higher revenues and expenditures, along with the redistribution of funds intended for energy, provided fiscal space for a significant increase in public investments, as well as some categories of current expenditures (social assistance and transfers to the population). In this way, alongside the preservation and increase in the standard of living for certain categories of the population, infrastructure development is accelerated and the economic potential of the country is enhanced. The implementation of these measures, along with the achievement of the projected fiscal result of the </w:t>
      </w:r>
      <w:r>
        <w:rPr>
          <w:rFonts w:cs="Times New Roman"/>
          <w:bCs/>
          <w:szCs w:val="24"/>
          <w:lang w:val="sr-Latn-RS" w:eastAsia="ja-JP"/>
        </w:rPr>
        <w:t xml:space="preserve">general </w:t>
      </w:r>
      <w:r w:rsidRPr="009C0D16">
        <w:rPr>
          <w:rFonts w:cs="Times New Roman"/>
          <w:bCs/>
          <w:szCs w:val="24"/>
          <w:lang w:val="sr-Cyrl-RS" w:eastAsia="ja-JP"/>
        </w:rPr>
        <w:t>government sector, will not disrupt the established path of reducing the share of public debt in GDP, which has been present since 2016. Analysis of the structural fiscal result for 2024 identified that about 0,47% of GDP relates to one-off and temporary effects on the revenue and expenditure sides.</w:t>
      </w:r>
    </w:p>
    <w:p w14:paraId="70F58FAB" w14:textId="77777777" w:rsidR="00E425D7" w:rsidRDefault="00E425D7" w:rsidP="00E425D7">
      <w:pPr>
        <w:keepNext/>
        <w:keepLines/>
        <w:rPr>
          <w:rFonts w:eastAsia="Calibri" w:cs="Times New Roman"/>
          <w:i/>
          <w:spacing w:val="-4"/>
          <w:szCs w:val="24"/>
          <w:lang w:val="sr-Cyrl-RS"/>
        </w:rPr>
      </w:pPr>
      <w:r>
        <w:rPr>
          <w:rFonts w:eastAsia="Calibri" w:cs="Times New Roman"/>
          <w:i/>
          <w:spacing w:val="-4"/>
          <w:szCs w:val="24"/>
          <w:lang w:val="sr-Latn-RS"/>
        </w:rPr>
        <w:t>Graph</w:t>
      </w:r>
      <w:r w:rsidRPr="005D223F">
        <w:rPr>
          <w:rFonts w:eastAsia="Calibri" w:cs="Times New Roman"/>
          <w:i/>
          <w:spacing w:val="-4"/>
          <w:szCs w:val="24"/>
          <w:lang w:val="sr-Cyrl-RS"/>
        </w:rPr>
        <w:t xml:space="preserve"> </w:t>
      </w:r>
      <w:r>
        <w:rPr>
          <w:rFonts w:eastAsia="Calibri" w:cs="Times New Roman"/>
          <w:i/>
          <w:spacing w:val="-4"/>
          <w:szCs w:val="24"/>
          <w:lang w:val="sr-Latn-RS"/>
        </w:rPr>
        <w:t>4</w:t>
      </w:r>
      <w:r w:rsidRPr="005D223F">
        <w:rPr>
          <w:rFonts w:eastAsia="Calibri" w:cs="Times New Roman"/>
          <w:i/>
          <w:spacing w:val="-4"/>
          <w:szCs w:val="24"/>
          <w:lang w:val="sr-Cyrl-RS"/>
        </w:rPr>
        <w:t xml:space="preserve">. </w:t>
      </w:r>
      <w:r>
        <w:rPr>
          <w:rFonts w:eastAsia="Calibri" w:cs="Times New Roman"/>
          <w:i/>
          <w:spacing w:val="-4"/>
          <w:szCs w:val="24"/>
          <w:lang w:val="sr-Latn-RS"/>
        </w:rPr>
        <w:t xml:space="preserve">General </w:t>
      </w:r>
      <w:r w:rsidRPr="00C079F9">
        <w:rPr>
          <w:rFonts w:eastAsia="Calibri" w:cs="Times New Roman"/>
          <w:i/>
          <w:spacing w:val="-4"/>
          <w:szCs w:val="24"/>
          <w:lang w:val="sr-Cyrl-RS"/>
        </w:rPr>
        <w:t xml:space="preserve">government fiscal result for the period 2015-2024, in % of GDP </w:t>
      </w:r>
    </w:p>
    <w:p w14:paraId="17958C22" w14:textId="77777777" w:rsidR="00E425D7" w:rsidRPr="00C079F9" w:rsidRDefault="00E425D7" w:rsidP="00E425D7">
      <w:pPr>
        <w:keepNext/>
        <w:keepLines/>
        <w:rPr>
          <w:rFonts w:eastAsia="Calibri" w:cs="Times New Roman"/>
          <w:i/>
          <w:spacing w:val="-4"/>
          <w:sz w:val="16"/>
          <w:szCs w:val="16"/>
          <w:lang w:val="sr-Cyrl-RS"/>
        </w:rPr>
      </w:pPr>
      <w:r w:rsidRPr="00C079F9">
        <w:rPr>
          <w:noProof/>
          <w:sz w:val="16"/>
          <w:szCs w:val="16"/>
        </w:rPr>
        <w:drawing>
          <wp:anchor distT="0" distB="0" distL="114300" distR="114300" simplePos="0" relativeHeight="251661312" behindDoc="1" locked="0" layoutInCell="1" allowOverlap="1" wp14:anchorId="7EE91F1E" wp14:editId="505BC15A">
            <wp:simplePos x="0" y="0"/>
            <wp:positionH relativeFrom="margin">
              <wp:align>left</wp:align>
            </wp:positionH>
            <wp:positionV relativeFrom="paragraph">
              <wp:posOffset>3137</wp:posOffset>
            </wp:positionV>
            <wp:extent cx="5691116" cy="2838734"/>
            <wp:effectExtent l="0" t="0" r="508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F2DB550" w14:textId="77777777" w:rsidR="00E425D7" w:rsidRDefault="00E425D7" w:rsidP="00E425D7">
      <w:pPr>
        <w:spacing w:after="0" w:line="276" w:lineRule="auto"/>
        <w:jc w:val="center"/>
        <w:rPr>
          <w:rFonts w:eastAsia="Calibri" w:cs="Times New Roman"/>
          <w:szCs w:val="24"/>
          <w:lang w:val="sr-Cyrl-RS"/>
        </w:rPr>
      </w:pPr>
    </w:p>
    <w:p w14:paraId="7791AA68" w14:textId="77777777" w:rsidR="00E425D7" w:rsidRDefault="00E425D7" w:rsidP="00E425D7">
      <w:pPr>
        <w:spacing w:after="0" w:line="276" w:lineRule="auto"/>
        <w:jc w:val="center"/>
        <w:rPr>
          <w:rFonts w:eastAsia="Calibri" w:cs="Times New Roman"/>
          <w:szCs w:val="24"/>
          <w:lang w:val="sr-Cyrl-RS"/>
        </w:rPr>
      </w:pPr>
    </w:p>
    <w:p w14:paraId="2A434AA6" w14:textId="77777777" w:rsidR="00E425D7" w:rsidRDefault="00E425D7" w:rsidP="00E425D7">
      <w:pPr>
        <w:spacing w:after="0" w:line="276" w:lineRule="auto"/>
        <w:jc w:val="center"/>
        <w:rPr>
          <w:rFonts w:eastAsia="Calibri" w:cs="Times New Roman"/>
          <w:szCs w:val="24"/>
          <w:lang w:val="sr-Cyrl-RS"/>
        </w:rPr>
      </w:pPr>
    </w:p>
    <w:p w14:paraId="72938750" w14:textId="77777777" w:rsidR="00E425D7" w:rsidRDefault="00E425D7" w:rsidP="00E425D7">
      <w:pPr>
        <w:spacing w:after="0" w:line="276" w:lineRule="auto"/>
        <w:jc w:val="center"/>
        <w:rPr>
          <w:rFonts w:eastAsia="Calibri" w:cs="Times New Roman"/>
          <w:szCs w:val="24"/>
          <w:lang w:val="sr-Cyrl-RS"/>
        </w:rPr>
      </w:pPr>
    </w:p>
    <w:p w14:paraId="20BAED11" w14:textId="77777777" w:rsidR="00E425D7" w:rsidRDefault="00E425D7" w:rsidP="00E425D7">
      <w:pPr>
        <w:spacing w:after="0" w:line="276" w:lineRule="auto"/>
        <w:jc w:val="center"/>
        <w:rPr>
          <w:rFonts w:eastAsia="Calibri" w:cs="Times New Roman"/>
          <w:szCs w:val="24"/>
          <w:lang w:val="sr-Cyrl-RS"/>
        </w:rPr>
      </w:pPr>
    </w:p>
    <w:p w14:paraId="3E257952" w14:textId="77777777" w:rsidR="00E425D7" w:rsidRDefault="00E425D7" w:rsidP="00E425D7">
      <w:pPr>
        <w:spacing w:after="0" w:line="276" w:lineRule="auto"/>
        <w:jc w:val="center"/>
        <w:rPr>
          <w:rFonts w:eastAsia="Calibri" w:cs="Times New Roman"/>
          <w:szCs w:val="24"/>
          <w:lang w:val="sr-Cyrl-RS"/>
        </w:rPr>
      </w:pPr>
    </w:p>
    <w:p w14:paraId="3EAC17F4" w14:textId="77777777" w:rsidR="00E425D7" w:rsidRDefault="00E425D7" w:rsidP="00E425D7">
      <w:pPr>
        <w:spacing w:after="0" w:line="276" w:lineRule="auto"/>
        <w:jc w:val="center"/>
        <w:rPr>
          <w:rFonts w:eastAsia="Calibri" w:cs="Times New Roman"/>
          <w:szCs w:val="24"/>
          <w:lang w:val="sr-Cyrl-RS"/>
        </w:rPr>
      </w:pPr>
    </w:p>
    <w:p w14:paraId="6B1FCB52" w14:textId="77777777" w:rsidR="00E425D7" w:rsidRDefault="00E425D7" w:rsidP="00E425D7">
      <w:pPr>
        <w:spacing w:after="0" w:line="276" w:lineRule="auto"/>
        <w:jc w:val="center"/>
        <w:rPr>
          <w:rFonts w:eastAsia="Calibri" w:cs="Times New Roman"/>
          <w:szCs w:val="24"/>
          <w:lang w:val="sr-Cyrl-RS"/>
        </w:rPr>
      </w:pPr>
    </w:p>
    <w:p w14:paraId="3DC80745" w14:textId="77777777" w:rsidR="00E425D7" w:rsidRDefault="00E425D7" w:rsidP="00E425D7">
      <w:pPr>
        <w:spacing w:after="0" w:line="276" w:lineRule="auto"/>
        <w:jc w:val="center"/>
        <w:rPr>
          <w:rFonts w:eastAsia="Calibri" w:cs="Times New Roman"/>
          <w:szCs w:val="24"/>
          <w:lang w:val="sr-Cyrl-RS"/>
        </w:rPr>
      </w:pPr>
    </w:p>
    <w:p w14:paraId="3DCBACEC" w14:textId="77777777" w:rsidR="00E425D7" w:rsidRDefault="00E425D7" w:rsidP="00E425D7">
      <w:pPr>
        <w:spacing w:after="0" w:line="276" w:lineRule="auto"/>
        <w:jc w:val="center"/>
        <w:rPr>
          <w:rFonts w:eastAsia="Calibri" w:cs="Times New Roman"/>
          <w:szCs w:val="24"/>
          <w:lang w:val="sr-Cyrl-RS"/>
        </w:rPr>
      </w:pPr>
    </w:p>
    <w:p w14:paraId="49B59ED1" w14:textId="77777777" w:rsidR="00E425D7" w:rsidRPr="00AD7E7D" w:rsidRDefault="00E425D7" w:rsidP="00E425D7">
      <w:pPr>
        <w:spacing w:after="0" w:line="276" w:lineRule="auto"/>
        <w:jc w:val="center"/>
        <w:rPr>
          <w:rFonts w:eastAsia="Calibri" w:cs="Times New Roman"/>
          <w:szCs w:val="24"/>
          <w:lang w:val="sr-Cyrl-RS"/>
        </w:rPr>
      </w:pPr>
    </w:p>
    <w:p w14:paraId="579AA3E5" w14:textId="77777777" w:rsidR="00E425D7" w:rsidRPr="00AD7E7D" w:rsidRDefault="00E425D7" w:rsidP="00E425D7">
      <w:pPr>
        <w:spacing w:after="0"/>
        <w:rPr>
          <w:rFonts w:eastAsia="Calibri" w:cs="Times New Roman"/>
          <w:bCs/>
          <w:szCs w:val="24"/>
          <w:lang w:val="sr-Cyrl-RS"/>
        </w:rPr>
      </w:pPr>
    </w:p>
    <w:p w14:paraId="628E7E94" w14:textId="77777777" w:rsidR="00E425D7" w:rsidRDefault="00E425D7" w:rsidP="00E425D7">
      <w:pPr>
        <w:spacing w:after="0"/>
        <w:rPr>
          <w:rFonts w:eastAsia="Calibri" w:cs="Times New Roman"/>
          <w:bCs/>
          <w:sz w:val="22"/>
          <w:szCs w:val="24"/>
          <w:lang w:val="sr-Cyrl-RS"/>
        </w:rPr>
      </w:pPr>
    </w:p>
    <w:p w14:paraId="0F9ACD4F" w14:textId="77777777" w:rsidR="00E425D7" w:rsidRDefault="00E425D7" w:rsidP="00E425D7">
      <w:pPr>
        <w:spacing w:after="0"/>
        <w:rPr>
          <w:rFonts w:eastAsia="Calibri" w:cs="Times New Roman"/>
          <w:bCs/>
          <w:sz w:val="22"/>
          <w:szCs w:val="24"/>
          <w:lang w:val="sr-Cyrl-RS"/>
        </w:rPr>
      </w:pPr>
    </w:p>
    <w:p w14:paraId="40C3057F" w14:textId="77777777" w:rsidR="00E425D7" w:rsidRPr="00C079F9" w:rsidRDefault="00E425D7" w:rsidP="00E425D7">
      <w:pPr>
        <w:spacing w:after="0"/>
        <w:rPr>
          <w:rFonts w:eastAsia="Calibri" w:cs="Times New Roman"/>
          <w:bCs/>
          <w:sz w:val="22"/>
          <w:szCs w:val="24"/>
          <w:lang w:val="sr-Latn-RS"/>
        </w:rPr>
      </w:pPr>
      <w:r>
        <w:rPr>
          <w:rFonts w:eastAsia="Calibri" w:cs="Times New Roman"/>
          <w:bCs/>
          <w:sz w:val="22"/>
          <w:szCs w:val="24"/>
          <w:lang w:val="sr-Latn-RS"/>
        </w:rPr>
        <w:t>Source: Ministry of Finance</w:t>
      </w:r>
    </w:p>
    <w:p w14:paraId="14B6C303" w14:textId="77777777" w:rsidR="00E425D7" w:rsidRPr="00AD7E7D" w:rsidRDefault="00E425D7" w:rsidP="00E425D7">
      <w:pPr>
        <w:spacing w:after="0"/>
        <w:rPr>
          <w:rFonts w:eastAsia="Calibri" w:cs="Times New Roman"/>
          <w:bCs/>
          <w:szCs w:val="24"/>
          <w:lang w:val="sr-Cyrl-RS"/>
        </w:rPr>
      </w:pPr>
    </w:p>
    <w:p w14:paraId="3728DEBC" w14:textId="77777777" w:rsidR="00B7761B" w:rsidRDefault="00B7761B" w:rsidP="00E425D7">
      <w:pPr>
        <w:spacing w:before="240"/>
        <w:rPr>
          <w:rFonts w:eastAsia="MS PGothic" w:cs="Times New Roman"/>
          <w:i/>
          <w:szCs w:val="24"/>
          <w:lang w:val="sr-Latn-RS" w:eastAsia="ja-JP"/>
        </w:rPr>
      </w:pPr>
    </w:p>
    <w:p w14:paraId="6DCC0791" w14:textId="77777777" w:rsidR="00B7761B" w:rsidRDefault="00B7761B" w:rsidP="00E425D7">
      <w:pPr>
        <w:spacing w:before="240"/>
        <w:rPr>
          <w:rFonts w:eastAsia="MS PGothic" w:cs="Times New Roman"/>
          <w:i/>
          <w:szCs w:val="24"/>
          <w:lang w:val="sr-Latn-RS" w:eastAsia="ja-JP"/>
        </w:rPr>
      </w:pPr>
    </w:p>
    <w:p w14:paraId="7034572C" w14:textId="77777777" w:rsidR="00B7761B" w:rsidRDefault="00B7761B" w:rsidP="00E425D7">
      <w:pPr>
        <w:spacing w:before="240"/>
        <w:rPr>
          <w:rFonts w:eastAsia="MS PGothic" w:cs="Times New Roman"/>
          <w:i/>
          <w:szCs w:val="24"/>
          <w:lang w:val="sr-Latn-RS" w:eastAsia="ja-JP"/>
        </w:rPr>
      </w:pPr>
    </w:p>
    <w:p w14:paraId="0BECCDE4" w14:textId="77777777" w:rsidR="00B7761B" w:rsidRDefault="00B7761B" w:rsidP="00E425D7">
      <w:pPr>
        <w:spacing w:before="240"/>
        <w:rPr>
          <w:rFonts w:eastAsia="MS PGothic" w:cs="Times New Roman"/>
          <w:i/>
          <w:szCs w:val="24"/>
          <w:lang w:val="sr-Latn-RS" w:eastAsia="ja-JP"/>
        </w:rPr>
      </w:pPr>
    </w:p>
    <w:p w14:paraId="4F388D59" w14:textId="77777777" w:rsidR="00B7761B" w:rsidRDefault="00B7761B" w:rsidP="00E425D7">
      <w:pPr>
        <w:spacing w:before="240"/>
        <w:rPr>
          <w:rFonts w:eastAsia="MS PGothic" w:cs="Times New Roman"/>
          <w:i/>
          <w:szCs w:val="24"/>
          <w:lang w:val="sr-Latn-RS" w:eastAsia="ja-JP"/>
        </w:rPr>
      </w:pPr>
    </w:p>
    <w:p w14:paraId="22905E56" w14:textId="77777777" w:rsidR="00B7761B" w:rsidRDefault="00B7761B" w:rsidP="00E425D7">
      <w:pPr>
        <w:spacing w:before="240"/>
        <w:rPr>
          <w:rFonts w:eastAsia="MS PGothic" w:cs="Times New Roman"/>
          <w:i/>
          <w:szCs w:val="24"/>
          <w:lang w:val="sr-Latn-RS" w:eastAsia="ja-JP"/>
        </w:rPr>
      </w:pPr>
    </w:p>
    <w:p w14:paraId="6ADC096A" w14:textId="77777777" w:rsidR="00B7761B" w:rsidRDefault="00B7761B" w:rsidP="00E425D7">
      <w:pPr>
        <w:spacing w:before="240"/>
        <w:rPr>
          <w:rFonts w:eastAsia="MS PGothic" w:cs="Times New Roman"/>
          <w:i/>
          <w:szCs w:val="24"/>
          <w:lang w:val="sr-Latn-RS" w:eastAsia="ja-JP"/>
        </w:rPr>
      </w:pPr>
    </w:p>
    <w:p w14:paraId="1B3ACC89" w14:textId="77777777" w:rsidR="00B7761B" w:rsidRDefault="00B7761B" w:rsidP="00E425D7">
      <w:pPr>
        <w:spacing w:before="240"/>
        <w:rPr>
          <w:rFonts w:eastAsia="MS PGothic" w:cs="Times New Roman"/>
          <w:i/>
          <w:szCs w:val="24"/>
          <w:lang w:val="sr-Latn-RS" w:eastAsia="ja-JP"/>
        </w:rPr>
      </w:pPr>
    </w:p>
    <w:p w14:paraId="426416D1" w14:textId="7CD53AB9" w:rsidR="00E425D7" w:rsidRPr="00BF5A92" w:rsidRDefault="00E425D7" w:rsidP="00E425D7">
      <w:pPr>
        <w:spacing w:before="240"/>
        <w:rPr>
          <w:rFonts w:eastAsia="MS PGothic" w:cs="Times New Roman"/>
          <w:i/>
          <w:szCs w:val="24"/>
          <w:lang w:val="sr-Cyrl-RS" w:eastAsia="ja-JP"/>
        </w:rPr>
      </w:pPr>
      <w:r>
        <w:rPr>
          <w:rFonts w:eastAsia="MS PGothic" w:cs="Times New Roman"/>
          <w:i/>
          <w:szCs w:val="24"/>
          <w:lang w:val="sr-Latn-RS" w:eastAsia="ja-JP"/>
        </w:rPr>
        <w:lastRenderedPageBreak/>
        <w:t>Table</w:t>
      </w:r>
      <w:r w:rsidRPr="00BF5A92">
        <w:rPr>
          <w:rFonts w:eastAsia="MS PGothic" w:cs="Times New Roman"/>
          <w:i/>
          <w:szCs w:val="24"/>
          <w:lang w:val="sr-Cyrl-RS" w:eastAsia="ja-JP"/>
        </w:rPr>
        <w:t xml:space="preserve"> 4. </w:t>
      </w:r>
      <w:r w:rsidRPr="00B40BDC">
        <w:rPr>
          <w:rFonts w:eastAsia="MS PGothic" w:cs="Times New Roman"/>
          <w:i/>
          <w:szCs w:val="24"/>
          <w:lang w:val="sr-Cyrl-RS" w:eastAsia="ja-JP"/>
        </w:rPr>
        <w:t>General government revenues, expenditures and fiscal result in 2024, in RSD bln</w:t>
      </w: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34"/>
        <w:gridCol w:w="126"/>
        <w:gridCol w:w="837"/>
        <w:gridCol w:w="105"/>
        <w:gridCol w:w="860"/>
        <w:gridCol w:w="83"/>
        <w:gridCol w:w="882"/>
        <w:gridCol w:w="60"/>
        <w:gridCol w:w="903"/>
        <w:gridCol w:w="40"/>
        <w:gridCol w:w="925"/>
        <w:gridCol w:w="16"/>
        <w:gridCol w:w="945"/>
      </w:tblGrid>
      <w:tr w:rsidR="00E425D7" w:rsidRPr="007215D7" w14:paraId="5C33EDDA" w14:textId="77777777" w:rsidTr="008C56D0">
        <w:trPr>
          <w:trHeight w:val="1300"/>
          <w:tblHeader/>
          <w:jc w:val="center"/>
        </w:trPr>
        <w:tc>
          <w:tcPr>
            <w:tcW w:w="1863" w:type="pct"/>
            <w:gridSpan w:val="2"/>
            <w:shd w:val="clear" w:color="auto" w:fill="auto"/>
            <w:noWrap/>
            <w:vAlign w:val="center"/>
            <w:hideMark/>
          </w:tcPr>
          <w:p w14:paraId="14CC29C5" w14:textId="77777777" w:rsidR="00E425D7" w:rsidRPr="007215D7" w:rsidRDefault="00E425D7" w:rsidP="008C56D0">
            <w:pPr>
              <w:spacing w:after="0"/>
              <w:jc w:val="center"/>
              <w:rPr>
                <w:rFonts w:eastAsia="Times New Roman" w:cs="Times New Roman"/>
                <w:bCs/>
                <w:sz w:val="20"/>
                <w:szCs w:val="20"/>
                <w:lang w:eastAsia="sr-Cyrl-RS"/>
              </w:rPr>
            </w:pPr>
            <w:r w:rsidRPr="007215D7">
              <w:rPr>
                <w:rFonts w:eastAsia="MS PGothic" w:cs="Times New Roman"/>
                <w:sz w:val="20"/>
                <w:szCs w:val="20"/>
                <w:lang w:eastAsia="ja-JP"/>
              </w:rPr>
              <w:t> </w:t>
            </w:r>
          </w:p>
        </w:tc>
        <w:tc>
          <w:tcPr>
            <w:tcW w:w="522" w:type="pct"/>
            <w:gridSpan w:val="2"/>
            <w:shd w:val="clear" w:color="auto" w:fill="auto"/>
            <w:vAlign w:val="center"/>
            <w:hideMark/>
          </w:tcPr>
          <w:p w14:paraId="776B15DF" w14:textId="77777777" w:rsidR="00E425D7" w:rsidRPr="007215D7" w:rsidRDefault="00E425D7" w:rsidP="008C56D0">
            <w:pPr>
              <w:spacing w:after="0"/>
              <w:jc w:val="center"/>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B</w:t>
            </w:r>
            <w:r w:rsidRPr="007215D7">
              <w:rPr>
                <w:rFonts w:eastAsia="MS PGothic" w:cs="Times New Roman"/>
                <w:color w:val="000000" w:themeColor="text1"/>
                <w:sz w:val="20"/>
                <w:szCs w:val="20"/>
                <w:lang w:eastAsia="ja-JP"/>
              </w:rPr>
              <w:t>u</w:t>
            </w:r>
            <w:r w:rsidRPr="007215D7">
              <w:rPr>
                <w:rFonts w:eastAsia="MS PGothic" w:cs="Times New Roman"/>
                <w:color w:val="000000" w:themeColor="text1"/>
                <w:sz w:val="20"/>
                <w:szCs w:val="20"/>
                <w:lang w:val="sr-Latn-RS" w:eastAsia="ja-JP"/>
              </w:rPr>
              <w:t>dget</w:t>
            </w:r>
            <w:r w:rsidRPr="007215D7">
              <w:rPr>
                <w:rFonts w:eastAsia="MS PGothic" w:cs="Times New Roman"/>
                <w:color w:val="000000" w:themeColor="text1"/>
                <w:sz w:val="20"/>
                <w:szCs w:val="20"/>
                <w:lang w:eastAsia="ja-JP"/>
              </w:rPr>
              <w:t xml:space="preserve"> 2024*</w:t>
            </w:r>
          </w:p>
        </w:tc>
        <w:tc>
          <w:tcPr>
            <w:tcW w:w="523" w:type="pct"/>
            <w:gridSpan w:val="2"/>
            <w:vAlign w:val="center"/>
          </w:tcPr>
          <w:p w14:paraId="62330BC3" w14:textId="77777777" w:rsidR="00E425D7" w:rsidRPr="007215D7" w:rsidRDefault="00E425D7" w:rsidP="008C56D0">
            <w:pPr>
              <w:spacing w:after="0"/>
              <w:jc w:val="center"/>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eastAsia="ja-JP"/>
              </w:rPr>
              <w:t xml:space="preserve">Estimate </w:t>
            </w:r>
            <w:r w:rsidRPr="007215D7">
              <w:rPr>
                <w:rFonts w:eastAsia="MS PGothic" w:cs="Times New Roman"/>
                <w:color w:val="000000" w:themeColor="text1"/>
                <w:sz w:val="20"/>
                <w:szCs w:val="20"/>
                <w:lang w:val="sr-Latn-RS" w:eastAsia="ja-JP"/>
              </w:rPr>
              <w:t>May</w:t>
            </w:r>
            <w:r w:rsidRPr="007215D7">
              <w:rPr>
                <w:rFonts w:eastAsia="MS PGothic" w:cs="Times New Roman"/>
                <w:color w:val="000000" w:themeColor="text1"/>
                <w:sz w:val="20"/>
                <w:szCs w:val="20"/>
                <w:lang w:eastAsia="ja-JP"/>
              </w:rPr>
              <w:t xml:space="preserve"> 2024</w:t>
            </w:r>
          </w:p>
        </w:tc>
        <w:tc>
          <w:tcPr>
            <w:tcW w:w="522" w:type="pct"/>
            <w:gridSpan w:val="2"/>
            <w:vAlign w:val="center"/>
          </w:tcPr>
          <w:p w14:paraId="5B572C80" w14:textId="77777777" w:rsidR="00E425D7" w:rsidRPr="007215D7" w:rsidRDefault="00E425D7" w:rsidP="008C56D0">
            <w:pPr>
              <w:spacing w:after="0"/>
              <w:jc w:val="center"/>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New estimate</w:t>
            </w:r>
            <w:r w:rsidRPr="007215D7">
              <w:rPr>
                <w:rFonts w:eastAsia="MS PGothic" w:cs="Times New Roman"/>
                <w:color w:val="000000" w:themeColor="text1"/>
                <w:sz w:val="20"/>
                <w:szCs w:val="20"/>
                <w:lang w:eastAsia="ja-JP"/>
              </w:rPr>
              <w:t xml:space="preserve"> 2024</w:t>
            </w:r>
          </w:p>
        </w:tc>
        <w:tc>
          <w:tcPr>
            <w:tcW w:w="523" w:type="pct"/>
            <w:gridSpan w:val="2"/>
            <w:shd w:val="clear" w:color="auto" w:fill="auto"/>
            <w:vAlign w:val="center"/>
            <w:hideMark/>
          </w:tcPr>
          <w:p w14:paraId="3A532396" w14:textId="77777777" w:rsidR="00E425D7" w:rsidRPr="007215D7" w:rsidRDefault="00E425D7" w:rsidP="008C56D0">
            <w:pPr>
              <w:spacing w:after="0"/>
              <w:jc w:val="center"/>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Diff new estimate/budget</w:t>
            </w:r>
          </w:p>
        </w:tc>
        <w:tc>
          <w:tcPr>
            <w:tcW w:w="522" w:type="pct"/>
            <w:gridSpan w:val="2"/>
            <w:shd w:val="clear" w:color="auto" w:fill="auto"/>
            <w:vAlign w:val="center"/>
            <w:hideMark/>
          </w:tcPr>
          <w:p w14:paraId="2288F95A" w14:textId="77777777" w:rsidR="00E425D7" w:rsidRPr="007215D7" w:rsidRDefault="00E425D7" w:rsidP="008C56D0">
            <w:pPr>
              <w:spacing w:after="0"/>
              <w:jc w:val="center"/>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eastAsia="ja-JP"/>
              </w:rPr>
              <w:t>% diff</w:t>
            </w:r>
          </w:p>
        </w:tc>
        <w:tc>
          <w:tcPr>
            <w:tcW w:w="524" w:type="pct"/>
            <w:shd w:val="clear" w:color="auto" w:fill="auto"/>
            <w:vAlign w:val="center"/>
            <w:hideMark/>
          </w:tcPr>
          <w:p w14:paraId="7BD2AC96" w14:textId="77777777" w:rsidR="00E425D7" w:rsidRPr="007215D7" w:rsidRDefault="00E425D7" w:rsidP="008C56D0">
            <w:pPr>
              <w:spacing w:after="0"/>
              <w:jc w:val="center"/>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eastAsia="ja-JP"/>
              </w:rPr>
              <w:t>2024 new estimate</w:t>
            </w:r>
            <w:r w:rsidRPr="007215D7">
              <w:rPr>
                <w:rFonts w:eastAsia="MS PGothic" w:cs="Times New Roman"/>
                <w:color w:val="000000" w:themeColor="text1"/>
                <w:sz w:val="20"/>
                <w:szCs w:val="20"/>
                <w:lang w:val="sr-Latn-RS" w:eastAsia="ja-JP"/>
              </w:rPr>
              <w:t>,</w:t>
            </w:r>
            <w:r w:rsidRPr="007215D7">
              <w:rPr>
                <w:rFonts w:eastAsia="MS PGothic" w:cs="Times New Roman"/>
                <w:color w:val="000000" w:themeColor="text1"/>
                <w:sz w:val="20"/>
                <w:szCs w:val="20"/>
                <w:lang w:eastAsia="ja-JP"/>
              </w:rPr>
              <w:t xml:space="preserve"> % </w:t>
            </w:r>
            <w:r w:rsidRPr="007215D7">
              <w:rPr>
                <w:rFonts w:eastAsia="MS PGothic" w:cs="Times New Roman"/>
                <w:color w:val="000000" w:themeColor="text1"/>
                <w:sz w:val="20"/>
                <w:szCs w:val="20"/>
                <w:lang w:val="sr-Latn-RS" w:eastAsia="ja-JP"/>
              </w:rPr>
              <w:t>GDP</w:t>
            </w:r>
          </w:p>
        </w:tc>
      </w:tr>
      <w:tr w:rsidR="00E425D7" w:rsidRPr="007215D7" w14:paraId="24FEDB3A" w14:textId="77777777" w:rsidTr="008C56D0">
        <w:trPr>
          <w:trHeight w:val="224"/>
          <w:jc w:val="center"/>
        </w:trPr>
        <w:tc>
          <w:tcPr>
            <w:tcW w:w="1793" w:type="pct"/>
            <w:shd w:val="clear" w:color="auto" w:fill="E7E6E6" w:themeFill="background2"/>
            <w:noWrap/>
            <w:vAlign w:val="center"/>
            <w:hideMark/>
          </w:tcPr>
          <w:p w14:paraId="4F38ABAC" w14:textId="77777777" w:rsidR="00E425D7" w:rsidRPr="007215D7" w:rsidRDefault="00E425D7" w:rsidP="008C56D0">
            <w:pPr>
              <w:spacing w:after="0"/>
              <w:jc w:val="left"/>
              <w:rPr>
                <w:rFonts w:cs="Times New Roman"/>
                <w:color w:val="000000" w:themeColor="text1"/>
                <w:sz w:val="20"/>
                <w:szCs w:val="20"/>
              </w:rPr>
            </w:pPr>
            <w:r w:rsidRPr="007215D7">
              <w:rPr>
                <w:rFonts w:eastAsia="MS PGothic" w:cs="Times New Roman"/>
                <w:color w:val="000000" w:themeColor="text1"/>
                <w:sz w:val="20"/>
                <w:szCs w:val="20"/>
                <w:lang w:val="sr-Latn-RS" w:eastAsia="ja-JP"/>
              </w:rPr>
              <w:t>PUBLIC REVENUES</w:t>
            </w:r>
          </w:p>
        </w:tc>
        <w:tc>
          <w:tcPr>
            <w:tcW w:w="534" w:type="pct"/>
            <w:gridSpan w:val="2"/>
            <w:shd w:val="clear" w:color="auto" w:fill="E7E6E6" w:themeFill="background2"/>
            <w:hideMark/>
          </w:tcPr>
          <w:p w14:paraId="4C1EB96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3.756,1</w:t>
            </w:r>
          </w:p>
        </w:tc>
        <w:tc>
          <w:tcPr>
            <w:tcW w:w="535" w:type="pct"/>
            <w:gridSpan w:val="2"/>
            <w:shd w:val="clear" w:color="auto" w:fill="E7E6E6" w:themeFill="background2"/>
          </w:tcPr>
          <w:p w14:paraId="51BB8F0A"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3.823,0</w:t>
            </w:r>
          </w:p>
        </w:tc>
        <w:tc>
          <w:tcPr>
            <w:tcW w:w="535" w:type="pct"/>
            <w:gridSpan w:val="2"/>
            <w:shd w:val="clear" w:color="auto" w:fill="E7E6E6" w:themeFill="background2"/>
          </w:tcPr>
          <w:p w14:paraId="236B5EA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3.922,2</w:t>
            </w:r>
          </w:p>
        </w:tc>
        <w:tc>
          <w:tcPr>
            <w:tcW w:w="534" w:type="pct"/>
            <w:gridSpan w:val="2"/>
            <w:shd w:val="clear" w:color="auto" w:fill="E7E6E6" w:themeFill="background2"/>
            <w:hideMark/>
          </w:tcPr>
          <w:p w14:paraId="691C1033"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166,0</w:t>
            </w:r>
          </w:p>
        </w:tc>
        <w:tc>
          <w:tcPr>
            <w:tcW w:w="535" w:type="pct"/>
            <w:gridSpan w:val="2"/>
            <w:shd w:val="clear" w:color="auto" w:fill="E7E6E6" w:themeFill="background2"/>
            <w:hideMark/>
          </w:tcPr>
          <w:p w14:paraId="74A6704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4,4</w:t>
            </w:r>
          </w:p>
        </w:tc>
        <w:tc>
          <w:tcPr>
            <w:tcW w:w="533" w:type="pct"/>
            <w:gridSpan w:val="2"/>
            <w:shd w:val="clear" w:color="auto" w:fill="E7E6E6" w:themeFill="background2"/>
            <w:noWrap/>
            <w:hideMark/>
          </w:tcPr>
          <w:p w14:paraId="302F633D"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40,8</w:t>
            </w:r>
          </w:p>
        </w:tc>
      </w:tr>
      <w:tr w:rsidR="00E425D7" w:rsidRPr="007215D7" w14:paraId="41460EF9" w14:textId="77777777" w:rsidTr="008C56D0">
        <w:trPr>
          <w:trHeight w:val="224"/>
          <w:jc w:val="center"/>
        </w:trPr>
        <w:tc>
          <w:tcPr>
            <w:tcW w:w="1863" w:type="pct"/>
            <w:gridSpan w:val="2"/>
            <w:shd w:val="clear" w:color="auto" w:fill="auto"/>
            <w:noWrap/>
            <w:vAlign w:val="center"/>
            <w:hideMark/>
          </w:tcPr>
          <w:p w14:paraId="602CFF29"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Current revenues</w:t>
            </w:r>
          </w:p>
        </w:tc>
        <w:tc>
          <w:tcPr>
            <w:tcW w:w="522" w:type="pct"/>
            <w:gridSpan w:val="2"/>
            <w:shd w:val="clear" w:color="auto" w:fill="auto"/>
            <w:hideMark/>
          </w:tcPr>
          <w:p w14:paraId="39459F7D"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3.717,0</w:t>
            </w:r>
          </w:p>
        </w:tc>
        <w:tc>
          <w:tcPr>
            <w:tcW w:w="523" w:type="pct"/>
            <w:gridSpan w:val="2"/>
          </w:tcPr>
          <w:p w14:paraId="3F043ED9"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3.784,0</w:t>
            </w:r>
          </w:p>
        </w:tc>
        <w:tc>
          <w:tcPr>
            <w:tcW w:w="522" w:type="pct"/>
            <w:gridSpan w:val="2"/>
          </w:tcPr>
          <w:p w14:paraId="20EBECC4"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3.885,9</w:t>
            </w:r>
          </w:p>
        </w:tc>
        <w:tc>
          <w:tcPr>
            <w:tcW w:w="523" w:type="pct"/>
            <w:gridSpan w:val="2"/>
            <w:shd w:val="clear" w:color="auto" w:fill="auto"/>
            <w:hideMark/>
          </w:tcPr>
          <w:p w14:paraId="15E6DE31"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168,8</w:t>
            </w:r>
          </w:p>
        </w:tc>
        <w:tc>
          <w:tcPr>
            <w:tcW w:w="522" w:type="pct"/>
            <w:gridSpan w:val="2"/>
            <w:shd w:val="clear" w:color="auto" w:fill="auto"/>
            <w:hideMark/>
          </w:tcPr>
          <w:p w14:paraId="54E6C01D"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4,5</w:t>
            </w:r>
          </w:p>
        </w:tc>
        <w:tc>
          <w:tcPr>
            <w:tcW w:w="524" w:type="pct"/>
            <w:shd w:val="clear" w:color="auto" w:fill="auto"/>
            <w:noWrap/>
            <w:hideMark/>
          </w:tcPr>
          <w:p w14:paraId="3364E8DC"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40,5</w:t>
            </w:r>
          </w:p>
        </w:tc>
      </w:tr>
      <w:tr w:rsidR="00E425D7" w:rsidRPr="007215D7" w14:paraId="7E673D2C" w14:textId="77777777" w:rsidTr="008C56D0">
        <w:trPr>
          <w:trHeight w:val="224"/>
          <w:jc w:val="center"/>
        </w:trPr>
        <w:tc>
          <w:tcPr>
            <w:tcW w:w="1863" w:type="pct"/>
            <w:gridSpan w:val="2"/>
            <w:shd w:val="clear" w:color="auto" w:fill="auto"/>
            <w:noWrap/>
            <w:vAlign w:val="center"/>
            <w:hideMark/>
          </w:tcPr>
          <w:p w14:paraId="37B93223"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Tax revenues</w:t>
            </w:r>
          </w:p>
        </w:tc>
        <w:tc>
          <w:tcPr>
            <w:tcW w:w="522" w:type="pct"/>
            <w:gridSpan w:val="2"/>
            <w:shd w:val="clear" w:color="auto" w:fill="auto"/>
            <w:hideMark/>
          </w:tcPr>
          <w:p w14:paraId="56C52DB9"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3.330,5</w:t>
            </w:r>
          </w:p>
        </w:tc>
        <w:tc>
          <w:tcPr>
            <w:tcW w:w="523" w:type="pct"/>
            <w:gridSpan w:val="2"/>
          </w:tcPr>
          <w:p w14:paraId="6577F735"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3.392,2</w:t>
            </w:r>
          </w:p>
        </w:tc>
        <w:tc>
          <w:tcPr>
            <w:tcW w:w="522" w:type="pct"/>
            <w:gridSpan w:val="2"/>
          </w:tcPr>
          <w:p w14:paraId="4653A6C3"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3.478,9</w:t>
            </w:r>
          </w:p>
        </w:tc>
        <w:tc>
          <w:tcPr>
            <w:tcW w:w="523" w:type="pct"/>
            <w:gridSpan w:val="2"/>
            <w:shd w:val="clear" w:color="auto" w:fill="auto"/>
            <w:hideMark/>
          </w:tcPr>
          <w:p w14:paraId="12316002"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148,3</w:t>
            </w:r>
          </w:p>
        </w:tc>
        <w:tc>
          <w:tcPr>
            <w:tcW w:w="522" w:type="pct"/>
            <w:gridSpan w:val="2"/>
            <w:shd w:val="clear" w:color="auto" w:fill="auto"/>
            <w:hideMark/>
          </w:tcPr>
          <w:p w14:paraId="0B3CE60D"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4,5</w:t>
            </w:r>
          </w:p>
        </w:tc>
        <w:tc>
          <w:tcPr>
            <w:tcW w:w="524" w:type="pct"/>
            <w:shd w:val="clear" w:color="auto" w:fill="auto"/>
            <w:noWrap/>
            <w:hideMark/>
          </w:tcPr>
          <w:p w14:paraId="3A52327A"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36,2</w:t>
            </w:r>
          </w:p>
        </w:tc>
      </w:tr>
      <w:tr w:rsidR="00E425D7" w:rsidRPr="007215D7" w14:paraId="778DB33F" w14:textId="77777777" w:rsidTr="008C56D0">
        <w:trPr>
          <w:trHeight w:val="224"/>
          <w:jc w:val="center"/>
        </w:trPr>
        <w:tc>
          <w:tcPr>
            <w:tcW w:w="1863" w:type="pct"/>
            <w:gridSpan w:val="2"/>
            <w:shd w:val="clear" w:color="auto" w:fill="auto"/>
            <w:noWrap/>
            <w:vAlign w:val="center"/>
            <w:hideMark/>
          </w:tcPr>
          <w:p w14:paraId="59A2AC6E"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Personal income tax</w:t>
            </w:r>
          </w:p>
        </w:tc>
        <w:tc>
          <w:tcPr>
            <w:tcW w:w="522" w:type="pct"/>
            <w:gridSpan w:val="2"/>
            <w:shd w:val="clear" w:color="auto" w:fill="auto"/>
            <w:hideMark/>
          </w:tcPr>
          <w:p w14:paraId="50BDE415"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378,6</w:t>
            </w:r>
          </w:p>
        </w:tc>
        <w:tc>
          <w:tcPr>
            <w:tcW w:w="523" w:type="pct"/>
            <w:gridSpan w:val="2"/>
          </w:tcPr>
          <w:p w14:paraId="1FE3D79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382,0</w:t>
            </w:r>
          </w:p>
        </w:tc>
        <w:tc>
          <w:tcPr>
            <w:tcW w:w="522" w:type="pct"/>
            <w:gridSpan w:val="2"/>
          </w:tcPr>
          <w:p w14:paraId="02D28D28"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396,3</w:t>
            </w:r>
          </w:p>
        </w:tc>
        <w:tc>
          <w:tcPr>
            <w:tcW w:w="523" w:type="pct"/>
            <w:gridSpan w:val="2"/>
            <w:shd w:val="clear" w:color="auto" w:fill="auto"/>
            <w:hideMark/>
          </w:tcPr>
          <w:p w14:paraId="627DEE14"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17,7</w:t>
            </w:r>
          </w:p>
        </w:tc>
        <w:tc>
          <w:tcPr>
            <w:tcW w:w="522" w:type="pct"/>
            <w:gridSpan w:val="2"/>
            <w:shd w:val="clear" w:color="auto" w:fill="auto"/>
            <w:hideMark/>
          </w:tcPr>
          <w:p w14:paraId="1423581A"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4,7</w:t>
            </w:r>
          </w:p>
        </w:tc>
        <w:tc>
          <w:tcPr>
            <w:tcW w:w="524" w:type="pct"/>
            <w:shd w:val="clear" w:color="auto" w:fill="auto"/>
            <w:noWrap/>
            <w:hideMark/>
          </w:tcPr>
          <w:p w14:paraId="2AF797F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4,1</w:t>
            </w:r>
          </w:p>
        </w:tc>
      </w:tr>
      <w:tr w:rsidR="00E425D7" w:rsidRPr="007215D7" w14:paraId="47465CF5" w14:textId="77777777" w:rsidTr="008C56D0">
        <w:trPr>
          <w:trHeight w:val="224"/>
          <w:jc w:val="center"/>
        </w:trPr>
        <w:tc>
          <w:tcPr>
            <w:tcW w:w="1863" w:type="pct"/>
            <w:gridSpan w:val="2"/>
            <w:shd w:val="clear" w:color="auto" w:fill="auto"/>
            <w:noWrap/>
            <w:vAlign w:val="center"/>
            <w:hideMark/>
          </w:tcPr>
          <w:p w14:paraId="122273E5"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Corporate income tax</w:t>
            </w:r>
          </w:p>
        </w:tc>
        <w:tc>
          <w:tcPr>
            <w:tcW w:w="522" w:type="pct"/>
            <w:gridSpan w:val="2"/>
            <w:shd w:val="clear" w:color="auto" w:fill="auto"/>
            <w:hideMark/>
          </w:tcPr>
          <w:p w14:paraId="4EC4E358"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256,7</w:t>
            </w:r>
          </w:p>
        </w:tc>
        <w:tc>
          <w:tcPr>
            <w:tcW w:w="523" w:type="pct"/>
            <w:gridSpan w:val="2"/>
          </w:tcPr>
          <w:p w14:paraId="725287EC"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256,7</w:t>
            </w:r>
          </w:p>
        </w:tc>
        <w:tc>
          <w:tcPr>
            <w:tcW w:w="522" w:type="pct"/>
            <w:gridSpan w:val="2"/>
          </w:tcPr>
          <w:p w14:paraId="63356A95"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292,2</w:t>
            </w:r>
          </w:p>
        </w:tc>
        <w:tc>
          <w:tcPr>
            <w:tcW w:w="523" w:type="pct"/>
            <w:gridSpan w:val="2"/>
            <w:shd w:val="clear" w:color="auto" w:fill="auto"/>
            <w:hideMark/>
          </w:tcPr>
          <w:p w14:paraId="1346CE18"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35,5</w:t>
            </w:r>
          </w:p>
        </w:tc>
        <w:tc>
          <w:tcPr>
            <w:tcW w:w="522" w:type="pct"/>
            <w:gridSpan w:val="2"/>
            <w:shd w:val="clear" w:color="auto" w:fill="auto"/>
            <w:hideMark/>
          </w:tcPr>
          <w:p w14:paraId="1E5D1AC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13,8</w:t>
            </w:r>
          </w:p>
        </w:tc>
        <w:tc>
          <w:tcPr>
            <w:tcW w:w="524" w:type="pct"/>
            <w:shd w:val="clear" w:color="auto" w:fill="auto"/>
            <w:noWrap/>
            <w:hideMark/>
          </w:tcPr>
          <w:p w14:paraId="74D916A3"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3,0</w:t>
            </w:r>
          </w:p>
        </w:tc>
      </w:tr>
      <w:tr w:rsidR="00E425D7" w:rsidRPr="007215D7" w14:paraId="420C3B65" w14:textId="77777777" w:rsidTr="008C56D0">
        <w:trPr>
          <w:trHeight w:val="224"/>
          <w:jc w:val="center"/>
        </w:trPr>
        <w:tc>
          <w:tcPr>
            <w:tcW w:w="1863" w:type="pct"/>
            <w:gridSpan w:val="2"/>
            <w:shd w:val="clear" w:color="auto" w:fill="auto"/>
            <w:noWrap/>
            <w:vAlign w:val="center"/>
            <w:hideMark/>
          </w:tcPr>
          <w:p w14:paraId="7168F2A6"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VAT</w:t>
            </w:r>
          </w:p>
        </w:tc>
        <w:tc>
          <w:tcPr>
            <w:tcW w:w="522" w:type="pct"/>
            <w:gridSpan w:val="2"/>
            <w:shd w:val="clear" w:color="auto" w:fill="auto"/>
            <w:hideMark/>
          </w:tcPr>
          <w:p w14:paraId="6231CDBA"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908,0</w:t>
            </w:r>
          </w:p>
        </w:tc>
        <w:tc>
          <w:tcPr>
            <w:tcW w:w="523" w:type="pct"/>
            <w:gridSpan w:val="2"/>
          </w:tcPr>
          <w:p w14:paraId="2BAE497D"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950,0</w:t>
            </w:r>
          </w:p>
        </w:tc>
        <w:tc>
          <w:tcPr>
            <w:tcW w:w="522" w:type="pct"/>
            <w:gridSpan w:val="2"/>
          </w:tcPr>
          <w:p w14:paraId="58460FFC"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960,0</w:t>
            </w:r>
          </w:p>
        </w:tc>
        <w:tc>
          <w:tcPr>
            <w:tcW w:w="523" w:type="pct"/>
            <w:gridSpan w:val="2"/>
            <w:shd w:val="clear" w:color="auto" w:fill="auto"/>
            <w:hideMark/>
          </w:tcPr>
          <w:p w14:paraId="12E00CA4"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52,0</w:t>
            </w:r>
          </w:p>
        </w:tc>
        <w:tc>
          <w:tcPr>
            <w:tcW w:w="522" w:type="pct"/>
            <w:gridSpan w:val="2"/>
            <w:shd w:val="clear" w:color="auto" w:fill="auto"/>
            <w:hideMark/>
          </w:tcPr>
          <w:p w14:paraId="3851BE1B"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5,7</w:t>
            </w:r>
          </w:p>
        </w:tc>
        <w:tc>
          <w:tcPr>
            <w:tcW w:w="524" w:type="pct"/>
            <w:shd w:val="clear" w:color="auto" w:fill="auto"/>
            <w:noWrap/>
            <w:hideMark/>
          </w:tcPr>
          <w:p w14:paraId="32F6D312"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10,0</w:t>
            </w:r>
          </w:p>
        </w:tc>
      </w:tr>
      <w:tr w:rsidR="00E425D7" w:rsidRPr="007215D7" w14:paraId="027D033F" w14:textId="77777777" w:rsidTr="008C56D0">
        <w:trPr>
          <w:trHeight w:val="224"/>
          <w:jc w:val="center"/>
        </w:trPr>
        <w:tc>
          <w:tcPr>
            <w:tcW w:w="1863" w:type="pct"/>
            <w:gridSpan w:val="2"/>
            <w:shd w:val="clear" w:color="auto" w:fill="auto"/>
            <w:noWrap/>
            <w:vAlign w:val="center"/>
            <w:hideMark/>
          </w:tcPr>
          <w:p w14:paraId="6A4F7412"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Excises</w:t>
            </w:r>
          </w:p>
        </w:tc>
        <w:tc>
          <w:tcPr>
            <w:tcW w:w="522" w:type="pct"/>
            <w:gridSpan w:val="2"/>
            <w:shd w:val="clear" w:color="auto" w:fill="auto"/>
            <w:hideMark/>
          </w:tcPr>
          <w:p w14:paraId="0524C35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395,0</w:t>
            </w:r>
          </w:p>
        </w:tc>
        <w:tc>
          <w:tcPr>
            <w:tcW w:w="523" w:type="pct"/>
            <w:gridSpan w:val="2"/>
          </w:tcPr>
          <w:p w14:paraId="6E668A30"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400,0</w:t>
            </w:r>
          </w:p>
        </w:tc>
        <w:tc>
          <w:tcPr>
            <w:tcW w:w="522" w:type="pct"/>
            <w:gridSpan w:val="2"/>
          </w:tcPr>
          <w:p w14:paraId="6ED04C5F"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407,0</w:t>
            </w:r>
          </w:p>
        </w:tc>
        <w:tc>
          <w:tcPr>
            <w:tcW w:w="523" w:type="pct"/>
            <w:gridSpan w:val="2"/>
            <w:shd w:val="clear" w:color="auto" w:fill="auto"/>
            <w:hideMark/>
          </w:tcPr>
          <w:p w14:paraId="480EB8F2"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12,0</w:t>
            </w:r>
          </w:p>
        </w:tc>
        <w:tc>
          <w:tcPr>
            <w:tcW w:w="522" w:type="pct"/>
            <w:gridSpan w:val="2"/>
            <w:shd w:val="clear" w:color="auto" w:fill="auto"/>
            <w:hideMark/>
          </w:tcPr>
          <w:p w14:paraId="77D9ED0F"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3,0</w:t>
            </w:r>
          </w:p>
        </w:tc>
        <w:tc>
          <w:tcPr>
            <w:tcW w:w="524" w:type="pct"/>
            <w:shd w:val="clear" w:color="auto" w:fill="auto"/>
            <w:noWrap/>
            <w:hideMark/>
          </w:tcPr>
          <w:p w14:paraId="7E684DC9"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4,2</w:t>
            </w:r>
          </w:p>
        </w:tc>
      </w:tr>
      <w:tr w:rsidR="00E425D7" w:rsidRPr="007215D7" w14:paraId="560EAA14" w14:textId="77777777" w:rsidTr="008C56D0">
        <w:trPr>
          <w:trHeight w:val="224"/>
          <w:jc w:val="center"/>
        </w:trPr>
        <w:tc>
          <w:tcPr>
            <w:tcW w:w="1863" w:type="pct"/>
            <w:gridSpan w:val="2"/>
            <w:shd w:val="clear" w:color="auto" w:fill="auto"/>
            <w:noWrap/>
            <w:vAlign w:val="center"/>
            <w:hideMark/>
          </w:tcPr>
          <w:p w14:paraId="10F238AB"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Customs</w:t>
            </w:r>
          </w:p>
        </w:tc>
        <w:tc>
          <w:tcPr>
            <w:tcW w:w="522" w:type="pct"/>
            <w:gridSpan w:val="2"/>
            <w:shd w:val="clear" w:color="auto" w:fill="auto"/>
            <w:hideMark/>
          </w:tcPr>
          <w:p w14:paraId="3774B51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88,0</w:t>
            </w:r>
          </w:p>
        </w:tc>
        <w:tc>
          <w:tcPr>
            <w:tcW w:w="523" w:type="pct"/>
            <w:gridSpan w:val="2"/>
          </w:tcPr>
          <w:p w14:paraId="135504D6"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89,0</w:t>
            </w:r>
          </w:p>
        </w:tc>
        <w:tc>
          <w:tcPr>
            <w:tcW w:w="522" w:type="pct"/>
            <w:gridSpan w:val="2"/>
          </w:tcPr>
          <w:p w14:paraId="3FA73D6A"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88,0</w:t>
            </w:r>
          </w:p>
        </w:tc>
        <w:tc>
          <w:tcPr>
            <w:tcW w:w="523" w:type="pct"/>
            <w:gridSpan w:val="2"/>
            <w:shd w:val="clear" w:color="auto" w:fill="auto"/>
            <w:hideMark/>
          </w:tcPr>
          <w:p w14:paraId="0DEBE3C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0,0</w:t>
            </w:r>
          </w:p>
        </w:tc>
        <w:tc>
          <w:tcPr>
            <w:tcW w:w="522" w:type="pct"/>
            <w:gridSpan w:val="2"/>
            <w:shd w:val="clear" w:color="auto" w:fill="auto"/>
            <w:hideMark/>
          </w:tcPr>
          <w:p w14:paraId="2D8DFBB9"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0,0</w:t>
            </w:r>
          </w:p>
        </w:tc>
        <w:tc>
          <w:tcPr>
            <w:tcW w:w="524" w:type="pct"/>
            <w:shd w:val="clear" w:color="auto" w:fill="auto"/>
            <w:noWrap/>
            <w:hideMark/>
          </w:tcPr>
          <w:p w14:paraId="3AFEA50D"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0,9</w:t>
            </w:r>
          </w:p>
        </w:tc>
      </w:tr>
      <w:tr w:rsidR="00E425D7" w:rsidRPr="007215D7" w14:paraId="15F8188E" w14:textId="77777777" w:rsidTr="008C56D0">
        <w:trPr>
          <w:trHeight w:val="224"/>
          <w:jc w:val="center"/>
        </w:trPr>
        <w:tc>
          <w:tcPr>
            <w:tcW w:w="1863" w:type="pct"/>
            <w:gridSpan w:val="2"/>
            <w:shd w:val="clear" w:color="auto" w:fill="auto"/>
            <w:noWrap/>
            <w:vAlign w:val="center"/>
            <w:hideMark/>
          </w:tcPr>
          <w:p w14:paraId="0B9FB09D"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Other tax revenues</w:t>
            </w:r>
          </w:p>
        </w:tc>
        <w:tc>
          <w:tcPr>
            <w:tcW w:w="522" w:type="pct"/>
            <w:gridSpan w:val="2"/>
            <w:shd w:val="clear" w:color="auto" w:fill="auto"/>
            <w:hideMark/>
          </w:tcPr>
          <w:p w14:paraId="0847275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114,0</w:t>
            </w:r>
          </w:p>
        </w:tc>
        <w:tc>
          <w:tcPr>
            <w:tcW w:w="523" w:type="pct"/>
            <w:gridSpan w:val="2"/>
          </w:tcPr>
          <w:p w14:paraId="2CBDFAB2"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114,5</w:t>
            </w:r>
          </w:p>
        </w:tc>
        <w:tc>
          <w:tcPr>
            <w:tcW w:w="522" w:type="pct"/>
            <w:gridSpan w:val="2"/>
          </w:tcPr>
          <w:p w14:paraId="0F474553"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115,2</w:t>
            </w:r>
          </w:p>
        </w:tc>
        <w:tc>
          <w:tcPr>
            <w:tcW w:w="523" w:type="pct"/>
            <w:gridSpan w:val="2"/>
            <w:shd w:val="clear" w:color="auto" w:fill="auto"/>
            <w:hideMark/>
          </w:tcPr>
          <w:p w14:paraId="3C3B3FA5"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1,2</w:t>
            </w:r>
          </w:p>
        </w:tc>
        <w:tc>
          <w:tcPr>
            <w:tcW w:w="522" w:type="pct"/>
            <w:gridSpan w:val="2"/>
            <w:shd w:val="clear" w:color="auto" w:fill="auto"/>
            <w:hideMark/>
          </w:tcPr>
          <w:p w14:paraId="48056326"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1,1</w:t>
            </w:r>
          </w:p>
        </w:tc>
        <w:tc>
          <w:tcPr>
            <w:tcW w:w="524" w:type="pct"/>
            <w:shd w:val="clear" w:color="auto" w:fill="auto"/>
            <w:noWrap/>
            <w:hideMark/>
          </w:tcPr>
          <w:p w14:paraId="11B98A3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1,2</w:t>
            </w:r>
          </w:p>
        </w:tc>
      </w:tr>
      <w:tr w:rsidR="00E425D7" w:rsidRPr="007215D7" w14:paraId="7A201375" w14:textId="77777777" w:rsidTr="008C56D0">
        <w:trPr>
          <w:trHeight w:val="224"/>
          <w:jc w:val="center"/>
        </w:trPr>
        <w:tc>
          <w:tcPr>
            <w:tcW w:w="1863" w:type="pct"/>
            <w:gridSpan w:val="2"/>
            <w:shd w:val="clear" w:color="auto" w:fill="auto"/>
            <w:noWrap/>
            <w:vAlign w:val="center"/>
            <w:hideMark/>
          </w:tcPr>
          <w:p w14:paraId="69D2B861"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Contributions</w:t>
            </w:r>
          </w:p>
        </w:tc>
        <w:tc>
          <w:tcPr>
            <w:tcW w:w="522" w:type="pct"/>
            <w:gridSpan w:val="2"/>
            <w:shd w:val="clear" w:color="auto" w:fill="auto"/>
            <w:hideMark/>
          </w:tcPr>
          <w:p w14:paraId="53F8554D"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1.190,2</w:t>
            </w:r>
          </w:p>
        </w:tc>
        <w:tc>
          <w:tcPr>
            <w:tcW w:w="523" w:type="pct"/>
            <w:gridSpan w:val="2"/>
          </w:tcPr>
          <w:p w14:paraId="78ED52AC"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1.200,0</w:t>
            </w:r>
          </w:p>
        </w:tc>
        <w:tc>
          <w:tcPr>
            <w:tcW w:w="522" w:type="pct"/>
            <w:gridSpan w:val="2"/>
          </w:tcPr>
          <w:p w14:paraId="4389794F"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1.220,1</w:t>
            </w:r>
          </w:p>
        </w:tc>
        <w:tc>
          <w:tcPr>
            <w:tcW w:w="523" w:type="pct"/>
            <w:gridSpan w:val="2"/>
            <w:shd w:val="clear" w:color="auto" w:fill="auto"/>
            <w:hideMark/>
          </w:tcPr>
          <w:p w14:paraId="0BFFAA0A"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30,0</w:t>
            </w:r>
          </w:p>
        </w:tc>
        <w:tc>
          <w:tcPr>
            <w:tcW w:w="522" w:type="pct"/>
            <w:gridSpan w:val="2"/>
            <w:shd w:val="clear" w:color="auto" w:fill="auto"/>
            <w:hideMark/>
          </w:tcPr>
          <w:p w14:paraId="6A2AE90B"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2,5</w:t>
            </w:r>
          </w:p>
        </w:tc>
        <w:tc>
          <w:tcPr>
            <w:tcW w:w="524" w:type="pct"/>
            <w:shd w:val="clear" w:color="auto" w:fill="auto"/>
            <w:noWrap/>
            <w:hideMark/>
          </w:tcPr>
          <w:p w14:paraId="0B3B39AB"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12,7</w:t>
            </w:r>
          </w:p>
        </w:tc>
      </w:tr>
      <w:tr w:rsidR="00E425D7" w:rsidRPr="007215D7" w14:paraId="0F552D7D" w14:textId="77777777" w:rsidTr="008C56D0">
        <w:trPr>
          <w:trHeight w:val="224"/>
          <w:jc w:val="center"/>
        </w:trPr>
        <w:tc>
          <w:tcPr>
            <w:tcW w:w="1863" w:type="pct"/>
            <w:gridSpan w:val="2"/>
            <w:shd w:val="clear" w:color="auto" w:fill="auto"/>
            <w:noWrap/>
            <w:vAlign w:val="center"/>
            <w:hideMark/>
          </w:tcPr>
          <w:p w14:paraId="3B977481"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Non-tax revenues</w:t>
            </w:r>
          </w:p>
        </w:tc>
        <w:tc>
          <w:tcPr>
            <w:tcW w:w="522" w:type="pct"/>
            <w:gridSpan w:val="2"/>
            <w:shd w:val="clear" w:color="auto" w:fill="auto"/>
            <w:hideMark/>
          </w:tcPr>
          <w:p w14:paraId="3C5D3C39"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386,5</w:t>
            </w:r>
          </w:p>
        </w:tc>
        <w:tc>
          <w:tcPr>
            <w:tcW w:w="523" w:type="pct"/>
            <w:gridSpan w:val="2"/>
          </w:tcPr>
          <w:p w14:paraId="5FDC3BDC"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391,8</w:t>
            </w:r>
          </w:p>
        </w:tc>
        <w:tc>
          <w:tcPr>
            <w:tcW w:w="522" w:type="pct"/>
            <w:gridSpan w:val="2"/>
          </w:tcPr>
          <w:p w14:paraId="1EF14901"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407,0</w:t>
            </w:r>
          </w:p>
        </w:tc>
        <w:tc>
          <w:tcPr>
            <w:tcW w:w="523" w:type="pct"/>
            <w:gridSpan w:val="2"/>
            <w:shd w:val="clear" w:color="auto" w:fill="auto"/>
            <w:hideMark/>
          </w:tcPr>
          <w:p w14:paraId="298A7C4A"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20,5</w:t>
            </w:r>
          </w:p>
        </w:tc>
        <w:tc>
          <w:tcPr>
            <w:tcW w:w="522" w:type="pct"/>
            <w:gridSpan w:val="2"/>
            <w:shd w:val="clear" w:color="auto" w:fill="auto"/>
            <w:hideMark/>
          </w:tcPr>
          <w:p w14:paraId="40CEDCF4"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5,3</w:t>
            </w:r>
          </w:p>
        </w:tc>
        <w:tc>
          <w:tcPr>
            <w:tcW w:w="524" w:type="pct"/>
            <w:shd w:val="clear" w:color="auto" w:fill="auto"/>
            <w:noWrap/>
            <w:hideMark/>
          </w:tcPr>
          <w:p w14:paraId="5AFF4DB6"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4,2</w:t>
            </w:r>
          </w:p>
        </w:tc>
      </w:tr>
      <w:tr w:rsidR="00E425D7" w:rsidRPr="007215D7" w14:paraId="4B39231C" w14:textId="77777777" w:rsidTr="008C56D0">
        <w:trPr>
          <w:trHeight w:val="224"/>
          <w:jc w:val="center"/>
        </w:trPr>
        <w:tc>
          <w:tcPr>
            <w:tcW w:w="1863" w:type="pct"/>
            <w:gridSpan w:val="2"/>
            <w:shd w:val="clear" w:color="auto" w:fill="auto"/>
            <w:noWrap/>
            <w:vAlign w:val="center"/>
            <w:hideMark/>
          </w:tcPr>
          <w:p w14:paraId="51BEDD3D"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Grants</w:t>
            </w:r>
          </w:p>
        </w:tc>
        <w:tc>
          <w:tcPr>
            <w:tcW w:w="522" w:type="pct"/>
            <w:gridSpan w:val="2"/>
            <w:shd w:val="clear" w:color="auto" w:fill="auto"/>
            <w:hideMark/>
          </w:tcPr>
          <w:p w14:paraId="223A5C48"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39,1</w:t>
            </w:r>
          </w:p>
        </w:tc>
        <w:tc>
          <w:tcPr>
            <w:tcW w:w="523" w:type="pct"/>
            <w:gridSpan w:val="2"/>
          </w:tcPr>
          <w:p w14:paraId="33F2F7F2"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39,1</w:t>
            </w:r>
          </w:p>
        </w:tc>
        <w:tc>
          <w:tcPr>
            <w:tcW w:w="522" w:type="pct"/>
            <w:gridSpan w:val="2"/>
          </w:tcPr>
          <w:p w14:paraId="0B1EC4D3"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36,3</w:t>
            </w:r>
          </w:p>
        </w:tc>
        <w:tc>
          <w:tcPr>
            <w:tcW w:w="523" w:type="pct"/>
            <w:gridSpan w:val="2"/>
            <w:shd w:val="clear" w:color="auto" w:fill="auto"/>
            <w:hideMark/>
          </w:tcPr>
          <w:p w14:paraId="36719830"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-2,8</w:t>
            </w:r>
          </w:p>
        </w:tc>
        <w:tc>
          <w:tcPr>
            <w:tcW w:w="522" w:type="pct"/>
            <w:gridSpan w:val="2"/>
            <w:shd w:val="clear" w:color="auto" w:fill="auto"/>
            <w:hideMark/>
          </w:tcPr>
          <w:p w14:paraId="3EE8327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-7,2</w:t>
            </w:r>
          </w:p>
        </w:tc>
        <w:tc>
          <w:tcPr>
            <w:tcW w:w="524" w:type="pct"/>
            <w:shd w:val="clear" w:color="auto" w:fill="auto"/>
            <w:noWrap/>
            <w:hideMark/>
          </w:tcPr>
          <w:p w14:paraId="6CE5E96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0,4</w:t>
            </w:r>
          </w:p>
        </w:tc>
      </w:tr>
      <w:tr w:rsidR="00E425D7" w:rsidRPr="007215D7" w14:paraId="117E0FF1" w14:textId="77777777" w:rsidTr="008C56D0">
        <w:trPr>
          <w:trHeight w:val="224"/>
          <w:jc w:val="center"/>
        </w:trPr>
        <w:tc>
          <w:tcPr>
            <w:tcW w:w="1863" w:type="pct"/>
            <w:gridSpan w:val="2"/>
            <w:shd w:val="clear" w:color="auto" w:fill="E7E6E6" w:themeFill="background2"/>
            <w:noWrap/>
            <w:vAlign w:val="center"/>
            <w:hideMark/>
          </w:tcPr>
          <w:p w14:paraId="6A04D6A4" w14:textId="77777777" w:rsidR="00E425D7" w:rsidRPr="007215D7" w:rsidRDefault="00E425D7" w:rsidP="008C56D0">
            <w:pPr>
              <w:spacing w:after="0"/>
              <w:jc w:val="left"/>
              <w:rPr>
                <w:rFonts w:cs="Times New Roman"/>
                <w:color w:val="000000" w:themeColor="text1"/>
                <w:sz w:val="20"/>
                <w:szCs w:val="20"/>
              </w:rPr>
            </w:pPr>
            <w:r w:rsidRPr="007215D7">
              <w:rPr>
                <w:rFonts w:eastAsia="MS PGothic" w:cs="Times New Roman"/>
                <w:color w:val="000000" w:themeColor="text1"/>
                <w:sz w:val="20"/>
                <w:szCs w:val="20"/>
                <w:lang w:val="sr-Latn-RS" w:eastAsia="ja-JP"/>
              </w:rPr>
              <w:t>PUBLIC EXPENDITURES</w:t>
            </w:r>
          </w:p>
        </w:tc>
        <w:tc>
          <w:tcPr>
            <w:tcW w:w="522" w:type="pct"/>
            <w:gridSpan w:val="2"/>
            <w:shd w:val="clear" w:color="auto" w:fill="E7E6E6" w:themeFill="background2"/>
            <w:hideMark/>
          </w:tcPr>
          <w:p w14:paraId="56AB39E1"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3.953,1</w:t>
            </w:r>
          </w:p>
        </w:tc>
        <w:tc>
          <w:tcPr>
            <w:tcW w:w="523" w:type="pct"/>
            <w:gridSpan w:val="2"/>
            <w:shd w:val="clear" w:color="auto" w:fill="E7E6E6" w:themeFill="background2"/>
          </w:tcPr>
          <w:p w14:paraId="01D84096"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4.020,0</w:t>
            </w:r>
          </w:p>
        </w:tc>
        <w:tc>
          <w:tcPr>
            <w:tcW w:w="522" w:type="pct"/>
            <w:gridSpan w:val="2"/>
            <w:shd w:val="clear" w:color="auto" w:fill="E7E6E6" w:themeFill="background2"/>
          </w:tcPr>
          <w:p w14:paraId="603277C8"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4.185,2</w:t>
            </w:r>
          </w:p>
        </w:tc>
        <w:tc>
          <w:tcPr>
            <w:tcW w:w="523" w:type="pct"/>
            <w:gridSpan w:val="2"/>
            <w:shd w:val="clear" w:color="auto" w:fill="E7E6E6" w:themeFill="background2"/>
            <w:hideMark/>
          </w:tcPr>
          <w:p w14:paraId="0B2A23D4"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232,1</w:t>
            </w:r>
          </w:p>
        </w:tc>
        <w:tc>
          <w:tcPr>
            <w:tcW w:w="522" w:type="pct"/>
            <w:gridSpan w:val="2"/>
            <w:shd w:val="clear" w:color="auto" w:fill="E7E6E6" w:themeFill="background2"/>
            <w:hideMark/>
          </w:tcPr>
          <w:p w14:paraId="6AAD4345"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5,9</w:t>
            </w:r>
          </w:p>
        </w:tc>
        <w:tc>
          <w:tcPr>
            <w:tcW w:w="524" w:type="pct"/>
            <w:shd w:val="clear" w:color="auto" w:fill="E7E6E6" w:themeFill="background2"/>
            <w:noWrap/>
            <w:hideMark/>
          </w:tcPr>
          <w:p w14:paraId="13FAA44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43,6</w:t>
            </w:r>
          </w:p>
        </w:tc>
      </w:tr>
      <w:tr w:rsidR="00E425D7" w:rsidRPr="007215D7" w14:paraId="33842924" w14:textId="77777777" w:rsidTr="008C56D0">
        <w:trPr>
          <w:trHeight w:val="224"/>
          <w:jc w:val="center"/>
        </w:trPr>
        <w:tc>
          <w:tcPr>
            <w:tcW w:w="1863" w:type="pct"/>
            <w:gridSpan w:val="2"/>
            <w:shd w:val="clear" w:color="auto" w:fill="auto"/>
            <w:noWrap/>
            <w:vAlign w:val="center"/>
            <w:hideMark/>
          </w:tcPr>
          <w:p w14:paraId="2C364E98"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Current expenditures</w:t>
            </w:r>
          </w:p>
        </w:tc>
        <w:tc>
          <w:tcPr>
            <w:tcW w:w="522" w:type="pct"/>
            <w:gridSpan w:val="2"/>
            <w:shd w:val="clear" w:color="auto" w:fill="auto"/>
            <w:hideMark/>
          </w:tcPr>
          <w:p w14:paraId="3A71DFFB"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3.283,5</w:t>
            </w:r>
          </w:p>
        </w:tc>
        <w:tc>
          <w:tcPr>
            <w:tcW w:w="523" w:type="pct"/>
            <w:gridSpan w:val="2"/>
          </w:tcPr>
          <w:p w14:paraId="3DAA73F4"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3.318,1</w:t>
            </w:r>
          </w:p>
        </w:tc>
        <w:tc>
          <w:tcPr>
            <w:tcW w:w="522" w:type="pct"/>
            <w:gridSpan w:val="2"/>
          </w:tcPr>
          <w:p w14:paraId="4F2F3454"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3.431,6</w:t>
            </w:r>
          </w:p>
        </w:tc>
        <w:tc>
          <w:tcPr>
            <w:tcW w:w="523" w:type="pct"/>
            <w:gridSpan w:val="2"/>
            <w:shd w:val="clear" w:color="auto" w:fill="auto"/>
            <w:hideMark/>
          </w:tcPr>
          <w:p w14:paraId="60F74870"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148,1</w:t>
            </w:r>
          </w:p>
        </w:tc>
        <w:tc>
          <w:tcPr>
            <w:tcW w:w="522" w:type="pct"/>
            <w:gridSpan w:val="2"/>
            <w:shd w:val="clear" w:color="auto" w:fill="auto"/>
            <w:hideMark/>
          </w:tcPr>
          <w:p w14:paraId="09A2ED4C"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4,5</w:t>
            </w:r>
          </w:p>
        </w:tc>
        <w:tc>
          <w:tcPr>
            <w:tcW w:w="524" w:type="pct"/>
            <w:shd w:val="clear" w:color="auto" w:fill="auto"/>
            <w:noWrap/>
            <w:hideMark/>
          </w:tcPr>
          <w:p w14:paraId="4A7632B5"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35,7</w:t>
            </w:r>
          </w:p>
        </w:tc>
      </w:tr>
      <w:tr w:rsidR="00E425D7" w:rsidRPr="007215D7" w14:paraId="73DEB75E" w14:textId="77777777" w:rsidTr="008C56D0">
        <w:trPr>
          <w:trHeight w:val="224"/>
          <w:jc w:val="center"/>
        </w:trPr>
        <w:tc>
          <w:tcPr>
            <w:tcW w:w="1863" w:type="pct"/>
            <w:gridSpan w:val="2"/>
            <w:shd w:val="clear" w:color="auto" w:fill="auto"/>
            <w:noWrap/>
            <w:vAlign w:val="center"/>
            <w:hideMark/>
          </w:tcPr>
          <w:p w14:paraId="702B0651"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Expenditures for employees</w:t>
            </w:r>
          </w:p>
        </w:tc>
        <w:tc>
          <w:tcPr>
            <w:tcW w:w="522" w:type="pct"/>
            <w:gridSpan w:val="2"/>
            <w:shd w:val="clear" w:color="auto" w:fill="auto"/>
            <w:hideMark/>
          </w:tcPr>
          <w:p w14:paraId="3D9E5321"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890,7</w:t>
            </w:r>
          </w:p>
        </w:tc>
        <w:tc>
          <w:tcPr>
            <w:tcW w:w="523" w:type="pct"/>
            <w:gridSpan w:val="2"/>
          </w:tcPr>
          <w:p w14:paraId="7DE7DCA5"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900,7</w:t>
            </w:r>
          </w:p>
        </w:tc>
        <w:tc>
          <w:tcPr>
            <w:tcW w:w="522" w:type="pct"/>
            <w:gridSpan w:val="2"/>
          </w:tcPr>
          <w:p w14:paraId="4308A6F8"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911,3</w:t>
            </w:r>
          </w:p>
        </w:tc>
        <w:tc>
          <w:tcPr>
            <w:tcW w:w="523" w:type="pct"/>
            <w:gridSpan w:val="2"/>
            <w:shd w:val="clear" w:color="auto" w:fill="auto"/>
            <w:hideMark/>
          </w:tcPr>
          <w:p w14:paraId="3DFA49D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20,7</w:t>
            </w:r>
          </w:p>
        </w:tc>
        <w:tc>
          <w:tcPr>
            <w:tcW w:w="522" w:type="pct"/>
            <w:gridSpan w:val="2"/>
            <w:shd w:val="clear" w:color="auto" w:fill="auto"/>
            <w:hideMark/>
          </w:tcPr>
          <w:p w14:paraId="45EF9D7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2,3</w:t>
            </w:r>
          </w:p>
        </w:tc>
        <w:tc>
          <w:tcPr>
            <w:tcW w:w="524" w:type="pct"/>
            <w:shd w:val="clear" w:color="auto" w:fill="auto"/>
            <w:noWrap/>
            <w:hideMark/>
          </w:tcPr>
          <w:p w14:paraId="1478A856"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9,5</w:t>
            </w:r>
          </w:p>
        </w:tc>
      </w:tr>
      <w:tr w:rsidR="00E425D7" w:rsidRPr="007215D7" w14:paraId="6367E9C8" w14:textId="77777777" w:rsidTr="008C56D0">
        <w:trPr>
          <w:trHeight w:val="224"/>
          <w:jc w:val="center"/>
        </w:trPr>
        <w:tc>
          <w:tcPr>
            <w:tcW w:w="1863" w:type="pct"/>
            <w:gridSpan w:val="2"/>
            <w:shd w:val="clear" w:color="auto" w:fill="auto"/>
            <w:noWrap/>
            <w:vAlign w:val="center"/>
            <w:hideMark/>
          </w:tcPr>
          <w:p w14:paraId="422D7FF8"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Purchase of goods and services</w:t>
            </w:r>
          </w:p>
        </w:tc>
        <w:tc>
          <w:tcPr>
            <w:tcW w:w="522" w:type="pct"/>
            <w:gridSpan w:val="2"/>
            <w:shd w:val="clear" w:color="auto" w:fill="auto"/>
            <w:hideMark/>
          </w:tcPr>
          <w:p w14:paraId="66931972"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672,6</w:t>
            </w:r>
          </w:p>
        </w:tc>
        <w:tc>
          <w:tcPr>
            <w:tcW w:w="523" w:type="pct"/>
            <w:gridSpan w:val="2"/>
          </w:tcPr>
          <w:p w14:paraId="344407C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672,6</w:t>
            </w:r>
          </w:p>
        </w:tc>
        <w:tc>
          <w:tcPr>
            <w:tcW w:w="522" w:type="pct"/>
            <w:gridSpan w:val="2"/>
          </w:tcPr>
          <w:p w14:paraId="30EB1D35"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706,7</w:t>
            </w:r>
          </w:p>
        </w:tc>
        <w:tc>
          <w:tcPr>
            <w:tcW w:w="523" w:type="pct"/>
            <w:gridSpan w:val="2"/>
            <w:shd w:val="clear" w:color="auto" w:fill="auto"/>
            <w:hideMark/>
          </w:tcPr>
          <w:p w14:paraId="46CC51C5"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34,1</w:t>
            </w:r>
          </w:p>
        </w:tc>
        <w:tc>
          <w:tcPr>
            <w:tcW w:w="522" w:type="pct"/>
            <w:gridSpan w:val="2"/>
            <w:shd w:val="clear" w:color="auto" w:fill="auto"/>
            <w:hideMark/>
          </w:tcPr>
          <w:p w14:paraId="2769D26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5,1</w:t>
            </w:r>
          </w:p>
        </w:tc>
        <w:tc>
          <w:tcPr>
            <w:tcW w:w="524" w:type="pct"/>
            <w:shd w:val="clear" w:color="auto" w:fill="auto"/>
            <w:noWrap/>
            <w:hideMark/>
          </w:tcPr>
          <w:p w14:paraId="21B9791C"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7,4</w:t>
            </w:r>
          </w:p>
        </w:tc>
      </w:tr>
      <w:tr w:rsidR="00E425D7" w:rsidRPr="007215D7" w14:paraId="27C487EE" w14:textId="77777777" w:rsidTr="008C56D0">
        <w:trPr>
          <w:trHeight w:val="224"/>
          <w:jc w:val="center"/>
        </w:trPr>
        <w:tc>
          <w:tcPr>
            <w:tcW w:w="1863" w:type="pct"/>
            <w:gridSpan w:val="2"/>
            <w:shd w:val="clear" w:color="auto" w:fill="auto"/>
            <w:noWrap/>
            <w:vAlign w:val="center"/>
            <w:hideMark/>
          </w:tcPr>
          <w:p w14:paraId="248089DB"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Repayment of interest</w:t>
            </w:r>
          </w:p>
        </w:tc>
        <w:tc>
          <w:tcPr>
            <w:tcW w:w="522" w:type="pct"/>
            <w:gridSpan w:val="2"/>
            <w:shd w:val="clear" w:color="auto" w:fill="auto"/>
            <w:hideMark/>
          </w:tcPr>
          <w:p w14:paraId="7235551F"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185,9</w:t>
            </w:r>
          </w:p>
        </w:tc>
        <w:tc>
          <w:tcPr>
            <w:tcW w:w="523" w:type="pct"/>
            <w:gridSpan w:val="2"/>
          </w:tcPr>
          <w:p w14:paraId="030F79C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186,0</w:t>
            </w:r>
          </w:p>
        </w:tc>
        <w:tc>
          <w:tcPr>
            <w:tcW w:w="522" w:type="pct"/>
            <w:gridSpan w:val="2"/>
          </w:tcPr>
          <w:p w14:paraId="03C08AEA"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187,6</w:t>
            </w:r>
          </w:p>
        </w:tc>
        <w:tc>
          <w:tcPr>
            <w:tcW w:w="523" w:type="pct"/>
            <w:gridSpan w:val="2"/>
            <w:shd w:val="clear" w:color="auto" w:fill="auto"/>
            <w:hideMark/>
          </w:tcPr>
          <w:p w14:paraId="0C9DD388"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1,7</w:t>
            </w:r>
          </w:p>
        </w:tc>
        <w:tc>
          <w:tcPr>
            <w:tcW w:w="522" w:type="pct"/>
            <w:gridSpan w:val="2"/>
            <w:shd w:val="clear" w:color="auto" w:fill="auto"/>
            <w:hideMark/>
          </w:tcPr>
          <w:p w14:paraId="1DC8CC6F"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0,9</w:t>
            </w:r>
          </w:p>
        </w:tc>
        <w:tc>
          <w:tcPr>
            <w:tcW w:w="524" w:type="pct"/>
            <w:shd w:val="clear" w:color="auto" w:fill="auto"/>
            <w:noWrap/>
            <w:hideMark/>
          </w:tcPr>
          <w:p w14:paraId="3B578636"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2,0</w:t>
            </w:r>
          </w:p>
        </w:tc>
      </w:tr>
      <w:tr w:rsidR="00E425D7" w:rsidRPr="007215D7" w14:paraId="0FF8E8A4" w14:textId="77777777" w:rsidTr="008C56D0">
        <w:trPr>
          <w:trHeight w:val="224"/>
          <w:jc w:val="center"/>
        </w:trPr>
        <w:tc>
          <w:tcPr>
            <w:tcW w:w="1863" w:type="pct"/>
            <w:gridSpan w:val="2"/>
            <w:shd w:val="clear" w:color="auto" w:fill="auto"/>
            <w:noWrap/>
            <w:vAlign w:val="center"/>
            <w:hideMark/>
          </w:tcPr>
          <w:p w14:paraId="399F85C9"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Subsidies</w:t>
            </w:r>
          </w:p>
        </w:tc>
        <w:tc>
          <w:tcPr>
            <w:tcW w:w="522" w:type="pct"/>
            <w:gridSpan w:val="2"/>
            <w:shd w:val="clear" w:color="auto" w:fill="auto"/>
            <w:hideMark/>
          </w:tcPr>
          <w:p w14:paraId="37DC3F12"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209,9</w:t>
            </w:r>
          </w:p>
        </w:tc>
        <w:tc>
          <w:tcPr>
            <w:tcW w:w="523" w:type="pct"/>
            <w:gridSpan w:val="2"/>
          </w:tcPr>
          <w:p w14:paraId="176C6138"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210,0</w:t>
            </w:r>
          </w:p>
        </w:tc>
        <w:tc>
          <w:tcPr>
            <w:tcW w:w="522" w:type="pct"/>
            <w:gridSpan w:val="2"/>
          </w:tcPr>
          <w:p w14:paraId="33DA665B"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243,6</w:t>
            </w:r>
          </w:p>
        </w:tc>
        <w:tc>
          <w:tcPr>
            <w:tcW w:w="523" w:type="pct"/>
            <w:gridSpan w:val="2"/>
            <w:shd w:val="clear" w:color="auto" w:fill="auto"/>
            <w:hideMark/>
          </w:tcPr>
          <w:p w14:paraId="5C956FB2"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33,7</w:t>
            </w:r>
          </w:p>
        </w:tc>
        <w:tc>
          <w:tcPr>
            <w:tcW w:w="522" w:type="pct"/>
            <w:gridSpan w:val="2"/>
            <w:shd w:val="clear" w:color="auto" w:fill="auto"/>
            <w:hideMark/>
          </w:tcPr>
          <w:p w14:paraId="6BEAFA2B"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16,1</w:t>
            </w:r>
          </w:p>
        </w:tc>
        <w:tc>
          <w:tcPr>
            <w:tcW w:w="524" w:type="pct"/>
            <w:shd w:val="clear" w:color="auto" w:fill="auto"/>
            <w:noWrap/>
            <w:hideMark/>
          </w:tcPr>
          <w:p w14:paraId="308C4326"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2,5</w:t>
            </w:r>
          </w:p>
        </w:tc>
      </w:tr>
      <w:tr w:rsidR="00E425D7" w:rsidRPr="007215D7" w14:paraId="38C109AC" w14:textId="77777777" w:rsidTr="008C56D0">
        <w:trPr>
          <w:trHeight w:val="224"/>
          <w:jc w:val="center"/>
        </w:trPr>
        <w:tc>
          <w:tcPr>
            <w:tcW w:w="1863" w:type="pct"/>
            <w:gridSpan w:val="2"/>
            <w:shd w:val="clear" w:color="auto" w:fill="auto"/>
            <w:noWrap/>
            <w:vAlign w:val="center"/>
            <w:hideMark/>
          </w:tcPr>
          <w:p w14:paraId="5B019B44"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Social assistance and transfers</w:t>
            </w:r>
          </w:p>
        </w:tc>
        <w:tc>
          <w:tcPr>
            <w:tcW w:w="522" w:type="pct"/>
            <w:gridSpan w:val="2"/>
            <w:shd w:val="clear" w:color="auto" w:fill="auto"/>
            <w:hideMark/>
          </w:tcPr>
          <w:p w14:paraId="67AE68AD"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1.212,5</w:t>
            </w:r>
          </w:p>
        </w:tc>
        <w:tc>
          <w:tcPr>
            <w:tcW w:w="523" w:type="pct"/>
            <w:gridSpan w:val="2"/>
          </w:tcPr>
          <w:p w14:paraId="28F2A10C"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1.234,7</w:t>
            </w:r>
          </w:p>
        </w:tc>
        <w:tc>
          <w:tcPr>
            <w:tcW w:w="522" w:type="pct"/>
            <w:gridSpan w:val="2"/>
          </w:tcPr>
          <w:p w14:paraId="7F1907EC"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1.250,0</w:t>
            </w:r>
          </w:p>
        </w:tc>
        <w:tc>
          <w:tcPr>
            <w:tcW w:w="523" w:type="pct"/>
            <w:gridSpan w:val="2"/>
            <w:shd w:val="clear" w:color="auto" w:fill="auto"/>
            <w:hideMark/>
          </w:tcPr>
          <w:p w14:paraId="7E51DC45"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37,5</w:t>
            </w:r>
          </w:p>
        </w:tc>
        <w:tc>
          <w:tcPr>
            <w:tcW w:w="522" w:type="pct"/>
            <w:gridSpan w:val="2"/>
            <w:shd w:val="clear" w:color="auto" w:fill="auto"/>
            <w:hideMark/>
          </w:tcPr>
          <w:p w14:paraId="257C46D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3,1</w:t>
            </w:r>
          </w:p>
        </w:tc>
        <w:tc>
          <w:tcPr>
            <w:tcW w:w="524" w:type="pct"/>
            <w:shd w:val="clear" w:color="auto" w:fill="auto"/>
            <w:noWrap/>
            <w:hideMark/>
          </w:tcPr>
          <w:p w14:paraId="2BB7799B"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13,0</w:t>
            </w:r>
          </w:p>
        </w:tc>
      </w:tr>
      <w:tr w:rsidR="00E425D7" w:rsidRPr="007215D7" w14:paraId="788AB546" w14:textId="77777777" w:rsidTr="008C56D0">
        <w:trPr>
          <w:trHeight w:val="224"/>
          <w:jc w:val="center"/>
        </w:trPr>
        <w:tc>
          <w:tcPr>
            <w:tcW w:w="1863" w:type="pct"/>
            <w:gridSpan w:val="2"/>
            <w:shd w:val="clear" w:color="auto" w:fill="auto"/>
            <w:noWrap/>
            <w:vAlign w:val="center"/>
            <w:hideMark/>
          </w:tcPr>
          <w:p w14:paraId="609CE792" w14:textId="77777777" w:rsidR="00E425D7" w:rsidRPr="007215D7" w:rsidRDefault="00E425D7" w:rsidP="008C56D0">
            <w:pPr>
              <w:spacing w:after="0"/>
              <w:jc w:val="left"/>
              <w:rPr>
                <w:rFonts w:eastAsia="MS PGothic" w:cs="Times New Roman"/>
                <w:i/>
                <w:color w:val="000000" w:themeColor="text1"/>
                <w:sz w:val="20"/>
                <w:szCs w:val="20"/>
                <w:lang w:eastAsia="ja-JP"/>
              </w:rPr>
            </w:pPr>
            <w:r w:rsidRPr="007215D7">
              <w:rPr>
                <w:rFonts w:eastAsia="MS PGothic" w:cs="Times New Roman"/>
                <w:i/>
                <w:color w:val="000000" w:themeColor="text1"/>
                <w:sz w:val="20"/>
                <w:szCs w:val="20"/>
                <w:lang w:eastAsia="ja-JP"/>
              </w:rPr>
              <w:t xml:space="preserve">Of </w:t>
            </w:r>
            <w:r w:rsidRPr="007215D7">
              <w:rPr>
                <w:rFonts w:eastAsia="MS PGothic" w:cs="Times New Roman"/>
                <w:i/>
                <w:color w:val="000000" w:themeColor="text1"/>
                <w:sz w:val="20"/>
                <w:szCs w:val="20"/>
                <w:lang w:val="sr-Latn-RS" w:eastAsia="ja-JP"/>
              </w:rPr>
              <w:t>which: pensions</w:t>
            </w:r>
          </w:p>
        </w:tc>
        <w:tc>
          <w:tcPr>
            <w:tcW w:w="522" w:type="pct"/>
            <w:gridSpan w:val="2"/>
            <w:shd w:val="clear" w:color="auto" w:fill="auto"/>
            <w:hideMark/>
          </w:tcPr>
          <w:p w14:paraId="7E6CAEF1"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926,7</w:t>
            </w:r>
          </w:p>
        </w:tc>
        <w:tc>
          <w:tcPr>
            <w:tcW w:w="523" w:type="pct"/>
            <w:gridSpan w:val="2"/>
          </w:tcPr>
          <w:p w14:paraId="2A804AC3"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926,7</w:t>
            </w:r>
          </w:p>
        </w:tc>
        <w:tc>
          <w:tcPr>
            <w:tcW w:w="522" w:type="pct"/>
            <w:gridSpan w:val="2"/>
          </w:tcPr>
          <w:p w14:paraId="16C0F462"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930,6</w:t>
            </w:r>
          </w:p>
        </w:tc>
        <w:tc>
          <w:tcPr>
            <w:tcW w:w="523" w:type="pct"/>
            <w:gridSpan w:val="2"/>
            <w:shd w:val="clear" w:color="auto" w:fill="auto"/>
            <w:hideMark/>
          </w:tcPr>
          <w:p w14:paraId="036C096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3,9</w:t>
            </w:r>
          </w:p>
        </w:tc>
        <w:tc>
          <w:tcPr>
            <w:tcW w:w="522" w:type="pct"/>
            <w:gridSpan w:val="2"/>
            <w:shd w:val="clear" w:color="auto" w:fill="auto"/>
            <w:hideMark/>
          </w:tcPr>
          <w:p w14:paraId="62B177ED"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0,4</w:t>
            </w:r>
          </w:p>
        </w:tc>
        <w:tc>
          <w:tcPr>
            <w:tcW w:w="524" w:type="pct"/>
            <w:shd w:val="clear" w:color="auto" w:fill="auto"/>
            <w:noWrap/>
            <w:hideMark/>
          </w:tcPr>
          <w:p w14:paraId="4D52B230"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9,7</w:t>
            </w:r>
          </w:p>
        </w:tc>
      </w:tr>
      <w:tr w:rsidR="00E425D7" w:rsidRPr="007215D7" w14:paraId="2379715E" w14:textId="77777777" w:rsidTr="008C56D0">
        <w:trPr>
          <w:trHeight w:val="224"/>
          <w:jc w:val="center"/>
        </w:trPr>
        <w:tc>
          <w:tcPr>
            <w:tcW w:w="1863" w:type="pct"/>
            <w:gridSpan w:val="2"/>
            <w:shd w:val="clear" w:color="auto" w:fill="auto"/>
            <w:noWrap/>
            <w:vAlign w:val="center"/>
            <w:hideMark/>
          </w:tcPr>
          <w:p w14:paraId="7C593676"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Other current expenditures</w:t>
            </w:r>
          </w:p>
        </w:tc>
        <w:tc>
          <w:tcPr>
            <w:tcW w:w="522" w:type="pct"/>
            <w:gridSpan w:val="2"/>
            <w:shd w:val="clear" w:color="auto" w:fill="auto"/>
            <w:hideMark/>
          </w:tcPr>
          <w:p w14:paraId="058B4CC6"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111,9</w:t>
            </w:r>
          </w:p>
        </w:tc>
        <w:tc>
          <w:tcPr>
            <w:tcW w:w="523" w:type="pct"/>
            <w:gridSpan w:val="2"/>
          </w:tcPr>
          <w:p w14:paraId="4C0CFDCD"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114,1</w:t>
            </w:r>
          </w:p>
        </w:tc>
        <w:tc>
          <w:tcPr>
            <w:tcW w:w="522" w:type="pct"/>
            <w:gridSpan w:val="2"/>
          </w:tcPr>
          <w:p w14:paraId="29719251"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132,4</w:t>
            </w:r>
          </w:p>
        </w:tc>
        <w:tc>
          <w:tcPr>
            <w:tcW w:w="523" w:type="pct"/>
            <w:gridSpan w:val="2"/>
            <w:shd w:val="clear" w:color="auto" w:fill="auto"/>
            <w:hideMark/>
          </w:tcPr>
          <w:p w14:paraId="0506F609"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20,5</w:t>
            </w:r>
          </w:p>
        </w:tc>
        <w:tc>
          <w:tcPr>
            <w:tcW w:w="522" w:type="pct"/>
            <w:gridSpan w:val="2"/>
            <w:shd w:val="clear" w:color="auto" w:fill="auto"/>
            <w:hideMark/>
          </w:tcPr>
          <w:p w14:paraId="77196B1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18,3</w:t>
            </w:r>
          </w:p>
        </w:tc>
        <w:tc>
          <w:tcPr>
            <w:tcW w:w="524" w:type="pct"/>
            <w:shd w:val="clear" w:color="auto" w:fill="auto"/>
            <w:noWrap/>
            <w:hideMark/>
          </w:tcPr>
          <w:p w14:paraId="252F526A"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1,4</w:t>
            </w:r>
          </w:p>
        </w:tc>
      </w:tr>
      <w:tr w:rsidR="00E425D7" w:rsidRPr="007215D7" w14:paraId="1D290302" w14:textId="77777777" w:rsidTr="008C56D0">
        <w:trPr>
          <w:trHeight w:val="224"/>
          <w:jc w:val="center"/>
        </w:trPr>
        <w:tc>
          <w:tcPr>
            <w:tcW w:w="1863" w:type="pct"/>
            <w:gridSpan w:val="2"/>
            <w:shd w:val="clear" w:color="auto" w:fill="auto"/>
            <w:noWrap/>
            <w:vAlign w:val="center"/>
            <w:hideMark/>
          </w:tcPr>
          <w:p w14:paraId="04FEFA38"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Capital expenditures</w:t>
            </w:r>
          </w:p>
        </w:tc>
        <w:tc>
          <w:tcPr>
            <w:tcW w:w="522" w:type="pct"/>
            <w:gridSpan w:val="2"/>
            <w:shd w:val="clear" w:color="auto" w:fill="auto"/>
            <w:hideMark/>
          </w:tcPr>
          <w:p w14:paraId="44D1EC5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595,2</w:t>
            </w:r>
          </w:p>
        </w:tc>
        <w:tc>
          <w:tcPr>
            <w:tcW w:w="523" w:type="pct"/>
            <w:gridSpan w:val="2"/>
          </w:tcPr>
          <w:p w14:paraId="4465AA90"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652,3</w:t>
            </w:r>
          </w:p>
        </w:tc>
        <w:tc>
          <w:tcPr>
            <w:tcW w:w="522" w:type="pct"/>
            <w:gridSpan w:val="2"/>
          </w:tcPr>
          <w:p w14:paraId="0B4D3D0B"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706,3</w:t>
            </w:r>
          </w:p>
        </w:tc>
        <w:tc>
          <w:tcPr>
            <w:tcW w:w="523" w:type="pct"/>
            <w:gridSpan w:val="2"/>
            <w:shd w:val="clear" w:color="auto" w:fill="auto"/>
            <w:hideMark/>
          </w:tcPr>
          <w:p w14:paraId="2D2B8399"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111,1</w:t>
            </w:r>
          </w:p>
        </w:tc>
        <w:tc>
          <w:tcPr>
            <w:tcW w:w="522" w:type="pct"/>
            <w:gridSpan w:val="2"/>
            <w:shd w:val="clear" w:color="auto" w:fill="auto"/>
            <w:hideMark/>
          </w:tcPr>
          <w:p w14:paraId="79644BB0"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18,7</w:t>
            </w:r>
          </w:p>
        </w:tc>
        <w:tc>
          <w:tcPr>
            <w:tcW w:w="524" w:type="pct"/>
            <w:shd w:val="clear" w:color="auto" w:fill="auto"/>
            <w:noWrap/>
            <w:hideMark/>
          </w:tcPr>
          <w:p w14:paraId="17B8873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7,4</w:t>
            </w:r>
          </w:p>
        </w:tc>
      </w:tr>
      <w:tr w:rsidR="00E425D7" w:rsidRPr="007215D7" w14:paraId="44F95140" w14:textId="77777777" w:rsidTr="008C56D0">
        <w:trPr>
          <w:trHeight w:val="224"/>
          <w:jc w:val="center"/>
        </w:trPr>
        <w:tc>
          <w:tcPr>
            <w:tcW w:w="1863" w:type="pct"/>
            <w:gridSpan w:val="2"/>
            <w:shd w:val="clear" w:color="auto" w:fill="auto"/>
            <w:noWrap/>
            <w:vAlign w:val="center"/>
            <w:hideMark/>
          </w:tcPr>
          <w:p w14:paraId="49652105"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Net lending</w:t>
            </w:r>
          </w:p>
        </w:tc>
        <w:tc>
          <w:tcPr>
            <w:tcW w:w="522" w:type="pct"/>
            <w:gridSpan w:val="2"/>
            <w:shd w:val="clear" w:color="auto" w:fill="auto"/>
            <w:hideMark/>
          </w:tcPr>
          <w:p w14:paraId="47B0869F"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46,9</w:t>
            </w:r>
          </w:p>
        </w:tc>
        <w:tc>
          <w:tcPr>
            <w:tcW w:w="523" w:type="pct"/>
            <w:gridSpan w:val="2"/>
          </w:tcPr>
          <w:p w14:paraId="5A295861"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20,1</w:t>
            </w:r>
          </w:p>
        </w:tc>
        <w:tc>
          <w:tcPr>
            <w:tcW w:w="522" w:type="pct"/>
            <w:gridSpan w:val="2"/>
          </w:tcPr>
          <w:p w14:paraId="7F305A2D"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18,7</w:t>
            </w:r>
          </w:p>
        </w:tc>
        <w:tc>
          <w:tcPr>
            <w:tcW w:w="523" w:type="pct"/>
            <w:gridSpan w:val="2"/>
            <w:shd w:val="clear" w:color="auto" w:fill="auto"/>
            <w:hideMark/>
          </w:tcPr>
          <w:p w14:paraId="7D00617C"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-28,2</w:t>
            </w:r>
          </w:p>
        </w:tc>
        <w:tc>
          <w:tcPr>
            <w:tcW w:w="522" w:type="pct"/>
            <w:gridSpan w:val="2"/>
            <w:shd w:val="clear" w:color="auto" w:fill="auto"/>
            <w:hideMark/>
          </w:tcPr>
          <w:p w14:paraId="12A8DD0B"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-60,1</w:t>
            </w:r>
          </w:p>
        </w:tc>
        <w:tc>
          <w:tcPr>
            <w:tcW w:w="524" w:type="pct"/>
            <w:shd w:val="clear" w:color="auto" w:fill="auto"/>
            <w:noWrap/>
            <w:hideMark/>
          </w:tcPr>
          <w:p w14:paraId="7334A05F"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0,2</w:t>
            </w:r>
          </w:p>
        </w:tc>
      </w:tr>
      <w:tr w:rsidR="00E425D7" w:rsidRPr="007215D7" w14:paraId="26F255D0" w14:textId="77777777" w:rsidTr="008C56D0">
        <w:trPr>
          <w:trHeight w:val="224"/>
          <w:jc w:val="center"/>
        </w:trPr>
        <w:tc>
          <w:tcPr>
            <w:tcW w:w="1863" w:type="pct"/>
            <w:gridSpan w:val="2"/>
            <w:shd w:val="clear" w:color="auto" w:fill="auto"/>
            <w:noWrap/>
            <w:vAlign w:val="center"/>
            <w:hideMark/>
          </w:tcPr>
          <w:p w14:paraId="2BAEDE17" w14:textId="77777777" w:rsidR="00E425D7" w:rsidRPr="007215D7" w:rsidRDefault="00E425D7" w:rsidP="008C56D0">
            <w:pPr>
              <w:spacing w:after="0"/>
              <w:jc w:val="left"/>
              <w:rPr>
                <w:rFonts w:eastAsia="MS PGothic" w:cs="Times New Roman"/>
                <w:color w:val="000000" w:themeColor="text1"/>
                <w:sz w:val="20"/>
                <w:szCs w:val="20"/>
                <w:lang w:eastAsia="ja-JP"/>
              </w:rPr>
            </w:pPr>
            <w:r w:rsidRPr="007215D7">
              <w:rPr>
                <w:rFonts w:eastAsia="MS PGothic" w:cs="Times New Roman"/>
                <w:color w:val="000000" w:themeColor="text1"/>
                <w:sz w:val="20"/>
                <w:szCs w:val="20"/>
                <w:lang w:val="sr-Latn-RS" w:eastAsia="ja-JP"/>
              </w:rPr>
              <w:t>Activated guarantees</w:t>
            </w:r>
          </w:p>
        </w:tc>
        <w:tc>
          <w:tcPr>
            <w:tcW w:w="522" w:type="pct"/>
            <w:gridSpan w:val="2"/>
            <w:shd w:val="clear" w:color="auto" w:fill="auto"/>
            <w:hideMark/>
          </w:tcPr>
          <w:p w14:paraId="6E8AEA06"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27,5</w:t>
            </w:r>
          </w:p>
        </w:tc>
        <w:tc>
          <w:tcPr>
            <w:tcW w:w="523" w:type="pct"/>
            <w:gridSpan w:val="2"/>
          </w:tcPr>
          <w:p w14:paraId="6240E7EE"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29,5</w:t>
            </w:r>
          </w:p>
        </w:tc>
        <w:tc>
          <w:tcPr>
            <w:tcW w:w="522" w:type="pct"/>
            <w:gridSpan w:val="2"/>
          </w:tcPr>
          <w:p w14:paraId="6F0E8A1F"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28,5</w:t>
            </w:r>
          </w:p>
        </w:tc>
        <w:tc>
          <w:tcPr>
            <w:tcW w:w="523" w:type="pct"/>
            <w:gridSpan w:val="2"/>
            <w:shd w:val="clear" w:color="auto" w:fill="auto"/>
            <w:hideMark/>
          </w:tcPr>
          <w:p w14:paraId="1BD5C059"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1,0</w:t>
            </w:r>
          </w:p>
        </w:tc>
        <w:tc>
          <w:tcPr>
            <w:tcW w:w="522" w:type="pct"/>
            <w:gridSpan w:val="2"/>
            <w:shd w:val="clear" w:color="auto" w:fill="auto"/>
            <w:hideMark/>
          </w:tcPr>
          <w:p w14:paraId="7240DE2F"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3,6</w:t>
            </w:r>
          </w:p>
        </w:tc>
        <w:tc>
          <w:tcPr>
            <w:tcW w:w="524" w:type="pct"/>
            <w:shd w:val="clear" w:color="auto" w:fill="auto"/>
            <w:noWrap/>
            <w:hideMark/>
          </w:tcPr>
          <w:p w14:paraId="3D98B8B2"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0,3</w:t>
            </w:r>
          </w:p>
        </w:tc>
      </w:tr>
      <w:tr w:rsidR="00E425D7" w:rsidRPr="007215D7" w14:paraId="5BF5EB01" w14:textId="77777777" w:rsidTr="008C56D0">
        <w:trPr>
          <w:trHeight w:val="224"/>
          <w:jc w:val="center"/>
        </w:trPr>
        <w:tc>
          <w:tcPr>
            <w:tcW w:w="1863" w:type="pct"/>
            <w:gridSpan w:val="2"/>
            <w:shd w:val="clear" w:color="auto" w:fill="E7E6E6" w:themeFill="background2"/>
            <w:noWrap/>
            <w:vAlign w:val="center"/>
            <w:hideMark/>
          </w:tcPr>
          <w:p w14:paraId="39D2DB8A" w14:textId="77777777" w:rsidR="00E425D7" w:rsidRPr="007215D7" w:rsidRDefault="00E425D7" w:rsidP="008C56D0">
            <w:pPr>
              <w:spacing w:after="0"/>
              <w:jc w:val="left"/>
              <w:rPr>
                <w:rFonts w:cs="Times New Roman"/>
                <w:color w:val="000000" w:themeColor="text1"/>
                <w:sz w:val="20"/>
                <w:szCs w:val="20"/>
              </w:rPr>
            </w:pPr>
            <w:r w:rsidRPr="007215D7">
              <w:rPr>
                <w:rFonts w:eastAsia="MS PGothic" w:cs="Times New Roman"/>
                <w:color w:val="000000" w:themeColor="text1"/>
                <w:sz w:val="20"/>
                <w:szCs w:val="20"/>
                <w:lang w:val="sr-Latn-RS" w:eastAsia="ja-JP"/>
              </w:rPr>
              <w:t>Fiscal result</w:t>
            </w:r>
          </w:p>
        </w:tc>
        <w:tc>
          <w:tcPr>
            <w:tcW w:w="522" w:type="pct"/>
            <w:gridSpan w:val="2"/>
            <w:shd w:val="clear" w:color="auto" w:fill="E7E6E6" w:themeFill="background2"/>
            <w:hideMark/>
          </w:tcPr>
          <w:p w14:paraId="693D01D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-197,0</w:t>
            </w:r>
          </w:p>
        </w:tc>
        <w:tc>
          <w:tcPr>
            <w:tcW w:w="523" w:type="pct"/>
            <w:gridSpan w:val="2"/>
            <w:shd w:val="clear" w:color="auto" w:fill="E7E6E6" w:themeFill="background2"/>
          </w:tcPr>
          <w:p w14:paraId="647C8499"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-197,0</w:t>
            </w:r>
          </w:p>
        </w:tc>
        <w:tc>
          <w:tcPr>
            <w:tcW w:w="522" w:type="pct"/>
            <w:gridSpan w:val="2"/>
            <w:shd w:val="clear" w:color="auto" w:fill="E7E6E6" w:themeFill="background2"/>
          </w:tcPr>
          <w:p w14:paraId="17F7C637"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-263,0</w:t>
            </w:r>
          </w:p>
        </w:tc>
        <w:tc>
          <w:tcPr>
            <w:tcW w:w="523" w:type="pct"/>
            <w:gridSpan w:val="2"/>
            <w:shd w:val="clear" w:color="auto" w:fill="E7E6E6" w:themeFill="background2"/>
            <w:hideMark/>
          </w:tcPr>
          <w:p w14:paraId="177BDD49"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-66,0</w:t>
            </w:r>
          </w:p>
        </w:tc>
        <w:tc>
          <w:tcPr>
            <w:tcW w:w="522" w:type="pct"/>
            <w:gridSpan w:val="2"/>
            <w:shd w:val="clear" w:color="auto" w:fill="E7E6E6" w:themeFill="background2"/>
            <w:hideMark/>
          </w:tcPr>
          <w:p w14:paraId="05E500EE" w14:textId="77777777" w:rsidR="00E425D7" w:rsidRPr="007215D7" w:rsidRDefault="00E425D7" w:rsidP="008C56D0">
            <w:pPr>
              <w:spacing w:after="0"/>
              <w:jc w:val="right"/>
              <w:rPr>
                <w:rFonts w:eastAsia="MS PGothic" w:cs="Times New Roman"/>
                <w:sz w:val="20"/>
                <w:szCs w:val="20"/>
                <w:lang w:eastAsia="ja-JP"/>
              </w:rPr>
            </w:pPr>
          </w:p>
        </w:tc>
        <w:tc>
          <w:tcPr>
            <w:tcW w:w="524" w:type="pct"/>
            <w:shd w:val="clear" w:color="auto" w:fill="E7E6E6" w:themeFill="background2"/>
            <w:noWrap/>
            <w:hideMark/>
          </w:tcPr>
          <w:p w14:paraId="3D6161E9"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-2,7</w:t>
            </w:r>
          </w:p>
        </w:tc>
      </w:tr>
      <w:tr w:rsidR="00E425D7" w:rsidRPr="007215D7" w14:paraId="41D3C227" w14:textId="77777777" w:rsidTr="008C56D0">
        <w:trPr>
          <w:trHeight w:val="224"/>
          <w:jc w:val="center"/>
        </w:trPr>
        <w:tc>
          <w:tcPr>
            <w:tcW w:w="1863" w:type="pct"/>
            <w:gridSpan w:val="2"/>
            <w:shd w:val="clear" w:color="auto" w:fill="auto"/>
            <w:noWrap/>
            <w:vAlign w:val="center"/>
            <w:hideMark/>
          </w:tcPr>
          <w:p w14:paraId="04456A85" w14:textId="77777777" w:rsidR="00E425D7" w:rsidRPr="007215D7" w:rsidRDefault="00E425D7" w:rsidP="008C56D0">
            <w:pPr>
              <w:spacing w:after="0"/>
              <w:jc w:val="left"/>
              <w:rPr>
                <w:rFonts w:cs="Times New Roman"/>
                <w:color w:val="000000" w:themeColor="text1"/>
                <w:sz w:val="20"/>
                <w:szCs w:val="20"/>
              </w:rPr>
            </w:pPr>
            <w:r w:rsidRPr="007215D7">
              <w:rPr>
                <w:rFonts w:eastAsia="MS PGothic" w:cs="Times New Roman"/>
                <w:color w:val="000000" w:themeColor="text1"/>
                <w:sz w:val="20"/>
                <w:szCs w:val="20"/>
                <w:lang w:val="sr-Latn-RS" w:eastAsia="ja-JP"/>
              </w:rPr>
              <w:t>Fiscal result, in % GDP</w:t>
            </w:r>
            <w:r w:rsidRPr="007215D7">
              <w:rPr>
                <w:rFonts w:eastAsia="MS PGothic" w:cs="Times New Roman"/>
                <w:color w:val="000000" w:themeColor="text1"/>
                <w:sz w:val="20"/>
                <w:szCs w:val="20"/>
                <w:lang w:eastAsia="ja-JP"/>
              </w:rPr>
              <w:t>**</w:t>
            </w:r>
          </w:p>
        </w:tc>
        <w:tc>
          <w:tcPr>
            <w:tcW w:w="522" w:type="pct"/>
            <w:gridSpan w:val="2"/>
            <w:shd w:val="clear" w:color="auto" w:fill="auto"/>
            <w:hideMark/>
          </w:tcPr>
          <w:p w14:paraId="76142C08"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-2,1</w:t>
            </w:r>
          </w:p>
        </w:tc>
        <w:tc>
          <w:tcPr>
            <w:tcW w:w="523" w:type="pct"/>
            <w:gridSpan w:val="2"/>
          </w:tcPr>
          <w:p w14:paraId="7EEA2630"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-2,1</w:t>
            </w:r>
          </w:p>
        </w:tc>
        <w:tc>
          <w:tcPr>
            <w:tcW w:w="522" w:type="pct"/>
            <w:gridSpan w:val="2"/>
          </w:tcPr>
          <w:p w14:paraId="77C8063B"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-2,7</w:t>
            </w:r>
          </w:p>
        </w:tc>
        <w:tc>
          <w:tcPr>
            <w:tcW w:w="523" w:type="pct"/>
            <w:gridSpan w:val="2"/>
            <w:shd w:val="clear" w:color="auto" w:fill="auto"/>
            <w:hideMark/>
          </w:tcPr>
          <w:p w14:paraId="4FA3FCF2" w14:textId="77777777" w:rsidR="00E425D7" w:rsidRPr="007215D7" w:rsidRDefault="00E425D7" w:rsidP="008C56D0">
            <w:pPr>
              <w:spacing w:after="0"/>
              <w:jc w:val="right"/>
              <w:rPr>
                <w:rFonts w:eastAsia="MS PGothic" w:cs="Times New Roman"/>
                <w:sz w:val="20"/>
                <w:szCs w:val="20"/>
                <w:lang w:eastAsia="ja-JP"/>
              </w:rPr>
            </w:pPr>
            <w:r w:rsidRPr="007215D7">
              <w:rPr>
                <w:rFonts w:eastAsia="MS PGothic" w:cs="Times New Roman"/>
                <w:sz w:val="20"/>
                <w:szCs w:val="20"/>
                <w:lang w:eastAsia="ja-JP"/>
              </w:rPr>
              <w:t>-0,6</w:t>
            </w:r>
          </w:p>
        </w:tc>
        <w:tc>
          <w:tcPr>
            <w:tcW w:w="522" w:type="pct"/>
            <w:gridSpan w:val="2"/>
            <w:shd w:val="clear" w:color="auto" w:fill="auto"/>
            <w:hideMark/>
          </w:tcPr>
          <w:p w14:paraId="612B9EF6" w14:textId="77777777" w:rsidR="00E425D7" w:rsidRPr="007215D7" w:rsidRDefault="00E425D7" w:rsidP="008C56D0">
            <w:pPr>
              <w:spacing w:after="0"/>
              <w:ind w:right="284"/>
              <w:jc w:val="right"/>
              <w:rPr>
                <w:rFonts w:eastAsia="MS PGothic" w:cs="Times New Roman"/>
                <w:sz w:val="20"/>
                <w:szCs w:val="20"/>
                <w:lang w:eastAsia="ja-JP"/>
              </w:rPr>
            </w:pPr>
          </w:p>
        </w:tc>
        <w:tc>
          <w:tcPr>
            <w:tcW w:w="524" w:type="pct"/>
            <w:shd w:val="clear" w:color="auto" w:fill="auto"/>
            <w:hideMark/>
          </w:tcPr>
          <w:p w14:paraId="617E3568" w14:textId="77777777" w:rsidR="00E425D7" w:rsidRPr="007215D7" w:rsidRDefault="00E425D7" w:rsidP="008C56D0">
            <w:pPr>
              <w:spacing w:after="0"/>
              <w:ind w:right="284"/>
              <w:jc w:val="right"/>
              <w:rPr>
                <w:rFonts w:eastAsia="MS PGothic" w:cs="Times New Roman"/>
                <w:sz w:val="20"/>
                <w:szCs w:val="20"/>
                <w:lang w:eastAsia="ja-JP"/>
              </w:rPr>
            </w:pPr>
          </w:p>
        </w:tc>
      </w:tr>
    </w:tbl>
    <w:p w14:paraId="73CC372B" w14:textId="77777777" w:rsidR="00E425D7" w:rsidRPr="007215D7" w:rsidRDefault="00E425D7" w:rsidP="00E425D7">
      <w:pPr>
        <w:rPr>
          <w:rFonts w:eastAsia="Calibri" w:cs="Times New Roman"/>
          <w:bCs/>
          <w:sz w:val="20"/>
          <w:szCs w:val="20"/>
          <w:lang w:val="sr-Cyrl-RS" w:eastAsia="ja-JP"/>
        </w:rPr>
      </w:pPr>
      <w:r w:rsidRPr="007215D7">
        <w:rPr>
          <w:rFonts w:eastAsia="Calibri" w:cs="Times New Roman"/>
          <w:bCs/>
          <w:sz w:val="20"/>
          <w:szCs w:val="20"/>
          <w:lang w:val="sr-Cyrl-RS" w:eastAsia="ja-JP"/>
        </w:rPr>
        <w:t>Source: Ministry of Finance</w:t>
      </w:r>
    </w:p>
    <w:p w14:paraId="7C6D6720" w14:textId="77777777" w:rsidR="00E425D7" w:rsidRPr="007215D7" w:rsidRDefault="00E425D7" w:rsidP="00E425D7">
      <w:pPr>
        <w:rPr>
          <w:rFonts w:cs="Times New Roman"/>
          <w:sz w:val="20"/>
          <w:szCs w:val="20"/>
        </w:rPr>
      </w:pPr>
      <w:r w:rsidRPr="007215D7">
        <w:rPr>
          <w:rFonts w:cs="Times New Roman"/>
          <w:sz w:val="20"/>
          <w:szCs w:val="20"/>
          <w:lang w:val="sr-Cyrl-RS"/>
        </w:rPr>
        <w:t xml:space="preserve">* </w:t>
      </w:r>
      <w:r w:rsidRPr="009C0D16">
        <w:rPr>
          <w:rFonts w:cs="Times New Roman"/>
          <w:sz w:val="20"/>
          <w:szCs w:val="20"/>
        </w:rPr>
        <w:t xml:space="preserve">The original budget for 2024 has been adjusted for the amounts arising from the expansion of the scope of the </w:t>
      </w:r>
      <w:r>
        <w:rPr>
          <w:rFonts w:cs="Times New Roman"/>
          <w:sz w:val="20"/>
          <w:szCs w:val="20"/>
        </w:rPr>
        <w:t>general government sector</w:t>
      </w:r>
      <w:r w:rsidRPr="009C0D16">
        <w:rPr>
          <w:rFonts w:cs="Times New Roman"/>
          <w:sz w:val="20"/>
          <w:szCs w:val="20"/>
        </w:rPr>
        <w:t xml:space="preserve">, which relates to the inclusion and reporting of own resources (revenues and expenditures) of off-budget beneficiaries (public agencies and institutes), for the purposes of comparison with the new estimate for the current year. The total amount of these resources is </w:t>
      </w:r>
      <w:r>
        <w:rPr>
          <w:rFonts w:cs="Times New Roman"/>
          <w:sz w:val="20"/>
          <w:szCs w:val="20"/>
        </w:rPr>
        <w:t xml:space="preserve">RSD </w:t>
      </w:r>
      <w:r w:rsidRPr="009C0D16">
        <w:rPr>
          <w:rFonts w:cs="Times New Roman"/>
          <w:sz w:val="20"/>
          <w:szCs w:val="20"/>
        </w:rPr>
        <w:t>20,2 billion on both the revenue and expenditure sides.</w:t>
      </w:r>
    </w:p>
    <w:p w14:paraId="0C1A363B" w14:textId="77777777" w:rsidR="00E425D7" w:rsidRDefault="00E425D7" w:rsidP="00E425D7">
      <w:pPr>
        <w:spacing w:after="0"/>
        <w:rPr>
          <w:rFonts w:eastAsia="Calibri" w:cs="Times New Roman"/>
          <w:szCs w:val="24"/>
          <w:lang w:val="sr-Cyrl-RS"/>
        </w:rPr>
      </w:pPr>
      <w:r w:rsidRPr="007215D7">
        <w:rPr>
          <w:rFonts w:cs="Times New Roman"/>
          <w:sz w:val="20"/>
          <w:szCs w:val="20"/>
        </w:rPr>
        <w:t xml:space="preserve">** </w:t>
      </w:r>
      <w:r w:rsidRPr="009C0D16">
        <w:rPr>
          <w:rFonts w:cs="Times New Roman"/>
          <w:sz w:val="20"/>
          <w:szCs w:val="20"/>
          <w:lang w:val="sr-Cyrl-RS"/>
        </w:rPr>
        <w:t>For easier comparability, and due to the significant statistical revision of the nominal GDP amount, all participations are expressed as a percentage of the current GDP estimate for 2024.</w:t>
      </w:r>
    </w:p>
    <w:p w14:paraId="649F35CC" w14:textId="77777777" w:rsidR="00E425D7" w:rsidRDefault="00E425D7" w:rsidP="00E425D7">
      <w:pPr>
        <w:keepLines/>
        <w:widowControl w:val="0"/>
        <w:rPr>
          <w:rFonts w:eastAsia="Calibri" w:cs="Times New Roman"/>
          <w:szCs w:val="24"/>
          <w:lang w:val="sr-Cyrl-RS"/>
        </w:rPr>
      </w:pPr>
    </w:p>
    <w:p w14:paraId="4ADFAE12" w14:textId="77777777" w:rsidR="00E425D7" w:rsidRPr="00132678" w:rsidRDefault="00E425D7" w:rsidP="00E425D7">
      <w:pPr>
        <w:keepLines/>
        <w:widowControl w:val="0"/>
        <w:rPr>
          <w:rFonts w:eastAsia="MS PGothic" w:cs="Times New Roman"/>
          <w:szCs w:val="24"/>
          <w:lang w:eastAsia="ja-JP"/>
        </w:rPr>
      </w:pPr>
      <w:r w:rsidRPr="00132678">
        <w:rPr>
          <w:rFonts w:eastAsia="MS PGothic" w:cs="Times New Roman"/>
          <w:szCs w:val="24"/>
          <w:lang w:eastAsia="ja-JP"/>
        </w:rPr>
        <w:t xml:space="preserve">The revenue projection for the general government sector has been increased by 166 billion dinars (4,4%) compared to the original estimate. All revenue categories, except for customs duties and </w:t>
      </w:r>
      <w:r>
        <w:rPr>
          <w:rFonts w:eastAsia="MS PGothic" w:cs="Times New Roman"/>
          <w:szCs w:val="24"/>
          <w:lang w:eastAsia="ja-JP"/>
        </w:rPr>
        <w:t>grants</w:t>
      </w:r>
      <w:r w:rsidRPr="00132678">
        <w:rPr>
          <w:rFonts w:eastAsia="MS PGothic" w:cs="Times New Roman"/>
          <w:szCs w:val="24"/>
          <w:lang w:eastAsia="ja-JP"/>
        </w:rPr>
        <w:t>, have been revised upward compared to the original projection. The highest percentage increase is seen in corporate income tax revenues, while in absolute terms, the largest increase is in VAT revenues. Additionally, significant increases have been made to non-tax revenues and excise duties. The key factors that have led to changes in the level and structure of revenues in the general government sector are:</w:t>
      </w:r>
    </w:p>
    <w:p w14:paraId="0225D603" w14:textId="77777777" w:rsidR="00E425D7" w:rsidRPr="00132678" w:rsidRDefault="00E425D7" w:rsidP="00E425D7">
      <w:pPr>
        <w:pStyle w:val="ListParagraph"/>
        <w:keepLines/>
        <w:widowControl w:val="0"/>
        <w:numPr>
          <w:ilvl w:val="0"/>
          <w:numId w:val="37"/>
        </w:numPr>
        <w:rPr>
          <w:rFonts w:cs="Times New Roman"/>
          <w:sz w:val="24"/>
          <w:szCs w:val="24"/>
        </w:rPr>
      </w:pPr>
      <w:r w:rsidRPr="00132678">
        <w:rPr>
          <w:rFonts w:cs="Times New Roman"/>
          <w:sz w:val="24"/>
          <w:szCs w:val="24"/>
        </w:rPr>
        <w:t xml:space="preserve">Base effect (performance at the end of the previous year) and performance in the January–September 2024 period; </w:t>
      </w:r>
    </w:p>
    <w:p w14:paraId="008FF308" w14:textId="77777777" w:rsidR="00E425D7" w:rsidRPr="00132678" w:rsidRDefault="00E425D7" w:rsidP="00E425D7">
      <w:pPr>
        <w:pStyle w:val="ListParagraph"/>
        <w:keepLines/>
        <w:widowControl w:val="0"/>
        <w:numPr>
          <w:ilvl w:val="0"/>
          <w:numId w:val="37"/>
        </w:numPr>
        <w:rPr>
          <w:rFonts w:cs="Times New Roman"/>
          <w:sz w:val="24"/>
          <w:szCs w:val="24"/>
        </w:rPr>
      </w:pPr>
      <w:r w:rsidRPr="00132678">
        <w:rPr>
          <w:rFonts w:cs="Times New Roman"/>
          <w:sz w:val="24"/>
          <w:szCs w:val="24"/>
        </w:rPr>
        <w:t xml:space="preserve">Corporate profitability in 2023; </w:t>
      </w:r>
    </w:p>
    <w:p w14:paraId="2D6B2764" w14:textId="77777777" w:rsidR="00E425D7" w:rsidRPr="00132678" w:rsidRDefault="00E425D7" w:rsidP="00E425D7">
      <w:pPr>
        <w:pStyle w:val="ListParagraph"/>
        <w:keepLines/>
        <w:widowControl w:val="0"/>
        <w:numPr>
          <w:ilvl w:val="0"/>
          <w:numId w:val="37"/>
        </w:numPr>
        <w:rPr>
          <w:rFonts w:cs="Times New Roman"/>
          <w:sz w:val="24"/>
          <w:szCs w:val="24"/>
        </w:rPr>
      </w:pPr>
      <w:r w:rsidRPr="00132678">
        <w:rPr>
          <w:rFonts w:cs="Times New Roman"/>
          <w:sz w:val="24"/>
          <w:szCs w:val="24"/>
        </w:rPr>
        <w:t xml:space="preserve">Faster-than-expected growth in personal consumption; </w:t>
      </w:r>
    </w:p>
    <w:p w14:paraId="02D2FB9F" w14:textId="77777777" w:rsidR="00E425D7" w:rsidRPr="00132678" w:rsidRDefault="00E425D7" w:rsidP="00E425D7">
      <w:pPr>
        <w:pStyle w:val="ListParagraph"/>
        <w:keepLines/>
        <w:widowControl w:val="0"/>
        <w:numPr>
          <w:ilvl w:val="0"/>
          <w:numId w:val="37"/>
        </w:numPr>
        <w:rPr>
          <w:rFonts w:cs="Times New Roman"/>
          <w:sz w:val="24"/>
          <w:szCs w:val="24"/>
        </w:rPr>
      </w:pPr>
      <w:r w:rsidRPr="00132678">
        <w:rPr>
          <w:rFonts w:cs="Times New Roman"/>
          <w:sz w:val="24"/>
          <w:szCs w:val="24"/>
        </w:rPr>
        <w:t xml:space="preserve">Increased consumption of excise products; </w:t>
      </w:r>
    </w:p>
    <w:p w14:paraId="730BB05A" w14:textId="77777777" w:rsidR="00E425D7" w:rsidRPr="00132678" w:rsidRDefault="00E425D7" w:rsidP="00E425D7">
      <w:pPr>
        <w:pStyle w:val="ListParagraph"/>
        <w:keepLines/>
        <w:widowControl w:val="0"/>
        <w:numPr>
          <w:ilvl w:val="0"/>
          <w:numId w:val="37"/>
        </w:numPr>
        <w:rPr>
          <w:rFonts w:cs="Times New Roman"/>
          <w:sz w:val="24"/>
          <w:szCs w:val="24"/>
        </w:rPr>
      </w:pPr>
      <w:r w:rsidRPr="00132678">
        <w:rPr>
          <w:rFonts w:cs="Times New Roman"/>
          <w:sz w:val="24"/>
          <w:szCs w:val="24"/>
        </w:rPr>
        <w:lastRenderedPageBreak/>
        <w:t xml:space="preserve">Stronger growth in regular non-tax revenue collection, as well as </w:t>
      </w:r>
      <w:r>
        <w:rPr>
          <w:rFonts w:cs="Times New Roman"/>
          <w:sz w:val="24"/>
          <w:szCs w:val="24"/>
        </w:rPr>
        <w:t>receipts</w:t>
      </w:r>
      <w:r w:rsidRPr="00132678">
        <w:rPr>
          <w:rFonts w:cs="Times New Roman"/>
          <w:sz w:val="24"/>
          <w:szCs w:val="24"/>
        </w:rPr>
        <w:t xml:space="preserve"> of certain extraordinary and one-off non-tax revenues; </w:t>
      </w:r>
    </w:p>
    <w:p w14:paraId="22796DFD" w14:textId="77777777" w:rsidR="00E425D7" w:rsidRPr="00132678" w:rsidRDefault="00E425D7" w:rsidP="00E425D7">
      <w:pPr>
        <w:pStyle w:val="ListParagraph"/>
        <w:keepLines/>
        <w:widowControl w:val="0"/>
        <w:numPr>
          <w:ilvl w:val="0"/>
          <w:numId w:val="37"/>
        </w:numPr>
        <w:rPr>
          <w:rFonts w:cs="Times New Roman"/>
          <w:sz w:val="24"/>
          <w:szCs w:val="24"/>
        </w:rPr>
      </w:pPr>
      <w:r w:rsidRPr="00132678">
        <w:rPr>
          <w:rFonts w:cs="Times New Roman"/>
          <w:sz w:val="24"/>
          <w:szCs w:val="24"/>
        </w:rPr>
        <w:t xml:space="preserve">Favorable developments in the labor market. </w:t>
      </w:r>
    </w:p>
    <w:p w14:paraId="277D4A78" w14:textId="77777777" w:rsidR="00E425D7" w:rsidRPr="0095495B" w:rsidRDefault="00E425D7" w:rsidP="00E425D7">
      <w:pPr>
        <w:keepLines/>
        <w:widowControl w:val="0"/>
        <w:rPr>
          <w:rFonts w:eastAsia="MS PGothic" w:cs="Times New Roman"/>
          <w:szCs w:val="24"/>
          <w:lang w:eastAsia="ja-JP"/>
        </w:rPr>
      </w:pPr>
      <w:r w:rsidRPr="0095495B">
        <w:rPr>
          <w:rFonts w:eastAsia="MS PGothic" w:cs="Times New Roman"/>
          <w:szCs w:val="24"/>
          <w:lang w:eastAsia="ja-JP"/>
        </w:rPr>
        <w:t>The projected revenues from personal income tax have been increased by 17,7 billion dinars compared to the budgeted amount, while the projected revenues from social contributions have been increased by 30 billion dinars. The assumptions of the original projection for these revenues, including the movements in average wages and employment during the past part of 2024, have been above expectations. The estimates of the effects of reducing the tax burden on wages in 2024 have also been considered. The main reason for the increase in the projection of income tax and social contributions is the base effect, as well as developments in the labor market during the past part of the year. Other revenues, except for income tax, which fall under the category of income tax (tax on dividends, tax on interest income, annual income tax, tax on rental income, etc.), have also been revised upward, due to the impact of the base effect and better performance in the past part of the year, primarily from the collection of annual personal income tax.</w:t>
      </w:r>
    </w:p>
    <w:p w14:paraId="0C9EA2FB" w14:textId="77777777" w:rsidR="00E425D7" w:rsidRPr="0095495B" w:rsidRDefault="00E425D7" w:rsidP="00E425D7">
      <w:pPr>
        <w:keepLines/>
        <w:widowControl w:val="0"/>
        <w:rPr>
          <w:rFonts w:eastAsia="MS PGothic" w:cs="Times New Roman"/>
          <w:szCs w:val="24"/>
          <w:lang w:eastAsia="ja-JP"/>
        </w:rPr>
      </w:pPr>
      <w:r w:rsidRPr="0095495B">
        <w:rPr>
          <w:rFonts w:eastAsia="MS PGothic" w:cs="Times New Roman"/>
          <w:szCs w:val="24"/>
          <w:lang w:eastAsia="ja-JP"/>
        </w:rPr>
        <w:t>The revenue estimate from corporate income tax, unlike the previous revision, has been significantly increased compared to the original estimate. The percentage increase of 13,8% is the highest among all types of taxes, while the absolute amount of the increase is 35,5 billion dinars. Final data on profitability were not available at the time of budget planning, so these revenues were planned conservatively. The high amount of corporate income tax generated in 2022 and 2023 has led to an increase in its share of GDP (around 3%) above the average values recorded in the previous period. Following the principle of caution, the original projection predicted a gradual reduction in the share of this tax in GDP, i.e., a return to the average level of the previous period. After the payment of corporate income tax based on the final calculation for 2023 (end of June of the current year), the annual estimate of this tax was revised. The profit of companies operating positively in 2023, according to data from the APR, amounted to 1.297 billion dinars, which is 3,6% higher compared to 2022. The achieved net profit amounted to 972,4 billion dinars, representing an increase of 12,3%.</w:t>
      </w:r>
    </w:p>
    <w:p w14:paraId="3CDF324D" w14:textId="77777777" w:rsidR="00E425D7" w:rsidRPr="0095495B" w:rsidRDefault="00E425D7" w:rsidP="00E425D7">
      <w:pPr>
        <w:keepLines/>
        <w:widowControl w:val="0"/>
        <w:rPr>
          <w:rFonts w:eastAsia="MS PGothic" w:cs="Times New Roman"/>
          <w:szCs w:val="24"/>
          <w:lang w:eastAsia="ja-JP"/>
        </w:rPr>
      </w:pPr>
      <w:r w:rsidRPr="0095495B">
        <w:rPr>
          <w:rFonts w:eastAsia="MS PGothic" w:cs="Times New Roman"/>
          <w:szCs w:val="24"/>
          <w:lang w:eastAsia="ja-JP"/>
        </w:rPr>
        <w:t>Revenue from value-added tax (VAT) has been revised upward by 52 billion dinars, or 5,7% compared to the budget plan. At the end of the previous year, a significantly higher VAT collection was recorded than planned, which served as the basis for planning the current year. This better performance is due to a significant recovery in personal consumption in the last quarter of 2023. This trend continues in 2024. Unlike the previous two years, when consumption patterns and VAT collection were disrupted due to various factors ("panic" consumption, consumption by non-residents, etc.), the pattern now follows expected trends. Real income growth is a key contributor to increased personal consumption and stronger growth in VAT revenues.</w:t>
      </w:r>
    </w:p>
    <w:p w14:paraId="599999E0" w14:textId="77777777" w:rsidR="00E425D7" w:rsidRPr="0095495B" w:rsidRDefault="00E425D7" w:rsidP="00E425D7">
      <w:pPr>
        <w:keepLines/>
        <w:widowControl w:val="0"/>
        <w:rPr>
          <w:rFonts w:eastAsia="MS PGothic" w:cs="Times New Roman"/>
          <w:szCs w:val="24"/>
          <w:lang w:eastAsia="ja-JP"/>
        </w:rPr>
      </w:pPr>
      <w:r w:rsidRPr="0095495B">
        <w:rPr>
          <w:rFonts w:eastAsia="MS PGothic" w:cs="Times New Roman"/>
          <w:szCs w:val="24"/>
          <w:lang w:eastAsia="ja-JP"/>
        </w:rPr>
        <w:t>Customs revenues remain at the level planned in the 2024 budget. The revenue realization during 2024 is in line with expectations. These revenues, to a large extent, although not entirely, follow the dynamics of VAT from imports. However, in the last two years, changes in the structure of import demand (types of goods, geographic areas) have led to modifications in this relationship, so customs revenues have recorded higher growth rates than VAT from imports.</w:t>
      </w:r>
    </w:p>
    <w:p w14:paraId="74B10169" w14:textId="77777777" w:rsidR="00E425D7" w:rsidRPr="0095495B" w:rsidRDefault="00E425D7" w:rsidP="00E425D7">
      <w:pPr>
        <w:keepLines/>
        <w:widowControl w:val="0"/>
        <w:rPr>
          <w:rFonts w:eastAsia="MS PGothic" w:cs="Times New Roman"/>
          <w:szCs w:val="24"/>
          <w:lang w:eastAsia="ja-JP"/>
        </w:rPr>
      </w:pPr>
      <w:r w:rsidRPr="0095495B">
        <w:rPr>
          <w:rFonts w:eastAsia="MS PGothic" w:cs="Times New Roman"/>
          <w:szCs w:val="24"/>
          <w:lang w:eastAsia="ja-JP"/>
        </w:rPr>
        <w:lastRenderedPageBreak/>
        <w:t>The revenue estimate from excise duties has been increased by 12 billion dinars compared to the budget plan. Excise duties on petroleum derivatives have been increased by 5,5 billion dinars, excise duties on tobacco products by 5 billion dinars, while the projection of revenues from other excise duties has been increased by 1,5 billion dinars. Revenues from excise duties on petroleum derivatives were increased primarily due to significantly better performance at the end of the previous year. This trend in revenue collection and consumption continues with most excise products during 2024. Unlike the previous two years, when excise policy was used to mitigate inflationary pressures, this year it has returned to regular flows. Temporary reductions in excise duties on petroleum derivatives were abolished, nominal excise amounts were increased by 8% at the end of last year, and at the beginning of 2024, an adjustment of excise duties in line with the inflation achieved in 2023 was planned. This last measure has been postponed for three months to further mitigate inflationary pressures. Additionally, in 2024, the mechanism for refunding excise duties on petroleum derivatives used in agriculture is set to be re-established. The increase in tobacco excise revenue is, to a lesser extent, the result of better collection than expected at the end of last year, as well as consumption trends of tobacco products in 2024. When preparing the budget, a decline in consumption, which has been present for several years, was assumed. However, market trends show that the expected decline in tobacco product consumption has not occurred according to data for the first six months of this year. The projection of revenues from other excise products (electricity, alcohol, and coffee) has been increased due to slightly better excise revenue performance in all three product categories compared to the plan.</w:t>
      </w:r>
    </w:p>
    <w:p w14:paraId="45900D95" w14:textId="77777777" w:rsidR="00E425D7" w:rsidRPr="0095495B" w:rsidRDefault="00E425D7" w:rsidP="00E425D7">
      <w:pPr>
        <w:keepLines/>
        <w:widowControl w:val="0"/>
        <w:rPr>
          <w:rFonts w:eastAsia="MS PGothic" w:cs="Times New Roman"/>
          <w:szCs w:val="24"/>
          <w:lang w:eastAsia="ja-JP"/>
        </w:rPr>
      </w:pPr>
      <w:r w:rsidRPr="0095495B">
        <w:rPr>
          <w:rFonts w:eastAsia="MS PGothic" w:cs="Times New Roman"/>
          <w:szCs w:val="24"/>
          <w:lang w:eastAsia="ja-JP"/>
        </w:rPr>
        <w:t xml:space="preserve">Non-tax revenues have been revised upward by 20,5 billion dinars, in line with the performance of both regular and extraordinary non-tax revenues. Regular non-tax revenues include various fees, charges (including tolls), fines, revenues from agencies and organizations, and all other revenues that are generated according to the established dynamics during the year, with certain seasonal variations. The increase in the projection of these revenues is mainly due to the growth of interest income from deposited funds and revenues from charges for the use of public goods. Extraordinary non-tax revenues consist of payments of profits from public enterprises and agencies, budget dividends, revenues from the recovery of receivables by the Deposit Insurance Agency, issuance premiums, interest, etc. This group of non-tax revenues has been revised upward due to the collection of revenues that were not included in the original budget plan (NBS profit, budget dividends, </w:t>
      </w:r>
      <w:r>
        <w:rPr>
          <w:rFonts w:eastAsia="MS PGothic" w:cs="Times New Roman"/>
          <w:szCs w:val="24"/>
          <w:lang w:eastAsia="ja-JP"/>
        </w:rPr>
        <w:t xml:space="preserve">bond </w:t>
      </w:r>
      <w:r w:rsidRPr="0095495B">
        <w:rPr>
          <w:rFonts w:eastAsia="MS PGothic" w:cs="Times New Roman"/>
          <w:szCs w:val="24"/>
          <w:lang w:eastAsia="ja-JP"/>
        </w:rPr>
        <w:t>issuance premiums).</w:t>
      </w:r>
    </w:p>
    <w:p w14:paraId="4265F175" w14:textId="77777777" w:rsidR="00E425D7" w:rsidRDefault="00E425D7" w:rsidP="00E425D7">
      <w:pPr>
        <w:keepLines/>
        <w:widowControl w:val="0"/>
        <w:rPr>
          <w:rFonts w:eastAsia="MS PGothic" w:cs="Times New Roman"/>
          <w:szCs w:val="24"/>
          <w:lang w:eastAsia="ja-JP"/>
        </w:rPr>
      </w:pPr>
      <w:r w:rsidRPr="0095495B">
        <w:rPr>
          <w:rFonts w:eastAsia="MS PGothic" w:cs="Times New Roman"/>
          <w:szCs w:val="24"/>
          <w:lang w:eastAsia="ja-JP"/>
        </w:rPr>
        <w:t>As part of the comprehensive improvement of the quality and transparency of government finance statistics, the statistical coverage of the general government sector was expanded again in 2024, in accordance with the dynamics prescribed by the Budget System Law. During the previous year, the coverage was extended to include healthcare institutions with all financing sources, while in 2024, a number of off-budget users (public agencies, scientific institutes, etc.) were included in the reporting system. Based on this, in this year, the statistical coverage of revenues and expenditures of the general government sector has been increased by 20,2 billion dinars. On the revenue side, this refers exclusively to the category of non-tax revenues, while on the expenditure side, the majority of the increase relates to expenditures for employees, with the remainder allocated to other categories. For comparability, the original plan was also adjusted for the same amount, given that this is not due to better revenue realization than planned or exceeding the expenditure plan, but only to the expanded coverage of revenues and expenditures generated by the mentioned institutions. In this way, and according to the planned dynamics of aligning the coverage of the general government sector with international standards, there is an increase in scope and a more accurate representation of consumption at the final users. Certain categories of expenditure are now included in the economic classifications on which they were executed.</w:t>
      </w:r>
    </w:p>
    <w:p w14:paraId="5BECF7A9" w14:textId="77777777" w:rsidR="00E425D7" w:rsidRPr="00BF5A92" w:rsidRDefault="00E425D7" w:rsidP="00E425D7">
      <w:pPr>
        <w:keepLines/>
        <w:widowControl w:val="0"/>
        <w:rPr>
          <w:rFonts w:eastAsia="Calibri" w:cs="Times New Roman"/>
          <w:i/>
          <w:szCs w:val="24"/>
          <w:lang w:val="sr-Cyrl-RS"/>
        </w:rPr>
      </w:pPr>
      <w:r>
        <w:rPr>
          <w:rFonts w:eastAsia="Calibri" w:cs="Times New Roman"/>
          <w:i/>
          <w:szCs w:val="24"/>
          <w:lang w:val="sr-Latn-RS"/>
        </w:rPr>
        <w:lastRenderedPageBreak/>
        <w:t>Graph</w:t>
      </w:r>
      <w:r w:rsidRPr="00BF5A92">
        <w:rPr>
          <w:rFonts w:eastAsia="Calibri" w:cs="Times New Roman"/>
          <w:i/>
          <w:szCs w:val="24"/>
          <w:lang w:val="sr-Cyrl-RS"/>
        </w:rPr>
        <w:t xml:space="preserve"> </w:t>
      </w:r>
      <w:r>
        <w:rPr>
          <w:rFonts w:eastAsia="Calibri" w:cs="Times New Roman"/>
          <w:i/>
          <w:szCs w:val="24"/>
          <w:lang w:val="sr-Latn-RS"/>
        </w:rPr>
        <w:t>5</w:t>
      </w:r>
      <w:r w:rsidRPr="00BF5A92">
        <w:rPr>
          <w:rFonts w:eastAsia="Calibri" w:cs="Times New Roman"/>
          <w:i/>
          <w:szCs w:val="24"/>
          <w:lang w:val="sr-Cyrl-RS"/>
        </w:rPr>
        <w:t xml:space="preserve">. </w:t>
      </w:r>
      <w:r w:rsidRPr="00AF78FE">
        <w:rPr>
          <w:rFonts w:eastAsia="Calibri" w:cs="Times New Roman"/>
          <w:i/>
          <w:szCs w:val="24"/>
          <w:lang w:val="sr-Cyrl-RS"/>
        </w:rPr>
        <w:t>Contribution of factors to the adjustment of fiscal result relative to the plan for 2024, in % GDP</w:t>
      </w:r>
    </w:p>
    <w:p w14:paraId="2CE5E649" w14:textId="77777777" w:rsidR="00E425D7" w:rsidRPr="00AD7E7D" w:rsidRDefault="00E425D7" w:rsidP="00E425D7">
      <w:pPr>
        <w:keepLines/>
        <w:widowControl w:val="0"/>
        <w:jc w:val="center"/>
        <w:rPr>
          <w:rFonts w:eastAsia="Calibri" w:cs="Times New Roman"/>
          <w:szCs w:val="24"/>
          <w:lang w:val="sr-Cyrl-RS"/>
        </w:rPr>
      </w:pPr>
      <w:r w:rsidRPr="00AF78FE">
        <w:rPr>
          <w:b/>
          <w:noProof/>
        </w:rPr>
        <w:drawing>
          <wp:inline distT="0" distB="0" distL="0" distR="0" wp14:anchorId="6B15727C" wp14:editId="30D5E241">
            <wp:extent cx="5691116" cy="3916680"/>
            <wp:effectExtent l="0" t="0" r="5080" b="7620"/>
            <wp:docPr id="12" name="Chart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C05AD6" w14:textId="77777777" w:rsidR="00E425D7" w:rsidRPr="00893005" w:rsidRDefault="00E425D7" w:rsidP="00E425D7">
      <w:pPr>
        <w:keepNext/>
        <w:rPr>
          <w:rFonts w:eastAsia="MS PGothic" w:cs="Times New Roman"/>
          <w:szCs w:val="24"/>
          <w:lang w:eastAsia="ja-JP"/>
        </w:rPr>
      </w:pPr>
      <w:r w:rsidRPr="00893005">
        <w:rPr>
          <w:rFonts w:eastAsia="MS PGothic" w:cs="Times New Roman"/>
          <w:szCs w:val="24"/>
          <w:lang w:eastAsia="ja-JP"/>
        </w:rPr>
        <w:t>The projected expenditure of the general government sector in the revised fiscal framework has been increased by RSD 232,1 billion compared to the budget plan. The largest increase is in capital expenditures, while the largest decrease refers to budgetary loans, which were planned for intervention funds in the energy sector.</w:t>
      </w:r>
    </w:p>
    <w:p w14:paraId="10696ED4" w14:textId="77777777" w:rsidR="00E425D7" w:rsidRPr="00893005" w:rsidRDefault="00E425D7" w:rsidP="00E425D7">
      <w:pPr>
        <w:keepNext/>
        <w:rPr>
          <w:rFonts w:eastAsia="MS PGothic" w:cs="Times New Roman"/>
          <w:szCs w:val="24"/>
          <w:lang w:eastAsia="ja-JP"/>
        </w:rPr>
      </w:pPr>
      <w:r w:rsidRPr="00893005">
        <w:rPr>
          <w:rFonts w:eastAsia="MS PGothic" w:cs="Times New Roman"/>
          <w:szCs w:val="24"/>
          <w:lang w:eastAsia="ja-JP"/>
        </w:rPr>
        <w:t>The projected expenditure for employees in 2024 has been revised upwards by RSD 20,7 billion. This is primarily due to changes in the calculation of salaries for employees in education and the Ministry of Internal Affairs. This projection (as in the original plan) includes expenditure for salaries financed from the own revenues of public agencies and institutions, in the amount of RSD 17 billion. This change, in accordance with the Budget System Law and special fiscal rules, will also result in a shift of the upper permissible limit for wage expenditures as a percentage of GDP.</w:t>
      </w:r>
    </w:p>
    <w:p w14:paraId="37CD7F80" w14:textId="77777777" w:rsidR="00E425D7" w:rsidRPr="00893005" w:rsidRDefault="00E425D7" w:rsidP="00E425D7">
      <w:pPr>
        <w:keepNext/>
        <w:rPr>
          <w:rFonts w:eastAsia="MS PGothic" w:cs="Times New Roman"/>
          <w:szCs w:val="24"/>
          <w:lang w:eastAsia="ja-JP"/>
        </w:rPr>
      </w:pPr>
      <w:r w:rsidRPr="00893005">
        <w:rPr>
          <w:rFonts w:eastAsia="MS PGothic" w:cs="Times New Roman"/>
          <w:szCs w:val="24"/>
          <w:lang w:eastAsia="ja-JP"/>
        </w:rPr>
        <w:t>Expenditures for goods and services have been revised upwards by RSD 34,1 billion. Of this, RSD 15 billion refers to an increase in expenditures for the Health Insurance Fund (RFZO), RSD 15 billion at the level of the Republic budget, while the remaining increase refers to other levels of government. The revision also includes the expenditures resulting from the expansion of the general government sector, amounting to approximately RSD 0,3 billion.</w:t>
      </w:r>
    </w:p>
    <w:p w14:paraId="61A12C16" w14:textId="77777777" w:rsidR="00E425D7" w:rsidRPr="00893005" w:rsidRDefault="00E425D7" w:rsidP="00E425D7">
      <w:pPr>
        <w:keepNext/>
        <w:rPr>
          <w:rFonts w:eastAsia="MS PGothic" w:cs="Times New Roman"/>
          <w:szCs w:val="24"/>
          <w:lang w:eastAsia="ja-JP"/>
        </w:rPr>
      </w:pPr>
      <w:r w:rsidRPr="00893005">
        <w:rPr>
          <w:rFonts w:eastAsia="MS PGothic" w:cs="Times New Roman"/>
          <w:szCs w:val="24"/>
          <w:lang w:eastAsia="ja-JP"/>
        </w:rPr>
        <w:t>The projected expenditure for interest payments has been revised upwards by RSD 1,7 billion compared to the original plan.</w:t>
      </w:r>
    </w:p>
    <w:p w14:paraId="7F2538FB" w14:textId="77777777" w:rsidR="00E425D7" w:rsidRPr="00893005" w:rsidRDefault="00E425D7" w:rsidP="00E425D7">
      <w:pPr>
        <w:keepNext/>
        <w:rPr>
          <w:rFonts w:eastAsia="MS PGothic" w:cs="Times New Roman"/>
          <w:szCs w:val="24"/>
          <w:lang w:eastAsia="ja-JP"/>
        </w:rPr>
      </w:pPr>
      <w:r w:rsidRPr="00893005">
        <w:rPr>
          <w:rFonts w:eastAsia="MS PGothic" w:cs="Times New Roman"/>
          <w:szCs w:val="24"/>
          <w:lang w:eastAsia="ja-JP"/>
        </w:rPr>
        <w:t xml:space="preserve">Expenditures for subsidies have been significantly revised upwards by RSD 33,7 billion. The largest portion of the increase refers to subsidies in agriculture, which have been raised by RSD 17,6 billion. This increase covers higher payments in livestock farming, beekeeping, and other areas. A significant portion of the increase in subsidies also relates to the energy sector, about RSD 12 billion, for the modernization of the electricity consumption measurement system. The </w:t>
      </w:r>
      <w:r w:rsidRPr="00893005">
        <w:rPr>
          <w:rFonts w:eastAsia="MS PGothic" w:cs="Times New Roman"/>
          <w:szCs w:val="24"/>
          <w:lang w:eastAsia="ja-JP"/>
        </w:rPr>
        <w:lastRenderedPageBreak/>
        <w:t xml:space="preserve">remainder of the increase pertains to tourism, environmental protection, and sports. As a result of the expansion of the </w:t>
      </w:r>
      <w:r>
        <w:rPr>
          <w:rFonts w:eastAsia="MS PGothic" w:cs="Times New Roman"/>
          <w:szCs w:val="24"/>
          <w:lang w:eastAsia="ja-JP"/>
        </w:rPr>
        <w:t xml:space="preserve">general government </w:t>
      </w:r>
      <w:r w:rsidRPr="00893005">
        <w:rPr>
          <w:rFonts w:eastAsia="MS PGothic" w:cs="Times New Roman"/>
          <w:szCs w:val="24"/>
          <w:lang w:eastAsia="ja-JP"/>
        </w:rPr>
        <w:t>sector’s coverage, RSD 1,7 billion has been shown within this category of expenditures.</w:t>
      </w:r>
    </w:p>
    <w:p w14:paraId="5207F217" w14:textId="77777777" w:rsidR="00E425D7" w:rsidRPr="00893005" w:rsidRDefault="00E425D7" w:rsidP="00E425D7">
      <w:pPr>
        <w:keepNext/>
        <w:rPr>
          <w:rFonts w:eastAsia="MS PGothic" w:cs="Times New Roman"/>
          <w:szCs w:val="24"/>
          <w:lang w:eastAsia="ja-JP"/>
        </w:rPr>
      </w:pPr>
      <w:r w:rsidRPr="00893005">
        <w:rPr>
          <w:rFonts w:eastAsia="MS PGothic" w:cs="Times New Roman"/>
          <w:szCs w:val="24"/>
          <w:lang w:eastAsia="ja-JP"/>
        </w:rPr>
        <w:t>Expenditures for social protection have been revised upwards by RSD 37,5 billion compared to the original plan. A significant portion of the increase relates to the payment of compensation to maternity leave recipients based on the Constitutional Court decision regarding the method of calculating salary compensation during maternity leave. The effects of this decision have both a one-time impact for retroactive payments based on the calculation of this right from 2018, as well as a permanent effect for future mothers. Amendments to the regulations for financial support to families with children have also been adopted, significantly increasing allowances for parental benefits. Part of the increase is also the result of higher execution of this category of expenditure during 2023.</w:t>
      </w:r>
    </w:p>
    <w:p w14:paraId="15DF2E68" w14:textId="77777777" w:rsidR="00E425D7" w:rsidRPr="00893005" w:rsidRDefault="00E425D7" w:rsidP="00E425D7">
      <w:pPr>
        <w:keepNext/>
        <w:rPr>
          <w:rFonts w:eastAsia="MS PGothic" w:cs="Times New Roman"/>
          <w:szCs w:val="24"/>
          <w:lang w:eastAsia="ja-JP"/>
        </w:rPr>
      </w:pPr>
      <w:r w:rsidRPr="00893005">
        <w:rPr>
          <w:rFonts w:eastAsia="MS PGothic" w:cs="Times New Roman"/>
          <w:szCs w:val="24"/>
          <w:lang w:eastAsia="ja-JP"/>
        </w:rPr>
        <w:t>The projection for other current expenditures in 2024 compared to the original plan has been increased by RSD 20,5 billion, primarily due to a higher projected execution of this category of expenditure at the level of the Republic budget. As a result of the expansion of the general government sector, RSD 1,7 billion has been shown within this category of expenditure.</w:t>
      </w:r>
    </w:p>
    <w:p w14:paraId="2E03FB4A" w14:textId="77777777" w:rsidR="00E425D7" w:rsidRPr="00893005" w:rsidRDefault="00E425D7" w:rsidP="00E425D7">
      <w:pPr>
        <w:keepNext/>
        <w:rPr>
          <w:rFonts w:eastAsia="MS PGothic" w:cs="Times New Roman"/>
          <w:szCs w:val="24"/>
          <w:lang w:eastAsia="ja-JP"/>
        </w:rPr>
      </w:pPr>
      <w:r w:rsidRPr="00893005">
        <w:rPr>
          <w:rFonts w:eastAsia="MS PGothic" w:cs="Times New Roman"/>
          <w:szCs w:val="24"/>
          <w:lang w:eastAsia="ja-JP"/>
        </w:rPr>
        <w:t>It is estimated that public investment realization will exceed the original plan by RSD 111,1 billion. The majority of this increase relates to infrastructure projects, namely the construction of road and railway infrastructure, as well as the procurement of equipment for the security sector. Capital expenditures are projected to reach 7,4% of GDP in 2024. The inclusion of capital expenditures by public agencies and institutions has led to an increase in both the original and revised plans by RSD 1,5 billion.</w:t>
      </w:r>
    </w:p>
    <w:p w14:paraId="330107E4" w14:textId="77777777" w:rsidR="00B7761B" w:rsidRDefault="00E425D7" w:rsidP="00E425D7">
      <w:pPr>
        <w:keepNext/>
        <w:rPr>
          <w:rFonts w:eastAsia="MS PGothic" w:cs="Times New Roman"/>
          <w:szCs w:val="24"/>
          <w:lang w:eastAsia="ja-JP"/>
        </w:rPr>
        <w:sectPr w:rsidR="00B7761B" w:rsidSect="005B6328">
          <w:pgSz w:w="11906" w:h="16838" w:code="9"/>
          <w:pgMar w:top="1440" w:right="1440" w:bottom="1440" w:left="1440" w:header="720" w:footer="720" w:gutter="0"/>
          <w:pgNumType w:start="1"/>
          <w:cols w:space="720"/>
          <w:docGrid w:linePitch="360"/>
        </w:sectPr>
      </w:pPr>
      <w:r w:rsidRPr="00893005">
        <w:rPr>
          <w:rFonts w:eastAsia="MS PGothic" w:cs="Times New Roman"/>
          <w:szCs w:val="24"/>
          <w:lang w:eastAsia="ja-JP"/>
        </w:rPr>
        <w:t>The planned amount of budgetary loans, which includes funds for the procurement of energy supplies, has been significantly revised downwards by RSD 28,2 billion. The expansion of the general government sector also impacted this category of expenditure, in terms of the</w:t>
      </w:r>
      <w:r w:rsidR="00C91243">
        <w:rPr>
          <w:rFonts w:eastAsia="MS PGothic" w:cs="Times New Roman"/>
          <w:szCs w:val="24"/>
          <w:lang w:eastAsia="ja-JP"/>
        </w:rPr>
        <w:t xml:space="preserve"> </w:t>
      </w:r>
      <w:r w:rsidRPr="00893005">
        <w:rPr>
          <w:rFonts w:eastAsia="MS PGothic" w:cs="Times New Roman"/>
          <w:szCs w:val="24"/>
          <w:lang w:eastAsia="ja-JP"/>
        </w:rPr>
        <w:t>reclassification of part of the expenditure, which is executed through the Development Fund, in the amount of RSD 2 billion, to other categories.</w:t>
      </w:r>
    </w:p>
    <w:p w14:paraId="5215C57D" w14:textId="77777777" w:rsidR="00E425D7" w:rsidRPr="00BF5A92" w:rsidRDefault="00E425D7" w:rsidP="00E425D7">
      <w:pPr>
        <w:keepNext/>
        <w:rPr>
          <w:rFonts w:eastAsia="MS PGothic" w:cs="Times New Roman"/>
          <w:i/>
          <w:szCs w:val="24"/>
          <w:lang w:val="sr-Cyrl-RS" w:eastAsia="ja-JP"/>
        </w:rPr>
      </w:pPr>
      <w:r>
        <w:rPr>
          <w:rFonts w:eastAsia="MS PGothic" w:cs="Times New Roman"/>
          <w:i/>
          <w:szCs w:val="24"/>
          <w:lang w:val="sr-Latn-RS" w:eastAsia="ja-JP"/>
        </w:rPr>
        <w:lastRenderedPageBreak/>
        <w:t>Table</w:t>
      </w:r>
      <w:r w:rsidRPr="00BF5A92">
        <w:rPr>
          <w:rFonts w:eastAsia="MS PGothic" w:cs="Times New Roman"/>
          <w:i/>
          <w:szCs w:val="24"/>
          <w:lang w:val="sr-Cyrl-RS" w:eastAsia="ja-JP"/>
        </w:rPr>
        <w:t xml:space="preserve"> 5. </w:t>
      </w:r>
      <w:r w:rsidRPr="007215D7">
        <w:rPr>
          <w:rFonts w:eastAsia="MS PGothic" w:cs="Times New Roman"/>
          <w:i/>
          <w:szCs w:val="24"/>
          <w:lang w:val="sr-Cyrl-RS" w:eastAsia="ja-JP"/>
        </w:rPr>
        <w:t>General government revenues, expenditures a</w:t>
      </w:r>
      <w:r>
        <w:rPr>
          <w:rFonts w:eastAsia="MS PGothic" w:cs="Times New Roman"/>
          <w:i/>
          <w:szCs w:val="24"/>
          <w:lang w:val="sr-Cyrl-RS" w:eastAsia="ja-JP"/>
        </w:rPr>
        <w:t>nd fiscal result, January-</w:t>
      </w:r>
      <w:r>
        <w:rPr>
          <w:rFonts w:eastAsia="MS PGothic" w:cs="Times New Roman"/>
          <w:i/>
          <w:szCs w:val="24"/>
          <w:lang w:val="sr-Latn-RS" w:eastAsia="ja-JP"/>
        </w:rPr>
        <w:t>September</w:t>
      </w:r>
      <w:r w:rsidRPr="007215D7">
        <w:rPr>
          <w:rFonts w:eastAsia="MS PGothic" w:cs="Times New Roman"/>
          <w:i/>
          <w:szCs w:val="24"/>
          <w:lang w:val="sr-Cyrl-RS" w:eastAsia="ja-JP"/>
        </w:rPr>
        <w:t xml:space="preserve"> 2023 and 2024, in RSD bln</w:t>
      </w:r>
    </w:p>
    <w:tbl>
      <w:tblPr>
        <w:tblW w:w="5000" w:type="pct"/>
        <w:jc w:val="right"/>
        <w:tblBorders>
          <w:top w:val="single" w:sz="4" w:space="0" w:color="002060"/>
          <w:left w:val="single" w:sz="4" w:space="0" w:color="002060"/>
          <w:bottom w:val="single" w:sz="4" w:space="0" w:color="002060"/>
          <w:right w:val="single" w:sz="4" w:space="0" w:color="002060"/>
        </w:tblBorders>
        <w:tblLook w:val="04A0" w:firstRow="1" w:lastRow="0" w:firstColumn="1" w:lastColumn="0" w:noHBand="0" w:noVBand="1"/>
      </w:tblPr>
      <w:tblGrid>
        <w:gridCol w:w="3796"/>
        <w:gridCol w:w="1740"/>
        <w:gridCol w:w="1740"/>
        <w:gridCol w:w="1740"/>
      </w:tblGrid>
      <w:tr w:rsidR="00E425D7" w:rsidRPr="007215D7" w14:paraId="04CAAEE6" w14:textId="77777777" w:rsidTr="008C56D0">
        <w:trPr>
          <w:trHeight w:val="242"/>
          <w:tblHeader/>
          <w:jc w:val="right"/>
        </w:trPr>
        <w:tc>
          <w:tcPr>
            <w:tcW w:w="2105" w:type="pct"/>
            <w:shd w:val="clear" w:color="auto" w:fill="auto"/>
            <w:noWrap/>
            <w:vAlign w:val="center"/>
            <w:hideMark/>
          </w:tcPr>
          <w:p w14:paraId="28462D25" w14:textId="77777777" w:rsidR="00E425D7" w:rsidRPr="007215D7" w:rsidRDefault="00E425D7" w:rsidP="008C56D0">
            <w:pPr>
              <w:spacing w:after="0"/>
              <w:rPr>
                <w:rFonts w:cs="Times New Roman"/>
                <w:sz w:val="20"/>
                <w:szCs w:val="20"/>
              </w:rPr>
            </w:pPr>
          </w:p>
        </w:tc>
        <w:tc>
          <w:tcPr>
            <w:tcW w:w="965" w:type="pct"/>
            <w:shd w:val="clear" w:color="auto" w:fill="auto"/>
            <w:vAlign w:val="center"/>
            <w:hideMark/>
          </w:tcPr>
          <w:p w14:paraId="273EAB07" w14:textId="77777777" w:rsidR="00E425D7" w:rsidRPr="007215D7" w:rsidRDefault="00E425D7" w:rsidP="008C56D0">
            <w:pPr>
              <w:spacing w:after="0"/>
              <w:jc w:val="center"/>
              <w:rPr>
                <w:rFonts w:eastAsia="MS PGothic" w:cs="Times New Roman"/>
                <w:sz w:val="20"/>
                <w:szCs w:val="20"/>
                <w:lang w:eastAsia="ja-JP"/>
              </w:rPr>
            </w:pPr>
            <w:r w:rsidRPr="007215D7">
              <w:rPr>
                <w:rFonts w:eastAsia="MS PGothic" w:cs="Times New Roman"/>
                <w:sz w:val="20"/>
                <w:szCs w:val="20"/>
                <w:lang w:eastAsia="ja-JP"/>
              </w:rPr>
              <w:t xml:space="preserve"> I–I</w:t>
            </w:r>
            <w:r w:rsidRPr="007215D7">
              <w:rPr>
                <w:rFonts w:eastAsia="MS PGothic" w:cs="Times New Roman"/>
                <w:sz w:val="20"/>
                <w:szCs w:val="20"/>
                <w:lang w:val="sr-Latn-RS" w:eastAsia="ja-JP"/>
              </w:rPr>
              <w:t>X</w:t>
            </w:r>
            <w:r w:rsidRPr="007215D7">
              <w:rPr>
                <w:rFonts w:eastAsia="MS PGothic" w:cs="Times New Roman"/>
                <w:sz w:val="20"/>
                <w:szCs w:val="20"/>
                <w:lang w:eastAsia="ja-JP"/>
              </w:rPr>
              <w:t xml:space="preserve"> 2023</w:t>
            </w:r>
          </w:p>
        </w:tc>
        <w:tc>
          <w:tcPr>
            <w:tcW w:w="965" w:type="pct"/>
            <w:shd w:val="clear" w:color="auto" w:fill="auto"/>
            <w:vAlign w:val="center"/>
            <w:hideMark/>
          </w:tcPr>
          <w:p w14:paraId="2A33E311" w14:textId="77777777" w:rsidR="00E425D7" w:rsidRPr="007215D7" w:rsidRDefault="00E425D7" w:rsidP="008C56D0">
            <w:pPr>
              <w:spacing w:after="0"/>
              <w:jc w:val="center"/>
              <w:rPr>
                <w:rFonts w:eastAsia="MS PGothic" w:cs="Times New Roman"/>
                <w:sz w:val="20"/>
                <w:szCs w:val="20"/>
                <w:lang w:eastAsia="ja-JP"/>
              </w:rPr>
            </w:pPr>
            <w:r w:rsidRPr="007215D7">
              <w:rPr>
                <w:rFonts w:eastAsia="MS PGothic" w:cs="Times New Roman"/>
                <w:sz w:val="20"/>
                <w:szCs w:val="20"/>
                <w:lang w:eastAsia="ja-JP"/>
              </w:rPr>
              <w:t>I–IX 2024*</w:t>
            </w:r>
          </w:p>
        </w:tc>
        <w:tc>
          <w:tcPr>
            <w:tcW w:w="966" w:type="pct"/>
            <w:shd w:val="clear" w:color="auto" w:fill="auto"/>
            <w:vAlign w:val="center"/>
            <w:hideMark/>
          </w:tcPr>
          <w:p w14:paraId="239ACD82" w14:textId="77777777" w:rsidR="00E425D7" w:rsidRPr="007215D7" w:rsidRDefault="00E425D7" w:rsidP="008C56D0">
            <w:pPr>
              <w:spacing w:after="0"/>
              <w:jc w:val="center"/>
              <w:rPr>
                <w:rFonts w:eastAsia="MS PGothic" w:cs="Times New Roman"/>
                <w:sz w:val="20"/>
                <w:szCs w:val="20"/>
                <w:lang w:eastAsia="ja-JP"/>
              </w:rPr>
            </w:pPr>
            <w:r w:rsidRPr="007215D7">
              <w:rPr>
                <w:rFonts w:eastAsia="MS PGothic" w:cs="Times New Roman"/>
                <w:sz w:val="20"/>
                <w:szCs w:val="20"/>
                <w:lang w:eastAsia="ja-JP"/>
              </w:rPr>
              <w:t>2024 plan/2023 execution nominal growth, in %</w:t>
            </w:r>
          </w:p>
        </w:tc>
      </w:tr>
      <w:tr w:rsidR="00E425D7" w:rsidRPr="007215D7" w14:paraId="6518E78D" w14:textId="77777777" w:rsidTr="008C56D0">
        <w:trPr>
          <w:trHeight w:val="242"/>
          <w:tblHeader/>
          <w:jc w:val="right"/>
        </w:trPr>
        <w:tc>
          <w:tcPr>
            <w:tcW w:w="2105" w:type="pct"/>
            <w:shd w:val="clear" w:color="auto" w:fill="E7E6E6" w:themeFill="background2"/>
            <w:noWrap/>
            <w:vAlign w:val="center"/>
            <w:hideMark/>
          </w:tcPr>
          <w:p w14:paraId="6EA469A5" w14:textId="77777777" w:rsidR="00E425D7" w:rsidRPr="008B1CE8" w:rsidRDefault="00E425D7" w:rsidP="008C56D0">
            <w:pPr>
              <w:spacing w:after="0"/>
              <w:jc w:val="left"/>
              <w:rPr>
                <w:rFonts w:cs="Times New Roman"/>
                <w:color w:val="000000" w:themeColor="text1"/>
                <w:sz w:val="20"/>
                <w:szCs w:val="20"/>
              </w:rPr>
            </w:pPr>
            <w:r w:rsidRPr="008B1CE8">
              <w:rPr>
                <w:rFonts w:eastAsia="MS PGothic" w:cstheme="minorHAnsi"/>
                <w:color w:val="000000" w:themeColor="text1"/>
                <w:sz w:val="20"/>
                <w:szCs w:val="20"/>
                <w:lang w:val="sr-Latn-RS" w:eastAsia="ja-JP"/>
              </w:rPr>
              <w:t>PUBLIC REVENUES</w:t>
            </w:r>
          </w:p>
        </w:tc>
        <w:tc>
          <w:tcPr>
            <w:tcW w:w="965" w:type="pct"/>
            <w:shd w:val="clear" w:color="auto" w:fill="E7E6E6" w:themeFill="background2"/>
            <w:hideMark/>
          </w:tcPr>
          <w:p w14:paraId="3475D2B5"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2.516,7</w:t>
            </w:r>
          </w:p>
        </w:tc>
        <w:tc>
          <w:tcPr>
            <w:tcW w:w="965" w:type="pct"/>
            <w:shd w:val="clear" w:color="auto" w:fill="E7E6E6" w:themeFill="background2"/>
            <w:hideMark/>
          </w:tcPr>
          <w:p w14:paraId="272135A8"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2.878,3</w:t>
            </w:r>
          </w:p>
        </w:tc>
        <w:tc>
          <w:tcPr>
            <w:tcW w:w="966" w:type="pct"/>
            <w:shd w:val="clear" w:color="auto" w:fill="E7E6E6" w:themeFill="background2"/>
            <w:hideMark/>
          </w:tcPr>
          <w:p w14:paraId="401447F2"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14,4</w:t>
            </w:r>
          </w:p>
        </w:tc>
      </w:tr>
      <w:tr w:rsidR="00E425D7" w:rsidRPr="007215D7" w14:paraId="6E22FD40" w14:textId="77777777" w:rsidTr="008C56D0">
        <w:trPr>
          <w:trHeight w:val="242"/>
          <w:tblHeader/>
          <w:jc w:val="right"/>
        </w:trPr>
        <w:tc>
          <w:tcPr>
            <w:tcW w:w="2105" w:type="pct"/>
            <w:shd w:val="clear" w:color="auto" w:fill="auto"/>
            <w:noWrap/>
            <w:vAlign w:val="center"/>
            <w:hideMark/>
          </w:tcPr>
          <w:p w14:paraId="077807DC"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Current revenues</w:t>
            </w:r>
          </w:p>
        </w:tc>
        <w:tc>
          <w:tcPr>
            <w:tcW w:w="965" w:type="pct"/>
            <w:shd w:val="clear" w:color="auto" w:fill="auto"/>
            <w:hideMark/>
          </w:tcPr>
          <w:p w14:paraId="22D22B29"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2.486,7</w:t>
            </w:r>
          </w:p>
        </w:tc>
        <w:tc>
          <w:tcPr>
            <w:tcW w:w="965" w:type="pct"/>
            <w:shd w:val="clear" w:color="auto" w:fill="auto"/>
            <w:noWrap/>
            <w:hideMark/>
          </w:tcPr>
          <w:p w14:paraId="73CE8C1F"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2.866,0</w:t>
            </w:r>
          </w:p>
        </w:tc>
        <w:tc>
          <w:tcPr>
            <w:tcW w:w="966" w:type="pct"/>
            <w:shd w:val="clear" w:color="auto" w:fill="auto"/>
            <w:hideMark/>
          </w:tcPr>
          <w:p w14:paraId="55E2855C"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15,3</w:t>
            </w:r>
          </w:p>
        </w:tc>
      </w:tr>
      <w:tr w:rsidR="00E425D7" w:rsidRPr="007215D7" w14:paraId="7E2B4835" w14:textId="77777777" w:rsidTr="008C56D0">
        <w:trPr>
          <w:trHeight w:val="242"/>
          <w:tblHeader/>
          <w:jc w:val="right"/>
        </w:trPr>
        <w:tc>
          <w:tcPr>
            <w:tcW w:w="2105" w:type="pct"/>
            <w:shd w:val="clear" w:color="auto" w:fill="auto"/>
            <w:noWrap/>
            <w:vAlign w:val="center"/>
            <w:hideMark/>
          </w:tcPr>
          <w:p w14:paraId="4F5A707E"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Tax revenues</w:t>
            </w:r>
          </w:p>
        </w:tc>
        <w:tc>
          <w:tcPr>
            <w:tcW w:w="965" w:type="pct"/>
            <w:shd w:val="clear" w:color="auto" w:fill="auto"/>
            <w:hideMark/>
          </w:tcPr>
          <w:p w14:paraId="5B9A6F82"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2.244,3</w:t>
            </w:r>
          </w:p>
        </w:tc>
        <w:tc>
          <w:tcPr>
            <w:tcW w:w="965" w:type="pct"/>
            <w:shd w:val="clear" w:color="auto" w:fill="auto"/>
            <w:hideMark/>
          </w:tcPr>
          <w:p w14:paraId="4EB4B0FB"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2.573,6</w:t>
            </w:r>
          </w:p>
        </w:tc>
        <w:tc>
          <w:tcPr>
            <w:tcW w:w="966" w:type="pct"/>
            <w:shd w:val="clear" w:color="auto" w:fill="auto"/>
            <w:hideMark/>
          </w:tcPr>
          <w:p w14:paraId="04F67676"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14,7</w:t>
            </w:r>
          </w:p>
        </w:tc>
      </w:tr>
      <w:tr w:rsidR="00E425D7" w:rsidRPr="007215D7" w14:paraId="37B4E7DA" w14:textId="77777777" w:rsidTr="008C56D0">
        <w:trPr>
          <w:trHeight w:val="242"/>
          <w:tblHeader/>
          <w:jc w:val="right"/>
        </w:trPr>
        <w:tc>
          <w:tcPr>
            <w:tcW w:w="2105" w:type="pct"/>
            <w:shd w:val="clear" w:color="auto" w:fill="auto"/>
            <w:noWrap/>
            <w:vAlign w:val="center"/>
            <w:hideMark/>
          </w:tcPr>
          <w:p w14:paraId="5D7E140F"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Personal income tax</w:t>
            </w:r>
          </w:p>
        </w:tc>
        <w:tc>
          <w:tcPr>
            <w:tcW w:w="965" w:type="pct"/>
            <w:shd w:val="clear" w:color="auto" w:fill="auto"/>
            <w:hideMark/>
          </w:tcPr>
          <w:p w14:paraId="48D47890"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251,5</w:t>
            </w:r>
          </w:p>
        </w:tc>
        <w:tc>
          <w:tcPr>
            <w:tcW w:w="965" w:type="pct"/>
            <w:shd w:val="clear" w:color="auto" w:fill="auto"/>
            <w:hideMark/>
          </w:tcPr>
          <w:p w14:paraId="1A22027C"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290,9</w:t>
            </w:r>
          </w:p>
        </w:tc>
        <w:tc>
          <w:tcPr>
            <w:tcW w:w="966" w:type="pct"/>
            <w:shd w:val="clear" w:color="auto" w:fill="auto"/>
            <w:hideMark/>
          </w:tcPr>
          <w:p w14:paraId="25C5FE2E"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15,7</w:t>
            </w:r>
          </w:p>
        </w:tc>
      </w:tr>
      <w:tr w:rsidR="00E425D7" w:rsidRPr="007215D7" w14:paraId="73209E5F" w14:textId="77777777" w:rsidTr="008C56D0">
        <w:trPr>
          <w:trHeight w:val="242"/>
          <w:tblHeader/>
          <w:jc w:val="right"/>
        </w:trPr>
        <w:tc>
          <w:tcPr>
            <w:tcW w:w="2105" w:type="pct"/>
            <w:shd w:val="clear" w:color="auto" w:fill="auto"/>
            <w:noWrap/>
            <w:vAlign w:val="center"/>
            <w:hideMark/>
          </w:tcPr>
          <w:p w14:paraId="322F786D"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Corporate income tax</w:t>
            </w:r>
          </w:p>
        </w:tc>
        <w:tc>
          <w:tcPr>
            <w:tcW w:w="965" w:type="pct"/>
            <w:shd w:val="clear" w:color="auto" w:fill="auto"/>
            <w:hideMark/>
          </w:tcPr>
          <w:p w14:paraId="622BCC75"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220,6</w:t>
            </w:r>
          </w:p>
        </w:tc>
        <w:tc>
          <w:tcPr>
            <w:tcW w:w="965" w:type="pct"/>
            <w:shd w:val="clear" w:color="auto" w:fill="auto"/>
            <w:hideMark/>
          </w:tcPr>
          <w:p w14:paraId="454F7CB2"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245,1</w:t>
            </w:r>
          </w:p>
        </w:tc>
        <w:tc>
          <w:tcPr>
            <w:tcW w:w="966" w:type="pct"/>
            <w:shd w:val="clear" w:color="auto" w:fill="auto"/>
            <w:hideMark/>
          </w:tcPr>
          <w:p w14:paraId="156F8A7D"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11,1</w:t>
            </w:r>
          </w:p>
        </w:tc>
      </w:tr>
      <w:tr w:rsidR="00E425D7" w:rsidRPr="007215D7" w14:paraId="68B276B8" w14:textId="77777777" w:rsidTr="008C56D0">
        <w:trPr>
          <w:trHeight w:val="242"/>
          <w:tblHeader/>
          <w:jc w:val="right"/>
        </w:trPr>
        <w:tc>
          <w:tcPr>
            <w:tcW w:w="2105" w:type="pct"/>
            <w:shd w:val="clear" w:color="auto" w:fill="auto"/>
            <w:noWrap/>
            <w:vAlign w:val="center"/>
            <w:hideMark/>
          </w:tcPr>
          <w:p w14:paraId="45688EDC"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VAT</w:t>
            </w:r>
          </w:p>
        </w:tc>
        <w:tc>
          <w:tcPr>
            <w:tcW w:w="965" w:type="pct"/>
            <w:shd w:val="clear" w:color="auto" w:fill="auto"/>
            <w:hideMark/>
          </w:tcPr>
          <w:p w14:paraId="573D5A93"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598,6</w:t>
            </w:r>
          </w:p>
        </w:tc>
        <w:tc>
          <w:tcPr>
            <w:tcW w:w="965" w:type="pct"/>
            <w:shd w:val="clear" w:color="auto" w:fill="auto"/>
            <w:hideMark/>
          </w:tcPr>
          <w:p w14:paraId="67C88C45"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697,7</w:t>
            </w:r>
          </w:p>
        </w:tc>
        <w:tc>
          <w:tcPr>
            <w:tcW w:w="966" w:type="pct"/>
            <w:shd w:val="clear" w:color="auto" w:fill="auto"/>
            <w:hideMark/>
          </w:tcPr>
          <w:p w14:paraId="13BA2F3A"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16,6</w:t>
            </w:r>
          </w:p>
        </w:tc>
      </w:tr>
      <w:tr w:rsidR="00E425D7" w:rsidRPr="007215D7" w14:paraId="0B257184" w14:textId="77777777" w:rsidTr="008C56D0">
        <w:trPr>
          <w:trHeight w:val="242"/>
          <w:tblHeader/>
          <w:jc w:val="right"/>
        </w:trPr>
        <w:tc>
          <w:tcPr>
            <w:tcW w:w="2105" w:type="pct"/>
            <w:shd w:val="clear" w:color="auto" w:fill="auto"/>
            <w:noWrap/>
            <w:vAlign w:val="center"/>
            <w:hideMark/>
          </w:tcPr>
          <w:p w14:paraId="218168F5"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Excises</w:t>
            </w:r>
          </w:p>
        </w:tc>
        <w:tc>
          <w:tcPr>
            <w:tcW w:w="965" w:type="pct"/>
            <w:shd w:val="clear" w:color="auto" w:fill="auto"/>
            <w:hideMark/>
          </w:tcPr>
          <w:p w14:paraId="7CA438FF"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269,4</w:t>
            </w:r>
          </w:p>
        </w:tc>
        <w:tc>
          <w:tcPr>
            <w:tcW w:w="965" w:type="pct"/>
            <w:shd w:val="clear" w:color="auto" w:fill="auto"/>
            <w:hideMark/>
          </w:tcPr>
          <w:p w14:paraId="432B7F1B"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306,5</w:t>
            </w:r>
          </w:p>
        </w:tc>
        <w:tc>
          <w:tcPr>
            <w:tcW w:w="966" w:type="pct"/>
            <w:shd w:val="clear" w:color="auto" w:fill="auto"/>
            <w:hideMark/>
          </w:tcPr>
          <w:p w14:paraId="76B7FB02"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13,7</w:t>
            </w:r>
          </w:p>
        </w:tc>
      </w:tr>
      <w:tr w:rsidR="00E425D7" w:rsidRPr="007215D7" w14:paraId="10530438" w14:textId="77777777" w:rsidTr="008C56D0">
        <w:trPr>
          <w:trHeight w:val="242"/>
          <w:tblHeader/>
          <w:jc w:val="right"/>
        </w:trPr>
        <w:tc>
          <w:tcPr>
            <w:tcW w:w="2105" w:type="pct"/>
            <w:shd w:val="clear" w:color="auto" w:fill="auto"/>
            <w:noWrap/>
            <w:vAlign w:val="center"/>
            <w:hideMark/>
          </w:tcPr>
          <w:p w14:paraId="36809D1C"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Customs</w:t>
            </w:r>
          </w:p>
        </w:tc>
        <w:tc>
          <w:tcPr>
            <w:tcW w:w="965" w:type="pct"/>
            <w:shd w:val="clear" w:color="auto" w:fill="auto"/>
            <w:hideMark/>
          </w:tcPr>
          <w:p w14:paraId="7F1811EF"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59,1</w:t>
            </w:r>
          </w:p>
        </w:tc>
        <w:tc>
          <w:tcPr>
            <w:tcW w:w="965" w:type="pct"/>
            <w:shd w:val="clear" w:color="auto" w:fill="auto"/>
            <w:hideMark/>
          </w:tcPr>
          <w:p w14:paraId="59750B10"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64,7</w:t>
            </w:r>
          </w:p>
        </w:tc>
        <w:tc>
          <w:tcPr>
            <w:tcW w:w="966" w:type="pct"/>
            <w:shd w:val="clear" w:color="auto" w:fill="auto"/>
            <w:hideMark/>
          </w:tcPr>
          <w:p w14:paraId="7A364DC9"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12,0</w:t>
            </w:r>
          </w:p>
        </w:tc>
      </w:tr>
      <w:tr w:rsidR="00E425D7" w:rsidRPr="007215D7" w14:paraId="6D2975C1" w14:textId="77777777" w:rsidTr="008C56D0">
        <w:trPr>
          <w:trHeight w:val="242"/>
          <w:tblHeader/>
          <w:jc w:val="right"/>
        </w:trPr>
        <w:tc>
          <w:tcPr>
            <w:tcW w:w="2105" w:type="pct"/>
            <w:shd w:val="clear" w:color="auto" w:fill="auto"/>
            <w:noWrap/>
            <w:vAlign w:val="center"/>
            <w:hideMark/>
          </w:tcPr>
          <w:p w14:paraId="5BD596E8"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Other tax revenues</w:t>
            </w:r>
          </w:p>
        </w:tc>
        <w:tc>
          <w:tcPr>
            <w:tcW w:w="965" w:type="pct"/>
            <w:shd w:val="clear" w:color="auto" w:fill="auto"/>
            <w:hideMark/>
          </w:tcPr>
          <w:p w14:paraId="2C0B35D2"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79,5</w:t>
            </w:r>
          </w:p>
        </w:tc>
        <w:tc>
          <w:tcPr>
            <w:tcW w:w="965" w:type="pct"/>
            <w:shd w:val="clear" w:color="auto" w:fill="auto"/>
            <w:hideMark/>
          </w:tcPr>
          <w:p w14:paraId="451C9693"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84,3</w:t>
            </w:r>
          </w:p>
        </w:tc>
        <w:tc>
          <w:tcPr>
            <w:tcW w:w="966" w:type="pct"/>
            <w:shd w:val="clear" w:color="auto" w:fill="auto"/>
            <w:hideMark/>
          </w:tcPr>
          <w:p w14:paraId="74C964B5"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6,0</w:t>
            </w:r>
          </w:p>
        </w:tc>
      </w:tr>
      <w:tr w:rsidR="00E425D7" w:rsidRPr="007215D7" w14:paraId="36EDA826" w14:textId="77777777" w:rsidTr="008C56D0">
        <w:trPr>
          <w:trHeight w:val="242"/>
          <w:tblHeader/>
          <w:jc w:val="right"/>
        </w:trPr>
        <w:tc>
          <w:tcPr>
            <w:tcW w:w="2105" w:type="pct"/>
            <w:shd w:val="clear" w:color="auto" w:fill="auto"/>
            <w:noWrap/>
            <w:vAlign w:val="center"/>
            <w:hideMark/>
          </w:tcPr>
          <w:p w14:paraId="6A974CA5"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Contributions</w:t>
            </w:r>
          </w:p>
        </w:tc>
        <w:tc>
          <w:tcPr>
            <w:tcW w:w="965" w:type="pct"/>
            <w:shd w:val="clear" w:color="auto" w:fill="auto"/>
            <w:hideMark/>
          </w:tcPr>
          <w:p w14:paraId="4964468F"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765,6</w:t>
            </w:r>
          </w:p>
        </w:tc>
        <w:tc>
          <w:tcPr>
            <w:tcW w:w="965" w:type="pct"/>
            <w:shd w:val="clear" w:color="auto" w:fill="auto"/>
            <w:hideMark/>
          </w:tcPr>
          <w:p w14:paraId="26F3B604"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884,4</w:t>
            </w:r>
          </w:p>
        </w:tc>
        <w:tc>
          <w:tcPr>
            <w:tcW w:w="966" w:type="pct"/>
            <w:shd w:val="clear" w:color="auto" w:fill="auto"/>
            <w:hideMark/>
          </w:tcPr>
          <w:p w14:paraId="6E9A77AA"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15,5</w:t>
            </w:r>
          </w:p>
        </w:tc>
      </w:tr>
      <w:tr w:rsidR="00E425D7" w:rsidRPr="007215D7" w14:paraId="613673BE" w14:textId="77777777" w:rsidTr="008C56D0">
        <w:trPr>
          <w:trHeight w:val="242"/>
          <w:tblHeader/>
          <w:jc w:val="right"/>
        </w:trPr>
        <w:tc>
          <w:tcPr>
            <w:tcW w:w="2105" w:type="pct"/>
            <w:shd w:val="clear" w:color="auto" w:fill="auto"/>
            <w:noWrap/>
            <w:vAlign w:val="center"/>
            <w:hideMark/>
          </w:tcPr>
          <w:p w14:paraId="56588927"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Non-tax revenues</w:t>
            </w:r>
          </w:p>
        </w:tc>
        <w:tc>
          <w:tcPr>
            <w:tcW w:w="965" w:type="pct"/>
            <w:shd w:val="clear" w:color="auto" w:fill="auto"/>
            <w:hideMark/>
          </w:tcPr>
          <w:p w14:paraId="1D9284B9"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242,3</w:t>
            </w:r>
          </w:p>
        </w:tc>
        <w:tc>
          <w:tcPr>
            <w:tcW w:w="965" w:type="pct"/>
            <w:shd w:val="clear" w:color="auto" w:fill="auto"/>
            <w:hideMark/>
          </w:tcPr>
          <w:p w14:paraId="18FA61BC"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292,4</w:t>
            </w:r>
          </w:p>
        </w:tc>
        <w:tc>
          <w:tcPr>
            <w:tcW w:w="966" w:type="pct"/>
            <w:shd w:val="clear" w:color="auto" w:fill="auto"/>
            <w:hideMark/>
          </w:tcPr>
          <w:p w14:paraId="5884296F"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20,7</w:t>
            </w:r>
          </w:p>
        </w:tc>
      </w:tr>
      <w:tr w:rsidR="00E425D7" w:rsidRPr="007215D7" w14:paraId="25663DD8" w14:textId="77777777" w:rsidTr="008C56D0">
        <w:trPr>
          <w:trHeight w:val="242"/>
          <w:tblHeader/>
          <w:jc w:val="right"/>
        </w:trPr>
        <w:tc>
          <w:tcPr>
            <w:tcW w:w="2105" w:type="pct"/>
            <w:shd w:val="clear" w:color="auto" w:fill="auto"/>
            <w:noWrap/>
            <w:vAlign w:val="center"/>
            <w:hideMark/>
          </w:tcPr>
          <w:p w14:paraId="010339DC"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Grants</w:t>
            </w:r>
          </w:p>
        </w:tc>
        <w:tc>
          <w:tcPr>
            <w:tcW w:w="965" w:type="pct"/>
            <w:shd w:val="clear" w:color="auto" w:fill="auto"/>
            <w:hideMark/>
          </w:tcPr>
          <w:p w14:paraId="73CF6DBB"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30,0</w:t>
            </w:r>
          </w:p>
        </w:tc>
        <w:tc>
          <w:tcPr>
            <w:tcW w:w="965" w:type="pct"/>
            <w:shd w:val="clear" w:color="auto" w:fill="auto"/>
            <w:hideMark/>
          </w:tcPr>
          <w:p w14:paraId="77B1A3B4"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12,3</w:t>
            </w:r>
          </w:p>
        </w:tc>
        <w:tc>
          <w:tcPr>
            <w:tcW w:w="966" w:type="pct"/>
            <w:shd w:val="clear" w:color="auto" w:fill="auto"/>
            <w:hideMark/>
          </w:tcPr>
          <w:p w14:paraId="74E23709"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-59,1</w:t>
            </w:r>
          </w:p>
        </w:tc>
      </w:tr>
      <w:tr w:rsidR="00E425D7" w:rsidRPr="007215D7" w14:paraId="645CEEA5" w14:textId="77777777" w:rsidTr="008C56D0">
        <w:trPr>
          <w:trHeight w:val="242"/>
          <w:tblHeader/>
          <w:jc w:val="right"/>
        </w:trPr>
        <w:tc>
          <w:tcPr>
            <w:tcW w:w="2105" w:type="pct"/>
            <w:shd w:val="clear" w:color="auto" w:fill="E7E6E6" w:themeFill="background2"/>
            <w:noWrap/>
            <w:vAlign w:val="center"/>
            <w:hideMark/>
          </w:tcPr>
          <w:p w14:paraId="5E5F5EC2" w14:textId="77777777" w:rsidR="00E425D7" w:rsidRPr="008B1CE8" w:rsidRDefault="00E425D7" w:rsidP="008C56D0">
            <w:pPr>
              <w:spacing w:after="0"/>
              <w:jc w:val="left"/>
              <w:rPr>
                <w:rFonts w:cs="Times New Roman"/>
                <w:color w:val="000000" w:themeColor="text1"/>
                <w:sz w:val="20"/>
                <w:szCs w:val="20"/>
              </w:rPr>
            </w:pPr>
            <w:r w:rsidRPr="008B1CE8">
              <w:rPr>
                <w:rFonts w:eastAsia="MS PGothic" w:cstheme="minorHAnsi"/>
                <w:color w:val="000000" w:themeColor="text1"/>
                <w:sz w:val="20"/>
                <w:szCs w:val="20"/>
                <w:lang w:val="sr-Latn-RS" w:eastAsia="ja-JP"/>
              </w:rPr>
              <w:t>PUBLIC EXPENDITURES</w:t>
            </w:r>
          </w:p>
        </w:tc>
        <w:tc>
          <w:tcPr>
            <w:tcW w:w="965" w:type="pct"/>
            <w:shd w:val="clear" w:color="auto" w:fill="E7E6E6" w:themeFill="background2"/>
            <w:hideMark/>
          </w:tcPr>
          <w:p w14:paraId="0BC329C6"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2.500,9</w:t>
            </w:r>
          </w:p>
        </w:tc>
        <w:tc>
          <w:tcPr>
            <w:tcW w:w="965" w:type="pct"/>
            <w:shd w:val="clear" w:color="auto" w:fill="E7E6E6" w:themeFill="background2"/>
            <w:noWrap/>
            <w:hideMark/>
          </w:tcPr>
          <w:p w14:paraId="5926369E"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2.849,2</w:t>
            </w:r>
          </w:p>
        </w:tc>
        <w:tc>
          <w:tcPr>
            <w:tcW w:w="966" w:type="pct"/>
            <w:shd w:val="clear" w:color="auto" w:fill="E7E6E6" w:themeFill="background2"/>
            <w:hideMark/>
          </w:tcPr>
          <w:p w14:paraId="2A0A3340"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13,9</w:t>
            </w:r>
          </w:p>
        </w:tc>
      </w:tr>
      <w:tr w:rsidR="00E425D7" w:rsidRPr="007215D7" w14:paraId="61EB9816" w14:textId="77777777" w:rsidTr="008C56D0">
        <w:trPr>
          <w:trHeight w:val="242"/>
          <w:tblHeader/>
          <w:jc w:val="right"/>
        </w:trPr>
        <w:tc>
          <w:tcPr>
            <w:tcW w:w="2105" w:type="pct"/>
            <w:shd w:val="clear" w:color="auto" w:fill="auto"/>
            <w:noWrap/>
            <w:vAlign w:val="center"/>
            <w:hideMark/>
          </w:tcPr>
          <w:p w14:paraId="5C3C2C52"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Current expenditures</w:t>
            </w:r>
          </w:p>
        </w:tc>
        <w:tc>
          <w:tcPr>
            <w:tcW w:w="965" w:type="pct"/>
            <w:shd w:val="clear" w:color="auto" w:fill="auto"/>
            <w:hideMark/>
          </w:tcPr>
          <w:p w14:paraId="0B7D33B6"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2.120,0</w:t>
            </w:r>
          </w:p>
        </w:tc>
        <w:tc>
          <w:tcPr>
            <w:tcW w:w="965" w:type="pct"/>
            <w:shd w:val="clear" w:color="auto" w:fill="auto"/>
            <w:noWrap/>
            <w:hideMark/>
          </w:tcPr>
          <w:p w14:paraId="5D359280"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2.445,6</w:t>
            </w:r>
          </w:p>
        </w:tc>
        <w:tc>
          <w:tcPr>
            <w:tcW w:w="966" w:type="pct"/>
            <w:shd w:val="clear" w:color="auto" w:fill="auto"/>
            <w:hideMark/>
          </w:tcPr>
          <w:p w14:paraId="6B4219FB"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15,4</w:t>
            </w:r>
          </w:p>
        </w:tc>
      </w:tr>
      <w:tr w:rsidR="00E425D7" w:rsidRPr="007215D7" w14:paraId="39A5127F" w14:textId="77777777" w:rsidTr="008C56D0">
        <w:trPr>
          <w:trHeight w:val="242"/>
          <w:tblHeader/>
          <w:jc w:val="right"/>
        </w:trPr>
        <w:tc>
          <w:tcPr>
            <w:tcW w:w="2105" w:type="pct"/>
            <w:shd w:val="clear" w:color="auto" w:fill="auto"/>
            <w:noWrap/>
            <w:vAlign w:val="center"/>
            <w:hideMark/>
          </w:tcPr>
          <w:p w14:paraId="26365F08"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Expenditures for employees</w:t>
            </w:r>
          </w:p>
        </w:tc>
        <w:tc>
          <w:tcPr>
            <w:tcW w:w="965" w:type="pct"/>
            <w:shd w:val="clear" w:color="auto" w:fill="auto"/>
            <w:hideMark/>
          </w:tcPr>
          <w:p w14:paraId="0EE883FC"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570,6</w:t>
            </w:r>
          </w:p>
        </w:tc>
        <w:tc>
          <w:tcPr>
            <w:tcW w:w="965" w:type="pct"/>
            <w:shd w:val="clear" w:color="auto" w:fill="auto"/>
            <w:hideMark/>
          </w:tcPr>
          <w:p w14:paraId="091C185E"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674,5</w:t>
            </w:r>
          </w:p>
        </w:tc>
        <w:tc>
          <w:tcPr>
            <w:tcW w:w="966" w:type="pct"/>
            <w:shd w:val="clear" w:color="auto" w:fill="auto"/>
            <w:hideMark/>
          </w:tcPr>
          <w:p w14:paraId="15DF7C02"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18,2</w:t>
            </w:r>
          </w:p>
        </w:tc>
      </w:tr>
      <w:tr w:rsidR="00E425D7" w:rsidRPr="007215D7" w14:paraId="3104655D" w14:textId="77777777" w:rsidTr="008C56D0">
        <w:trPr>
          <w:trHeight w:val="242"/>
          <w:tblHeader/>
          <w:jc w:val="right"/>
        </w:trPr>
        <w:tc>
          <w:tcPr>
            <w:tcW w:w="2105" w:type="pct"/>
            <w:shd w:val="clear" w:color="auto" w:fill="auto"/>
            <w:noWrap/>
            <w:vAlign w:val="center"/>
            <w:hideMark/>
          </w:tcPr>
          <w:p w14:paraId="0CC36DB4"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Purchase of goods and services</w:t>
            </w:r>
          </w:p>
        </w:tc>
        <w:tc>
          <w:tcPr>
            <w:tcW w:w="965" w:type="pct"/>
            <w:shd w:val="clear" w:color="auto" w:fill="auto"/>
            <w:hideMark/>
          </w:tcPr>
          <w:p w14:paraId="40544485"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414,1</w:t>
            </w:r>
          </w:p>
        </w:tc>
        <w:tc>
          <w:tcPr>
            <w:tcW w:w="965" w:type="pct"/>
            <w:shd w:val="clear" w:color="auto" w:fill="auto"/>
            <w:hideMark/>
          </w:tcPr>
          <w:p w14:paraId="7BD569A5"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459,9</w:t>
            </w:r>
          </w:p>
        </w:tc>
        <w:tc>
          <w:tcPr>
            <w:tcW w:w="966" w:type="pct"/>
            <w:shd w:val="clear" w:color="auto" w:fill="auto"/>
            <w:hideMark/>
          </w:tcPr>
          <w:p w14:paraId="4542DC26"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11,0</w:t>
            </w:r>
          </w:p>
        </w:tc>
      </w:tr>
      <w:tr w:rsidR="00E425D7" w:rsidRPr="007215D7" w14:paraId="3C0A2B34" w14:textId="77777777" w:rsidTr="008C56D0">
        <w:trPr>
          <w:trHeight w:val="242"/>
          <w:tblHeader/>
          <w:jc w:val="right"/>
        </w:trPr>
        <w:tc>
          <w:tcPr>
            <w:tcW w:w="2105" w:type="pct"/>
            <w:shd w:val="clear" w:color="auto" w:fill="auto"/>
            <w:noWrap/>
            <w:vAlign w:val="center"/>
            <w:hideMark/>
          </w:tcPr>
          <w:p w14:paraId="10B1662C"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Repayment of interest</w:t>
            </w:r>
          </w:p>
        </w:tc>
        <w:tc>
          <w:tcPr>
            <w:tcW w:w="965" w:type="pct"/>
            <w:shd w:val="clear" w:color="auto" w:fill="auto"/>
            <w:hideMark/>
          </w:tcPr>
          <w:p w14:paraId="00A9611B"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120,2</w:t>
            </w:r>
          </w:p>
        </w:tc>
        <w:tc>
          <w:tcPr>
            <w:tcW w:w="965" w:type="pct"/>
            <w:shd w:val="clear" w:color="auto" w:fill="auto"/>
            <w:hideMark/>
          </w:tcPr>
          <w:p w14:paraId="7CFF0858"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132,8</w:t>
            </w:r>
          </w:p>
        </w:tc>
        <w:tc>
          <w:tcPr>
            <w:tcW w:w="966" w:type="pct"/>
            <w:shd w:val="clear" w:color="auto" w:fill="auto"/>
            <w:hideMark/>
          </w:tcPr>
          <w:p w14:paraId="5EF0195F"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10,5</w:t>
            </w:r>
          </w:p>
        </w:tc>
      </w:tr>
      <w:tr w:rsidR="00E425D7" w:rsidRPr="007215D7" w14:paraId="19421368" w14:textId="77777777" w:rsidTr="008C56D0">
        <w:trPr>
          <w:trHeight w:val="242"/>
          <w:tblHeader/>
          <w:jc w:val="right"/>
        </w:trPr>
        <w:tc>
          <w:tcPr>
            <w:tcW w:w="2105" w:type="pct"/>
            <w:shd w:val="clear" w:color="auto" w:fill="auto"/>
            <w:noWrap/>
            <w:vAlign w:val="center"/>
            <w:hideMark/>
          </w:tcPr>
          <w:p w14:paraId="6D282DA0"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Subsidies</w:t>
            </w:r>
          </w:p>
        </w:tc>
        <w:tc>
          <w:tcPr>
            <w:tcW w:w="965" w:type="pct"/>
            <w:shd w:val="clear" w:color="auto" w:fill="auto"/>
            <w:hideMark/>
          </w:tcPr>
          <w:p w14:paraId="396B34C2"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141,8</w:t>
            </w:r>
          </w:p>
        </w:tc>
        <w:tc>
          <w:tcPr>
            <w:tcW w:w="965" w:type="pct"/>
            <w:shd w:val="clear" w:color="auto" w:fill="auto"/>
            <w:hideMark/>
          </w:tcPr>
          <w:p w14:paraId="60D3C407"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159,0</w:t>
            </w:r>
          </w:p>
        </w:tc>
        <w:tc>
          <w:tcPr>
            <w:tcW w:w="966" w:type="pct"/>
            <w:shd w:val="clear" w:color="auto" w:fill="auto"/>
            <w:hideMark/>
          </w:tcPr>
          <w:p w14:paraId="37141A4F"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12,1</w:t>
            </w:r>
          </w:p>
        </w:tc>
      </w:tr>
      <w:tr w:rsidR="00E425D7" w:rsidRPr="007215D7" w14:paraId="34143B67" w14:textId="77777777" w:rsidTr="008C56D0">
        <w:trPr>
          <w:trHeight w:val="242"/>
          <w:tblHeader/>
          <w:jc w:val="right"/>
        </w:trPr>
        <w:tc>
          <w:tcPr>
            <w:tcW w:w="2105" w:type="pct"/>
            <w:shd w:val="clear" w:color="auto" w:fill="auto"/>
            <w:noWrap/>
            <w:vAlign w:val="center"/>
            <w:hideMark/>
          </w:tcPr>
          <w:p w14:paraId="16EF33EE"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Social assistance and transfers</w:t>
            </w:r>
          </w:p>
        </w:tc>
        <w:tc>
          <w:tcPr>
            <w:tcW w:w="965" w:type="pct"/>
            <w:shd w:val="clear" w:color="auto" w:fill="auto"/>
            <w:hideMark/>
          </w:tcPr>
          <w:p w14:paraId="71A7FF4F"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781,5</w:t>
            </w:r>
          </w:p>
        </w:tc>
        <w:tc>
          <w:tcPr>
            <w:tcW w:w="965" w:type="pct"/>
            <w:shd w:val="clear" w:color="auto" w:fill="auto"/>
            <w:hideMark/>
          </w:tcPr>
          <w:p w14:paraId="54FA6F56"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932,8</w:t>
            </w:r>
          </w:p>
        </w:tc>
        <w:tc>
          <w:tcPr>
            <w:tcW w:w="966" w:type="pct"/>
            <w:shd w:val="clear" w:color="auto" w:fill="auto"/>
            <w:hideMark/>
          </w:tcPr>
          <w:p w14:paraId="268E16FA"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19,4</w:t>
            </w:r>
          </w:p>
        </w:tc>
      </w:tr>
      <w:tr w:rsidR="00E425D7" w:rsidRPr="007215D7" w14:paraId="2F21C6E5" w14:textId="77777777" w:rsidTr="008C56D0">
        <w:trPr>
          <w:trHeight w:val="242"/>
          <w:tblHeader/>
          <w:jc w:val="right"/>
        </w:trPr>
        <w:tc>
          <w:tcPr>
            <w:tcW w:w="2105" w:type="pct"/>
            <w:shd w:val="clear" w:color="auto" w:fill="auto"/>
            <w:noWrap/>
            <w:vAlign w:val="center"/>
            <w:hideMark/>
          </w:tcPr>
          <w:p w14:paraId="0737BC4F" w14:textId="77777777" w:rsidR="00E425D7" w:rsidRPr="008B1CE8" w:rsidRDefault="00E425D7" w:rsidP="008C56D0">
            <w:pPr>
              <w:spacing w:after="0"/>
              <w:jc w:val="left"/>
              <w:rPr>
                <w:rFonts w:eastAsia="MS PGothic" w:cs="Times New Roman"/>
                <w:i/>
                <w:color w:val="000000" w:themeColor="text1"/>
                <w:sz w:val="20"/>
                <w:szCs w:val="20"/>
                <w:lang w:eastAsia="ja-JP"/>
              </w:rPr>
            </w:pPr>
            <w:r w:rsidRPr="008B1CE8">
              <w:rPr>
                <w:rFonts w:eastAsia="MS PGothic" w:cstheme="minorHAnsi"/>
                <w:i/>
                <w:color w:val="000000" w:themeColor="text1"/>
                <w:sz w:val="20"/>
                <w:szCs w:val="20"/>
                <w:lang w:eastAsia="ja-JP"/>
              </w:rPr>
              <w:t xml:space="preserve">Of </w:t>
            </w:r>
            <w:r w:rsidRPr="008B1CE8">
              <w:rPr>
                <w:rFonts w:eastAsia="MS PGothic" w:cstheme="minorHAnsi"/>
                <w:i/>
                <w:color w:val="000000" w:themeColor="text1"/>
                <w:sz w:val="20"/>
                <w:szCs w:val="20"/>
                <w:lang w:val="sr-Latn-RS" w:eastAsia="ja-JP"/>
              </w:rPr>
              <w:t>which: pensions</w:t>
            </w:r>
          </w:p>
        </w:tc>
        <w:tc>
          <w:tcPr>
            <w:tcW w:w="965" w:type="pct"/>
            <w:shd w:val="clear" w:color="auto" w:fill="auto"/>
            <w:hideMark/>
          </w:tcPr>
          <w:p w14:paraId="003FC6AB"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573,6</w:t>
            </w:r>
          </w:p>
        </w:tc>
        <w:tc>
          <w:tcPr>
            <w:tcW w:w="965" w:type="pct"/>
            <w:shd w:val="clear" w:color="auto" w:fill="auto"/>
            <w:hideMark/>
          </w:tcPr>
          <w:p w14:paraId="29B548CB"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694,5</w:t>
            </w:r>
          </w:p>
        </w:tc>
        <w:tc>
          <w:tcPr>
            <w:tcW w:w="966" w:type="pct"/>
            <w:shd w:val="clear" w:color="auto" w:fill="auto"/>
            <w:hideMark/>
          </w:tcPr>
          <w:p w14:paraId="2AB64FD7"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21,1</w:t>
            </w:r>
          </w:p>
        </w:tc>
      </w:tr>
      <w:tr w:rsidR="00E425D7" w:rsidRPr="007215D7" w14:paraId="751FCC9C" w14:textId="77777777" w:rsidTr="008C56D0">
        <w:trPr>
          <w:trHeight w:val="242"/>
          <w:tblHeader/>
          <w:jc w:val="right"/>
        </w:trPr>
        <w:tc>
          <w:tcPr>
            <w:tcW w:w="2105" w:type="pct"/>
            <w:shd w:val="clear" w:color="auto" w:fill="auto"/>
            <w:noWrap/>
            <w:vAlign w:val="center"/>
            <w:hideMark/>
          </w:tcPr>
          <w:p w14:paraId="3DD80639"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Other current expenditures</w:t>
            </w:r>
          </w:p>
        </w:tc>
        <w:tc>
          <w:tcPr>
            <w:tcW w:w="965" w:type="pct"/>
            <w:shd w:val="clear" w:color="auto" w:fill="auto"/>
            <w:hideMark/>
          </w:tcPr>
          <w:p w14:paraId="23739A0A"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91,9</w:t>
            </w:r>
          </w:p>
        </w:tc>
        <w:tc>
          <w:tcPr>
            <w:tcW w:w="965" w:type="pct"/>
            <w:shd w:val="clear" w:color="auto" w:fill="auto"/>
            <w:hideMark/>
          </w:tcPr>
          <w:p w14:paraId="24E9499A"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86,7</w:t>
            </w:r>
          </w:p>
        </w:tc>
        <w:tc>
          <w:tcPr>
            <w:tcW w:w="966" w:type="pct"/>
            <w:shd w:val="clear" w:color="auto" w:fill="auto"/>
            <w:hideMark/>
          </w:tcPr>
          <w:p w14:paraId="24B955DD"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-5,7</w:t>
            </w:r>
          </w:p>
        </w:tc>
      </w:tr>
      <w:tr w:rsidR="00E425D7" w:rsidRPr="007215D7" w14:paraId="2BA7E233" w14:textId="77777777" w:rsidTr="008C56D0">
        <w:trPr>
          <w:trHeight w:val="242"/>
          <w:tblHeader/>
          <w:jc w:val="right"/>
        </w:trPr>
        <w:tc>
          <w:tcPr>
            <w:tcW w:w="2105" w:type="pct"/>
            <w:shd w:val="clear" w:color="auto" w:fill="auto"/>
            <w:noWrap/>
            <w:vAlign w:val="center"/>
            <w:hideMark/>
          </w:tcPr>
          <w:p w14:paraId="5FF967E5"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Capital expenditures</w:t>
            </w:r>
          </w:p>
        </w:tc>
        <w:tc>
          <w:tcPr>
            <w:tcW w:w="965" w:type="pct"/>
            <w:shd w:val="clear" w:color="auto" w:fill="auto"/>
            <w:hideMark/>
          </w:tcPr>
          <w:p w14:paraId="7E139354"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313,3</w:t>
            </w:r>
          </w:p>
        </w:tc>
        <w:tc>
          <w:tcPr>
            <w:tcW w:w="965" w:type="pct"/>
            <w:shd w:val="clear" w:color="auto" w:fill="auto"/>
            <w:hideMark/>
          </w:tcPr>
          <w:p w14:paraId="5008073C"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370,5</w:t>
            </w:r>
          </w:p>
        </w:tc>
        <w:tc>
          <w:tcPr>
            <w:tcW w:w="966" w:type="pct"/>
            <w:shd w:val="clear" w:color="auto" w:fill="auto"/>
            <w:hideMark/>
          </w:tcPr>
          <w:p w14:paraId="5F0A5D3D"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18,2</w:t>
            </w:r>
          </w:p>
        </w:tc>
      </w:tr>
      <w:tr w:rsidR="00E425D7" w:rsidRPr="007215D7" w14:paraId="68D40F31" w14:textId="77777777" w:rsidTr="008C56D0">
        <w:trPr>
          <w:trHeight w:val="242"/>
          <w:tblHeader/>
          <w:jc w:val="right"/>
        </w:trPr>
        <w:tc>
          <w:tcPr>
            <w:tcW w:w="2105" w:type="pct"/>
            <w:shd w:val="clear" w:color="auto" w:fill="auto"/>
            <w:noWrap/>
            <w:vAlign w:val="center"/>
            <w:hideMark/>
          </w:tcPr>
          <w:p w14:paraId="629D8DBA"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Net lending</w:t>
            </w:r>
          </w:p>
        </w:tc>
        <w:tc>
          <w:tcPr>
            <w:tcW w:w="965" w:type="pct"/>
            <w:shd w:val="clear" w:color="auto" w:fill="auto"/>
            <w:hideMark/>
          </w:tcPr>
          <w:p w14:paraId="5152F22F"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lang w:val="sr-Cyrl-RS"/>
              </w:rPr>
              <w:t>50</w:t>
            </w:r>
            <w:r w:rsidRPr="007215D7">
              <w:rPr>
                <w:rFonts w:cs="Times New Roman"/>
                <w:sz w:val="20"/>
                <w:szCs w:val="20"/>
              </w:rPr>
              <w:t>,</w:t>
            </w:r>
            <w:r w:rsidRPr="007215D7">
              <w:rPr>
                <w:rFonts w:cs="Times New Roman"/>
                <w:sz w:val="20"/>
                <w:szCs w:val="20"/>
                <w:lang w:val="sr-Cyrl-RS"/>
              </w:rPr>
              <w:t>0</w:t>
            </w:r>
          </w:p>
        </w:tc>
        <w:tc>
          <w:tcPr>
            <w:tcW w:w="965" w:type="pct"/>
            <w:shd w:val="clear" w:color="auto" w:fill="auto"/>
            <w:hideMark/>
          </w:tcPr>
          <w:p w14:paraId="7621D834"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lang w:val="sr-Cyrl-RS"/>
              </w:rPr>
              <w:t>12,8</w:t>
            </w:r>
          </w:p>
        </w:tc>
        <w:tc>
          <w:tcPr>
            <w:tcW w:w="966" w:type="pct"/>
            <w:shd w:val="clear" w:color="auto" w:fill="auto"/>
            <w:hideMark/>
          </w:tcPr>
          <w:p w14:paraId="0B7028A6"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-74,3</w:t>
            </w:r>
          </w:p>
        </w:tc>
      </w:tr>
      <w:tr w:rsidR="00E425D7" w:rsidRPr="007215D7" w14:paraId="54F4B061" w14:textId="77777777" w:rsidTr="008C56D0">
        <w:trPr>
          <w:trHeight w:val="242"/>
          <w:tblHeader/>
          <w:jc w:val="right"/>
        </w:trPr>
        <w:tc>
          <w:tcPr>
            <w:tcW w:w="2105" w:type="pct"/>
            <w:shd w:val="clear" w:color="auto" w:fill="auto"/>
            <w:noWrap/>
            <w:vAlign w:val="center"/>
            <w:hideMark/>
          </w:tcPr>
          <w:p w14:paraId="2A57AF0E" w14:textId="77777777" w:rsidR="00E425D7" w:rsidRPr="008B1CE8" w:rsidRDefault="00E425D7" w:rsidP="008C56D0">
            <w:pPr>
              <w:spacing w:after="0"/>
              <w:jc w:val="left"/>
              <w:rPr>
                <w:rFonts w:eastAsia="MS PGothic" w:cs="Times New Roman"/>
                <w:color w:val="000000" w:themeColor="text1"/>
                <w:sz w:val="20"/>
                <w:szCs w:val="20"/>
                <w:lang w:eastAsia="ja-JP"/>
              </w:rPr>
            </w:pPr>
            <w:r w:rsidRPr="008B1CE8">
              <w:rPr>
                <w:rFonts w:eastAsia="MS PGothic" w:cstheme="minorHAnsi"/>
                <w:color w:val="000000" w:themeColor="text1"/>
                <w:sz w:val="20"/>
                <w:szCs w:val="20"/>
                <w:lang w:val="sr-Latn-RS" w:eastAsia="ja-JP"/>
              </w:rPr>
              <w:t>Activated guarantees</w:t>
            </w:r>
          </w:p>
        </w:tc>
        <w:tc>
          <w:tcPr>
            <w:tcW w:w="965" w:type="pct"/>
            <w:shd w:val="clear" w:color="auto" w:fill="auto"/>
            <w:hideMark/>
          </w:tcPr>
          <w:p w14:paraId="00E38747"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lang w:val="sr-Cyrl-RS"/>
              </w:rPr>
              <w:t>17</w:t>
            </w:r>
            <w:r w:rsidRPr="007215D7">
              <w:rPr>
                <w:rFonts w:cs="Times New Roman"/>
                <w:sz w:val="20"/>
                <w:szCs w:val="20"/>
              </w:rPr>
              <w:t>,</w:t>
            </w:r>
            <w:r w:rsidRPr="007215D7">
              <w:rPr>
                <w:rFonts w:cs="Times New Roman"/>
                <w:sz w:val="20"/>
                <w:szCs w:val="20"/>
                <w:lang w:val="sr-Cyrl-RS"/>
              </w:rPr>
              <w:t>6</w:t>
            </w:r>
          </w:p>
        </w:tc>
        <w:tc>
          <w:tcPr>
            <w:tcW w:w="965" w:type="pct"/>
            <w:shd w:val="clear" w:color="auto" w:fill="auto"/>
            <w:hideMark/>
          </w:tcPr>
          <w:p w14:paraId="33C96471"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20,3</w:t>
            </w:r>
          </w:p>
        </w:tc>
        <w:tc>
          <w:tcPr>
            <w:tcW w:w="966" w:type="pct"/>
            <w:shd w:val="clear" w:color="auto" w:fill="auto"/>
            <w:hideMark/>
          </w:tcPr>
          <w:p w14:paraId="501F1EFD"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15,4</w:t>
            </w:r>
          </w:p>
        </w:tc>
      </w:tr>
      <w:tr w:rsidR="00E425D7" w:rsidRPr="007215D7" w14:paraId="550FD14A" w14:textId="77777777" w:rsidTr="008C56D0">
        <w:trPr>
          <w:trHeight w:val="242"/>
          <w:tblHeader/>
          <w:jc w:val="right"/>
        </w:trPr>
        <w:tc>
          <w:tcPr>
            <w:tcW w:w="2105" w:type="pct"/>
            <w:shd w:val="clear" w:color="auto" w:fill="E7E6E6" w:themeFill="background2"/>
            <w:noWrap/>
            <w:vAlign w:val="center"/>
            <w:hideMark/>
          </w:tcPr>
          <w:p w14:paraId="4A1F60F0" w14:textId="77777777" w:rsidR="00E425D7" w:rsidRPr="008B1CE8" w:rsidRDefault="00E425D7" w:rsidP="008C56D0">
            <w:pPr>
              <w:spacing w:after="0"/>
              <w:jc w:val="left"/>
              <w:rPr>
                <w:rFonts w:cs="Times New Roman"/>
                <w:color w:val="000000" w:themeColor="text1"/>
                <w:sz w:val="20"/>
                <w:szCs w:val="20"/>
              </w:rPr>
            </w:pPr>
            <w:r w:rsidRPr="008B1CE8">
              <w:rPr>
                <w:rFonts w:eastAsia="MS PGothic" w:cstheme="minorHAnsi"/>
                <w:color w:val="000000" w:themeColor="text1"/>
                <w:sz w:val="20"/>
                <w:szCs w:val="20"/>
                <w:lang w:val="sr-Latn-RS" w:eastAsia="ja-JP"/>
              </w:rPr>
              <w:t>Fiscal result</w:t>
            </w:r>
          </w:p>
        </w:tc>
        <w:tc>
          <w:tcPr>
            <w:tcW w:w="965" w:type="pct"/>
            <w:shd w:val="clear" w:color="auto" w:fill="E7E6E6" w:themeFill="background2"/>
            <w:hideMark/>
          </w:tcPr>
          <w:p w14:paraId="30D6C003"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15,8</w:t>
            </w:r>
          </w:p>
        </w:tc>
        <w:tc>
          <w:tcPr>
            <w:tcW w:w="965" w:type="pct"/>
            <w:shd w:val="clear" w:color="auto" w:fill="E7E6E6" w:themeFill="background2"/>
            <w:hideMark/>
          </w:tcPr>
          <w:p w14:paraId="3991115A" w14:textId="77777777" w:rsidR="00E425D7" w:rsidRPr="007215D7" w:rsidRDefault="00E425D7" w:rsidP="008C56D0">
            <w:pPr>
              <w:spacing w:after="0"/>
              <w:jc w:val="right"/>
              <w:rPr>
                <w:rFonts w:eastAsia="MS PGothic" w:cs="Times New Roman"/>
                <w:sz w:val="20"/>
                <w:szCs w:val="20"/>
                <w:lang w:eastAsia="ja-JP"/>
              </w:rPr>
            </w:pPr>
            <w:r w:rsidRPr="007215D7">
              <w:rPr>
                <w:rFonts w:cs="Times New Roman"/>
                <w:sz w:val="20"/>
                <w:szCs w:val="20"/>
              </w:rPr>
              <w:t>29,1</w:t>
            </w:r>
          </w:p>
        </w:tc>
        <w:tc>
          <w:tcPr>
            <w:tcW w:w="966" w:type="pct"/>
            <w:shd w:val="clear" w:color="auto" w:fill="E7E6E6" w:themeFill="background2"/>
            <w:hideMark/>
          </w:tcPr>
          <w:p w14:paraId="0D537082" w14:textId="77777777" w:rsidR="00E425D7" w:rsidRPr="007215D7" w:rsidRDefault="00E425D7" w:rsidP="008C56D0">
            <w:pPr>
              <w:spacing w:after="0"/>
              <w:jc w:val="right"/>
              <w:rPr>
                <w:rFonts w:eastAsia="MS PGothic" w:cs="Times New Roman"/>
                <w:sz w:val="20"/>
                <w:szCs w:val="20"/>
                <w:lang w:eastAsia="ja-JP"/>
              </w:rPr>
            </w:pPr>
          </w:p>
        </w:tc>
      </w:tr>
    </w:tbl>
    <w:p w14:paraId="5ADCE836" w14:textId="77777777" w:rsidR="00E425D7" w:rsidRPr="008B1CE8" w:rsidRDefault="00E425D7" w:rsidP="00E425D7">
      <w:pPr>
        <w:tabs>
          <w:tab w:val="left" w:pos="623"/>
        </w:tabs>
        <w:spacing w:before="40" w:after="180"/>
        <w:rPr>
          <w:rFonts w:eastAsia="Calibri" w:cs="Times New Roman"/>
          <w:sz w:val="20"/>
          <w:szCs w:val="20"/>
          <w:lang w:val="sr-Latn-RS"/>
        </w:rPr>
      </w:pPr>
      <w:r w:rsidRPr="008B1CE8">
        <w:rPr>
          <w:rFonts w:eastAsia="Calibri" w:cs="Times New Roman"/>
          <w:bCs/>
          <w:sz w:val="20"/>
          <w:szCs w:val="20"/>
          <w:lang w:val="sr-Latn-RS" w:eastAsia="ja-JP"/>
        </w:rPr>
        <w:t>Source</w:t>
      </w:r>
      <w:r w:rsidRPr="008B1CE8">
        <w:rPr>
          <w:rFonts w:eastAsia="Calibri" w:cs="Times New Roman"/>
          <w:bCs/>
          <w:sz w:val="20"/>
          <w:szCs w:val="20"/>
          <w:lang w:val="sr-Cyrl-RS" w:eastAsia="ja-JP"/>
        </w:rPr>
        <w:t xml:space="preserve">: </w:t>
      </w:r>
      <w:r w:rsidRPr="008B1CE8">
        <w:rPr>
          <w:rFonts w:eastAsia="Calibri" w:cs="Times New Roman"/>
          <w:sz w:val="20"/>
          <w:szCs w:val="20"/>
          <w:lang w:val="sr-Latn-RS"/>
        </w:rPr>
        <w:t>Ministry of Finance</w:t>
      </w:r>
    </w:p>
    <w:p w14:paraId="67C541C5" w14:textId="77777777" w:rsidR="00E425D7" w:rsidRPr="008B1CE8" w:rsidRDefault="00E425D7" w:rsidP="00E425D7">
      <w:pPr>
        <w:tabs>
          <w:tab w:val="left" w:pos="623"/>
        </w:tabs>
        <w:rPr>
          <w:rFonts w:eastAsia="Calibri" w:cs="Times New Roman"/>
          <w:sz w:val="20"/>
          <w:szCs w:val="20"/>
          <w:lang w:val="sr-Cyrl-RS"/>
        </w:rPr>
      </w:pPr>
      <w:r w:rsidRPr="008B1CE8">
        <w:rPr>
          <w:rFonts w:eastAsia="Calibri" w:cs="Times New Roman"/>
          <w:sz w:val="20"/>
          <w:szCs w:val="20"/>
          <w:lang w:val="sr-Cyrl-RS"/>
        </w:rPr>
        <w:t>*</w:t>
      </w:r>
      <w:r w:rsidRPr="008B1CE8">
        <w:rPr>
          <w:rFonts w:eastAsia="Calibri" w:cs="Times New Roman"/>
          <w:sz w:val="20"/>
          <w:szCs w:val="20"/>
          <w:lang w:val="sr-Latn-RS"/>
        </w:rPr>
        <w:t xml:space="preserve"> </w:t>
      </w:r>
      <w:r w:rsidRPr="001450DF">
        <w:rPr>
          <w:rFonts w:eastAsia="Calibri" w:cs="Times New Roman"/>
          <w:sz w:val="20"/>
          <w:szCs w:val="20"/>
          <w:lang w:val="sr-Cyrl-RS"/>
        </w:rPr>
        <w:t>The data for 2024 include the own revenues of extra-budgetary users (agencies and institutions)</w:t>
      </w:r>
    </w:p>
    <w:p w14:paraId="157920D3" w14:textId="77777777" w:rsidR="00E425D7" w:rsidRDefault="00E425D7" w:rsidP="00E425D7">
      <w:pPr>
        <w:rPr>
          <w:rFonts w:eastAsia="MS PGothic" w:cs="Times New Roman"/>
          <w:szCs w:val="24"/>
          <w:lang w:eastAsia="ja-JP"/>
        </w:rPr>
      </w:pPr>
      <w:r w:rsidRPr="001450DF">
        <w:rPr>
          <w:rFonts w:eastAsia="MS PGothic" w:cs="Times New Roman"/>
          <w:szCs w:val="24"/>
          <w:lang w:eastAsia="ja-JP"/>
        </w:rPr>
        <w:t>The outstanding arrears (over 60 days late) of budget</w:t>
      </w:r>
      <w:r>
        <w:rPr>
          <w:rFonts w:eastAsia="MS PGothic" w:cs="Times New Roman"/>
          <w:szCs w:val="24"/>
          <w:lang w:eastAsia="ja-JP"/>
        </w:rPr>
        <w:t xml:space="preserve"> users and the PE</w:t>
      </w:r>
      <w:r w:rsidRPr="001450DF">
        <w:rPr>
          <w:rFonts w:eastAsia="MS PGothic" w:cs="Times New Roman"/>
          <w:szCs w:val="24"/>
          <w:lang w:eastAsia="ja-JP"/>
        </w:rPr>
        <w:t xml:space="preserve"> "Roads of Serbia" as of the last day </w:t>
      </w:r>
      <w:r>
        <w:rPr>
          <w:rFonts w:eastAsia="MS PGothic" w:cs="Times New Roman"/>
          <w:szCs w:val="24"/>
          <w:lang w:eastAsia="ja-JP"/>
        </w:rPr>
        <w:t>of September 2024 amounted to 5,</w:t>
      </w:r>
      <w:r w:rsidRPr="001450DF">
        <w:rPr>
          <w:rFonts w:eastAsia="MS PGothic" w:cs="Times New Roman"/>
          <w:szCs w:val="24"/>
          <w:lang w:eastAsia="ja-JP"/>
        </w:rPr>
        <w:t>7 bil</w:t>
      </w:r>
      <w:r>
        <w:rPr>
          <w:rFonts w:eastAsia="MS PGothic" w:cs="Times New Roman"/>
          <w:szCs w:val="24"/>
          <w:lang w:eastAsia="ja-JP"/>
        </w:rPr>
        <w:t>lion dinars. Budget users and PE</w:t>
      </w:r>
      <w:r w:rsidRPr="001450DF">
        <w:rPr>
          <w:rFonts w:eastAsia="MS PGothic" w:cs="Times New Roman"/>
          <w:szCs w:val="24"/>
          <w:lang w:eastAsia="ja-JP"/>
        </w:rPr>
        <w:t xml:space="preserve"> "Roads of Serbia" account</w:t>
      </w:r>
      <w:r>
        <w:rPr>
          <w:rFonts w:eastAsia="MS PGothic" w:cs="Times New Roman"/>
          <w:szCs w:val="24"/>
          <w:lang w:eastAsia="ja-JP"/>
        </w:rPr>
        <w:t>ed for arrears in payments of 4,</w:t>
      </w:r>
      <w:r w:rsidRPr="001450DF">
        <w:rPr>
          <w:rFonts w:eastAsia="MS PGothic" w:cs="Times New Roman"/>
          <w:szCs w:val="24"/>
          <w:lang w:eastAsia="ja-JP"/>
        </w:rPr>
        <w:t>5 billion dinars, while the arrears of extr</w:t>
      </w:r>
      <w:r>
        <w:rPr>
          <w:rFonts w:eastAsia="MS PGothic" w:cs="Times New Roman"/>
          <w:szCs w:val="24"/>
          <w:lang w:eastAsia="ja-JP"/>
        </w:rPr>
        <w:t>a-budgetary users amounted to 1,</w:t>
      </w:r>
      <w:r w:rsidRPr="001450DF">
        <w:rPr>
          <w:rFonts w:eastAsia="MS PGothic" w:cs="Times New Roman"/>
          <w:szCs w:val="24"/>
          <w:lang w:eastAsia="ja-JP"/>
        </w:rPr>
        <w:t>2 billion dinars.</w:t>
      </w:r>
    </w:p>
    <w:p w14:paraId="62ECF499" w14:textId="46078454" w:rsidR="00E425D7" w:rsidRPr="007C46E3" w:rsidRDefault="00E425D7" w:rsidP="00E425D7">
      <w:pPr>
        <w:rPr>
          <w:rFonts w:eastAsia="MS PGothic" w:cs="Times New Roman"/>
          <w:i/>
          <w:szCs w:val="24"/>
          <w:lang w:val="sr-Latn-RS" w:eastAsia="ja-JP"/>
        </w:rPr>
      </w:pPr>
      <w:r>
        <w:rPr>
          <w:rFonts w:eastAsia="MS PGothic" w:cs="Times New Roman"/>
          <w:i/>
          <w:szCs w:val="24"/>
          <w:lang w:val="sr-Latn-RS" w:eastAsia="ja-JP"/>
        </w:rPr>
        <w:t>Table</w:t>
      </w:r>
      <w:r w:rsidRPr="00BF5A92">
        <w:rPr>
          <w:rFonts w:eastAsia="MS PGothic" w:cs="Times New Roman"/>
          <w:i/>
          <w:szCs w:val="24"/>
          <w:lang w:val="sr-Cyrl-RS" w:eastAsia="ja-JP"/>
        </w:rPr>
        <w:t xml:space="preserve"> 6. </w:t>
      </w:r>
      <w:r w:rsidRPr="003463D6">
        <w:rPr>
          <w:rFonts w:eastAsia="MS PGothic" w:cs="Times New Roman"/>
          <w:i/>
          <w:szCs w:val="24"/>
          <w:lang w:val="sr-Cyrl-RS" w:eastAsia="ja-JP"/>
        </w:rPr>
        <w:t>Payment arrears of budget beneficiaries and mandatory social security insurance institutions</w:t>
      </w:r>
      <w:r w:rsidR="007C46E3">
        <w:rPr>
          <w:rFonts w:eastAsia="MS PGothic" w:cs="Times New Roman"/>
          <w:i/>
          <w:szCs w:val="24"/>
          <w:lang w:val="sr-Latn-RS" w:eastAsia="ja-JP"/>
        </w:rPr>
        <w:t>, the end of 2023 and September 2024 in billions RSD</w:t>
      </w:r>
    </w:p>
    <w:tbl>
      <w:tblPr>
        <w:tblStyle w:val="LightShading-Accent33521"/>
        <w:tblpPr w:leftFromText="180" w:rightFromText="180" w:vertAnchor="text" w:horzAnchor="margin" w:tblpY="56"/>
        <w:tblW w:w="4879"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50"/>
        <w:gridCol w:w="1774"/>
        <w:gridCol w:w="1774"/>
      </w:tblGrid>
      <w:tr w:rsidR="00E425D7" w:rsidRPr="003463D6" w14:paraId="008D05E5" w14:textId="77777777" w:rsidTr="008C56D0">
        <w:trPr>
          <w:cnfStyle w:val="100000000000" w:firstRow="1" w:lastRow="0" w:firstColumn="0" w:lastColumn="0" w:oddVBand="0" w:evenVBand="0" w:oddHBand="0" w:evenHBand="0" w:firstRowFirstColumn="0" w:firstRowLastColumn="0" w:lastRowFirstColumn="0" w:lastRowLastColumn="0"/>
          <w:trHeight w:val="247"/>
          <w:tblHeader/>
        </w:trPr>
        <w:tc>
          <w:tcPr>
            <w:cnfStyle w:val="001000000000" w:firstRow="0" w:lastRow="0" w:firstColumn="1" w:lastColumn="0" w:oddVBand="0" w:evenVBand="0" w:oddHBand="0" w:evenHBand="0" w:firstRowFirstColumn="0" w:firstRowLastColumn="0" w:lastRowFirstColumn="0" w:lastRowLastColumn="0"/>
            <w:tcW w:w="2984" w:type="pct"/>
            <w:tcBorders>
              <w:top w:val="none" w:sz="0" w:space="0" w:color="auto"/>
              <w:left w:val="none" w:sz="0" w:space="0" w:color="auto"/>
              <w:bottom w:val="none" w:sz="0" w:space="0" w:color="auto"/>
              <w:right w:val="none" w:sz="0" w:space="0" w:color="auto"/>
            </w:tcBorders>
            <w:shd w:val="clear" w:color="auto" w:fill="auto"/>
            <w:noWrap/>
            <w:hideMark/>
          </w:tcPr>
          <w:p w14:paraId="37708965" w14:textId="77777777" w:rsidR="00E425D7" w:rsidRPr="003463D6" w:rsidRDefault="00E425D7" w:rsidP="008C56D0">
            <w:pPr>
              <w:spacing w:after="0"/>
              <w:rPr>
                <w:color w:val="auto"/>
                <w:sz w:val="20"/>
                <w:lang w:val="sr-Cyrl-RS" w:eastAsia="sr-Cyrl-CS"/>
              </w:rPr>
            </w:pPr>
            <w:r w:rsidRPr="003463D6">
              <w:rPr>
                <w:color w:val="auto"/>
                <w:sz w:val="20"/>
                <w:lang w:val="sr-Cyrl-RS" w:eastAsia="sr-Cyrl-CS"/>
              </w:rPr>
              <w:t> </w:t>
            </w:r>
          </w:p>
        </w:tc>
        <w:tc>
          <w:tcPr>
            <w:tcW w:w="1008" w:type="pct"/>
            <w:tcBorders>
              <w:top w:val="none" w:sz="0" w:space="0" w:color="auto"/>
              <w:left w:val="none" w:sz="0" w:space="0" w:color="auto"/>
              <w:bottom w:val="none" w:sz="0" w:space="0" w:color="auto"/>
              <w:right w:val="none" w:sz="0" w:space="0" w:color="auto"/>
            </w:tcBorders>
            <w:shd w:val="clear" w:color="auto" w:fill="auto"/>
            <w:vAlign w:val="center"/>
          </w:tcPr>
          <w:p w14:paraId="7353AC2C" w14:textId="4A2AB37A" w:rsidR="00E425D7" w:rsidRPr="003463D6" w:rsidRDefault="007C46E3" w:rsidP="008C56D0">
            <w:pPr>
              <w:spacing w:after="0"/>
              <w:jc w:val="right"/>
              <w:cnfStyle w:val="100000000000" w:firstRow="1" w:lastRow="0" w:firstColumn="0" w:lastColumn="0" w:oddVBand="0" w:evenVBand="0" w:oddHBand="0" w:evenHBand="0" w:firstRowFirstColumn="0" w:firstRowLastColumn="0" w:lastRowFirstColumn="0" w:lastRowLastColumn="0"/>
              <w:rPr>
                <w:b w:val="0"/>
                <w:color w:val="auto"/>
                <w:sz w:val="20"/>
                <w:lang w:val="sr-Cyrl-RS" w:eastAsia="sr-Cyrl-CS"/>
              </w:rPr>
            </w:pPr>
            <w:r>
              <w:rPr>
                <w:b w:val="0"/>
                <w:color w:val="auto"/>
                <w:sz w:val="20"/>
                <w:lang w:val="sr-Cyrl-RS" w:eastAsia="sr-Cyrl-CS"/>
              </w:rPr>
              <w:t>31</w:t>
            </w:r>
            <w:r>
              <w:rPr>
                <w:b w:val="0"/>
                <w:color w:val="auto"/>
                <w:sz w:val="20"/>
                <w:lang w:val="sr-Latn-RS" w:eastAsia="sr-Cyrl-CS"/>
              </w:rPr>
              <w:t xml:space="preserve"> </w:t>
            </w:r>
            <w:r>
              <w:rPr>
                <w:b w:val="0"/>
                <w:color w:val="auto"/>
                <w:sz w:val="20"/>
                <w:lang w:val="sr-Cyrl-RS" w:eastAsia="sr-Cyrl-CS"/>
              </w:rPr>
              <w:t>12 2023</w:t>
            </w:r>
          </w:p>
        </w:tc>
        <w:tc>
          <w:tcPr>
            <w:tcW w:w="1008" w:type="pct"/>
            <w:tcBorders>
              <w:top w:val="none" w:sz="0" w:space="0" w:color="auto"/>
              <w:left w:val="none" w:sz="0" w:space="0" w:color="auto"/>
              <w:bottom w:val="none" w:sz="0" w:space="0" w:color="auto"/>
              <w:right w:val="none" w:sz="0" w:space="0" w:color="auto"/>
            </w:tcBorders>
            <w:shd w:val="clear" w:color="auto" w:fill="auto"/>
            <w:vAlign w:val="center"/>
          </w:tcPr>
          <w:p w14:paraId="6C0114EF" w14:textId="1FF0E7D5" w:rsidR="00E425D7" w:rsidRPr="003463D6" w:rsidRDefault="007C46E3" w:rsidP="008C56D0">
            <w:pPr>
              <w:spacing w:after="0"/>
              <w:jc w:val="right"/>
              <w:cnfStyle w:val="100000000000" w:firstRow="1" w:lastRow="0" w:firstColumn="0" w:lastColumn="0" w:oddVBand="0" w:evenVBand="0" w:oddHBand="0" w:evenHBand="0" w:firstRowFirstColumn="0" w:firstRowLastColumn="0" w:lastRowFirstColumn="0" w:lastRowLastColumn="0"/>
              <w:rPr>
                <w:b w:val="0"/>
                <w:color w:val="auto"/>
                <w:sz w:val="20"/>
                <w:lang w:val="sr-Cyrl-RS" w:eastAsia="sr-Cyrl-CS"/>
              </w:rPr>
            </w:pPr>
            <w:r>
              <w:rPr>
                <w:b w:val="0"/>
                <w:color w:val="auto"/>
                <w:sz w:val="20"/>
                <w:lang w:val="sr-Cyrl-RS" w:eastAsia="sr-Cyrl-CS"/>
              </w:rPr>
              <w:t>30 09 2024</w:t>
            </w:r>
          </w:p>
        </w:tc>
      </w:tr>
      <w:tr w:rsidR="00E425D7" w:rsidRPr="003463D6" w14:paraId="6D72764A" w14:textId="77777777" w:rsidTr="008C56D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984" w:type="pct"/>
            <w:tcBorders>
              <w:left w:val="none" w:sz="0" w:space="0" w:color="auto"/>
              <w:right w:val="none" w:sz="0" w:space="0" w:color="auto"/>
            </w:tcBorders>
            <w:shd w:val="clear" w:color="auto" w:fill="auto"/>
            <w:noWrap/>
            <w:hideMark/>
          </w:tcPr>
          <w:p w14:paraId="3D27D96A" w14:textId="77777777" w:rsidR="00E425D7" w:rsidRPr="003463D6" w:rsidRDefault="00E425D7" w:rsidP="008C56D0">
            <w:pPr>
              <w:spacing w:after="0"/>
              <w:rPr>
                <w:b w:val="0"/>
                <w:color w:val="000000" w:themeColor="text1"/>
                <w:sz w:val="20"/>
                <w:lang w:val="sr-Cyrl-RS" w:eastAsia="sr-Cyrl-CS"/>
              </w:rPr>
            </w:pPr>
            <w:r w:rsidRPr="003463D6">
              <w:rPr>
                <w:rFonts w:eastAsiaTheme="minorHAnsi"/>
                <w:b w:val="0"/>
                <w:bCs w:val="0"/>
                <w:color w:val="000000" w:themeColor="text1"/>
                <w:sz w:val="20"/>
                <w:lang w:val="sr-Latn-RS"/>
              </w:rPr>
              <w:t>B</w:t>
            </w:r>
            <w:r w:rsidRPr="003463D6">
              <w:rPr>
                <w:rFonts w:eastAsiaTheme="minorHAnsi"/>
                <w:b w:val="0"/>
                <w:bCs w:val="0"/>
                <w:color w:val="000000" w:themeColor="text1"/>
                <w:sz w:val="20"/>
              </w:rPr>
              <w:t>udget beneficiaries</w:t>
            </w:r>
            <w:r w:rsidRPr="003463D6">
              <w:rPr>
                <w:rFonts w:eastAsiaTheme="minorHAnsi"/>
                <w:b w:val="0"/>
                <w:bCs w:val="0"/>
                <w:color w:val="000000" w:themeColor="text1"/>
                <w:sz w:val="20"/>
                <w:lang w:val="sr-Latn-RS"/>
              </w:rPr>
              <w:t xml:space="preserve"> and </w:t>
            </w:r>
            <w:r w:rsidRPr="003463D6">
              <w:rPr>
                <w:rFonts w:eastAsiaTheme="minorHAnsi"/>
                <w:b w:val="0"/>
                <w:bCs w:val="0"/>
                <w:color w:val="000000" w:themeColor="text1"/>
                <w:sz w:val="20"/>
              </w:rPr>
              <w:t>“</w:t>
            </w:r>
            <w:r w:rsidRPr="003463D6">
              <w:rPr>
                <w:rFonts w:eastAsiaTheme="minorHAnsi"/>
                <w:b w:val="0"/>
                <w:bCs w:val="0"/>
                <w:color w:val="000000" w:themeColor="text1"/>
                <w:sz w:val="20"/>
                <w:lang w:val="sr-Latn-RS"/>
              </w:rPr>
              <w:t>Putevi Srbije</w:t>
            </w:r>
            <w:r w:rsidRPr="003463D6">
              <w:rPr>
                <w:rFonts w:eastAsiaTheme="minorHAnsi"/>
                <w:b w:val="0"/>
                <w:bCs w:val="0"/>
                <w:color w:val="000000" w:themeColor="text1"/>
                <w:sz w:val="20"/>
              </w:rPr>
              <w:t>”</w:t>
            </w:r>
            <w:r w:rsidRPr="003463D6">
              <w:rPr>
                <w:rFonts w:eastAsiaTheme="minorHAnsi"/>
                <w:b w:val="0"/>
                <w:bCs w:val="0"/>
                <w:color w:val="000000" w:themeColor="text1"/>
                <w:sz w:val="20"/>
                <w:lang w:val="sr-Latn-RS"/>
              </w:rPr>
              <w:t xml:space="preserve"> PE</w:t>
            </w:r>
          </w:p>
        </w:tc>
        <w:tc>
          <w:tcPr>
            <w:tcW w:w="1008" w:type="pct"/>
            <w:tcBorders>
              <w:left w:val="none" w:sz="0" w:space="0" w:color="auto"/>
              <w:right w:val="none" w:sz="0" w:space="0" w:color="auto"/>
            </w:tcBorders>
            <w:shd w:val="clear" w:color="auto" w:fill="auto"/>
          </w:tcPr>
          <w:p w14:paraId="3CCC8C54" w14:textId="77777777" w:rsidR="00E425D7" w:rsidRPr="003463D6" w:rsidRDefault="00E425D7" w:rsidP="008C56D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Cyrl-RS" w:eastAsia="sr-Cyrl-CS"/>
              </w:rPr>
            </w:pPr>
            <w:r w:rsidRPr="003463D6">
              <w:rPr>
                <w:color w:val="auto"/>
                <w:sz w:val="20"/>
                <w:lang w:val="sr-Cyrl-RS" w:eastAsia="sr-Cyrl-CS"/>
              </w:rPr>
              <w:t>2,3</w:t>
            </w:r>
          </w:p>
        </w:tc>
        <w:tc>
          <w:tcPr>
            <w:tcW w:w="1008" w:type="pct"/>
            <w:tcBorders>
              <w:left w:val="none" w:sz="0" w:space="0" w:color="auto"/>
              <w:right w:val="none" w:sz="0" w:space="0" w:color="auto"/>
            </w:tcBorders>
            <w:shd w:val="clear" w:color="auto" w:fill="auto"/>
          </w:tcPr>
          <w:p w14:paraId="0E304923" w14:textId="77777777" w:rsidR="00E425D7" w:rsidRPr="003463D6" w:rsidRDefault="00E425D7" w:rsidP="008C56D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Cyrl-RS" w:eastAsia="sr-Cyrl-CS"/>
              </w:rPr>
            </w:pPr>
            <w:r w:rsidRPr="003463D6">
              <w:rPr>
                <w:color w:val="auto"/>
                <w:sz w:val="20"/>
                <w:lang w:val="sr-Cyrl-RS" w:eastAsia="sr-Cyrl-CS"/>
              </w:rPr>
              <w:t>4,5</w:t>
            </w:r>
          </w:p>
        </w:tc>
      </w:tr>
      <w:tr w:rsidR="00E425D7" w:rsidRPr="003463D6" w14:paraId="2C5F1035" w14:textId="77777777" w:rsidTr="008C56D0">
        <w:trPr>
          <w:trHeight w:val="247"/>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hideMark/>
          </w:tcPr>
          <w:p w14:paraId="5B30E606" w14:textId="77777777" w:rsidR="00E425D7" w:rsidRPr="003463D6" w:rsidRDefault="00E425D7" w:rsidP="008C56D0">
            <w:pPr>
              <w:spacing w:after="0"/>
              <w:rPr>
                <w:b w:val="0"/>
                <w:color w:val="000000" w:themeColor="text1"/>
                <w:sz w:val="20"/>
                <w:lang w:val="sr-Cyrl-RS" w:eastAsia="sr-Cyrl-CS"/>
              </w:rPr>
            </w:pPr>
            <w:r w:rsidRPr="003463D6">
              <w:rPr>
                <w:rFonts w:eastAsiaTheme="minorHAnsi"/>
                <w:b w:val="0"/>
                <w:bCs w:val="0"/>
                <w:color w:val="000000" w:themeColor="text1"/>
                <w:sz w:val="20"/>
              </w:rPr>
              <w:t>Mandatory social security insurance institutions</w:t>
            </w:r>
          </w:p>
        </w:tc>
        <w:tc>
          <w:tcPr>
            <w:tcW w:w="1008" w:type="pct"/>
            <w:shd w:val="clear" w:color="auto" w:fill="auto"/>
          </w:tcPr>
          <w:p w14:paraId="7DF558CE" w14:textId="77777777" w:rsidR="00E425D7" w:rsidRPr="003463D6" w:rsidRDefault="00E425D7" w:rsidP="008C56D0">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20"/>
                <w:lang w:val="sr-Latn-RS" w:eastAsia="sr-Cyrl-CS"/>
              </w:rPr>
            </w:pPr>
            <w:r w:rsidRPr="003463D6">
              <w:rPr>
                <w:color w:val="auto"/>
                <w:sz w:val="20"/>
                <w:lang w:val="sr-Cyrl-RS" w:eastAsia="sr-Cyrl-CS"/>
              </w:rPr>
              <w:t>1,</w:t>
            </w:r>
            <w:r w:rsidRPr="003463D6">
              <w:rPr>
                <w:color w:val="auto"/>
                <w:sz w:val="20"/>
                <w:lang w:val="sr-Latn-RS" w:eastAsia="sr-Cyrl-CS"/>
              </w:rPr>
              <w:t>2</w:t>
            </w:r>
          </w:p>
        </w:tc>
        <w:tc>
          <w:tcPr>
            <w:tcW w:w="1008" w:type="pct"/>
            <w:shd w:val="clear" w:color="auto" w:fill="auto"/>
          </w:tcPr>
          <w:p w14:paraId="485CD4DD" w14:textId="77777777" w:rsidR="00E425D7" w:rsidRPr="003463D6" w:rsidRDefault="00E425D7" w:rsidP="008C56D0">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20"/>
                <w:lang w:val="sr-Cyrl-RS" w:eastAsia="sr-Cyrl-CS"/>
              </w:rPr>
            </w:pPr>
            <w:r w:rsidRPr="003463D6">
              <w:rPr>
                <w:color w:val="auto"/>
                <w:sz w:val="20"/>
                <w:lang w:val="sr-Cyrl-RS" w:eastAsia="sr-Cyrl-CS"/>
              </w:rPr>
              <w:t>1,2</w:t>
            </w:r>
          </w:p>
        </w:tc>
      </w:tr>
      <w:tr w:rsidR="00E425D7" w:rsidRPr="003463D6" w14:paraId="15B27BB7" w14:textId="77777777" w:rsidTr="008C56D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984" w:type="pct"/>
            <w:tcBorders>
              <w:left w:val="none" w:sz="0" w:space="0" w:color="auto"/>
              <w:right w:val="none" w:sz="0" w:space="0" w:color="auto"/>
            </w:tcBorders>
            <w:shd w:val="clear" w:color="auto" w:fill="auto"/>
            <w:noWrap/>
            <w:hideMark/>
          </w:tcPr>
          <w:p w14:paraId="55FD86A3" w14:textId="77777777" w:rsidR="00E425D7" w:rsidRPr="003463D6" w:rsidRDefault="00E425D7" w:rsidP="008C56D0">
            <w:pPr>
              <w:spacing w:after="0"/>
              <w:rPr>
                <w:b w:val="0"/>
                <w:color w:val="000000" w:themeColor="text1"/>
                <w:sz w:val="20"/>
                <w:lang w:val="sr-Cyrl-RS" w:eastAsia="sr-Cyrl-CS"/>
              </w:rPr>
            </w:pPr>
            <w:r w:rsidRPr="003463D6">
              <w:rPr>
                <w:rFonts w:eastAsiaTheme="minorHAnsi"/>
                <w:b w:val="0"/>
                <w:bCs w:val="0"/>
                <w:color w:val="000000" w:themeColor="text1"/>
                <w:sz w:val="20"/>
                <w:lang w:val="sr-Latn-RS"/>
              </w:rPr>
              <w:t>TOTAL</w:t>
            </w:r>
          </w:p>
        </w:tc>
        <w:tc>
          <w:tcPr>
            <w:tcW w:w="1008" w:type="pct"/>
            <w:tcBorders>
              <w:left w:val="none" w:sz="0" w:space="0" w:color="auto"/>
              <w:right w:val="none" w:sz="0" w:space="0" w:color="auto"/>
            </w:tcBorders>
            <w:shd w:val="clear" w:color="auto" w:fill="auto"/>
          </w:tcPr>
          <w:p w14:paraId="7A22FCB1" w14:textId="77777777" w:rsidR="00E425D7" w:rsidRPr="003463D6" w:rsidRDefault="00E425D7" w:rsidP="008C56D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Cyrl-RS" w:eastAsia="sr-Cyrl-CS"/>
              </w:rPr>
            </w:pPr>
            <w:r w:rsidRPr="003463D6">
              <w:rPr>
                <w:color w:val="auto"/>
                <w:sz w:val="20"/>
                <w:lang w:val="sr-Cyrl-RS" w:eastAsia="sr-Cyrl-CS"/>
              </w:rPr>
              <w:t>3,5</w:t>
            </w:r>
          </w:p>
        </w:tc>
        <w:tc>
          <w:tcPr>
            <w:tcW w:w="1008" w:type="pct"/>
            <w:tcBorders>
              <w:left w:val="none" w:sz="0" w:space="0" w:color="auto"/>
              <w:right w:val="none" w:sz="0" w:space="0" w:color="auto"/>
            </w:tcBorders>
            <w:shd w:val="clear" w:color="auto" w:fill="auto"/>
          </w:tcPr>
          <w:p w14:paraId="2B451E91" w14:textId="77777777" w:rsidR="00E425D7" w:rsidRPr="003463D6" w:rsidRDefault="00E425D7" w:rsidP="008C56D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Latn-RS" w:eastAsia="sr-Cyrl-CS"/>
              </w:rPr>
            </w:pPr>
            <w:r w:rsidRPr="003463D6">
              <w:rPr>
                <w:color w:val="auto"/>
                <w:sz w:val="20"/>
                <w:lang w:val="sr-Latn-RS" w:eastAsia="sr-Cyrl-CS"/>
              </w:rPr>
              <w:t>5,7</w:t>
            </w:r>
          </w:p>
        </w:tc>
      </w:tr>
    </w:tbl>
    <w:p w14:paraId="7B40E98D" w14:textId="77777777" w:rsidR="00E425D7" w:rsidRPr="003463D6" w:rsidRDefault="00E425D7" w:rsidP="00E425D7">
      <w:pPr>
        <w:spacing w:before="40" w:after="180"/>
        <w:rPr>
          <w:rFonts w:eastAsia="Calibri" w:cs="Times New Roman"/>
          <w:sz w:val="20"/>
          <w:szCs w:val="20"/>
          <w:lang w:val="sr-Latn-RS"/>
        </w:rPr>
      </w:pPr>
      <w:r>
        <w:rPr>
          <w:rFonts w:eastAsia="Calibri" w:cs="Times New Roman"/>
          <w:bCs/>
          <w:sz w:val="20"/>
          <w:szCs w:val="20"/>
          <w:lang w:val="sr-Latn-RS" w:eastAsia="ja-JP"/>
        </w:rPr>
        <w:t>Source: Ministry of Finance</w:t>
      </w:r>
    </w:p>
    <w:p w14:paraId="044CD0C5" w14:textId="77777777" w:rsidR="00E425D7" w:rsidRPr="001450DF" w:rsidRDefault="00E425D7" w:rsidP="00E425D7">
      <w:pPr>
        <w:spacing w:after="0"/>
        <w:rPr>
          <w:rFonts w:eastAsia="MS PGothic" w:cs="Times New Roman"/>
          <w:sz w:val="20"/>
          <w:szCs w:val="20"/>
          <w:lang w:val="sr-Latn-RS" w:eastAsia="ja-JP"/>
        </w:rPr>
      </w:pPr>
      <w:r w:rsidRPr="001450DF">
        <w:rPr>
          <w:rFonts w:eastAsia="MS PGothic" w:cs="Times New Roman"/>
          <w:sz w:val="20"/>
          <w:szCs w:val="20"/>
          <w:lang w:val="sr-Cyrl-RS" w:eastAsia="ja-JP"/>
        </w:rPr>
        <w:t>** In accordance with the definition used for monitoring the implementation of the arrangement with the IMF</w:t>
      </w:r>
      <w:r w:rsidRPr="001450DF">
        <w:rPr>
          <w:rFonts w:eastAsia="MS PGothic" w:cs="Times New Roman"/>
          <w:sz w:val="20"/>
          <w:szCs w:val="20"/>
          <w:lang w:val="sr-Latn-RS" w:eastAsia="ja-JP"/>
        </w:rPr>
        <w:t>.</w:t>
      </w:r>
    </w:p>
    <w:p w14:paraId="11F1C380" w14:textId="77777777" w:rsidR="00E425D7" w:rsidRPr="00AD7E7D" w:rsidRDefault="00E425D7" w:rsidP="00E425D7">
      <w:pPr>
        <w:rPr>
          <w:rFonts w:eastAsia="Calibri" w:cs="Times New Roman"/>
          <w:b/>
          <w:szCs w:val="24"/>
          <w:lang w:val="sr-Cyrl-RS"/>
        </w:rPr>
      </w:pPr>
      <w:r w:rsidRPr="00AD7E7D">
        <w:rPr>
          <w:rFonts w:eastAsia="Calibri" w:cs="Times New Roman"/>
          <w:b/>
          <w:szCs w:val="24"/>
          <w:lang w:val="sr-Cyrl-RS"/>
        </w:rPr>
        <w:br w:type="page"/>
      </w:r>
    </w:p>
    <w:p w14:paraId="02E5C63E" w14:textId="77777777" w:rsidR="00E425D7" w:rsidRPr="00AD7E7D" w:rsidRDefault="00E425D7" w:rsidP="00E425D7">
      <w:pPr>
        <w:spacing w:after="0"/>
        <w:jc w:val="center"/>
        <w:rPr>
          <w:rFonts w:eastAsia="Calibri" w:cs="Times New Roman"/>
          <w:b/>
          <w:szCs w:val="24"/>
          <w:lang w:val="sr-Cyrl-RS"/>
        </w:rPr>
      </w:pPr>
      <w:r w:rsidRPr="00AD7E7D">
        <w:rPr>
          <w:rFonts w:eastAsia="Calibri" w:cs="Times New Roman"/>
          <w:noProof/>
          <w:szCs w:val="24"/>
        </w:rPr>
        <w:lastRenderedPageBreak/>
        <mc:AlternateContent>
          <mc:Choice Requires="wps">
            <w:drawing>
              <wp:anchor distT="0" distB="0" distL="114300" distR="114300" simplePos="0" relativeHeight="251659264" behindDoc="1" locked="0" layoutInCell="1" allowOverlap="1" wp14:anchorId="18559DF9" wp14:editId="279A2270">
                <wp:simplePos x="0" y="0"/>
                <wp:positionH relativeFrom="margin">
                  <wp:posOffset>-268122</wp:posOffset>
                </wp:positionH>
                <wp:positionV relativeFrom="paragraph">
                  <wp:posOffset>-66675</wp:posOffset>
                </wp:positionV>
                <wp:extent cx="6410325" cy="8610600"/>
                <wp:effectExtent l="0" t="0" r="9525" b="0"/>
                <wp:wrapNone/>
                <wp:docPr id="61" name="Rectangle 61"/>
                <wp:cNvGraphicFramePr/>
                <a:graphic xmlns:a="http://schemas.openxmlformats.org/drawingml/2006/main">
                  <a:graphicData uri="http://schemas.microsoft.com/office/word/2010/wordprocessingShape">
                    <wps:wsp>
                      <wps:cNvSpPr/>
                      <wps:spPr>
                        <a:xfrm>
                          <a:off x="0" y="0"/>
                          <a:ext cx="6410325" cy="8610600"/>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39EDEA8" id="Rectangle 61" o:spid="_x0000_s1026" style="position:absolute;margin-left:-21.1pt;margin-top:-5.25pt;width:504.75pt;height:67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jBmgIAAFYFAAAOAAAAZHJzL2Uyb0RvYy54bWysVE1v2zAMvQ/YfxB0X+1kaZoFdYqgRYYB&#10;XVusHXpWZNkRoK9JSpzs1+9JdtKi22XDcnBIkSIfH0ldXu21Ijvhg7SmoqOzkhJhuK2laSv6/Wn1&#10;YUZJiMzUTFkjKnoQgV4t3r+77NxcjO3Gqlp4giAmzDtX0U2Mbl4UgW+EZuHMOmFgbKzXLEL1bVF7&#10;1iG6VsW4LKdFZ33tvOUiBJze9Ea6yPGbRvB43zRBRKIqCmwxf33+rtO3WFyyeeuZ20g+wGD/gEIz&#10;aZD0FOqGRUa2Xv4WSkvubbBNPONWF7ZpJBe5BlQzKt9U87hhTuRaQE5wJ5rC/wvL73YPnsi6otMR&#10;JYZp9OgbWGOmVYLgDAR1Lszh9+ge/KAFiKnafeN1+kcdZJ9JPZxIFftIOA6nk1H5cXxOCYdtNh2V&#10;0zLTXrxcdz7Ez8JqkoSKeuTPZLLdbYhICdejS8rmWIwrqdTg7nhE+GRo2muVcYVDgER2DF3HsNS2&#10;o0SxEHFY0VX+5Qtqq7/auvebnZcnYP39nPgUc/03wXvQw5UEf4CcUCpDOqzK+ALpCGcY+kaxCFE7&#10;tCGYlhKmWmwTjz6jNDZVi5A9DTcsbHrIwSpZ9yOsZcQeKanBMeo4VaJMuibyJgxkpnb2DUzS2tYH&#10;TIC3/WoEx1cSXbgFWw/MYxcAEvsd7/FplAVyO0iUbKz/+afz5I8RhZWSDruFqn5smRdowheD4f00&#10;mkzSMmZlcn4xhuJfW9avLWarry0aifkEuiwm/6iOYuOtfsYzsExZYWKGI3fP36Bcx37n8ZBwsVxm&#10;Nywg2nJrHh1PwY/0Pu2fmXfDbEVM8Z097iGbv5nI3jfdNHa5jbaReVxfeMUIJQXLm4dpeGjS6/Ba&#10;z14vz+HiFwAAAP//AwBQSwMEFAAGAAgAAAAhAOmyo9ziAAAADAEAAA8AAABkcnMvZG93bnJldi54&#10;bWxMj01PwkAQhu8m/ofNmHiDLQtFrN0S0qQHD5gUDeelO7aN+1G7C9R/73jC20zmyTvPm28na9gF&#10;x9B7J2ExT4Cha7zuXSvh472abYCFqJxWxjuU8IMBtsX9Xa4y7a+uxsshtoxCXMiUhC7GIeM8NB1a&#10;FeZ+QEe3Tz9aFWkdW65HdaVwa7hIkjW3qnf0oVMDlh02X4ezlVB6U+32Zdt8V+KtNq+t2Pv6KOXj&#10;w7R7ARZxijcY/vRJHQpyOvmz04EZCbOVEITSsEhSYEQ8r5+WwE6ELldpCrzI+f8SxS8AAAD//wMA&#10;UEsBAi0AFAAGAAgAAAAhALaDOJL+AAAA4QEAABMAAAAAAAAAAAAAAAAAAAAAAFtDb250ZW50X1R5&#10;cGVzXS54bWxQSwECLQAUAAYACAAAACEAOP0h/9YAAACUAQAACwAAAAAAAAAAAAAAAAAvAQAAX3Jl&#10;bHMvLnJlbHNQSwECLQAUAAYACAAAACEAEwoYwZoCAABWBQAADgAAAAAAAAAAAAAAAAAuAgAAZHJz&#10;L2Uyb0RvYy54bWxQSwECLQAUAAYACAAAACEA6bKj3OIAAAAMAQAADwAAAAAAAAAAAAAAAAD0BAAA&#10;ZHJzL2Rvd25yZXYueG1sUEsFBgAAAAAEAAQA8wAAAAMGAAAAAA==&#10;" fillcolor="#d9d9d9" stroked="f" strokeweight="1pt">
                <v:fill r:id="rId15" o:title="" color2="window" type="pattern"/>
                <w10:wrap anchorx="margin"/>
              </v:rect>
            </w:pict>
          </mc:Fallback>
        </mc:AlternateContent>
      </w:r>
      <w:r w:rsidRPr="00AD7E7D">
        <w:rPr>
          <w:rFonts w:eastAsia="Calibri" w:cs="Times New Roman"/>
          <w:b/>
          <w:szCs w:val="24"/>
          <w:lang w:val="sr-Cyrl-RS"/>
        </w:rPr>
        <w:t xml:space="preserve">S0 </w:t>
      </w:r>
      <w:r w:rsidRPr="00760AF2">
        <w:rPr>
          <w:rFonts w:eastAsia="Calibri" w:cs="Times New Roman"/>
          <w:b/>
          <w:szCs w:val="24"/>
          <w:lang w:val="sr-Cyrl-RS"/>
        </w:rPr>
        <w:t>indicator of short-term fiscal sustainability</w:t>
      </w:r>
    </w:p>
    <w:p w14:paraId="43F2E99A" w14:textId="77777777" w:rsidR="00E425D7" w:rsidRPr="00AD7E7D" w:rsidRDefault="00E425D7" w:rsidP="00E425D7">
      <w:pPr>
        <w:rPr>
          <w:rFonts w:eastAsia="Calibri" w:cs="Times New Roman"/>
          <w:szCs w:val="24"/>
          <w:lang w:val="sr-Cyrl-RS"/>
        </w:rPr>
      </w:pPr>
    </w:p>
    <w:p w14:paraId="58F891D0" w14:textId="77777777" w:rsidR="00E425D7" w:rsidRPr="00760AF2" w:rsidRDefault="00E425D7" w:rsidP="00E425D7">
      <w:pPr>
        <w:rPr>
          <w:rFonts w:cs="Times New Roman"/>
          <w:szCs w:val="24"/>
        </w:rPr>
      </w:pPr>
      <w:r w:rsidRPr="00760AF2">
        <w:rPr>
          <w:rFonts w:cs="Times New Roman"/>
          <w:szCs w:val="24"/>
        </w:rPr>
        <w:t>The European Commission has designed the composite indicator S0 to assess short-term fiscal sustainability by identifying potential short-term risks in the current year to anticipate fiscal stress in the following year. If the S0 indicator value exceeds a defined threshold, the country is considered at short-term risk of fiscal stress. Besides the value of the overall indicator, values of sub-indices and their components are also considered to locate the source of the risk. The S0 composite indicator consists of two sub-indices, each containing a set of fiscal and macro-financial sustainability variables. Values of these sub-indices below the defined threshold indicate the absence of short-term fiscal risk.</w:t>
      </w:r>
    </w:p>
    <w:p w14:paraId="52FEB360" w14:textId="77777777" w:rsidR="00E425D7" w:rsidRDefault="00E425D7" w:rsidP="00E425D7">
      <w:pPr>
        <w:rPr>
          <w:rFonts w:cs="Times New Roman"/>
          <w:szCs w:val="24"/>
        </w:rPr>
      </w:pPr>
      <w:r w:rsidRPr="00760AF2">
        <w:rPr>
          <w:rFonts w:cs="Times New Roman"/>
          <w:szCs w:val="24"/>
        </w:rPr>
        <w:t>In 2023, the values of the fiscal (0,08) and financial sub-indices (0,27) are within their defined thresholds, as is the value of the overall S0 indicator for the Republic of Serbia (0,20), generally indicating that there is no risk of macroeconomic instability in the upcoming medium-term period. The successful maintenance of macroeconomic and fiscal stability established in the previous period has provided space for rapid and significant fiscal and monetary policy support measures.</w:t>
      </w:r>
    </w:p>
    <w:p w14:paraId="10344969" w14:textId="77777777" w:rsidR="00E425D7" w:rsidRPr="006440D7" w:rsidRDefault="00E425D7" w:rsidP="00E425D7">
      <w:pPr>
        <w:rPr>
          <w:rFonts w:eastAsia="Calibri" w:cs="Times New Roman"/>
          <w:i/>
          <w:szCs w:val="24"/>
          <w:lang w:val="sr-Cyrl-RS"/>
        </w:rPr>
      </w:pPr>
      <w:r>
        <w:rPr>
          <w:rFonts w:eastAsia="Calibri" w:cs="Times New Roman"/>
          <w:i/>
          <w:szCs w:val="24"/>
          <w:lang w:val="sr-Latn-RS"/>
        </w:rPr>
        <w:t>Graph</w:t>
      </w:r>
      <w:r w:rsidRPr="006C46A3">
        <w:rPr>
          <w:rFonts w:eastAsia="Calibri" w:cs="Times New Roman"/>
          <w:i/>
          <w:szCs w:val="24"/>
          <w:lang w:val="sr-Cyrl-RS"/>
        </w:rPr>
        <w:t xml:space="preserve"> </w:t>
      </w:r>
      <w:r w:rsidRPr="006C46A3">
        <w:rPr>
          <w:rFonts w:eastAsia="Calibri" w:cs="Times New Roman"/>
          <w:i/>
          <w:szCs w:val="24"/>
          <w:lang w:val="sr-Latn-RS"/>
        </w:rPr>
        <w:t>6</w:t>
      </w:r>
      <w:r>
        <w:rPr>
          <w:rFonts w:eastAsia="Calibri" w:cs="Times New Roman"/>
          <w:i/>
          <w:szCs w:val="24"/>
          <w:lang w:val="sr-Cyrl-RS"/>
        </w:rPr>
        <w:t xml:space="preserve">. </w:t>
      </w:r>
      <w:r w:rsidRPr="006440D7">
        <w:rPr>
          <w:rFonts w:eastAsia="Calibri" w:cs="Times New Roman"/>
          <w:bCs/>
          <w:i/>
          <w:szCs w:val="24"/>
        </w:rPr>
        <w:t>S0 indicator, fiscal and finan</w:t>
      </w:r>
      <w:r>
        <w:rPr>
          <w:rFonts w:eastAsia="Calibri" w:cs="Times New Roman"/>
          <w:bCs/>
          <w:i/>
          <w:szCs w:val="24"/>
        </w:rPr>
        <w:t>cial competitiveness sub-indices</w:t>
      </w:r>
      <w:r w:rsidRPr="006440D7">
        <w:rPr>
          <w:rFonts w:eastAsia="Calibri" w:cs="Times New Roman"/>
          <w:bCs/>
          <w:i/>
          <w:szCs w:val="24"/>
        </w:rPr>
        <w:t xml:space="preserve"> in Serbia for the period 201</w:t>
      </w:r>
      <w:r w:rsidRPr="006440D7">
        <w:rPr>
          <w:rFonts w:eastAsia="Calibri" w:cs="Times New Roman"/>
          <w:bCs/>
          <w:i/>
          <w:szCs w:val="24"/>
          <w:lang w:val="sr-Latn-RS"/>
        </w:rPr>
        <w:t>5</w:t>
      </w:r>
      <w:r w:rsidRPr="006440D7">
        <w:rPr>
          <w:rFonts w:eastAsia="Calibri" w:cs="Times New Roman"/>
          <w:bCs/>
          <w:i/>
          <w:szCs w:val="24"/>
        </w:rPr>
        <w:t>-20</w:t>
      </w:r>
      <w:r w:rsidRPr="006440D7">
        <w:rPr>
          <w:rFonts w:eastAsia="Calibri" w:cs="Times New Roman"/>
          <w:bCs/>
          <w:i/>
          <w:szCs w:val="24"/>
          <w:lang w:val="sr-Latn-RS"/>
        </w:rPr>
        <w:t>23</w:t>
      </w:r>
    </w:p>
    <w:p w14:paraId="40F10B53" w14:textId="77777777" w:rsidR="00E425D7" w:rsidRDefault="00E425D7" w:rsidP="00E425D7">
      <w:pPr>
        <w:rPr>
          <w:rFonts w:eastAsia="Calibri" w:cs="Times New Roman"/>
          <w:i/>
          <w:szCs w:val="24"/>
          <w:lang w:val="sr-Cyrl-RS"/>
        </w:rPr>
      </w:pPr>
    </w:p>
    <w:p w14:paraId="7A4C423F" w14:textId="77777777" w:rsidR="00E425D7" w:rsidRPr="006C46A3" w:rsidRDefault="00E425D7" w:rsidP="00E425D7">
      <w:pPr>
        <w:rPr>
          <w:rFonts w:eastAsia="Calibri" w:cs="Times New Roman"/>
          <w:i/>
          <w:szCs w:val="24"/>
          <w:lang w:val="sr-Cyrl-RS"/>
        </w:rPr>
      </w:pPr>
      <w:r w:rsidRPr="004561ED">
        <w:rPr>
          <w:noProof/>
        </w:rPr>
        <w:drawing>
          <wp:inline distT="0" distB="0" distL="0" distR="0" wp14:anchorId="5F27F961" wp14:editId="1B96DE26">
            <wp:extent cx="5731510" cy="2053988"/>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965595" w14:textId="77777777" w:rsidR="00E425D7" w:rsidRDefault="00E425D7" w:rsidP="00E425D7">
      <w:pPr>
        <w:spacing w:after="240"/>
        <w:rPr>
          <w:rFonts w:eastAsia="Calibri" w:cs="Times New Roman"/>
          <w:i/>
          <w:szCs w:val="24"/>
          <w:lang w:val="sr-Latn-RS"/>
        </w:rPr>
      </w:pPr>
    </w:p>
    <w:p w14:paraId="545E2825" w14:textId="77777777" w:rsidR="00E425D7" w:rsidRPr="00760AF2" w:rsidRDefault="00E425D7" w:rsidP="00E425D7">
      <w:pPr>
        <w:spacing w:after="240"/>
        <w:rPr>
          <w:rFonts w:eastAsia="Calibri" w:cs="Times New Roman"/>
          <w:i/>
          <w:szCs w:val="24"/>
          <w:lang w:val="sr-Latn-RS"/>
        </w:rPr>
      </w:pPr>
      <w:r>
        <w:rPr>
          <w:rFonts w:eastAsia="Calibri" w:cs="Times New Roman"/>
          <w:i/>
          <w:szCs w:val="24"/>
          <w:lang w:val="sr-Latn-RS"/>
        </w:rPr>
        <w:t>Graph</w:t>
      </w:r>
      <w:r w:rsidRPr="006C46A3">
        <w:rPr>
          <w:rFonts w:eastAsia="Calibri" w:cs="Times New Roman"/>
          <w:i/>
          <w:szCs w:val="24"/>
          <w:lang w:val="sr-Cyrl-RS"/>
        </w:rPr>
        <w:t xml:space="preserve"> </w:t>
      </w:r>
      <w:r w:rsidRPr="006C46A3">
        <w:rPr>
          <w:rFonts w:eastAsia="Calibri" w:cs="Times New Roman"/>
          <w:i/>
          <w:szCs w:val="24"/>
          <w:lang w:val="sr-Latn-RS"/>
        </w:rPr>
        <w:t>7</w:t>
      </w:r>
      <w:r w:rsidRPr="006C46A3">
        <w:rPr>
          <w:rFonts w:eastAsia="Calibri" w:cs="Times New Roman"/>
          <w:i/>
          <w:szCs w:val="24"/>
          <w:lang w:val="sr-Cyrl-RS"/>
        </w:rPr>
        <w:t xml:space="preserve">. S0 </w:t>
      </w:r>
      <w:r>
        <w:rPr>
          <w:rFonts w:eastAsia="Calibri" w:cs="Times New Roman"/>
          <w:i/>
          <w:szCs w:val="24"/>
          <w:lang w:val="sr-Latn-RS"/>
        </w:rPr>
        <w:t>EU countries and Serbia</w:t>
      </w:r>
    </w:p>
    <w:p w14:paraId="3B36E650" w14:textId="77777777" w:rsidR="00E425D7" w:rsidRDefault="00E425D7" w:rsidP="00E425D7">
      <w:pPr>
        <w:spacing w:after="240"/>
        <w:rPr>
          <w:rFonts w:eastAsia="Calibri" w:cs="Times New Roman"/>
          <w:i/>
          <w:szCs w:val="24"/>
          <w:lang w:val="sr-Cyrl-RS"/>
        </w:rPr>
      </w:pPr>
      <w:r w:rsidRPr="00760AF2">
        <w:rPr>
          <w:noProof/>
          <w:sz w:val="20"/>
          <w:szCs w:val="20"/>
        </w:rPr>
        <w:drawing>
          <wp:inline distT="0" distB="0" distL="0" distR="0" wp14:anchorId="05D51E77" wp14:editId="5BFE79B8">
            <wp:extent cx="5731510" cy="2166462"/>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2E60DB" w14:textId="77777777" w:rsidR="00E425D7" w:rsidRPr="006440D7" w:rsidRDefault="00E425D7" w:rsidP="00E425D7">
      <w:pPr>
        <w:spacing w:after="240"/>
        <w:rPr>
          <w:rFonts w:eastAsia="Calibri" w:cs="Times New Roman"/>
          <w:i/>
          <w:szCs w:val="24"/>
          <w:lang w:val="sr-Cyrl-RS"/>
        </w:rPr>
      </w:pPr>
      <w:r w:rsidRPr="00AD7E7D">
        <w:rPr>
          <w:rFonts w:eastAsia="Calibri" w:cs="Times New Roman"/>
          <w:noProof/>
          <w:szCs w:val="24"/>
        </w:rPr>
        <w:lastRenderedPageBreak/>
        <mc:AlternateContent>
          <mc:Choice Requires="wps">
            <w:drawing>
              <wp:anchor distT="0" distB="0" distL="114300" distR="114300" simplePos="0" relativeHeight="251660288" behindDoc="1" locked="0" layoutInCell="1" allowOverlap="1" wp14:anchorId="4C90746A" wp14:editId="5CCEE7EA">
                <wp:simplePos x="0" y="0"/>
                <wp:positionH relativeFrom="margin">
                  <wp:posOffset>-409575</wp:posOffset>
                </wp:positionH>
                <wp:positionV relativeFrom="paragraph">
                  <wp:posOffset>161924</wp:posOffset>
                </wp:positionV>
                <wp:extent cx="6564630" cy="6638925"/>
                <wp:effectExtent l="0" t="0" r="7620" b="9525"/>
                <wp:wrapNone/>
                <wp:docPr id="64" name="Rectangle 64"/>
                <wp:cNvGraphicFramePr/>
                <a:graphic xmlns:a="http://schemas.openxmlformats.org/drawingml/2006/main">
                  <a:graphicData uri="http://schemas.microsoft.com/office/word/2010/wordprocessingShape">
                    <wps:wsp>
                      <wps:cNvSpPr/>
                      <wps:spPr>
                        <a:xfrm>
                          <a:off x="0" y="0"/>
                          <a:ext cx="6564630" cy="6638925"/>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7DF5F3C" id="Rectangle 64" o:spid="_x0000_s1026" style="position:absolute;margin-left:-32.25pt;margin-top:12.75pt;width:516.9pt;height:522.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DungIAAFYFAAAOAAAAZHJzL2Uyb0RvYy54bWysVE1v2zAMvQ/YfxB0X52kiZsGdYqgRYYB&#10;XVusHXpWZPkD0NckJU726/ckO2nR7bJhOTikSD2Sj6SurvdKkp1wvjW6oOOzESVCc1O2ui7o9+f1&#10;pzklPjBdMmm0KOhBeHq9/PjhqrMLMTGNkaVwBCDaLzpb0CYEu8gyzxuhmD8zVmgYK+MUC1BdnZWO&#10;dUBXMpuMRnnWGVdaZ7jwHqe3vZEuE35VCR4eqsqLQGRBkVtIX5e+m/jNlldsUTtmm5YPabB/yEKx&#10;ViPoCeqWBUa2rv0NSrXcGW+qcMaNykxVtVykGlDNePSumqeGWZFqATnenmjy/w+W3+8eHWnLguZT&#10;SjRT6NE3sMZ0LQXBGQjqrF/A78k+ukHzEGO1+8qp+I86yD6RejiRKvaBcBzms3yan4N7Dluen88v&#10;J7OImr1et86Hz8IoEoWCOsRPZLLdnQ+969ElRrMshHUr5eBueQBiNFT1jUx5+YOHRHYMXcewlKaj&#10;RDIfcFjQdfqlC3Krvpqy95vPRqM0D0isv59yPGFu/ga8T3q4AsBjyjFLqUmHVZlcIBzhDENfSRYg&#10;Kos2eF1TwmSNbeLBpSy1idUCEjgg6Jb5pk/ZG9mW/QirNmCPZKsKOkcdp0qkjtdE2oSBzNjOvoFR&#10;2pjygAlwpl8Nb/m6RZA7sPXIHHYBSWK/wwM+lTTI3AwSJY1xP/90Hv0xorBS0mG3UNWPLXMCTfii&#10;MbyX4+k0LmNSprOLCRT31rJ5a9FbdWPQyDFeEsuTGP2DPIqVM+oFz8AqRoWJaY7YPX+DchP6ncdD&#10;wsVqldywgGjLnX6yPIIf6X3evzBnh9kKmOJ7c9xDtng3kb1vvKnNahtM1aZxfeUVIxQVLG8apuGh&#10;ia/DWz15vT6Hy18AAAD//wMAUEsDBBQABgAIAAAAIQAtTZD84AAAAAsBAAAPAAAAZHJzL2Rvd25y&#10;ZXYueG1sTI/LTsMwEEX3SPyDNUjsWruBBhriVFWkLFgUKQWxduPBifAjxG4b/p5hBavRaI7unFtu&#10;Z2fZGac4BC9htRTA0HdBD95IeHttFo/AYlJeKxs8SvjGCNvq+qpUhQ4X3+L5kAyjEB8LJaFPaSw4&#10;j12PTsVlGNHT7SNMTiVaJ8P1pC4U7izPhMi5U4OnD70ase6x+zycnIQ62Ga3r0331WQvrX022T60&#10;71Le3sy7J2AJ5/QHw68+qUNFTsdw8joyK2GR368JlZCtaRKwyTd3wI5EioeVAF6V/H+H6gcAAP//&#10;AwBQSwECLQAUAAYACAAAACEAtoM4kv4AAADhAQAAEwAAAAAAAAAAAAAAAAAAAAAAW0NvbnRlbnRf&#10;VHlwZXNdLnhtbFBLAQItABQABgAIAAAAIQA4/SH/1gAAAJQBAAALAAAAAAAAAAAAAAAAAC8BAABf&#10;cmVscy8ucmVsc1BLAQItABQABgAIAAAAIQAuyBDungIAAFYFAAAOAAAAAAAAAAAAAAAAAC4CAABk&#10;cnMvZTJvRG9jLnhtbFBLAQItABQABgAIAAAAIQAtTZD84AAAAAsBAAAPAAAAAAAAAAAAAAAAAPgE&#10;AABkcnMvZG93bnJldi54bWxQSwUGAAAAAAQABADzAAAABQYAAAAA&#10;" fillcolor="#d9d9d9" stroked="f" strokeweight="1pt">
                <v:fill r:id="rId15" o:title="" color2="window" type="pattern"/>
                <w10:wrap anchorx="margin"/>
              </v:rect>
            </w:pict>
          </mc:Fallback>
        </mc:AlternateContent>
      </w:r>
    </w:p>
    <w:p w14:paraId="42468A93" w14:textId="77777777" w:rsidR="00E425D7" w:rsidRPr="006440D7" w:rsidRDefault="00E425D7" w:rsidP="00E425D7">
      <w:pPr>
        <w:rPr>
          <w:rFonts w:eastAsia="Calibri" w:cs="Times New Roman"/>
          <w:szCs w:val="24"/>
          <w:lang w:val="sr-Cyrl-RS"/>
        </w:rPr>
      </w:pPr>
      <w:r w:rsidRPr="006440D7">
        <w:rPr>
          <w:rFonts w:eastAsia="Calibri" w:cs="Times New Roman"/>
          <w:szCs w:val="24"/>
          <w:lang w:val="sr-Cyrl-RS"/>
        </w:rPr>
        <w:t>The calculation of the S0 indicator for the Republic of Serbia was conducted by the Ministry of Finance and is based on the European Commission's methodology.</w:t>
      </w:r>
    </w:p>
    <w:p w14:paraId="273EFB27" w14:textId="77777777" w:rsidR="00E425D7" w:rsidRDefault="00E425D7" w:rsidP="00E425D7">
      <w:pPr>
        <w:rPr>
          <w:rFonts w:eastAsia="Calibri" w:cs="Times New Roman"/>
          <w:szCs w:val="24"/>
          <w:lang w:val="sr-Cyrl-RS"/>
        </w:rPr>
      </w:pPr>
      <w:r w:rsidRPr="006440D7">
        <w:rPr>
          <w:rFonts w:eastAsia="Calibri" w:cs="Times New Roman"/>
          <w:szCs w:val="24"/>
          <w:lang w:val="sr-Cyrl-RS"/>
        </w:rPr>
        <w:t>Based on the European Commission’s data for EU countries for 2023 and the Ministry of Finance’s calculation for the Republic of Serbia, we conclude that most of the observed countries, including Serbia, were not exposed to short-term fiscal stress risk, as the S0 value does not exceed the defined threshold anywhere.</w:t>
      </w:r>
    </w:p>
    <w:p w14:paraId="3635C12A" w14:textId="77777777" w:rsidR="00E425D7" w:rsidRPr="006440D7" w:rsidRDefault="00E425D7" w:rsidP="00E425D7">
      <w:pPr>
        <w:rPr>
          <w:rFonts w:eastAsia="Calibri" w:cs="Times New Roman"/>
          <w:i/>
          <w:spacing w:val="2"/>
          <w:szCs w:val="24"/>
          <w:lang w:val="sr-Latn-RS"/>
        </w:rPr>
      </w:pPr>
      <w:r>
        <w:rPr>
          <w:rFonts w:eastAsia="Calibri" w:cs="Times New Roman"/>
          <w:i/>
          <w:spacing w:val="2"/>
          <w:szCs w:val="24"/>
          <w:lang w:val="sr-Latn-RS"/>
        </w:rPr>
        <w:t>Graph</w:t>
      </w:r>
      <w:r w:rsidRPr="00BF5A92">
        <w:rPr>
          <w:rFonts w:eastAsia="Calibri" w:cs="Times New Roman"/>
          <w:i/>
          <w:spacing w:val="2"/>
          <w:szCs w:val="24"/>
          <w:lang w:val="sr-Cyrl-RS"/>
        </w:rPr>
        <w:t xml:space="preserve"> </w:t>
      </w:r>
      <w:r>
        <w:rPr>
          <w:rFonts w:eastAsia="Calibri" w:cs="Times New Roman"/>
          <w:i/>
          <w:spacing w:val="2"/>
          <w:szCs w:val="24"/>
          <w:lang w:val="sr-Latn-RS"/>
        </w:rPr>
        <w:t>8</w:t>
      </w:r>
      <w:r w:rsidRPr="00BF5A92">
        <w:rPr>
          <w:rFonts w:eastAsia="Calibri" w:cs="Times New Roman"/>
          <w:i/>
          <w:spacing w:val="2"/>
          <w:szCs w:val="24"/>
          <w:lang w:val="sr-Cyrl-RS"/>
        </w:rPr>
        <w:t xml:space="preserve">. </w:t>
      </w:r>
      <w:r w:rsidRPr="006440D7">
        <w:rPr>
          <w:rFonts w:eastAsia="Calibri" w:cs="Times New Roman"/>
          <w:i/>
          <w:szCs w:val="24"/>
          <w:lang w:val="sr-Cyrl-RS"/>
        </w:rPr>
        <w:t>The fiscal sub</w:t>
      </w:r>
      <w:r>
        <w:rPr>
          <w:rFonts w:eastAsia="Calibri" w:cs="Times New Roman"/>
          <w:i/>
          <w:szCs w:val="24"/>
          <w:lang w:val="sr-Latn-RS"/>
        </w:rPr>
        <w:t>-</w:t>
      </w:r>
      <w:r w:rsidRPr="006440D7">
        <w:rPr>
          <w:rFonts w:eastAsia="Calibri" w:cs="Times New Roman"/>
          <w:i/>
          <w:szCs w:val="24"/>
          <w:lang w:val="sr-Cyrl-RS"/>
        </w:rPr>
        <w:t>index and the financial competitiveness sub</w:t>
      </w:r>
      <w:r>
        <w:rPr>
          <w:rFonts w:eastAsia="Calibri" w:cs="Times New Roman"/>
          <w:i/>
          <w:szCs w:val="24"/>
          <w:lang w:val="sr-Latn-RS"/>
        </w:rPr>
        <w:t>-</w:t>
      </w:r>
      <w:r w:rsidRPr="006440D7">
        <w:rPr>
          <w:rFonts w:eastAsia="Calibri" w:cs="Times New Roman"/>
          <w:i/>
          <w:szCs w:val="24"/>
          <w:lang w:val="sr-Cyrl-RS"/>
        </w:rPr>
        <w:t>index for EU countries and Serbia in 2023</w:t>
      </w:r>
    </w:p>
    <w:p w14:paraId="4740325D" w14:textId="77777777" w:rsidR="00E425D7" w:rsidRPr="00AD7E7D" w:rsidRDefault="00E425D7" w:rsidP="00E425D7">
      <w:pPr>
        <w:rPr>
          <w:rFonts w:eastAsia="Calibri" w:cs="Times New Roman"/>
          <w:szCs w:val="24"/>
          <w:lang w:val="sr-Cyrl-RS"/>
        </w:rPr>
      </w:pPr>
      <w:r w:rsidRPr="004561ED">
        <w:rPr>
          <w:noProof/>
        </w:rPr>
        <w:drawing>
          <wp:inline distT="0" distB="0" distL="0" distR="0" wp14:anchorId="08A3DAF2" wp14:editId="11132EB7">
            <wp:extent cx="5758815" cy="4387755"/>
            <wp:effectExtent l="0" t="0" r="13335" b="133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D8E5EB" w14:textId="77777777" w:rsidR="00E425D7" w:rsidRPr="00AD7E7D" w:rsidRDefault="00E425D7" w:rsidP="00E425D7">
      <w:pPr>
        <w:rPr>
          <w:rFonts w:eastAsia="Calibri" w:cs="Times New Roman"/>
          <w:szCs w:val="24"/>
          <w:lang w:val="sr-Cyrl-RS"/>
        </w:rPr>
      </w:pPr>
      <w:bookmarkStart w:id="27" w:name="_Toc530635107"/>
    </w:p>
    <w:p w14:paraId="0FF90A77" w14:textId="77777777" w:rsidR="00E425D7" w:rsidRPr="00AD7E7D" w:rsidRDefault="00E425D7" w:rsidP="00E425D7">
      <w:pPr>
        <w:rPr>
          <w:rFonts w:eastAsia="Calibri" w:cs="Times New Roman"/>
          <w:szCs w:val="24"/>
          <w:lang w:val="sr-Cyrl-RS"/>
        </w:rPr>
      </w:pPr>
    </w:p>
    <w:p w14:paraId="60134381" w14:textId="77777777" w:rsidR="00E425D7" w:rsidRPr="00AD7E7D" w:rsidRDefault="00E425D7" w:rsidP="00E425D7">
      <w:pPr>
        <w:rPr>
          <w:rFonts w:eastAsia="Calibri" w:cs="Times New Roman"/>
          <w:szCs w:val="24"/>
          <w:lang w:val="sr-Cyrl-RS"/>
        </w:rPr>
      </w:pPr>
    </w:p>
    <w:p w14:paraId="5E11A89E" w14:textId="77777777" w:rsidR="00E425D7" w:rsidRPr="00AD7E7D" w:rsidRDefault="00E425D7" w:rsidP="00E425D7">
      <w:pPr>
        <w:spacing w:after="160" w:line="259" w:lineRule="auto"/>
        <w:jc w:val="left"/>
        <w:rPr>
          <w:rFonts w:eastAsia="Calibri" w:cs="Times New Roman"/>
          <w:szCs w:val="24"/>
          <w:lang w:val="sr-Cyrl-RS"/>
        </w:rPr>
      </w:pPr>
      <w:r w:rsidRPr="00AD7E7D">
        <w:rPr>
          <w:rFonts w:eastAsia="Calibri" w:cs="Times New Roman"/>
          <w:szCs w:val="24"/>
          <w:lang w:val="sr-Cyrl-RS"/>
        </w:rPr>
        <w:br w:type="page"/>
      </w:r>
    </w:p>
    <w:p w14:paraId="667E9FCB" w14:textId="0C9ABFD7" w:rsidR="00E425D7" w:rsidRPr="00915EC2" w:rsidRDefault="00E425D7" w:rsidP="00E425D7">
      <w:pPr>
        <w:pStyle w:val="Heading11"/>
        <w:spacing w:before="180" w:after="180"/>
        <w:rPr>
          <w:rFonts w:ascii="Times New Roman" w:hAnsi="Times New Roman" w:cs="Times New Roman"/>
          <w:color w:val="auto"/>
          <w:sz w:val="24"/>
          <w:szCs w:val="24"/>
          <w:lang w:val="sr-Latn-RS"/>
        </w:rPr>
      </w:pPr>
      <w:bookmarkStart w:id="28" w:name="_Toc186010348"/>
      <w:bookmarkStart w:id="29" w:name="_Toc192759979"/>
      <w:r w:rsidRPr="00915EC2">
        <w:rPr>
          <w:rFonts w:ascii="Times New Roman" w:hAnsi="Times New Roman" w:cs="Times New Roman"/>
          <w:color w:val="auto"/>
          <w:sz w:val="24"/>
          <w:szCs w:val="24"/>
          <w:lang w:val="sr-Latn-RS"/>
        </w:rPr>
        <w:lastRenderedPageBreak/>
        <w:t xml:space="preserve">4.3. </w:t>
      </w:r>
      <w:bookmarkEnd w:id="27"/>
      <w:bookmarkEnd w:id="28"/>
      <w:r w:rsidR="00C91243">
        <w:rPr>
          <w:rFonts w:ascii="Times New Roman" w:hAnsi="Times New Roman" w:cs="Times New Roman"/>
          <w:color w:val="auto"/>
          <w:sz w:val="24"/>
          <w:szCs w:val="24"/>
          <w:lang w:val="sr-Latn-RS"/>
        </w:rPr>
        <w:t>BUDGET PLANS FOR 2025, MEDIUM-TERM BUDGETARY OUTLOOK AND SUPPORTIVE POLICIES</w:t>
      </w:r>
      <w:bookmarkEnd w:id="29"/>
    </w:p>
    <w:p w14:paraId="22C52C41" w14:textId="77777777" w:rsidR="00E425D7" w:rsidRPr="00BE15FE" w:rsidRDefault="00E425D7" w:rsidP="00E425D7">
      <w:pPr>
        <w:rPr>
          <w:rFonts w:cs="Times New Roman"/>
          <w:szCs w:val="24"/>
          <w:lang w:eastAsia="ja-JP"/>
        </w:rPr>
      </w:pPr>
      <w:r w:rsidRPr="00BE15FE">
        <w:rPr>
          <w:rFonts w:cs="Times New Roman"/>
          <w:szCs w:val="24"/>
          <w:lang w:eastAsia="ja-JP"/>
        </w:rPr>
        <w:t>The main objectives of fiscal policy are focused on maintaining fiscal stability and reducing the public debt-to-GDP ratio. The projections for fiscal aggregates in the period from 2025 to 2027 are based on the macroeconomic projections for the given period, the planned tax policy, which involves further alignment with EU laws and directives, as well as fiscal and structural measures, including the improvement of operations of large public enterprises.</w:t>
      </w:r>
    </w:p>
    <w:p w14:paraId="013F769C" w14:textId="77777777" w:rsidR="00E425D7" w:rsidRDefault="00E425D7" w:rsidP="00E425D7">
      <w:pPr>
        <w:rPr>
          <w:rFonts w:cs="Times New Roman"/>
          <w:szCs w:val="24"/>
          <w:lang w:eastAsia="ja-JP"/>
        </w:rPr>
      </w:pPr>
      <w:r w:rsidRPr="00BE15FE">
        <w:rPr>
          <w:rFonts w:cs="Times New Roman"/>
          <w:szCs w:val="24"/>
          <w:lang w:eastAsia="ja-JP"/>
        </w:rPr>
        <w:t>Thanks to the fiscal consolidation measures in the previous period, fiscal space was created, which enabled the implementation of extensive packages of measures as part of the response to the effects of the crisis caused by the pandemic in 2020 and 2021. In 2022, funds were secured to mitigate the effects of the energy crisis caused by the conflict in Ukraine. The response of fiscal policy in the upcoming period, the measures created, and their fiscal implications will be designed in such a way as to not jeopardize the stability of public finances and the pace of reducing public debt, to maintain the standard of living of the population, to support economic development, and to ensure flexibility in the event of a stronger crisis impact.</w:t>
      </w:r>
    </w:p>
    <w:p w14:paraId="7AB5EC9A" w14:textId="77777777" w:rsidR="00E425D7" w:rsidRPr="00BF5A92" w:rsidRDefault="00E425D7" w:rsidP="00E425D7">
      <w:pPr>
        <w:rPr>
          <w:rFonts w:cs="Times New Roman"/>
          <w:i/>
          <w:szCs w:val="24"/>
          <w:lang w:val="sr-Cyrl-RS" w:eastAsia="ja-JP"/>
        </w:rPr>
      </w:pPr>
      <w:r>
        <w:rPr>
          <w:rFonts w:cs="Times New Roman"/>
          <w:i/>
          <w:szCs w:val="24"/>
          <w:lang w:val="sr-Latn-RS" w:eastAsia="ja-JP"/>
        </w:rPr>
        <w:t>Table</w:t>
      </w:r>
      <w:r w:rsidRPr="00BF5A92">
        <w:rPr>
          <w:rFonts w:cs="Times New Roman"/>
          <w:i/>
          <w:szCs w:val="24"/>
          <w:lang w:val="sr-Cyrl-RS" w:eastAsia="ja-JP"/>
        </w:rPr>
        <w:t xml:space="preserve"> 7. </w:t>
      </w:r>
      <w:r w:rsidRPr="00172214">
        <w:rPr>
          <w:rFonts w:cs="Times New Roman"/>
          <w:i/>
          <w:szCs w:val="24"/>
          <w:lang w:val="sr-Cyrl-RS" w:eastAsia="ja-JP"/>
        </w:rPr>
        <w:t>Fiscal aggregates in the period 2023–2027, % of GDP</w:t>
      </w:r>
    </w:p>
    <w:tbl>
      <w:tblPr>
        <w:tblStyle w:val="LightShading-Accent12214"/>
        <w:tblW w:w="5000" w:type="pct"/>
        <w:tblBorders>
          <w:top w:val="none" w:sz="0" w:space="0" w:color="auto"/>
          <w:bottom w:val="none" w:sz="0" w:space="0" w:color="auto"/>
        </w:tblBorders>
        <w:tblLook w:val="0420" w:firstRow="1" w:lastRow="0" w:firstColumn="0" w:lastColumn="0" w:noHBand="0" w:noVBand="1"/>
      </w:tblPr>
      <w:tblGrid>
        <w:gridCol w:w="3744"/>
        <w:gridCol w:w="1370"/>
        <w:gridCol w:w="1161"/>
        <w:gridCol w:w="917"/>
        <w:gridCol w:w="917"/>
        <w:gridCol w:w="917"/>
      </w:tblGrid>
      <w:tr w:rsidR="00E425D7" w:rsidRPr="00172214" w14:paraId="5FCDF255" w14:textId="77777777" w:rsidTr="008C56D0">
        <w:trPr>
          <w:cnfStyle w:val="100000000000" w:firstRow="1" w:lastRow="0" w:firstColumn="0" w:lastColumn="0" w:oddVBand="0" w:evenVBand="0" w:oddHBand="0" w:evenHBand="0" w:firstRowFirstColumn="0" w:firstRowLastColumn="0" w:lastRowFirstColumn="0" w:lastRowLastColumn="0"/>
          <w:trHeight w:val="396"/>
          <w:tblHeader/>
        </w:trPr>
        <w:tc>
          <w:tcPr>
            <w:tcW w:w="2074" w:type="pct"/>
            <w:tcBorders>
              <w:top w:val="single" w:sz="4" w:space="0" w:color="002060"/>
              <w:bottom w:val="single" w:sz="4" w:space="0" w:color="002060"/>
            </w:tcBorders>
            <w:shd w:val="clear" w:color="auto" w:fill="auto"/>
            <w:noWrap/>
            <w:vAlign w:val="center"/>
          </w:tcPr>
          <w:p w14:paraId="3042B70D" w14:textId="77777777" w:rsidR="00E425D7" w:rsidRPr="00172214" w:rsidRDefault="00E425D7" w:rsidP="008C56D0">
            <w:pPr>
              <w:rPr>
                <w:color w:val="000000" w:themeColor="text1"/>
                <w:szCs w:val="24"/>
              </w:rPr>
            </w:pPr>
            <w:r w:rsidRPr="00172214">
              <w:rPr>
                <w:rFonts w:eastAsiaTheme="minorHAnsi"/>
                <w:b w:val="0"/>
                <w:color w:val="000000" w:themeColor="text1"/>
                <w:szCs w:val="24"/>
                <w:lang w:eastAsia="en-US"/>
              </w:rPr>
              <w:t>Description</w:t>
            </w:r>
          </w:p>
        </w:tc>
        <w:tc>
          <w:tcPr>
            <w:tcW w:w="759" w:type="pct"/>
            <w:tcBorders>
              <w:top w:val="single" w:sz="4" w:space="0" w:color="002060"/>
              <w:bottom w:val="single" w:sz="4" w:space="0" w:color="002060"/>
            </w:tcBorders>
            <w:shd w:val="clear" w:color="auto" w:fill="auto"/>
            <w:vAlign w:val="center"/>
          </w:tcPr>
          <w:p w14:paraId="0A752A58" w14:textId="77777777" w:rsidR="00E425D7" w:rsidRPr="00172214" w:rsidRDefault="00E425D7" w:rsidP="008C56D0">
            <w:pPr>
              <w:jc w:val="center"/>
              <w:rPr>
                <w:color w:val="000000" w:themeColor="text1"/>
                <w:szCs w:val="24"/>
              </w:rPr>
            </w:pPr>
            <w:r w:rsidRPr="00172214">
              <w:rPr>
                <w:rFonts w:eastAsiaTheme="minorHAnsi"/>
                <w:b w:val="0"/>
                <w:color w:val="000000" w:themeColor="text1"/>
                <w:szCs w:val="24"/>
                <w:lang w:eastAsia="en-US"/>
              </w:rPr>
              <w:t>Execution</w:t>
            </w:r>
          </w:p>
        </w:tc>
        <w:tc>
          <w:tcPr>
            <w:tcW w:w="643" w:type="pct"/>
            <w:tcBorders>
              <w:top w:val="single" w:sz="4" w:space="0" w:color="002060"/>
              <w:bottom w:val="single" w:sz="4" w:space="0" w:color="002060"/>
            </w:tcBorders>
            <w:shd w:val="clear" w:color="auto" w:fill="auto"/>
            <w:vAlign w:val="center"/>
          </w:tcPr>
          <w:p w14:paraId="4BE6236C" w14:textId="77777777" w:rsidR="00E425D7" w:rsidRPr="00172214" w:rsidRDefault="00E425D7" w:rsidP="008C56D0">
            <w:pPr>
              <w:jc w:val="center"/>
              <w:rPr>
                <w:color w:val="000000" w:themeColor="text1"/>
                <w:szCs w:val="24"/>
              </w:rPr>
            </w:pPr>
            <w:r w:rsidRPr="00172214">
              <w:rPr>
                <w:rFonts w:eastAsiaTheme="minorHAnsi"/>
                <w:b w:val="0"/>
                <w:color w:val="000000" w:themeColor="text1"/>
                <w:szCs w:val="24"/>
                <w:lang w:eastAsia="en-US"/>
              </w:rPr>
              <w:t>Estimate</w:t>
            </w:r>
          </w:p>
        </w:tc>
        <w:tc>
          <w:tcPr>
            <w:tcW w:w="1524" w:type="pct"/>
            <w:gridSpan w:val="3"/>
            <w:tcBorders>
              <w:top w:val="single" w:sz="4" w:space="0" w:color="002060"/>
              <w:bottom w:val="single" w:sz="4" w:space="0" w:color="002060"/>
            </w:tcBorders>
            <w:shd w:val="clear" w:color="auto" w:fill="auto"/>
            <w:vAlign w:val="center"/>
          </w:tcPr>
          <w:p w14:paraId="56E9BB94" w14:textId="77777777" w:rsidR="00E425D7" w:rsidRPr="00172214" w:rsidRDefault="00E425D7" w:rsidP="008C56D0">
            <w:pPr>
              <w:jc w:val="center"/>
              <w:rPr>
                <w:color w:val="000000" w:themeColor="text1"/>
                <w:szCs w:val="24"/>
              </w:rPr>
            </w:pPr>
            <w:r w:rsidRPr="00172214">
              <w:rPr>
                <w:rFonts w:eastAsiaTheme="minorHAnsi"/>
                <w:b w:val="0"/>
                <w:color w:val="000000" w:themeColor="text1"/>
                <w:szCs w:val="24"/>
                <w:lang w:eastAsia="en-US"/>
              </w:rPr>
              <w:t>Projection</w:t>
            </w:r>
          </w:p>
        </w:tc>
      </w:tr>
      <w:tr w:rsidR="00E425D7" w:rsidRPr="00172214" w14:paraId="2EF1BC81" w14:textId="77777777" w:rsidTr="008C56D0">
        <w:trPr>
          <w:cnfStyle w:val="100000000000" w:firstRow="1" w:lastRow="0" w:firstColumn="0" w:lastColumn="0" w:oddVBand="0" w:evenVBand="0" w:oddHBand="0" w:evenHBand="0" w:firstRowFirstColumn="0" w:firstRowLastColumn="0" w:lastRowFirstColumn="0" w:lastRowLastColumn="0"/>
          <w:trHeight w:val="396"/>
          <w:tblHeader/>
        </w:trPr>
        <w:tc>
          <w:tcPr>
            <w:tcW w:w="2074" w:type="pct"/>
            <w:tcBorders>
              <w:top w:val="single" w:sz="4" w:space="0" w:color="002060"/>
              <w:bottom w:val="single" w:sz="4" w:space="0" w:color="auto"/>
            </w:tcBorders>
            <w:shd w:val="clear" w:color="auto" w:fill="auto"/>
            <w:noWrap/>
            <w:vAlign w:val="center"/>
          </w:tcPr>
          <w:p w14:paraId="7AD69159" w14:textId="77777777" w:rsidR="00E425D7" w:rsidRPr="00172214" w:rsidRDefault="00E425D7" w:rsidP="008C56D0">
            <w:pPr>
              <w:rPr>
                <w:color w:val="auto"/>
                <w:szCs w:val="24"/>
              </w:rPr>
            </w:pPr>
            <w:r w:rsidRPr="00172214">
              <w:rPr>
                <w:color w:val="auto"/>
                <w:szCs w:val="24"/>
              </w:rPr>
              <w:t> </w:t>
            </w:r>
          </w:p>
        </w:tc>
        <w:tc>
          <w:tcPr>
            <w:tcW w:w="759" w:type="pct"/>
            <w:tcBorders>
              <w:top w:val="single" w:sz="4" w:space="0" w:color="002060"/>
              <w:bottom w:val="single" w:sz="4" w:space="0" w:color="002060"/>
            </w:tcBorders>
            <w:shd w:val="clear" w:color="auto" w:fill="auto"/>
            <w:vAlign w:val="center"/>
          </w:tcPr>
          <w:p w14:paraId="149307CF" w14:textId="77777777" w:rsidR="00E425D7" w:rsidRPr="00172214" w:rsidRDefault="00E425D7" w:rsidP="008C56D0">
            <w:pPr>
              <w:jc w:val="center"/>
              <w:rPr>
                <w:color w:val="auto"/>
                <w:szCs w:val="24"/>
              </w:rPr>
            </w:pPr>
            <w:r w:rsidRPr="00172214">
              <w:rPr>
                <w:color w:val="auto"/>
                <w:szCs w:val="24"/>
              </w:rPr>
              <w:t>2023</w:t>
            </w:r>
          </w:p>
        </w:tc>
        <w:tc>
          <w:tcPr>
            <w:tcW w:w="643" w:type="pct"/>
            <w:tcBorders>
              <w:top w:val="single" w:sz="4" w:space="0" w:color="002060"/>
              <w:bottom w:val="single" w:sz="4" w:space="0" w:color="002060"/>
            </w:tcBorders>
            <w:shd w:val="clear" w:color="auto" w:fill="auto"/>
            <w:vAlign w:val="center"/>
          </w:tcPr>
          <w:p w14:paraId="679F4911" w14:textId="77777777" w:rsidR="00E425D7" w:rsidRPr="00172214" w:rsidRDefault="00E425D7" w:rsidP="008C56D0">
            <w:pPr>
              <w:jc w:val="center"/>
              <w:rPr>
                <w:color w:val="auto"/>
                <w:szCs w:val="24"/>
              </w:rPr>
            </w:pPr>
            <w:r w:rsidRPr="00172214">
              <w:rPr>
                <w:color w:val="auto"/>
                <w:szCs w:val="24"/>
              </w:rPr>
              <w:t>2024</w:t>
            </w:r>
          </w:p>
        </w:tc>
        <w:tc>
          <w:tcPr>
            <w:tcW w:w="508" w:type="pct"/>
            <w:tcBorders>
              <w:top w:val="single" w:sz="4" w:space="0" w:color="002060"/>
              <w:bottom w:val="single" w:sz="4" w:space="0" w:color="002060"/>
            </w:tcBorders>
            <w:shd w:val="clear" w:color="auto" w:fill="auto"/>
            <w:vAlign w:val="center"/>
          </w:tcPr>
          <w:p w14:paraId="64C30C35" w14:textId="77777777" w:rsidR="00E425D7" w:rsidRPr="00172214" w:rsidRDefault="00E425D7" w:rsidP="008C56D0">
            <w:pPr>
              <w:jc w:val="center"/>
              <w:rPr>
                <w:color w:val="auto"/>
                <w:szCs w:val="24"/>
              </w:rPr>
            </w:pPr>
            <w:r w:rsidRPr="00172214">
              <w:rPr>
                <w:color w:val="auto"/>
                <w:szCs w:val="24"/>
              </w:rPr>
              <w:t>2025</w:t>
            </w:r>
          </w:p>
        </w:tc>
        <w:tc>
          <w:tcPr>
            <w:tcW w:w="508" w:type="pct"/>
            <w:tcBorders>
              <w:top w:val="single" w:sz="4" w:space="0" w:color="002060"/>
              <w:bottom w:val="single" w:sz="4" w:space="0" w:color="002060"/>
            </w:tcBorders>
            <w:shd w:val="clear" w:color="auto" w:fill="auto"/>
            <w:vAlign w:val="center"/>
          </w:tcPr>
          <w:p w14:paraId="29B830D6" w14:textId="77777777" w:rsidR="00E425D7" w:rsidRPr="00172214" w:rsidRDefault="00E425D7" w:rsidP="008C56D0">
            <w:pPr>
              <w:jc w:val="center"/>
              <w:rPr>
                <w:color w:val="auto"/>
                <w:szCs w:val="24"/>
              </w:rPr>
            </w:pPr>
            <w:r w:rsidRPr="00172214">
              <w:rPr>
                <w:color w:val="auto"/>
                <w:szCs w:val="24"/>
              </w:rPr>
              <w:t>2026</w:t>
            </w:r>
          </w:p>
        </w:tc>
        <w:tc>
          <w:tcPr>
            <w:tcW w:w="508" w:type="pct"/>
            <w:tcBorders>
              <w:top w:val="single" w:sz="4" w:space="0" w:color="002060"/>
              <w:bottom w:val="single" w:sz="4" w:space="0" w:color="002060"/>
            </w:tcBorders>
            <w:shd w:val="clear" w:color="auto" w:fill="auto"/>
            <w:vAlign w:val="center"/>
          </w:tcPr>
          <w:p w14:paraId="1A364495" w14:textId="77777777" w:rsidR="00E425D7" w:rsidRPr="00172214" w:rsidRDefault="00E425D7" w:rsidP="008C56D0">
            <w:pPr>
              <w:jc w:val="center"/>
              <w:rPr>
                <w:color w:val="auto"/>
                <w:szCs w:val="24"/>
              </w:rPr>
            </w:pPr>
            <w:r w:rsidRPr="00172214">
              <w:rPr>
                <w:color w:val="auto"/>
                <w:szCs w:val="24"/>
              </w:rPr>
              <w:t>2027</w:t>
            </w:r>
          </w:p>
        </w:tc>
      </w:tr>
      <w:tr w:rsidR="00E425D7" w:rsidRPr="00172214" w14:paraId="71E58132" w14:textId="77777777" w:rsidTr="008C56D0">
        <w:trPr>
          <w:cnfStyle w:val="000000100000" w:firstRow="0" w:lastRow="0" w:firstColumn="0" w:lastColumn="0" w:oddVBand="0" w:evenVBand="0" w:oddHBand="1" w:evenHBand="0" w:firstRowFirstColumn="0" w:firstRowLastColumn="0" w:lastRowFirstColumn="0" w:lastRowLastColumn="0"/>
          <w:trHeight w:val="396"/>
        </w:trPr>
        <w:tc>
          <w:tcPr>
            <w:tcW w:w="2074" w:type="pct"/>
            <w:shd w:val="clear" w:color="auto" w:fill="auto"/>
            <w:vAlign w:val="center"/>
          </w:tcPr>
          <w:p w14:paraId="0AD9796F" w14:textId="77777777" w:rsidR="00E425D7" w:rsidRPr="00172214" w:rsidRDefault="00E425D7" w:rsidP="008C56D0">
            <w:pPr>
              <w:jc w:val="left"/>
              <w:rPr>
                <w:color w:val="000000" w:themeColor="text1"/>
                <w:szCs w:val="24"/>
              </w:rPr>
            </w:pPr>
            <w:r w:rsidRPr="00172214">
              <w:rPr>
                <w:rFonts w:eastAsiaTheme="minorHAnsi"/>
                <w:color w:val="000000" w:themeColor="text1"/>
                <w:szCs w:val="24"/>
                <w:lang w:eastAsia="en-US"/>
              </w:rPr>
              <w:t>Public revenues</w:t>
            </w:r>
          </w:p>
        </w:tc>
        <w:tc>
          <w:tcPr>
            <w:tcW w:w="759" w:type="pct"/>
            <w:tcBorders>
              <w:top w:val="single" w:sz="4" w:space="0" w:color="002060"/>
            </w:tcBorders>
            <w:shd w:val="clear" w:color="auto" w:fill="auto"/>
            <w:vAlign w:val="center"/>
          </w:tcPr>
          <w:p w14:paraId="54143F43" w14:textId="77777777" w:rsidR="00E425D7" w:rsidRPr="00172214" w:rsidRDefault="00E425D7" w:rsidP="008C56D0">
            <w:pPr>
              <w:jc w:val="center"/>
              <w:rPr>
                <w:color w:val="auto"/>
                <w:szCs w:val="24"/>
              </w:rPr>
            </w:pPr>
            <w:r w:rsidRPr="00172214">
              <w:rPr>
                <w:color w:val="auto"/>
                <w:szCs w:val="24"/>
              </w:rPr>
              <w:t>39,4</w:t>
            </w:r>
          </w:p>
        </w:tc>
        <w:tc>
          <w:tcPr>
            <w:tcW w:w="643" w:type="pct"/>
            <w:tcBorders>
              <w:top w:val="single" w:sz="4" w:space="0" w:color="002060"/>
            </w:tcBorders>
            <w:shd w:val="clear" w:color="auto" w:fill="auto"/>
            <w:vAlign w:val="center"/>
          </w:tcPr>
          <w:p w14:paraId="27CBC010" w14:textId="77777777" w:rsidR="00E425D7" w:rsidRPr="00172214" w:rsidRDefault="00E425D7" w:rsidP="008C56D0">
            <w:pPr>
              <w:jc w:val="center"/>
              <w:rPr>
                <w:color w:val="auto"/>
                <w:szCs w:val="24"/>
              </w:rPr>
            </w:pPr>
            <w:r w:rsidRPr="00172214">
              <w:rPr>
                <w:color w:val="auto"/>
                <w:szCs w:val="24"/>
              </w:rPr>
              <w:t>40,8</w:t>
            </w:r>
          </w:p>
        </w:tc>
        <w:tc>
          <w:tcPr>
            <w:tcW w:w="508" w:type="pct"/>
            <w:tcBorders>
              <w:top w:val="single" w:sz="4" w:space="0" w:color="002060"/>
            </w:tcBorders>
            <w:shd w:val="clear" w:color="auto" w:fill="auto"/>
            <w:vAlign w:val="center"/>
          </w:tcPr>
          <w:p w14:paraId="4E93EDAB" w14:textId="77777777" w:rsidR="00E425D7" w:rsidRPr="00172214" w:rsidRDefault="00E425D7" w:rsidP="008C56D0">
            <w:pPr>
              <w:jc w:val="center"/>
              <w:rPr>
                <w:color w:val="auto"/>
                <w:szCs w:val="24"/>
              </w:rPr>
            </w:pPr>
            <w:r w:rsidRPr="00172214">
              <w:rPr>
                <w:color w:val="auto"/>
                <w:szCs w:val="24"/>
              </w:rPr>
              <w:t>41,3</w:t>
            </w:r>
          </w:p>
        </w:tc>
        <w:tc>
          <w:tcPr>
            <w:tcW w:w="508" w:type="pct"/>
            <w:tcBorders>
              <w:top w:val="single" w:sz="4" w:space="0" w:color="002060"/>
            </w:tcBorders>
            <w:shd w:val="clear" w:color="auto" w:fill="auto"/>
            <w:vAlign w:val="center"/>
          </w:tcPr>
          <w:p w14:paraId="1C119A61" w14:textId="77777777" w:rsidR="00E425D7" w:rsidRPr="00172214" w:rsidRDefault="00E425D7" w:rsidP="008C56D0">
            <w:pPr>
              <w:jc w:val="center"/>
              <w:rPr>
                <w:color w:val="auto"/>
                <w:szCs w:val="24"/>
              </w:rPr>
            </w:pPr>
            <w:r w:rsidRPr="00172214">
              <w:rPr>
                <w:color w:val="auto"/>
                <w:szCs w:val="24"/>
              </w:rPr>
              <w:t>40,9</w:t>
            </w:r>
          </w:p>
        </w:tc>
        <w:tc>
          <w:tcPr>
            <w:tcW w:w="508" w:type="pct"/>
            <w:tcBorders>
              <w:top w:val="single" w:sz="4" w:space="0" w:color="002060"/>
            </w:tcBorders>
            <w:shd w:val="clear" w:color="auto" w:fill="auto"/>
            <w:vAlign w:val="center"/>
          </w:tcPr>
          <w:p w14:paraId="6A5C4C3C" w14:textId="77777777" w:rsidR="00E425D7" w:rsidRPr="00172214" w:rsidRDefault="00E425D7" w:rsidP="008C56D0">
            <w:pPr>
              <w:jc w:val="center"/>
              <w:rPr>
                <w:color w:val="auto"/>
                <w:szCs w:val="24"/>
              </w:rPr>
            </w:pPr>
            <w:r w:rsidRPr="00172214">
              <w:rPr>
                <w:color w:val="auto"/>
                <w:szCs w:val="24"/>
              </w:rPr>
              <w:t>40,5</w:t>
            </w:r>
          </w:p>
        </w:tc>
      </w:tr>
      <w:tr w:rsidR="00E425D7" w:rsidRPr="00172214" w14:paraId="476D7CD7" w14:textId="77777777" w:rsidTr="008C56D0">
        <w:trPr>
          <w:trHeight w:val="396"/>
        </w:trPr>
        <w:tc>
          <w:tcPr>
            <w:tcW w:w="2074" w:type="pct"/>
            <w:shd w:val="clear" w:color="auto" w:fill="auto"/>
            <w:vAlign w:val="center"/>
          </w:tcPr>
          <w:p w14:paraId="0C9A4E7B" w14:textId="77777777" w:rsidR="00E425D7" w:rsidRPr="00172214" w:rsidRDefault="00E425D7" w:rsidP="008C56D0">
            <w:pPr>
              <w:jc w:val="left"/>
              <w:rPr>
                <w:color w:val="000000" w:themeColor="text1"/>
                <w:szCs w:val="24"/>
              </w:rPr>
            </w:pPr>
            <w:r w:rsidRPr="00172214">
              <w:rPr>
                <w:rFonts w:eastAsiaTheme="minorHAnsi"/>
                <w:color w:val="000000" w:themeColor="text1"/>
                <w:szCs w:val="24"/>
                <w:lang w:eastAsia="en-US"/>
              </w:rPr>
              <w:t>Public expenditures</w:t>
            </w:r>
          </w:p>
        </w:tc>
        <w:tc>
          <w:tcPr>
            <w:tcW w:w="759" w:type="pct"/>
            <w:shd w:val="clear" w:color="auto" w:fill="auto"/>
            <w:vAlign w:val="center"/>
          </w:tcPr>
          <w:p w14:paraId="16C18D24" w14:textId="77777777" w:rsidR="00E425D7" w:rsidRPr="00172214" w:rsidRDefault="00E425D7" w:rsidP="008C56D0">
            <w:pPr>
              <w:jc w:val="center"/>
              <w:rPr>
                <w:color w:val="auto"/>
                <w:szCs w:val="24"/>
              </w:rPr>
            </w:pPr>
            <w:r w:rsidRPr="00172214">
              <w:rPr>
                <w:color w:val="auto"/>
                <w:szCs w:val="24"/>
              </w:rPr>
              <w:t>41,4</w:t>
            </w:r>
          </w:p>
        </w:tc>
        <w:tc>
          <w:tcPr>
            <w:tcW w:w="643" w:type="pct"/>
            <w:shd w:val="clear" w:color="auto" w:fill="auto"/>
            <w:vAlign w:val="center"/>
          </w:tcPr>
          <w:p w14:paraId="1A506A5C" w14:textId="77777777" w:rsidR="00E425D7" w:rsidRPr="00172214" w:rsidRDefault="00E425D7" w:rsidP="008C56D0">
            <w:pPr>
              <w:jc w:val="center"/>
              <w:rPr>
                <w:color w:val="auto"/>
                <w:szCs w:val="24"/>
              </w:rPr>
            </w:pPr>
            <w:r w:rsidRPr="00172214">
              <w:rPr>
                <w:color w:val="auto"/>
                <w:szCs w:val="24"/>
              </w:rPr>
              <w:t>43,6</w:t>
            </w:r>
          </w:p>
        </w:tc>
        <w:tc>
          <w:tcPr>
            <w:tcW w:w="508" w:type="pct"/>
            <w:shd w:val="clear" w:color="auto" w:fill="auto"/>
            <w:vAlign w:val="center"/>
          </w:tcPr>
          <w:p w14:paraId="1A0CFB74" w14:textId="77777777" w:rsidR="00E425D7" w:rsidRPr="00172214" w:rsidRDefault="00E425D7" w:rsidP="008C56D0">
            <w:pPr>
              <w:jc w:val="center"/>
              <w:rPr>
                <w:color w:val="auto"/>
                <w:szCs w:val="24"/>
              </w:rPr>
            </w:pPr>
            <w:r w:rsidRPr="00172214">
              <w:rPr>
                <w:color w:val="auto"/>
                <w:szCs w:val="24"/>
              </w:rPr>
              <w:t>44,3</w:t>
            </w:r>
          </w:p>
        </w:tc>
        <w:tc>
          <w:tcPr>
            <w:tcW w:w="508" w:type="pct"/>
            <w:shd w:val="clear" w:color="auto" w:fill="auto"/>
            <w:vAlign w:val="center"/>
          </w:tcPr>
          <w:p w14:paraId="7F17552C" w14:textId="77777777" w:rsidR="00E425D7" w:rsidRPr="00172214" w:rsidRDefault="00E425D7" w:rsidP="008C56D0">
            <w:pPr>
              <w:jc w:val="center"/>
              <w:rPr>
                <w:color w:val="auto"/>
                <w:szCs w:val="24"/>
              </w:rPr>
            </w:pPr>
            <w:r w:rsidRPr="00172214">
              <w:rPr>
                <w:color w:val="auto"/>
                <w:szCs w:val="24"/>
              </w:rPr>
              <w:t>43,9</w:t>
            </w:r>
          </w:p>
        </w:tc>
        <w:tc>
          <w:tcPr>
            <w:tcW w:w="508" w:type="pct"/>
            <w:shd w:val="clear" w:color="auto" w:fill="auto"/>
            <w:vAlign w:val="center"/>
          </w:tcPr>
          <w:p w14:paraId="3D2B767D" w14:textId="77777777" w:rsidR="00E425D7" w:rsidRPr="00172214" w:rsidRDefault="00E425D7" w:rsidP="008C56D0">
            <w:pPr>
              <w:jc w:val="center"/>
              <w:rPr>
                <w:color w:val="auto"/>
                <w:szCs w:val="24"/>
              </w:rPr>
            </w:pPr>
            <w:r w:rsidRPr="00172214">
              <w:rPr>
                <w:color w:val="auto"/>
                <w:szCs w:val="24"/>
              </w:rPr>
              <w:t>43,5</w:t>
            </w:r>
          </w:p>
        </w:tc>
      </w:tr>
      <w:tr w:rsidR="00E425D7" w:rsidRPr="00172214" w14:paraId="6451D7D0" w14:textId="77777777" w:rsidTr="008C56D0">
        <w:trPr>
          <w:cnfStyle w:val="000000100000" w:firstRow="0" w:lastRow="0" w:firstColumn="0" w:lastColumn="0" w:oddVBand="0" w:evenVBand="0" w:oddHBand="1" w:evenHBand="0" w:firstRowFirstColumn="0" w:firstRowLastColumn="0" w:lastRowFirstColumn="0" w:lastRowLastColumn="0"/>
          <w:trHeight w:val="396"/>
        </w:trPr>
        <w:tc>
          <w:tcPr>
            <w:tcW w:w="2074" w:type="pct"/>
            <w:shd w:val="clear" w:color="auto" w:fill="auto"/>
            <w:vAlign w:val="center"/>
          </w:tcPr>
          <w:p w14:paraId="4E5B1F5E" w14:textId="77777777" w:rsidR="00E425D7" w:rsidRPr="00172214" w:rsidRDefault="00E425D7" w:rsidP="008C56D0">
            <w:pPr>
              <w:jc w:val="left"/>
              <w:rPr>
                <w:color w:val="000000" w:themeColor="text1"/>
                <w:szCs w:val="24"/>
              </w:rPr>
            </w:pPr>
          </w:p>
        </w:tc>
        <w:tc>
          <w:tcPr>
            <w:tcW w:w="759" w:type="pct"/>
            <w:shd w:val="clear" w:color="auto" w:fill="auto"/>
            <w:vAlign w:val="center"/>
          </w:tcPr>
          <w:p w14:paraId="18CF3C22" w14:textId="77777777" w:rsidR="00E425D7" w:rsidRPr="00172214" w:rsidRDefault="00E425D7" w:rsidP="008C56D0">
            <w:pPr>
              <w:jc w:val="center"/>
              <w:rPr>
                <w:color w:val="auto"/>
                <w:szCs w:val="24"/>
              </w:rPr>
            </w:pPr>
          </w:p>
        </w:tc>
        <w:tc>
          <w:tcPr>
            <w:tcW w:w="643" w:type="pct"/>
            <w:shd w:val="clear" w:color="auto" w:fill="auto"/>
            <w:vAlign w:val="center"/>
          </w:tcPr>
          <w:p w14:paraId="614295CD" w14:textId="77777777" w:rsidR="00E425D7" w:rsidRPr="00172214" w:rsidRDefault="00E425D7" w:rsidP="008C56D0">
            <w:pPr>
              <w:jc w:val="center"/>
              <w:rPr>
                <w:color w:val="auto"/>
                <w:szCs w:val="24"/>
              </w:rPr>
            </w:pPr>
          </w:p>
        </w:tc>
        <w:tc>
          <w:tcPr>
            <w:tcW w:w="508" w:type="pct"/>
            <w:shd w:val="clear" w:color="auto" w:fill="auto"/>
            <w:vAlign w:val="center"/>
          </w:tcPr>
          <w:p w14:paraId="5279D52E" w14:textId="77777777" w:rsidR="00E425D7" w:rsidRPr="00172214" w:rsidRDefault="00E425D7" w:rsidP="008C56D0">
            <w:pPr>
              <w:jc w:val="center"/>
              <w:rPr>
                <w:color w:val="auto"/>
                <w:szCs w:val="24"/>
              </w:rPr>
            </w:pPr>
          </w:p>
        </w:tc>
        <w:tc>
          <w:tcPr>
            <w:tcW w:w="508" w:type="pct"/>
            <w:shd w:val="clear" w:color="auto" w:fill="auto"/>
            <w:vAlign w:val="center"/>
          </w:tcPr>
          <w:p w14:paraId="26F41B48" w14:textId="77777777" w:rsidR="00E425D7" w:rsidRPr="00172214" w:rsidRDefault="00E425D7" w:rsidP="008C56D0">
            <w:pPr>
              <w:jc w:val="center"/>
              <w:rPr>
                <w:color w:val="auto"/>
                <w:szCs w:val="24"/>
              </w:rPr>
            </w:pPr>
          </w:p>
        </w:tc>
        <w:tc>
          <w:tcPr>
            <w:tcW w:w="508" w:type="pct"/>
            <w:shd w:val="clear" w:color="auto" w:fill="auto"/>
            <w:vAlign w:val="center"/>
          </w:tcPr>
          <w:p w14:paraId="7DC75D43" w14:textId="77777777" w:rsidR="00E425D7" w:rsidRPr="00172214" w:rsidRDefault="00E425D7" w:rsidP="008C56D0">
            <w:pPr>
              <w:jc w:val="center"/>
              <w:rPr>
                <w:color w:val="auto"/>
                <w:szCs w:val="24"/>
              </w:rPr>
            </w:pPr>
          </w:p>
        </w:tc>
      </w:tr>
      <w:tr w:rsidR="00E425D7" w:rsidRPr="00172214" w14:paraId="13EBED6E" w14:textId="77777777" w:rsidTr="008C56D0">
        <w:trPr>
          <w:trHeight w:val="396"/>
        </w:trPr>
        <w:tc>
          <w:tcPr>
            <w:tcW w:w="2074" w:type="pct"/>
            <w:shd w:val="clear" w:color="auto" w:fill="auto"/>
            <w:vAlign w:val="center"/>
          </w:tcPr>
          <w:p w14:paraId="32D125CC" w14:textId="77777777" w:rsidR="00E425D7" w:rsidRPr="00172214" w:rsidRDefault="00E425D7" w:rsidP="008C56D0">
            <w:pPr>
              <w:jc w:val="left"/>
              <w:rPr>
                <w:color w:val="000000" w:themeColor="text1"/>
                <w:szCs w:val="24"/>
              </w:rPr>
            </w:pPr>
            <w:r w:rsidRPr="00172214">
              <w:rPr>
                <w:rFonts w:eastAsiaTheme="minorHAnsi"/>
                <w:color w:val="000000" w:themeColor="text1"/>
                <w:szCs w:val="24"/>
                <w:lang w:eastAsia="en-US"/>
              </w:rPr>
              <w:t>Consolidated fiscal result</w:t>
            </w:r>
          </w:p>
        </w:tc>
        <w:tc>
          <w:tcPr>
            <w:tcW w:w="759" w:type="pct"/>
            <w:shd w:val="clear" w:color="auto" w:fill="auto"/>
            <w:vAlign w:val="center"/>
          </w:tcPr>
          <w:p w14:paraId="1CA3D7C8" w14:textId="77777777" w:rsidR="00E425D7" w:rsidRPr="00172214" w:rsidRDefault="00E425D7" w:rsidP="008C56D0">
            <w:pPr>
              <w:jc w:val="center"/>
              <w:rPr>
                <w:color w:val="auto"/>
                <w:szCs w:val="24"/>
              </w:rPr>
            </w:pPr>
            <w:r w:rsidRPr="00172214">
              <w:rPr>
                <w:color w:val="auto"/>
                <w:szCs w:val="24"/>
              </w:rPr>
              <w:t>-2,1</w:t>
            </w:r>
          </w:p>
        </w:tc>
        <w:tc>
          <w:tcPr>
            <w:tcW w:w="643" w:type="pct"/>
            <w:shd w:val="clear" w:color="auto" w:fill="auto"/>
            <w:vAlign w:val="center"/>
          </w:tcPr>
          <w:p w14:paraId="5499D0DF" w14:textId="77777777" w:rsidR="00E425D7" w:rsidRPr="00172214" w:rsidRDefault="00E425D7" w:rsidP="008C56D0">
            <w:pPr>
              <w:jc w:val="center"/>
              <w:rPr>
                <w:color w:val="auto"/>
                <w:szCs w:val="24"/>
              </w:rPr>
            </w:pPr>
            <w:r w:rsidRPr="00172214">
              <w:rPr>
                <w:color w:val="auto"/>
                <w:szCs w:val="24"/>
              </w:rPr>
              <w:t>-2,7</w:t>
            </w:r>
          </w:p>
        </w:tc>
        <w:tc>
          <w:tcPr>
            <w:tcW w:w="508" w:type="pct"/>
            <w:shd w:val="clear" w:color="auto" w:fill="auto"/>
            <w:vAlign w:val="center"/>
          </w:tcPr>
          <w:p w14:paraId="2BEEE436" w14:textId="77777777" w:rsidR="00E425D7" w:rsidRPr="00172214" w:rsidRDefault="00E425D7" w:rsidP="008C56D0">
            <w:pPr>
              <w:jc w:val="center"/>
              <w:rPr>
                <w:color w:val="auto"/>
                <w:szCs w:val="24"/>
              </w:rPr>
            </w:pPr>
            <w:r w:rsidRPr="00172214">
              <w:rPr>
                <w:color w:val="auto"/>
                <w:szCs w:val="24"/>
              </w:rPr>
              <w:t>-3,0</w:t>
            </w:r>
          </w:p>
        </w:tc>
        <w:tc>
          <w:tcPr>
            <w:tcW w:w="508" w:type="pct"/>
            <w:shd w:val="clear" w:color="auto" w:fill="auto"/>
            <w:vAlign w:val="center"/>
          </w:tcPr>
          <w:p w14:paraId="06B5C65C" w14:textId="77777777" w:rsidR="00E425D7" w:rsidRPr="00172214" w:rsidRDefault="00E425D7" w:rsidP="008C56D0">
            <w:pPr>
              <w:jc w:val="center"/>
              <w:rPr>
                <w:color w:val="auto"/>
                <w:szCs w:val="24"/>
              </w:rPr>
            </w:pPr>
            <w:r w:rsidRPr="00172214">
              <w:rPr>
                <w:color w:val="auto"/>
                <w:szCs w:val="24"/>
              </w:rPr>
              <w:t>-3,0</w:t>
            </w:r>
          </w:p>
        </w:tc>
        <w:tc>
          <w:tcPr>
            <w:tcW w:w="508" w:type="pct"/>
            <w:shd w:val="clear" w:color="auto" w:fill="auto"/>
            <w:vAlign w:val="center"/>
          </w:tcPr>
          <w:p w14:paraId="068769A1" w14:textId="77777777" w:rsidR="00E425D7" w:rsidRPr="00172214" w:rsidRDefault="00E425D7" w:rsidP="008C56D0">
            <w:pPr>
              <w:jc w:val="center"/>
              <w:rPr>
                <w:color w:val="auto"/>
                <w:szCs w:val="24"/>
              </w:rPr>
            </w:pPr>
            <w:r w:rsidRPr="00172214">
              <w:rPr>
                <w:color w:val="auto"/>
                <w:szCs w:val="24"/>
              </w:rPr>
              <w:t>-3,0</w:t>
            </w:r>
          </w:p>
        </w:tc>
      </w:tr>
      <w:tr w:rsidR="00E425D7" w:rsidRPr="00172214" w14:paraId="37CA6CFE" w14:textId="77777777" w:rsidTr="008C56D0">
        <w:trPr>
          <w:cnfStyle w:val="000000100000" w:firstRow="0" w:lastRow="0" w:firstColumn="0" w:lastColumn="0" w:oddVBand="0" w:evenVBand="0" w:oddHBand="1" w:evenHBand="0" w:firstRowFirstColumn="0" w:firstRowLastColumn="0" w:lastRowFirstColumn="0" w:lastRowLastColumn="0"/>
          <w:trHeight w:val="396"/>
        </w:trPr>
        <w:tc>
          <w:tcPr>
            <w:tcW w:w="2074" w:type="pct"/>
            <w:shd w:val="clear" w:color="auto" w:fill="auto"/>
            <w:vAlign w:val="center"/>
          </w:tcPr>
          <w:p w14:paraId="5D004151" w14:textId="77777777" w:rsidR="00E425D7" w:rsidRPr="00172214" w:rsidRDefault="00E425D7" w:rsidP="008C56D0">
            <w:pPr>
              <w:jc w:val="left"/>
              <w:rPr>
                <w:color w:val="000000" w:themeColor="text1"/>
                <w:szCs w:val="24"/>
              </w:rPr>
            </w:pPr>
            <w:r w:rsidRPr="00172214">
              <w:rPr>
                <w:rFonts w:eastAsiaTheme="minorHAnsi"/>
                <w:color w:val="000000" w:themeColor="text1"/>
                <w:szCs w:val="24"/>
                <w:lang w:eastAsia="en-US"/>
              </w:rPr>
              <w:t>Primary consolidated result</w:t>
            </w:r>
          </w:p>
        </w:tc>
        <w:tc>
          <w:tcPr>
            <w:tcW w:w="759" w:type="pct"/>
            <w:shd w:val="clear" w:color="auto" w:fill="auto"/>
            <w:vAlign w:val="center"/>
          </w:tcPr>
          <w:p w14:paraId="6DD6AEA5" w14:textId="77777777" w:rsidR="00E425D7" w:rsidRPr="00172214" w:rsidRDefault="00E425D7" w:rsidP="008C56D0">
            <w:pPr>
              <w:jc w:val="center"/>
              <w:rPr>
                <w:color w:val="auto"/>
                <w:szCs w:val="24"/>
              </w:rPr>
            </w:pPr>
            <w:r w:rsidRPr="00172214">
              <w:rPr>
                <w:color w:val="auto"/>
                <w:szCs w:val="24"/>
              </w:rPr>
              <w:t>-0,5</w:t>
            </w:r>
          </w:p>
        </w:tc>
        <w:tc>
          <w:tcPr>
            <w:tcW w:w="643" w:type="pct"/>
            <w:shd w:val="clear" w:color="auto" w:fill="auto"/>
            <w:vAlign w:val="center"/>
          </w:tcPr>
          <w:p w14:paraId="5FF6D132" w14:textId="77777777" w:rsidR="00E425D7" w:rsidRPr="00172214" w:rsidRDefault="00E425D7" w:rsidP="008C56D0">
            <w:pPr>
              <w:jc w:val="center"/>
              <w:rPr>
                <w:color w:val="auto"/>
                <w:szCs w:val="24"/>
              </w:rPr>
            </w:pPr>
            <w:r w:rsidRPr="00172214">
              <w:rPr>
                <w:color w:val="auto"/>
                <w:szCs w:val="24"/>
              </w:rPr>
              <w:t>-0,9</w:t>
            </w:r>
          </w:p>
        </w:tc>
        <w:tc>
          <w:tcPr>
            <w:tcW w:w="508" w:type="pct"/>
            <w:shd w:val="clear" w:color="auto" w:fill="auto"/>
            <w:vAlign w:val="center"/>
          </w:tcPr>
          <w:p w14:paraId="1AC462AD" w14:textId="77777777" w:rsidR="00E425D7" w:rsidRPr="00172214" w:rsidRDefault="00E425D7" w:rsidP="008C56D0">
            <w:pPr>
              <w:jc w:val="center"/>
              <w:rPr>
                <w:color w:val="auto"/>
                <w:szCs w:val="24"/>
              </w:rPr>
            </w:pPr>
            <w:r w:rsidRPr="00172214">
              <w:rPr>
                <w:color w:val="auto"/>
                <w:szCs w:val="24"/>
              </w:rPr>
              <w:t>-1,0</w:t>
            </w:r>
          </w:p>
        </w:tc>
        <w:tc>
          <w:tcPr>
            <w:tcW w:w="508" w:type="pct"/>
            <w:shd w:val="clear" w:color="auto" w:fill="auto"/>
            <w:vAlign w:val="center"/>
          </w:tcPr>
          <w:p w14:paraId="7B0A55D2" w14:textId="77777777" w:rsidR="00E425D7" w:rsidRPr="00172214" w:rsidRDefault="00E425D7" w:rsidP="008C56D0">
            <w:pPr>
              <w:jc w:val="center"/>
              <w:rPr>
                <w:color w:val="auto"/>
                <w:szCs w:val="24"/>
              </w:rPr>
            </w:pPr>
            <w:r w:rsidRPr="00172214">
              <w:rPr>
                <w:color w:val="auto"/>
                <w:szCs w:val="24"/>
              </w:rPr>
              <w:t>-1,0</w:t>
            </w:r>
          </w:p>
        </w:tc>
        <w:tc>
          <w:tcPr>
            <w:tcW w:w="508" w:type="pct"/>
            <w:shd w:val="clear" w:color="auto" w:fill="auto"/>
            <w:vAlign w:val="center"/>
          </w:tcPr>
          <w:p w14:paraId="568B445C" w14:textId="77777777" w:rsidR="00E425D7" w:rsidRPr="00172214" w:rsidRDefault="00E425D7" w:rsidP="008C56D0">
            <w:pPr>
              <w:jc w:val="center"/>
              <w:rPr>
                <w:color w:val="auto"/>
                <w:szCs w:val="24"/>
              </w:rPr>
            </w:pPr>
            <w:r w:rsidRPr="00172214">
              <w:rPr>
                <w:color w:val="auto"/>
                <w:szCs w:val="24"/>
              </w:rPr>
              <w:t>-1,1</w:t>
            </w:r>
          </w:p>
        </w:tc>
      </w:tr>
      <w:tr w:rsidR="00E425D7" w:rsidRPr="00172214" w14:paraId="4959BDF8" w14:textId="77777777" w:rsidTr="008C56D0">
        <w:trPr>
          <w:trHeight w:val="396"/>
        </w:trPr>
        <w:tc>
          <w:tcPr>
            <w:tcW w:w="2074" w:type="pct"/>
            <w:shd w:val="clear" w:color="auto" w:fill="auto"/>
            <w:vAlign w:val="center"/>
          </w:tcPr>
          <w:p w14:paraId="6BC41181" w14:textId="77777777" w:rsidR="00E425D7" w:rsidRPr="00172214" w:rsidRDefault="00E425D7" w:rsidP="008C56D0">
            <w:pPr>
              <w:rPr>
                <w:color w:val="000000" w:themeColor="text1"/>
                <w:szCs w:val="24"/>
              </w:rPr>
            </w:pPr>
          </w:p>
        </w:tc>
        <w:tc>
          <w:tcPr>
            <w:tcW w:w="759" w:type="pct"/>
            <w:shd w:val="clear" w:color="auto" w:fill="auto"/>
            <w:vAlign w:val="center"/>
          </w:tcPr>
          <w:p w14:paraId="5BE07BC5" w14:textId="77777777" w:rsidR="00E425D7" w:rsidRPr="00172214" w:rsidRDefault="00E425D7" w:rsidP="008C56D0">
            <w:pPr>
              <w:jc w:val="center"/>
              <w:rPr>
                <w:color w:val="auto"/>
                <w:szCs w:val="24"/>
              </w:rPr>
            </w:pPr>
          </w:p>
        </w:tc>
        <w:tc>
          <w:tcPr>
            <w:tcW w:w="643" w:type="pct"/>
            <w:shd w:val="clear" w:color="auto" w:fill="auto"/>
            <w:vAlign w:val="center"/>
          </w:tcPr>
          <w:p w14:paraId="4DF922C9" w14:textId="77777777" w:rsidR="00E425D7" w:rsidRPr="00172214" w:rsidRDefault="00E425D7" w:rsidP="008C56D0">
            <w:pPr>
              <w:jc w:val="center"/>
              <w:rPr>
                <w:color w:val="auto"/>
                <w:szCs w:val="24"/>
              </w:rPr>
            </w:pPr>
          </w:p>
        </w:tc>
        <w:tc>
          <w:tcPr>
            <w:tcW w:w="508" w:type="pct"/>
            <w:shd w:val="clear" w:color="auto" w:fill="auto"/>
            <w:vAlign w:val="center"/>
          </w:tcPr>
          <w:p w14:paraId="69B85A46" w14:textId="77777777" w:rsidR="00E425D7" w:rsidRPr="00172214" w:rsidRDefault="00E425D7" w:rsidP="008C56D0">
            <w:pPr>
              <w:jc w:val="center"/>
              <w:rPr>
                <w:color w:val="auto"/>
                <w:szCs w:val="24"/>
              </w:rPr>
            </w:pPr>
          </w:p>
        </w:tc>
        <w:tc>
          <w:tcPr>
            <w:tcW w:w="508" w:type="pct"/>
            <w:shd w:val="clear" w:color="auto" w:fill="auto"/>
            <w:vAlign w:val="center"/>
          </w:tcPr>
          <w:p w14:paraId="606C26CA" w14:textId="77777777" w:rsidR="00E425D7" w:rsidRPr="00172214" w:rsidRDefault="00E425D7" w:rsidP="008C56D0">
            <w:pPr>
              <w:jc w:val="center"/>
              <w:rPr>
                <w:color w:val="auto"/>
                <w:szCs w:val="24"/>
              </w:rPr>
            </w:pPr>
          </w:p>
        </w:tc>
        <w:tc>
          <w:tcPr>
            <w:tcW w:w="508" w:type="pct"/>
            <w:shd w:val="clear" w:color="auto" w:fill="auto"/>
            <w:vAlign w:val="center"/>
          </w:tcPr>
          <w:p w14:paraId="3018FAC9" w14:textId="77777777" w:rsidR="00E425D7" w:rsidRPr="00172214" w:rsidRDefault="00E425D7" w:rsidP="008C56D0">
            <w:pPr>
              <w:jc w:val="center"/>
              <w:rPr>
                <w:color w:val="auto"/>
                <w:szCs w:val="24"/>
              </w:rPr>
            </w:pPr>
          </w:p>
        </w:tc>
      </w:tr>
      <w:tr w:rsidR="00E425D7" w:rsidRPr="00172214" w14:paraId="4F5F86AE" w14:textId="77777777" w:rsidTr="008C56D0">
        <w:trPr>
          <w:cnfStyle w:val="000000100000" w:firstRow="0" w:lastRow="0" w:firstColumn="0" w:lastColumn="0" w:oddVBand="0" w:evenVBand="0" w:oddHBand="1" w:evenHBand="0" w:firstRowFirstColumn="0" w:firstRowLastColumn="0" w:lastRowFirstColumn="0" w:lastRowLastColumn="0"/>
          <w:trHeight w:val="396"/>
        </w:trPr>
        <w:tc>
          <w:tcPr>
            <w:tcW w:w="2074" w:type="pct"/>
            <w:shd w:val="clear" w:color="auto" w:fill="auto"/>
            <w:vAlign w:val="center"/>
          </w:tcPr>
          <w:p w14:paraId="12D9C1D7" w14:textId="77777777" w:rsidR="00E425D7" w:rsidRPr="00172214" w:rsidRDefault="00E425D7" w:rsidP="008C56D0">
            <w:pPr>
              <w:rPr>
                <w:color w:val="000000" w:themeColor="text1"/>
                <w:szCs w:val="24"/>
              </w:rPr>
            </w:pPr>
            <w:r w:rsidRPr="00172214">
              <w:rPr>
                <w:rFonts w:eastAsiaTheme="minorHAnsi"/>
                <w:color w:val="000000" w:themeColor="text1"/>
                <w:szCs w:val="24"/>
                <w:lang w:eastAsia="en-US"/>
              </w:rPr>
              <w:t>General government debt</w:t>
            </w:r>
          </w:p>
        </w:tc>
        <w:tc>
          <w:tcPr>
            <w:tcW w:w="759" w:type="pct"/>
            <w:shd w:val="clear" w:color="auto" w:fill="auto"/>
            <w:vAlign w:val="center"/>
          </w:tcPr>
          <w:p w14:paraId="46EE1A6A" w14:textId="77777777" w:rsidR="00E425D7" w:rsidRPr="00172214" w:rsidRDefault="00E425D7" w:rsidP="008C56D0">
            <w:pPr>
              <w:jc w:val="center"/>
              <w:rPr>
                <w:color w:val="auto"/>
                <w:szCs w:val="24"/>
              </w:rPr>
            </w:pPr>
            <w:r w:rsidRPr="00172214">
              <w:rPr>
                <w:color w:val="auto"/>
                <w:szCs w:val="24"/>
              </w:rPr>
              <w:t>48,4</w:t>
            </w:r>
          </w:p>
        </w:tc>
        <w:tc>
          <w:tcPr>
            <w:tcW w:w="643" w:type="pct"/>
            <w:shd w:val="clear" w:color="auto" w:fill="auto"/>
            <w:vAlign w:val="center"/>
          </w:tcPr>
          <w:p w14:paraId="37782F06" w14:textId="77777777" w:rsidR="00E425D7" w:rsidRPr="00172214" w:rsidRDefault="00E425D7" w:rsidP="008C56D0">
            <w:pPr>
              <w:jc w:val="center"/>
              <w:rPr>
                <w:color w:val="auto"/>
                <w:szCs w:val="24"/>
              </w:rPr>
            </w:pPr>
            <w:r w:rsidRPr="00172214">
              <w:rPr>
                <w:color w:val="auto"/>
                <w:szCs w:val="24"/>
              </w:rPr>
              <w:t>47,9</w:t>
            </w:r>
          </w:p>
        </w:tc>
        <w:tc>
          <w:tcPr>
            <w:tcW w:w="508" w:type="pct"/>
            <w:shd w:val="clear" w:color="auto" w:fill="auto"/>
            <w:vAlign w:val="center"/>
          </w:tcPr>
          <w:p w14:paraId="18B0BCD8" w14:textId="77777777" w:rsidR="00E425D7" w:rsidRPr="00172214" w:rsidRDefault="00E425D7" w:rsidP="008C56D0">
            <w:pPr>
              <w:jc w:val="center"/>
              <w:rPr>
                <w:color w:val="auto"/>
                <w:szCs w:val="24"/>
              </w:rPr>
            </w:pPr>
            <w:r w:rsidRPr="00172214">
              <w:rPr>
                <w:color w:val="auto"/>
                <w:szCs w:val="24"/>
              </w:rPr>
              <w:t>47,5</w:t>
            </w:r>
          </w:p>
        </w:tc>
        <w:tc>
          <w:tcPr>
            <w:tcW w:w="508" w:type="pct"/>
            <w:shd w:val="clear" w:color="auto" w:fill="auto"/>
            <w:vAlign w:val="center"/>
          </w:tcPr>
          <w:p w14:paraId="4F495EC5" w14:textId="77777777" w:rsidR="00E425D7" w:rsidRPr="00172214" w:rsidRDefault="00E425D7" w:rsidP="008C56D0">
            <w:pPr>
              <w:jc w:val="center"/>
              <w:rPr>
                <w:color w:val="auto"/>
                <w:szCs w:val="24"/>
              </w:rPr>
            </w:pPr>
            <w:r w:rsidRPr="00172214">
              <w:rPr>
                <w:color w:val="auto"/>
                <w:szCs w:val="24"/>
              </w:rPr>
              <w:t>47,0</w:t>
            </w:r>
          </w:p>
        </w:tc>
        <w:tc>
          <w:tcPr>
            <w:tcW w:w="508" w:type="pct"/>
            <w:shd w:val="clear" w:color="auto" w:fill="auto"/>
            <w:vAlign w:val="center"/>
          </w:tcPr>
          <w:p w14:paraId="4CC57D2A" w14:textId="77777777" w:rsidR="00E425D7" w:rsidRPr="00172214" w:rsidRDefault="00E425D7" w:rsidP="008C56D0">
            <w:pPr>
              <w:jc w:val="center"/>
              <w:rPr>
                <w:color w:val="auto"/>
                <w:szCs w:val="24"/>
              </w:rPr>
            </w:pPr>
            <w:r w:rsidRPr="00172214">
              <w:rPr>
                <w:color w:val="auto"/>
                <w:szCs w:val="24"/>
              </w:rPr>
              <w:t>46,5</w:t>
            </w:r>
          </w:p>
        </w:tc>
      </w:tr>
      <w:tr w:rsidR="00E425D7" w:rsidRPr="00172214" w14:paraId="60138D03" w14:textId="77777777" w:rsidTr="008C56D0">
        <w:trPr>
          <w:trHeight w:val="396"/>
        </w:trPr>
        <w:tc>
          <w:tcPr>
            <w:tcW w:w="2074" w:type="pct"/>
            <w:tcBorders>
              <w:bottom w:val="single" w:sz="4" w:space="0" w:color="002060"/>
            </w:tcBorders>
            <w:shd w:val="clear" w:color="auto" w:fill="auto"/>
            <w:vAlign w:val="center"/>
          </w:tcPr>
          <w:p w14:paraId="1EBE938F" w14:textId="77777777" w:rsidR="00E425D7" w:rsidRPr="00172214" w:rsidRDefault="00E425D7" w:rsidP="008C56D0">
            <w:pPr>
              <w:rPr>
                <w:color w:val="000000" w:themeColor="text1"/>
                <w:szCs w:val="24"/>
              </w:rPr>
            </w:pPr>
            <w:r w:rsidRPr="00172214">
              <w:rPr>
                <w:rFonts w:eastAsiaTheme="minorHAnsi"/>
                <w:color w:val="000000" w:themeColor="text1"/>
                <w:szCs w:val="24"/>
                <w:lang w:eastAsia="en-US"/>
              </w:rPr>
              <w:t>Real GDP growth rate</w:t>
            </w:r>
          </w:p>
        </w:tc>
        <w:tc>
          <w:tcPr>
            <w:tcW w:w="759" w:type="pct"/>
            <w:tcBorders>
              <w:bottom w:val="single" w:sz="4" w:space="0" w:color="002060"/>
            </w:tcBorders>
            <w:shd w:val="clear" w:color="auto" w:fill="auto"/>
            <w:vAlign w:val="center"/>
          </w:tcPr>
          <w:p w14:paraId="102FA055" w14:textId="77777777" w:rsidR="00E425D7" w:rsidRPr="00172214" w:rsidRDefault="00E425D7" w:rsidP="008C56D0">
            <w:pPr>
              <w:jc w:val="center"/>
              <w:rPr>
                <w:color w:val="auto"/>
                <w:szCs w:val="24"/>
              </w:rPr>
            </w:pPr>
            <w:r w:rsidRPr="00172214">
              <w:rPr>
                <w:color w:val="auto"/>
                <w:szCs w:val="24"/>
              </w:rPr>
              <w:t>3,8%</w:t>
            </w:r>
          </w:p>
        </w:tc>
        <w:tc>
          <w:tcPr>
            <w:tcW w:w="643" w:type="pct"/>
            <w:tcBorders>
              <w:bottom w:val="single" w:sz="4" w:space="0" w:color="002060"/>
            </w:tcBorders>
            <w:shd w:val="clear" w:color="auto" w:fill="auto"/>
            <w:vAlign w:val="center"/>
          </w:tcPr>
          <w:p w14:paraId="0E268605" w14:textId="77777777" w:rsidR="00E425D7" w:rsidRPr="00172214" w:rsidRDefault="00E425D7" w:rsidP="008C56D0">
            <w:pPr>
              <w:jc w:val="center"/>
              <w:rPr>
                <w:color w:val="auto"/>
                <w:szCs w:val="24"/>
              </w:rPr>
            </w:pPr>
            <w:r w:rsidRPr="00172214">
              <w:rPr>
                <w:color w:val="auto"/>
                <w:szCs w:val="24"/>
              </w:rPr>
              <w:t>3,8%</w:t>
            </w:r>
          </w:p>
        </w:tc>
        <w:tc>
          <w:tcPr>
            <w:tcW w:w="508" w:type="pct"/>
            <w:tcBorders>
              <w:bottom w:val="single" w:sz="4" w:space="0" w:color="002060"/>
            </w:tcBorders>
            <w:shd w:val="clear" w:color="auto" w:fill="auto"/>
            <w:vAlign w:val="center"/>
          </w:tcPr>
          <w:p w14:paraId="76F01693" w14:textId="77777777" w:rsidR="00E425D7" w:rsidRPr="00172214" w:rsidRDefault="00E425D7" w:rsidP="008C56D0">
            <w:pPr>
              <w:jc w:val="center"/>
              <w:rPr>
                <w:color w:val="auto"/>
                <w:szCs w:val="24"/>
              </w:rPr>
            </w:pPr>
            <w:r w:rsidRPr="00172214">
              <w:rPr>
                <w:color w:val="auto"/>
                <w:szCs w:val="24"/>
              </w:rPr>
              <w:t>4,2%</w:t>
            </w:r>
          </w:p>
        </w:tc>
        <w:tc>
          <w:tcPr>
            <w:tcW w:w="508" w:type="pct"/>
            <w:tcBorders>
              <w:bottom w:val="single" w:sz="4" w:space="0" w:color="002060"/>
            </w:tcBorders>
            <w:shd w:val="clear" w:color="auto" w:fill="auto"/>
            <w:vAlign w:val="center"/>
          </w:tcPr>
          <w:p w14:paraId="739EFE69" w14:textId="77777777" w:rsidR="00E425D7" w:rsidRPr="00172214" w:rsidRDefault="00E425D7" w:rsidP="008C56D0">
            <w:pPr>
              <w:jc w:val="center"/>
              <w:rPr>
                <w:color w:val="auto"/>
                <w:szCs w:val="24"/>
              </w:rPr>
            </w:pPr>
            <w:r w:rsidRPr="00172214">
              <w:rPr>
                <w:color w:val="auto"/>
                <w:szCs w:val="24"/>
              </w:rPr>
              <w:t>4,0%</w:t>
            </w:r>
          </w:p>
        </w:tc>
        <w:tc>
          <w:tcPr>
            <w:tcW w:w="508" w:type="pct"/>
            <w:tcBorders>
              <w:bottom w:val="single" w:sz="4" w:space="0" w:color="002060"/>
            </w:tcBorders>
            <w:shd w:val="clear" w:color="auto" w:fill="auto"/>
            <w:vAlign w:val="center"/>
          </w:tcPr>
          <w:p w14:paraId="3592E979" w14:textId="77777777" w:rsidR="00E425D7" w:rsidRPr="00172214" w:rsidRDefault="00E425D7" w:rsidP="008C56D0">
            <w:pPr>
              <w:jc w:val="center"/>
              <w:rPr>
                <w:color w:val="auto"/>
                <w:szCs w:val="24"/>
              </w:rPr>
            </w:pPr>
            <w:r w:rsidRPr="00172214">
              <w:rPr>
                <w:color w:val="auto"/>
                <w:szCs w:val="24"/>
              </w:rPr>
              <w:t>5,0%</w:t>
            </w:r>
          </w:p>
        </w:tc>
      </w:tr>
    </w:tbl>
    <w:p w14:paraId="6915A5EC" w14:textId="77777777" w:rsidR="00E425D7" w:rsidRPr="00D41D04" w:rsidRDefault="00E425D7" w:rsidP="00E425D7">
      <w:pPr>
        <w:rPr>
          <w:rFonts w:cs="Times New Roman"/>
          <w:sz w:val="20"/>
          <w:szCs w:val="20"/>
          <w:lang w:val="sr-Cyrl-RS" w:eastAsia="ja-JP"/>
        </w:rPr>
      </w:pPr>
      <w:r w:rsidRPr="00D41D04">
        <w:rPr>
          <w:rFonts w:cs="Times New Roman"/>
          <w:sz w:val="20"/>
          <w:szCs w:val="20"/>
          <w:lang w:val="sr-Cyrl-RS" w:eastAsia="ja-JP"/>
        </w:rPr>
        <w:t xml:space="preserve">Source: Ministry of Finance </w:t>
      </w:r>
    </w:p>
    <w:p w14:paraId="7E8B35E8" w14:textId="77777777" w:rsidR="00E425D7" w:rsidRPr="00BE15FE" w:rsidRDefault="00E425D7" w:rsidP="00E425D7">
      <w:pPr>
        <w:rPr>
          <w:rFonts w:cs="Times New Roman"/>
          <w:szCs w:val="24"/>
        </w:rPr>
      </w:pPr>
      <w:r w:rsidRPr="00BE15FE">
        <w:rPr>
          <w:rFonts w:eastAsia="MS PGothic" w:cs="Times New Roman"/>
          <w:szCs w:val="24"/>
          <w:lang w:eastAsia="ja-JP"/>
        </w:rPr>
        <w:t>The objectives of fiscal policy in the upcoming medium-term period will be to ensure a stable position of public finances and a declining trajectory of public debt. The reduction of the debt share is closely linked to the dynamics of the planned deficit as the main factor for borrowing. The growing costs of borrowing on the international financial market also require caution in conducting fiscal policy.</w:t>
      </w:r>
    </w:p>
    <w:p w14:paraId="3DA00A0E" w14:textId="77777777" w:rsidR="00E425D7" w:rsidRDefault="00E425D7" w:rsidP="00E425D7">
      <w:pPr>
        <w:rPr>
          <w:rFonts w:cs="Times New Roman"/>
          <w:i/>
          <w:szCs w:val="24"/>
          <w:lang w:val="sr-Latn-RS" w:eastAsia="ja-JP"/>
        </w:rPr>
      </w:pPr>
    </w:p>
    <w:p w14:paraId="3FAE8FD5" w14:textId="77777777" w:rsidR="00E425D7" w:rsidRDefault="00E425D7" w:rsidP="00E425D7">
      <w:pPr>
        <w:rPr>
          <w:rFonts w:cs="Times New Roman"/>
          <w:i/>
          <w:szCs w:val="24"/>
          <w:lang w:val="sr-Latn-RS" w:eastAsia="ja-JP"/>
        </w:rPr>
      </w:pPr>
    </w:p>
    <w:p w14:paraId="26D0A291" w14:textId="77777777" w:rsidR="00E425D7" w:rsidRDefault="00E425D7" w:rsidP="00E425D7">
      <w:pPr>
        <w:rPr>
          <w:rFonts w:cs="Times New Roman"/>
          <w:i/>
          <w:szCs w:val="24"/>
          <w:lang w:val="sr-Latn-RS" w:eastAsia="ja-JP"/>
        </w:rPr>
      </w:pPr>
    </w:p>
    <w:p w14:paraId="2CF95364" w14:textId="77777777" w:rsidR="00E425D7" w:rsidRDefault="00E425D7" w:rsidP="00E425D7">
      <w:pPr>
        <w:rPr>
          <w:rFonts w:cs="Times New Roman"/>
          <w:i/>
          <w:szCs w:val="24"/>
          <w:lang w:val="sr-Latn-RS" w:eastAsia="ja-JP"/>
        </w:rPr>
      </w:pPr>
    </w:p>
    <w:p w14:paraId="7400FE70" w14:textId="77777777" w:rsidR="00E425D7" w:rsidRDefault="00E425D7" w:rsidP="00E425D7">
      <w:pPr>
        <w:rPr>
          <w:rFonts w:cs="Times New Roman"/>
          <w:i/>
          <w:szCs w:val="24"/>
          <w:lang w:val="sr-Latn-RS" w:eastAsia="ja-JP"/>
        </w:rPr>
      </w:pPr>
    </w:p>
    <w:p w14:paraId="652E0A18" w14:textId="77777777" w:rsidR="00E425D7" w:rsidRDefault="00E425D7" w:rsidP="00E425D7">
      <w:pPr>
        <w:rPr>
          <w:rFonts w:cs="Times New Roman"/>
          <w:i/>
          <w:szCs w:val="24"/>
          <w:lang w:val="sr-Latn-RS" w:eastAsia="ja-JP"/>
        </w:rPr>
      </w:pPr>
    </w:p>
    <w:p w14:paraId="32461ADA" w14:textId="77777777" w:rsidR="00E425D7" w:rsidRDefault="00E425D7" w:rsidP="00E425D7">
      <w:pPr>
        <w:rPr>
          <w:rFonts w:cs="Times New Roman"/>
          <w:i/>
          <w:szCs w:val="24"/>
          <w:lang w:val="sr-Latn-RS" w:eastAsia="ja-JP"/>
        </w:rPr>
      </w:pPr>
    </w:p>
    <w:p w14:paraId="4680F8C2" w14:textId="77777777" w:rsidR="00E425D7" w:rsidRDefault="00E425D7" w:rsidP="00E425D7">
      <w:pPr>
        <w:rPr>
          <w:rFonts w:cs="Times New Roman"/>
          <w:i/>
          <w:szCs w:val="24"/>
          <w:lang w:val="sr-Latn-RS" w:eastAsia="ja-JP"/>
        </w:rPr>
      </w:pPr>
    </w:p>
    <w:p w14:paraId="5CD402F7" w14:textId="77777777" w:rsidR="00E425D7" w:rsidRPr="00172214" w:rsidRDefault="00E425D7" w:rsidP="00E425D7">
      <w:pPr>
        <w:rPr>
          <w:rFonts w:cs="Times New Roman"/>
          <w:i/>
          <w:szCs w:val="24"/>
          <w:lang w:val="sr-Cyrl-RS" w:eastAsia="ja-JP"/>
        </w:rPr>
      </w:pPr>
      <w:r>
        <w:rPr>
          <w:rFonts w:cs="Times New Roman"/>
          <w:i/>
          <w:szCs w:val="24"/>
          <w:lang w:val="sr-Latn-RS" w:eastAsia="ja-JP"/>
        </w:rPr>
        <w:lastRenderedPageBreak/>
        <w:t>Graph</w:t>
      </w:r>
      <w:r w:rsidRPr="00BF5A92">
        <w:rPr>
          <w:rFonts w:cs="Times New Roman"/>
          <w:i/>
          <w:szCs w:val="24"/>
          <w:lang w:val="sr-Cyrl-RS" w:eastAsia="ja-JP"/>
        </w:rPr>
        <w:t xml:space="preserve"> </w:t>
      </w:r>
      <w:r>
        <w:rPr>
          <w:rFonts w:cs="Times New Roman"/>
          <w:i/>
          <w:szCs w:val="24"/>
          <w:lang w:val="sr-Latn-RS" w:eastAsia="ja-JP"/>
        </w:rPr>
        <w:t>9</w:t>
      </w:r>
      <w:r w:rsidRPr="00BF5A92">
        <w:rPr>
          <w:rFonts w:cs="Times New Roman"/>
          <w:i/>
          <w:szCs w:val="24"/>
          <w:lang w:val="sr-Cyrl-RS" w:eastAsia="ja-JP"/>
        </w:rPr>
        <w:t xml:space="preserve">. </w:t>
      </w:r>
      <w:r w:rsidRPr="00172214">
        <w:rPr>
          <w:rFonts w:cs="Times New Roman"/>
          <w:i/>
          <w:szCs w:val="24"/>
          <w:lang w:val="sr-Cyrl-RS" w:eastAsia="ja-JP"/>
        </w:rPr>
        <w:t>General government fiscal result and public debt, % GDP</w:t>
      </w:r>
    </w:p>
    <w:p w14:paraId="4C82AB6D" w14:textId="77777777" w:rsidR="00E425D7" w:rsidRPr="00AD7E7D" w:rsidRDefault="00E425D7" w:rsidP="00E425D7">
      <w:pPr>
        <w:rPr>
          <w:rFonts w:cs="Times New Roman"/>
          <w:szCs w:val="24"/>
          <w:lang w:val="sr-Latn-RS" w:eastAsia="ja-JP"/>
        </w:rPr>
      </w:pPr>
      <w:r w:rsidRPr="004561ED">
        <w:rPr>
          <w:noProof/>
        </w:rPr>
        <w:drawing>
          <wp:inline distT="0" distB="0" distL="0" distR="0" wp14:anchorId="27F3C9D2" wp14:editId="4E923EA0">
            <wp:extent cx="5711190" cy="2579426"/>
            <wp:effectExtent l="0" t="0" r="381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F74B70" w14:textId="77777777" w:rsidR="00E425D7" w:rsidRPr="00BE15FE" w:rsidRDefault="00E425D7" w:rsidP="00E425D7">
      <w:pPr>
        <w:keepNext/>
        <w:rPr>
          <w:rFonts w:eastAsia="MS PGothic" w:cs="Times New Roman"/>
          <w:spacing w:val="-2"/>
          <w:szCs w:val="24"/>
          <w:lang w:eastAsia="ja-JP"/>
        </w:rPr>
      </w:pPr>
      <w:r w:rsidRPr="00BE15FE">
        <w:rPr>
          <w:rFonts w:eastAsia="MS PGothic" w:cs="Times New Roman"/>
          <w:spacing w:val="-2"/>
          <w:szCs w:val="24"/>
          <w:lang w:eastAsia="ja-JP"/>
        </w:rPr>
        <w:t>Expansionary fiscal policy during 2020 and 2021 mitigated the negative economic consequences of the pandemic. In 2022, the focus shifted to protecting the economy and the population from the energy crisis, while in 2023, fiscal policy returned to relatively stable frameworks. As support for faster economic growth, activities began in early 2024 to implement the development plan "Leap into the Future." In the upcoming period, the fiscal impulse will be directed towards increasing public investments, with a focus on those that are priority and productive. The reform of public investment management will further support the high quality of investment spending.</w:t>
      </w:r>
    </w:p>
    <w:p w14:paraId="6915F588" w14:textId="77777777" w:rsidR="00E425D7" w:rsidRPr="00BE15FE" w:rsidRDefault="00E425D7" w:rsidP="00E425D7">
      <w:pPr>
        <w:keepNext/>
        <w:rPr>
          <w:rFonts w:eastAsia="MS PGothic" w:cs="Times New Roman"/>
          <w:spacing w:val="-2"/>
          <w:szCs w:val="24"/>
          <w:lang w:eastAsia="ja-JP"/>
        </w:rPr>
      </w:pPr>
      <w:r w:rsidRPr="00BE15FE">
        <w:rPr>
          <w:rFonts w:eastAsia="MS PGothic" w:cs="Times New Roman"/>
          <w:spacing w:val="-2"/>
          <w:szCs w:val="24"/>
          <w:lang w:eastAsia="ja-JP"/>
        </w:rPr>
        <w:t>On the revenue side, the priority will remain the continued reduction of the tax burden on wages and the ongoing fight against tax evasion and the gray economy.</w:t>
      </w:r>
    </w:p>
    <w:p w14:paraId="0A794730" w14:textId="77777777" w:rsidR="00E425D7" w:rsidRPr="00BE15FE" w:rsidRDefault="00E425D7" w:rsidP="00E425D7">
      <w:pPr>
        <w:keepNext/>
        <w:rPr>
          <w:rFonts w:eastAsia="MS PGothic" w:cs="Times New Roman"/>
          <w:spacing w:val="-2"/>
          <w:szCs w:val="24"/>
          <w:lang w:eastAsia="ja-JP"/>
        </w:rPr>
      </w:pPr>
      <w:r w:rsidRPr="00BE15FE">
        <w:rPr>
          <w:rFonts w:eastAsia="MS PGothic" w:cs="Times New Roman"/>
          <w:spacing w:val="-2"/>
          <w:szCs w:val="24"/>
          <w:lang w:eastAsia="ja-JP"/>
        </w:rPr>
        <w:t xml:space="preserve">The revenue projections for the period from 2025 to 2027 have been made based on: </w:t>
      </w:r>
    </w:p>
    <w:p w14:paraId="69ACBBAD" w14:textId="77777777" w:rsidR="00E425D7" w:rsidRPr="00BE15FE" w:rsidRDefault="00E425D7" w:rsidP="00E425D7">
      <w:pPr>
        <w:pStyle w:val="ListParagraph"/>
        <w:keepNext/>
        <w:numPr>
          <w:ilvl w:val="0"/>
          <w:numId w:val="40"/>
        </w:numPr>
        <w:rPr>
          <w:rFonts w:cs="Times New Roman"/>
          <w:spacing w:val="-2"/>
          <w:sz w:val="24"/>
          <w:szCs w:val="24"/>
        </w:rPr>
      </w:pPr>
      <w:r w:rsidRPr="00BE15FE">
        <w:rPr>
          <w:rFonts w:cs="Times New Roman"/>
          <w:spacing w:val="-2"/>
          <w:sz w:val="24"/>
          <w:szCs w:val="24"/>
        </w:rPr>
        <w:t xml:space="preserve">Projections of the movement of key macroeconomic indicators: GDP and its components, inflation, exchange rates, foreign trade exchange, employment, and wages; </w:t>
      </w:r>
    </w:p>
    <w:p w14:paraId="22A8C161" w14:textId="77777777" w:rsidR="00E425D7" w:rsidRPr="00BE15FE" w:rsidRDefault="00E425D7" w:rsidP="00E425D7">
      <w:pPr>
        <w:pStyle w:val="ListParagraph"/>
        <w:keepNext/>
        <w:numPr>
          <w:ilvl w:val="0"/>
          <w:numId w:val="40"/>
        </w:numPr>
        <w:rPr>
          <w:rFonts w:cs="Times New Roman"/>
          <w:spacing w:val="-2"/>
          <w:sz w:val="24"/>
          <w:szCs w:val="24"/>
        </w:rPr>
      </w:pPr>
      <w:r w:rsidRPr="00BE15FE">
        <w:rPr>
          <w:rFonts w:cs="Times New Roman"/>
          <w:spacing w:val="-2"/>
          <w:sz w:val="24"/>
          <w:szCs w:val="24"/>
        </w:rPr>
        <w:t xml:space="preserve">Existing and planned changes in tax policy; </w:t>
      </w:r>
    </w:p>
    <w:p w14:paraId="3F0F5E6F" w14:textId="77777777" w:rsidR="00E425D7" w:rsidRPr="00BE15FE" w:rsidRDefault="00E425D7" w:rsidP="00E425D7">
      <w:pPr>
        <w:pStyle w:val="ListParagraph"/>
        <w:keepNext/>
        <w:numPr>
          <w:ilvl w:val="0"/>
          <w:numId w:val="40"/>
        </w:numPr>
        <w:rPr>
          <w:rFonts w:cs="Times New Roman"/>
          <w:spacing w:val="-2"/>
          <w:sz w:val="24"/>
          <w:szCs w:val="24"/>
        </w:rPr>
      </w:pPr>
      <w:r w:rsidRPr="00BE15FE">
        <w:rPr>
          <w:rFonts w:cs="Times New Roman"/>
          <w:spacing w:val="-2"/>
          <w:sz w:val="24"/>
          <w:szCs w:val="24"/>
        </w:rPr>
        <w:t>Estimated effects of fiscal and structural measures in the upcoming period.</w:t>
      </w:r>
    </w:p>
    <w:p w14:paraId="4BA6AB01" w14:textId="77777777" w:rsidR="00E425D7" w:rsidRPr="00BF5A92" w:rsidRDefault="00E425D7" w:rsidP="00E425D7">
      <w:pPr>
        <w:keepNext/>
        <w:rPr>
          <w:rFonts w:cs="Times New Roman"/>
          <w:i/>
          <w:szCs w:val="24"/>
          <w:lang w:val="sr-Cyrl-RS" w:eastAsia="ja-JP"/>
        </w:rPr>
      </w:pPr>
      <w:r>
        <w:rPr>
          <w:rFonts w:cs="Times New Roman"/>
          <w:i/>
          <w:szCs w:val="24"/>
          <w:lang w:val="sr-Latn-RS" w:eastAsia="ja-JP"/>
        </w:rPr>
        <w:t>Table</w:t>
      </w:r>
      <w:r w:rsidRPr="00BF5A92">
        <w:rPr>
          <w:rFonts w:cs="Times New Roman"/>
          <w:i/>
          <w:szCs w:val="24"/>
          <w:lang w:val="sr-Cyrl-RS" w:eastAsia="ja-JP"/>
        </w:rPr>
        <w:t xml:space="preserve"> 8. </w:t>
      </w:r>
      <w:r w:rsidRPr="00172214">
        <w:rPr>
          <w:rFonts w:cs="Times New Roman"/>
          <w:i/>
          <w:szCs w:val="24"/>
          <w:lang w:val="sr-Cyrl-RS" w:eastAsia="ja-JP"/>
        </w:rPr>
        <w:t>Total revenues and grants in the period 2023–2027, % of GDP</w:t>
      </w:r>
    </w:p>
    <w:tbl>
      <w:tblPr>
        <w:tblStyle w:val="LightShading-Accent12114"/>
        <w:tblW w:w="5000" w:type="pct"/>
        <w:tblBorders>
          <w:top w:val="none" w:sz="0" w:space="0" w:color="auto"/>
          <w:bottom w:val="none" w:sz="0" w:space="0" w:color="auto"/>
        </w:tblBorders>
        <w:tblLook w:val="0420" w:firstRow="1" w:lastRow="0" w:firstColumn="0" w:lastColumn="0" w:noHBand="0" w:noVBand="1"/>
      </w:tblPr>
      <w:tblGrid>
        <w:gridCol w:w="3601"/>
        <w:gridCol w:w="1370"/>
        <w:gridCol w:w="1161"/>
        <w:gridCol w:w="962"/>
        <w:gridCol w:w="966"/>
        <w:gridCol w:w="966"/>
      </w:tblGrid>
      <w:tr w:rsidR="00E425D7" w:rsidRPr="00AD7E7D" w14:paraId="0765C4DA" w14:textId="77777777" w:rsidTr="008C56D0">
        <w:trPr>
          <w:cnfStyle w:val="100000000000" w:firstRow="1" w:lastRow="0" w:firstColumn="0" w:lastColumn="0" w:oddVBand="0" w:evenVBand="0" w:oddHBand="0" w:evenHBand="0" w:firstRowFirstColumn="0" w:firstRowLastColumn="0" w:lastRowFirstColumn="0" w:lastRowLastColumn="0"/>
          <w:trHeight w:hRule="exact" w:val="284"/>
          <w:tblHeader/>
        </w:trPr>
        <w:tc>
          <w:tcPr>
            <w:tcW w:w="1995" w:type="pct"/>
            <w:tcBorders>
              <w:top w:val="single" w:sz="4" w:space="0" w:color="002060"/>
              <w:bottom w:val="single" w:sz="4" w:space="0" w:color="002060"/>
            </w:tcBorders>
            <w:shd w:val="clear" w:color="auto" w:fill="auto"/>
            <w:noWrap/>
            <w:vAlign w:val="center"/>
          </w:tcPr>
          <w:p w14:paraId="53FB27AB" w14:textId="77777777" w:rsidR="00E425D7" w:rsidRPr="00172214" w:rsidRDefault="00E425D7" w:rsidP="008C56D0">
            <w:pPr>
              <w:keepLines/>
              <w:widowControl w:val="0"/>
              <w:shd w:val="clear" w:color="auto" w:fill="FFFFFF" w:themeFill="background1"/>
              <w:spacing w:line="276" w:lineRule="auto"/>
              <w:rPr>
                <w:rFonts w:eastAsia="Times New Roman"/>
                <w:color w:val="auto"/>
                <w:szCs w:val="24"/>
              </w:rPr>
            </w:pPr>
            <w:r w:rsidRPr="00172214">
              <w:rPr>
                <w:rFonts w:eastAsiaTheme="minorHAnsi"/>
                <w:color w:val="000000" w:themeColor="text1"/>
                <w:szCs w:val="24"/>
                <w:lang w:eastAsia="en-US"/>
              </w:rPr>
              <w:t>Description</w:t>
            </w:r>
          </w:p>
        </w:tc>
        <w:tc>
          <w:tcPr>
            <w:tcW w:w="759" w:type="pct"/>
            <w:tcBorders>
              <w:top w:val="single" w:sz="4" w:space="0" w:color="002060"/>
              <w:bottom w:val="single" w:sz="4" w:space="0" w:color="002060"/>
            </w:tcBorders>
            <w:shd w:val="clear" w:color="auto" w:fill="auto"/>
            <w:vAlign w:val="center"/>
          </w:tcPr>
          <w:p w14:paraId="652DB0F2" w14:textId="77777777" w:rsidR="00E425D7" w:rsidRPr="00172214" w:rsidRDefault="00E425D7" w:rsidP="008C56D0">
            <w:pPr>
              <w:keepNext/>
              <w:widowControl w:val="0"/>
              <w:shd w:val="clear" w:color="auto" w:fill="FFFFFF" w:themeFill="background1"/>
              <w:spacing w:line="276" w:lineRule="auto"/>
              <w:jc w:val="right"/>
              <w:rPr>
                <w:rFonts w:eastAsia="Times New Roman"/>
                <w:color w:val="auto"/>
                <w:szCs w:val="24"/>
              </w:rPr>
            </w:pPr>
            <w:r w:rsidRPr="00172214">
              <w:rPr>
                <w:rFonts w:eastAsiaTheme="minorHAnsi"/>
                <w:color w:val="000000" w:themeColor="text1"/>
                <w:szCs w:val="24"/>
                <w:lang w:eastAsia="en-US"/>
              </w:rPr>
              <w:t>Execution</w:t>
            </w:r>
          </w:p>
        </w:tc>
        <w:tc>
          <w:tcPr>
            <w:tcW w:w="643" w:type="pct"/>
            <w:tcBorders>
              <w:top w:val="single" w:sz="4" w:space="0" w:color="002060"/>
              <w:bottom w:val="single" w:sz="4" w:space="0" w:color="002060"/>
            </w:tcBorders>
            <w:shd w:val="clear" w:color="auto" w:fill="auto"/>
            <w:vAlign w:val="center"/>
          </w:tcPr>
          <w:p w14:paraId="24EA2E59" w14:textId="77777777" w:rsidR="00E425D7" w:rsidRPr="00172214" w:rsidRDefault="00E425D7" w:rsidP="008C56D0">
            <w:pPr>
              <w:keepNext/>
              <w:widowControl w:val="0"/>
              <w:shd w:val="clear" w:color="auto" w:fill="FFFFFF" w:themeFill="background1"/>
              <w:spacing w:line="276" w:lineRule="auto"/>
              <w:jc w:val="right"/>
              <w:rPr>
                <w:rFonts w:eastAsia="Times New Roman"/>
                <w:color w:val="auto"/>
                <w:szCs w:val="24"/>
              </w:rPr>
            </w:pPr>
            <w:r w:rsidRPr="00172214">
              <w:rPr>
                <w:rFonts w:eastAsiaTheme="minorHAnsi"/>
                <w:color w:val="000000" w:themeColor="text1"/>
                <w:szCs w:val="24"/>
                <w:lang w:eastAsia="en-US"/>
              </w:rPr>
              <w:t>Estimate</w:t>
            </w:r>
          </w:p>
        </w:tc>
        <w:tc>
          <w:tcPr>
            <w:tcW w:w="1603" w:type="pct"/>
            <w:gridSpan w:val="3"/>
            <w:tcBorders>
              <w:top w:val="single" w:sz="4" w:space="0" w:color="002060"/>
              <w:bottom w:val="single" w:sz="4" w:space="0" w:color="002060"/>
            </w:tcBorders>
            <w:shd w:val="clear" w:color="auto" w:fill="auto"/>
            <w:vAlign w:val="center"/>
          </w:tcPr>
          <w:p w14:paraId="4700DE87" w14:textId="77777777" w:rsidR="00E425D7" w:rsidRPr="00172214" w:rsidRDefault="00E425D7" w:rsidP="008C56D0">
            <w:pPr>
              <w:keepNext/>
              <w:widowControl w:val="0"/>
              <w:shd w:val="clear" w:color="auto" w:fill="FFFFFF" w:themeFill="background1"/>
              <w:spacing w:line="276" w:lineRule="auto"/>
              <w:jc w:val="center"/>
              <w:rPr>
                <w:rFonts w:eastAsia="Times New Roman"/>
                <w:color w:val="auto"/>
                <w:szCs w:val="24"/>
              </w:rPr>
            </w:pPr>
            <w:r w:rsidRPr="00172214">
              <w:rPr>
                <w:rFonts w:eastAsiaTheme="minorHAnsi"/>
                <w:color w:val="000000" w:themeColor="text1"/>
                <w:szCs w:val="24"/>
                <w:lang w:eastAsia="en-US"/>
              </w:rPr>
              <w:t>Projection</w:t>
            </w:r>
          </w:p>
        </w:tc>
      </w:tr>
      <w:tr w:rsidR="00E425D7" w:rsidRPr="00AD7E7D" w14:paraId="7C1916DD" w14:textId="77777777" w:rsidTr="008C56D0">
        <w:trPr>
          <w:cnfStyle w:val="100000000000" w:firstRow="1" w:lastRow="0" w:firstColumn="0" w:lastColumn="0" w:oddVBand="0" w:evenVBand="0" w:oddHBand="0" w:evenHBand="0" w:firstRowFirstColumn="0" w:firstRowLastColumn="0" w:lastRowFirstColumn="0" w:lastRowLastColumn="0"/>
          <w:trHeight w:hRule="exact" w:val="284"/>
          <w:tblHeader/>
        </w:trPr>
        <w:tc>
          <w:tcPr>
            <w:tcW w:w="1995" w:type="pct"/>
            <w:tcBorders>
              <w:top w:val="single" w:sz="4" w:space="0" w:color="002060"/>
              <w:bottom w:val="single" w:sz="4" w:space="0" w:color="auto"/>
            </w:tcBorders>
            <w:shd w:val="clear" w:color="auto" w:fill="FFFFFF" w:themeFill="background1"/>
            <w:noWrap/>
          </w:tcPr>
          <w:p w14:paraId="663D9092" w14:textId="77777777" w:rsidR="00E425D7" w:rsidRPr="00AD7E7D" w:rsidRDefault="00E425D7" w:rsidP="008C56D0">
            <w:pPr>
              <w:keepLines/>
              <w:widowControl w:val="0"/>
              <w:shd w:val="clear" w:color="auto" w:fill="FFFFFF" w:themeFill="background1"/>
              <w:spacing w:line="276" w:lineRule="auto"/>
              <w:rPr>
                <w:rFonts w:eastAsia="Times New Roman"/>
                <w:color w:val="auto"/>
                <w:szCs w:val="24"/>
                <w:lang w:val="sr-Latn-RS"/>
              </w:rPr>
            </w:pPr>
          </w:p>
        </w:tc>
        <w:tc>
          <w:tcPr>
            <w:tcW w:w="759" w:type="pct"/>
            <w:tcBorders>
              <w:top w:val="single" w:sz="4" w:space="0" w:color="002060"/>
              <w:bottom w:val="single" w:sz="4" w:space="0" w:color="auto"/>
            </w:tcBorders>
            <w:shd w:val="clear" w:color="auto" w:fill="FFFFFF" w:themeFill="background1"/>
          </w:tcPr>
          <w:p w14:paraId="62E025C7"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2023</w:t>
            </w:r>
          </w:p>
        </w:tc>
        <w:tc>
          <w:tcPr>
            <w:tcW w:w="643" w:type="pct"/>
            <w:tcBorders>
              <w:top w:val="single" w:sz="4" w:space="0" w:color="002060"/>
              <w:bottom w:val="single" w:sz="4" w:space="0" w:color="auto"/>
            </w:tcBorders>
            <w:shd w:val="clear" w:color="auto" w:fill="FFFFFF" w:themeFill="background1"/>
          </w:tcPr>
          <w:p w14:paraId="4C161CFB"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2024</w:t>
            </w:r>
          </w:p>
        </w:tc>
        <w:tc>
          <w:tcPr>
            <w:tcW w:w="533" w:type="pct"/>
            <w:tcBorders>
              <w:top w:val="single" w:sz="4" w:space="0" w:color="002060"/>
              <w:bottom w:val="single" w:sz="4" w:space="0" w:color="auto"/>
            </w:tcBorders>
            <w:shd w:val="clear" w:color="auto" w:fill="FFFFFF" w:themeFill="background1"/>
          </w:tcPr>
          <w:p w14:paraId="0762B349"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2025</w:t>
            </w:r>
          </w:p>
        </w:tc>
        <w:tc>
          <w:tcPr>
            <w:tcW w:w="535" w:type="pct"/>
            <w:tcBorders>
              <w:top w:val="single" w:sz="4" w:space="0" w:color="002060"/>
              <w:bottom w:val="single" w:sz="4" w:space="0" w:color="auto"/>
            </w:tcBorders>
            <w:shd w:val="clear" w:color="auto" w:fill="FFFFFF" w:themeFill="background1"/>
          </w:tcPr>
          <w:p w14:paraId="7084B2C9"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2026</w:t>
            </w:r>
          </w:p>
        </w:tc>
        <w:tc>
          <w:tcPr>
            <w:tcW w:w="535" w:type="pct"/>
            <w:tcBorders>
              <w:top w:val="single" w:sz="4" w:space="0" w:color="002060"/>
              <w:bottom w:val="single" w:sz="4" w:space="0" w:color="auto"/>
            </w:tcBorders>
            <w:shd w:val="clear" w:color="auto" w:fill="FFFFFF" w:themeFill="background1"/>
          </w:tcPr>
          <w:p w14:paraId="2DCBBCDC"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2027</w:t>
            </w:r>
          </w:p>
        </w:tc>
      </w:tr>
      <w:tr w:rsidR="00E425D7" w:rsidRPr="00AD7E7D" w14:paraId="7BD92C5C"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shd w:val="clear" w:color="auto" w:fill="FFFFFF" w:themeFill="background1"/>
          </w:tcPr>
          <w:p w14:paraId="698F1F68" w14:textId="77777777" w:rsidR="00E425D7" w:rsidRPr="00172214" w:rsidRDefault="00E425D7" w:rsidP="008C56D0">
            <w:pPr>
              <w:keepLines/>
              <w:widowControl w:val="0"/>
              <w:shd w:val="clear" w:color="auto" w:fill="FFFFFF" w:themeFill="background1"/>
              <w:spacing w:line="276" w:lineRule="auto"/>
              <w:rPr>
                <w:rFonts w:eastAsia="Times New Roman"/>
                <w:bCs/>
                <w:color w:val="000000" w:themeColor="text1"/>
                <w:szCs w:val="24"/>
              </w:rPr>
            </w:pPr>
            <w:r w:rsidRPr="00172214">
              <w:rPr>
                <w:rFonts w:eastAsiaTheme="minorHAnsi"/>
                <w:color w:val="000000" w:themeColor="text1"/>
                <w:szCs w:val="24"/>
                <w:lang w:eastAsia="en-US"/>
              </w:rPr>
              <w:t>PUBLIC REVENUES</w:t>
            </w:r>
          </w:p>
        </w:tc>
        <w:tc>
          <w:tcPr>
            <w:tcW w:w="759" w:type="pct"/>
            <w:tcBorders>
              <w:top w:val="single" w:sz="4" w:space="0" w:color="auto"/>
            </w:tcBorders>
            <w:shd w:val="clear" w:color="auto" w:fill="auto"/>
            <w:vAlign w:val="center"/>
          </w:tcPr>
          <w:p w14:paraId="32B4D430"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39,4</w:t>
            </w:r>
          </w:p>
        </w:tc>
        <w:tc>
          <w:tcPr>
            <w:tcW w:w="643" w:type="pct"/>
            <w:tcBorders>
              <w:top w:val="single" w:sz="4" w:space="0" w:color="auto"/>
            </w:tcBorders>
            <w:shd w:val="clear" w:color="auto" w:fill="auto"/>
            <w:noWrap/>
            <w:vAlign w:val="center"/>
          </w:tcPr>
          <w:p w14:paraId="5E3D157E"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40,8</w:t>
            </w:r>
          </w:p>
        </w:tc>
        <w:tc>
          <w:tcPr>
            <w:tcW w:w="533" w:type="pct"/>
            <w:tcBorders>
              <w:top w:val="single" w:sz="4" w:space="0" w:color="auto"/>
            </w:tcBorders>
            <w:shd w:val="clear" w:color="auto" w:fill="auto"/>
            <w:noWrap/>
            <w:vAlign w:val="center"/>
          </w:tcPr>
          <w:p w14:paraId="686E7DBB"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41,3</w:t>
            </w:r>
          </w:p>
        </w:tc>
        <w:tc>
          <w:tcPr>
            <w:tcW w:w="535" w:type="pct"/>
            <w:tcBorders>
              <w:top w:val="single" w:sz="4" w:space="0" w:color="auto"/>
            </w:tcBorders>
            <w:shd w:val="clear" w:color="auto" w:fill="auto"/>
            <w:noWrap/>
            <w:vAlign w:val="center"/>
          </w:tcPr>
          <w:p w14:paraId="71DA4B8B"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40,9</w:t>
            </w:r>
          </w:p>
        </w:tc>
        <w:tc>
          <w:tcPr>
            <w:tcW w:w="535" w:type="pct"/>
            <w:tcBorders>
              <w:top w:val="single" w:sz="4" w:space="0" w:color="auto"/>
            </w:tcBorders>
            <w:shd w:val="clear" w:color="auto" w:fill="auto"/>
            <w:noWrap/>
            <w:vAlign w:val="center"/>
          </w:tcPr>
          <w:p w14:paraId="5E9100D1"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40,5</w:t>
            </w:r>
          </w:p>
        </w:tc>
      </w:tr>
      <w:tr w:rsidR="00E425D7" w:rsidRPr="00AD7E7D" w14:paraId="368C2DAF" w14:textId="77777777" w:rsidTr="008C56D0">
        <w:trPr>
          <w:trHeight w:hRule="exact" w:val="284"/>
        </w:trPr>
        <w:tc>
          <w:tcPr>
            <w:tcW w:w="1995" w:type="pct"/>
            <w:shd w:val="clear" w:color="auto" w:fill="FFFFFF" w:themeFill="background1"/>
          </w:tcPr>
          <w:p w14:paraId="5587CED7" w14:textId="77777777" w:rsidR="00E425D7" w:rsidRPr="00172214" w:rsidRDefault="00E425D7" w:rsidP="008C56D0">
            <w:pPr>
              <w:keepLines/>
              <w:widowControl w:val="0"/>
              <w:shd w:val="clear" w:color="auto" w:fill="FFFFFF" w:themeFill="background1"/>
              <w:spacing w:line="276" w:lineRule="auto"/>
              <w:rPr>
                <w:rFonts w:eastAsia="Times New Roman"/>
                <w:bCs/>
                <w:color w:val="000000" w:themeColor="text1"/>
                <w:szCs w:val="24"/>
              </w:rPr>
            </w:pPr>
            <w:r w:rsidRPr="00172214">
              <w:rPr>
                <w:rFonts w:eastAsiaTheme="minorHAnsi"/>
                <w:color w:val="000000" w:themeColor="text1"/>
                <w:szCs w:val="24"/>
                <w:lang w:eastAsia="en-US"/>
              </w:rPr>
              <w:t>Current revenues</w:t>
            </w:r>
          </w:p>
        </w:tc>
        <w:tc>
          <w:tcPr>
            <w:tcW w:w="759" w:type="pct"/>
            <w:shd w:val="clear" w:color="auto" w:fill="FFFFFF" w:themeFill="background1"/>
          </w:tcPr>
          <w:p w14:paraId="5616ED0A"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38,9</w:t>
            </w:r>
          </w:p>
        </w:tc>
        <w:tc>
          <w:tcPr>
            <w:tcW w:w="643" w:type="pct"/>
            <w:shd w:val="clear" w:color="auto" w:fill="FFFFFF" w:themeFill="background1"/>
            <w:noWrap/>
          </w:tcPr>
          <w:p w14:paraId="489077CB"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40,5</w:t>
            </w:r>
          </w:p>
        </w:tc>
        <w:tc>
          <w:tcPr>
            <w:tcW w:w="533" w:type="pct"/>
            <w:shd w:val="clear" w:color="auto" w:fill="FFFFFF" w:themeFill="background1"/>
            <w:noWrap/>
          </w:tcPr>
          <w:p w14:paraId="69507472"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40,9</w:t>
            </w:r>
          </w:p>
        </w:tc>
        <w:tc>
          <w:tcPr>
            <w:tcW w:w="535" w:type="pct"/>
            <w:shd w:val="clear" w:color="auto" w:fill="FFFFFF" w:themeFill="background1"/>
            <w:noWrap/>
          </w:tcPr>
          <w:p w14:paraId="4E90211D"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40,5</w:t>
            </w:r>
          </w:p>
        </w:tc>
        <w:tc>
          <w:tcPr>
            <w:tcW w:w="535" w:type="pct"/>
            <w:shd w:val="clear" w:color="auto" w:fill="FFFFFF" w:themeFill="background1"/>
            <w:noWrap/>
          </w:tcPr>
          <w:p w14:paraId="0A533E5D"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40,1</w:t>
            </w:r>
          </w:p>
        </w:tc>
      </w:tr>
      <w:tr w:rsidR="00E425D7" w:rsidRPr="00AD7E7D" w14:paraId="3D48175E"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shd w:val="clear" w:color="auto" w:fill="FFFFFF" w:themeFill="background1"/>
          </w:tcPr>
          <w:p w14:paraId="3AC15962" w14:textId="77777777" w:rsidR="00E425D7" w:rsidRPr="00172214" w:rsidRDefault="00E425D7" w:rsidP="008C56D0">
            <w:pPr>
              <w:keepLines/>
              <w:widowControl w:val="0"/>
              <w:shd w:val="clear" w:color="auto" w:fill="FFFFFF" w:themeFill="background1"/>
              <w:spacing w:line="276" w:lineRule="auto"/>
              <w:rPr>
                <w:rFonts w:eastAsia="Times New Roman"/>
                <w:bCs/>
                <w:color w:val="000000" w:themeColor="text1"/>
                <w:szCs w:val="24"/>
              </w:rPr>
            </w:pPr>
            <w:r w:rsidRPr="00172214">
              <w:rPr>
                <w:rFonts w:eastAsiaTheme="minorHAnsi"/>
                <w:color w:val="000000" w:themeColor="text1"/>
                <w:szCs w:val="24"/>
                <w:lang w:eastAsia="en-US"/>
              </w:rPr>
              <w:t>Tax revenues</w:t>
            </w:r>
          </w:p>
        </w:tc>
        <w:tc>
          <w:tcPr>
            <w:tcW w:w="759" w:type="pct"/>
            <w:shd w:val="clear" w:color="auto" w:fill="FFFFFF" w:themeFill="background1"/>
          </w:tcPr>
          <w:p w14:paraId="268ED108"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34,9</w:t>
            </w:r>
          </w:p>
        </w:tc>
        <w:tc>
          <w:tcPr>
            <w:tcW w:w="643" w:type="pct"/>
            <w:shd w:val="clear" w:color="auto" w:fill="FFFFFF" w:themeFill="background1"/>
            <w:noWrap/>
          </w:tcPr>
          <w:p w14:paraId="4FF5DDDF"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36,2</w:t>
            </w:r>
          </w:p>
        </w:tc>
        <w:tc>
          <w:tcPr>
            <w:tcW w:w="533" w:type="pct"/>
            <w:shd w:val="clear" w:color="auto" w:fill="FFFFFF" w:themeFill="background1"/>
            <w:noWrap/>
          </w:tcPr>
          <w:p w14:paraId="264D962B"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36,3</w:t>
            </w:r>
          </w:p>
        </w:tc>
        <w:tc>
          <w:tcPr>
            <w:tcW w:w="535" w:type="pct"/>
            <w:shd w:val="clear" w:color="auto" w:fill="FFFFFF" w:themeFill="background1"/>
            <w:noWrap/>
          </w:tcPr>
          <w:p w14:paraId="0986C784"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36,4</w:t>
            </w:r>
          </w:p>
        </w:tc>
        <w:tc>
          <w:tcPr>
            <w:tcW w:w="535" w:type="pct"/>
            <w:shd w:val="clear" w:color="auto" w:fill="FFFFFF" w:themeFill="background1"/>
            <w:noWrap/>
          </w:tcPr>
          <w:p w14:paraId="12A0C8E8"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36,3</w:t>
            </w:r>
          </w:p>
        </w:tc>
      </w:tr>
      <w:tr w:rsidR="00E425D7" w:rsidRPr="00AD7E7D" w14:paraId="3ECBFEEF" w14:textId="77777777" w:rsidTr="008C56D0">
        <w:trPr>
          <w:trHeight w:hRule="exact" w:val="284"/>
        </w:trPr>
        <w:tc>
          <w:tcPr>
            <w:tcW w:w="1995" w:type="pct"/>
            <w:shd w:val="clear" w:color="auto" w:fill="FFFFFF" w:themeFill="background1"/>
          </w:tcPr>
          <w:p w14:paraId="11B535A3" w14:textId="77777777" w:rsidR="00E425D7" w:rsidRPr="00172214" w:rsidRDefault="00E425D7" w:rsidP="008C56D0">
            <w:pPr>
              <w:keepLines/>
              <w:widowControl w:val="0"/>
              <w:shd w:val="clear" w:color="auto" w:fill="FFFFFF" w:themeFill="background1"/>
              <w:spacing w:line="276" w:lineRule="auto"/>
              <w:ind w:left="284"/>
              <w:rPr>
                <w:rFonts w:eastAsia="Times New Roman"/>
                <w:bCs/>
                <w:color w:val="000000" w:themeColor="text1"/>
                <w:szCs w:val="24"/>
              </w:rPr>
            </w:pPr>
            <w:r w:rsidRPr="00172214">
              <w:rPr>
                <w:rFonts w:eastAsiaTheme="minorHAnsi"/>
                <w:color w:val="000000" w:themeColor="text1"/>
                <w:szCs w:val="24"/>
                <w:lang w:val="sr-Latn-RS" w:eastAsia="en-US"/>
              </w:rPr>
              <w:t xml:space="preserve">    </w:t>
            </w:r>
            <w:r w:rsidRPr="00172214">
              <w:rPr>
                <w:rFonts w:eastAsiaTheme="minorHAnsi"/>
                <w:color w:val="000000" w:themeColor="text1"/>
                <w:szCs w:val="24"/>
                <w:lang w:eastAsia="en-US"/>
              </w:rPr>
              <w:t>Personal income tax</w:t>
            </w:r>
          </w:p>
        </w:tc>
        <w:tc>
          <w:tcPr>
            <w:tcW w:w="759" w:type="pct"/>
            <w:shd w:val="clear" w:color="auto" w:fill="FFFFFF" w:themeFill="background1"/>
          </w:tcPr>
          <w:p w14:paraId="6FD76270"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3,9</w:t>
            </w:r>
          </w:p>
        </w:tc>
        <w:tc>
          <w:tcPr>
            <w:tcW w:w="643" w:type="pct"/>
            <w:shd w:val="clear" w:color="auto" w:fill="FFFFFF" w:themeFill="background1"/>
            <w:noWrap/>
          </w:tcPr>
          <w:p w14:paraId="34E853AE"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4,1</w:t>
            </w:r>
          </w:p>
        </w:tc>
        <w:tc>
          <w:tcPr>
            <w:tcW w:w="533" w:type="pct"/>
            <w:shd w:val="clear" w:color="auto" w:fill="FFFFFF" w:themeFill="background1"/>
            <w:noWrap/>
          </w:tcPr>
          <w:p w14:paraId="4FDF10C1"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4,1</w:t>
            </w:r>
          </w:p>
        </w:tc>
        <w:tc>
          <w:tcPr>
            <w:tcW w:w="535" w:type="pct"/>
            <w:shd w:val="clear" w:color="auto" w:fill="FFFFFF" w:themeFill="background1"/>
            <w:noWrap/>
          </w:tcPr>
          <w:p w14:paraId="3B928E16"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4,2</w:t>
            </w:r>
          </w:p>
        </w:tc>
        <w:tc>
          <w:tcPr>
            <w:tcW w:w="535" w:type="pct"/>
            <w:shd w:val="clear" w:color="auto" w:fill="FFFFFF" w:themeFill="background1"/>
            <w:noWrap/>
          </w:tcPr>
          <w:p w14:paraId="0061B0E5"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4,2</w:t>
            </w:r>
          </w:p>
        </w:tc>
      </w:tr>
      <w:tr w:rsidR="00E425D7" w:rsidRPr="00AD7E7D" w14:paraId="21C1BCF0"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shd w:val="clear" w:color="auto" w:fill="FFFFFF" w:themeFill="background1"/>
          </w:tcPr>
          <w:p w14:paraId="32FFE414" w14:textId="77777777" w:rsidR="00E425D7" w:rsidRPr="00172214" w:rsidRDefault="00E425D7" w:rsidP="008C56D0">
            <w:pPr>
              <w:keepLines/>
              <w:widowControl w:val="0"/>
              <w:shd w:val="clear" w:color="auto" w:fill="FFFFFF" w:themeFill="background1"/>
              <w:spacing w:line="276" w:lineRule="auto"/>
              <w:ind w:left="284"/>
              <w:rPr>
                <w:rFonts w:eastAsia="Times New Roman"/>
                <w:bCs/>
                <w:color w:val="000000" w:themeColor="text1"/>
                <w:szCs w:val="24"/>
              </w:rPr>
            </w:pPr>
            <w:r w:rsidRPr="00172214">
              <w:rPr>
                <w:rFonts w:eastAsiaTheme="minorHAnsi"/>
                <w:color w:val="000000" w:themeColor="text1"/>
                <w:szCs w:val="24"/>
                <w:lang w:val="sr-Latn-RS" w:eastAsia="en-US"/>
              </w:rPr>
              <w:t xml:space="preserve">    </w:t>
            </w:r>
            <w:r w:rsidRPr="00172214">
              <w:rPr>
                <w:rFonts w:eastAsiaTheme="minorHAnsi"/>
                <w:color w:val="000000" w:themeColor="text1"/>
                <w:szCs w:val="24"/>
                <w:lang w:eastAsia="en-US"/>
              </w:rPr>
              <w:t>Corporate income tax</w:t>
            </w:r>
          </w:p>
        </w:tc>
        <w:tc>
          <w:tcPr>
            <w:tcW w:w="759" w:type="pct"/>
            <w:shd w:val="clear" w:color="auto" w:fill="FFFFFF" w:themeFill="background1"/>
          </w:tcPr>
          <w:p w14:paraId="1DDD9F8C"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3,1</w:t>
            </w:r>
          </w:p>
        </w:tc>
        <w:tc>
          <w:tcPr>
            <w:tcW w:w="643" w:type="pct"/>
            <w:shd w:val="clear" w:color="auto" w:fill="FFFFFF" w:themeFill="background1"/>
            <w:noWrap/>
          </w:tcPr>
          <w:p w14:paraId="5A3E6DE3"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3,0</w:t>
            </w:r>
          </w:p>
        </w:tc>
        <w:tc>
          <w:tcPr>
            <w:tcW w:w="533" w:type="pct"/>
            <w:shd w:val="clear" w:color="auto" w:fill="FFFFFF" w:themeFill="background1"/>
            <w:noWrap/>
          </w:tcPr>
          <w:p w14:paraId="280A87DD"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2,8</w:t>
            </w:r>
          </w:p>
        </w:tc>
        <w:tc>
          <w:tcPr>
            <w:tcW w:w="535" w:type="pct"/>
            <w:shd w:val="clear" w:color="auto" w:fill="FFFFFF" w:themeFill="background1"/>
            <w:noWrap/>
          </w:tcPr>
          <w:p w14:paraId="370B006D"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2,7</w:t>
            </w:r>
          </w:p>
        </w:tc>
        <w:tc>
          <w:tcPr>
            <w:tcW w:w="535" w:type="pct"/>
            <w:shd w:val="clear" w:color="auto" w:fill="FFFFFF" w:themeFill="background1"/>
            <w:noWrap/>
          </w:tcPr>
          <w:p w14:paraId="3C1C38F4"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2,7</w:t>
            </w:r>
          </w:p>
        </w:tc>
      </w:tr>
      <w:tr w:rsidR="00E425D7" w:rsidRPr="00AD7E7D" w14:paraId="16178414" w14:textId="77777777" w:rsidTr="008C56D0">
        <w:trPr>
          <w:trHeight w:hRule="exact" w:val="284"/>
        </w:trPr>
        <w:tc>
          <w:tcPr>
            <w:tcW w:w="1995" w:type="pct"/>
            <w:shd w:val="clear" w:color="auto" w:fill="FFFFFF" w:themeFill="background1"/>
          </w:tcPr>
          <w:p w14:paraId="207A03EE" w14:textId="77777777" w:rsidR="00E425D7" w:rsidRPr="00172214" w:rsidRDefault="00E425D7" w:rsidP="008C56D0">
            <w:pPr>
              <w:keepLines/>
              <w:widowControl w:val="0"/>
              <w:shd w:val="clear" w:color="auto" w:fill="FFFFFF" w:themeFill="background1"/>
              <w:spacing w:line="276" w:lineRule="auto"/>
              <w:ind w:left="284"/>
              <w:rPr>
                <w:rFonts w:eastAsia="Times New Roman"/>
                <w:bCs/>
                <w:color w:val="000000" w:themeColor="text1"/>
                <w:szCs w:val="24"/>
              </w:rPr>
            </w:pPr>
            <w:r w:rsidRPr="00172214">
              <w:rPr>
                <w:rFonts w:eastAsiaTheme="minorHAnsi"/>
                <w:color w:val="000000" w:themeColor="text1"/>
                <w:szCs w:val="24"/>
                <w:lang w:val="sr-Latn-RS" w:eastAsia="en-US"/>
              </w:rPr>
              <w:t xml:space="preserve">    </w:t>
            </w:r>
            <w:r w:rsidRPr="00172214">
              <w:rPr>
                <w:rFonts w:eastAsiaTheme="minorHAnsi"/>
                <w:color w:val="000000" w:themeColor="text1"/>
                <w:szCs w:val="24"/>
                <w:lang w:eastAsia="en-US"/>
              </w:rPr>
              <w:t>VAT</w:t>
            </w:r>
          </w:p>
        </w:tc>
        <w:tc>
          <w:tcPr>
            <w:tcW w:w="759" w:type="pct"/>
            <w:shd w:val="clear" w:color="auto" w:fill="FFFFFF" w:themeFill="background1"/>
          </w:tcPr>
          <w:p w14:paraId="03F5728B"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9,6</w:t>
            </w:r>
          </w:p>
        </w:tc>
        <w:tc>
          <w:tcPr>
            <w:tcW w:w="643" w:type="pct"/>
            <w:shd w:val="clear" w:color="auto" w:fill="FFFFFF" w:themeFill="background1"/>
            <w:noWrap/>
          </w:tcPr>
          <w:p w14:paraId="7A37F0FF"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10,0</w:t>
            </w:r>
          </w:p>
        </w:tc>
        <w:tc>
          <w:tcPr>
            <w:tcW w:w="533" w:type="pct"/>
            <w:shd w:val="clear" w:color="auto" w:fill="FFFFFF" w:themeFill="background1"/>
            <w:noWrap/>
          </w:tcPr>
          <w:p w14:paraId="4F2550CF"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10,2</w:t>
            </w:r>
          </w:p>
        </w:tc>
        <w:tc>
          <w:tcPr>
            <w:tcW w:w="535" w:type="pct"/>
            <w:shd w:val="clear" w:color="auto" w:fill="FFFFFF" w:themeFill="background1"/>
            <w:noWrap/>
          </w:tcPr>
          <w:p w14:paraId="6599FDDF"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10,3</w:t>
            </w:r>
          </w:p>
        </w:tc>
        <w:tc>
          <w:tcPr>
            <w:tcW w:w="535" w:type="pct"/>
            <w:shd w:val="clear" w:color="auto" w:fill="FFFFFF" w:themeFill="background1"/>
            <w:noWrap/>
          </w:tcPr>
          <w:p w14:paraId="5FAD4AB2"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10,4</w:t>
            </w:r>
          </w:p>
        </w:tc>
      </w:tr>
      <w:tr w:rsidR="00E425D7" w:rsidRPr="00AD7E7D" w14:paraId="216A8C95"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shd w:val="clear" w:color="auto" w:fill="FFFFFF" w:themeFill="background1"/>
          </w:tcPr>
          <w:p w14:paraId="1F32BEF2" w14:textId="77777777" w:rsidR="00E425D7" w:rsidRPr="00172214" w:rsidRDefault="00E425D7" w:rsidP="008C56D0">
            <w:pPr>
              <w:keepLines/>
              <w:widowControl w:val="0"/>
              <w:shd w:val="clear" w:color="auto" w:fill="FFFFFF" w:themeFill="background1"/>
              <w:spacing w:line="276" w:lineRule="auto"/>
              <w:ind w:left="284"/>
              <w:rPr>
                <w:rFonts w:eastAsia="Times New Roman"/>
                <w:bCs/>
                <w:color w:val="000000" w:themeColor="text1"/>
                <w:szCs w:val="24"/>
              </w:rPr>
            </w:pPr>
            <w:r w:rsidRPr="00172214">
              <w:rPr>
                <w:rFonts w:eastAsiaTheme="minorHAnsi"/>
                <w:color w:val="000000" w:themeColor="text1"/>
                <w:szCs w:val="24"/>
                <w:lang w:val="sr-Latn-RS" w:eastAsia="en-US"/>
              </w:rPr>
              <w:t xml:space="preserve">    </w:t>
            </w:r>
            <w:r w:rsidRPr="00172214">
              <w:rPr>
                <w:rFonts w:eastAsiaTheme="minorHAnsi"/>
                <w:color w:val="000000" w:themeColor="text1"/>
                <w:szCs w:val="24"/>
                <w:lang w:eastAsia="en-US"/>
              </w:rPr>
              <w:t>Excises</w:t>
            </w:r>
          </w:p>
        </w:tc>
        <w:tc>
          <w:tcPr>
            <w:tcW w:w="759" w:type="pct"/>
            <w:shd w:val="clear" w:color="auto" w:fill="FFFFFF" w:themeFill="background1"/>
          </w:tcPr>
          <w:p w14:paraId="78D40EEB"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4,2</w:t>
            </w:r>
          </w:p>
        </w:tc>
        <w:tc>
          <w:tcPr>
            <w:tcW w:w="643" w:type="pct"/>
            <w:shd w:val="clear" w:color="auto" w:fill="FFFFFF" w:themeFill="background1"/>
            <w:noWrap/>
          </w:tcPr>
          <w:p w14:paraId="7A4D58BC"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4,2</w:t>
            </w:r>
          </w:p>
        </w:tc>
        <w:tc>
          <w:tcPr>
            <w:tcW w:w="533" w:type="pct"/>
            <w:shd w:val="clear" w:color="auto" w:fill="FFFFFF" w:themeFill="background1"/>
            <w:noWrap/>
          </w:tcPr>
          <w:p w14:paraId="04521ECF"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4,1</w:t>
            </w:r>
          </w:p>
        </w:tc>
        <w:tc>
          <w:tcPr>
            <w:tcW w:w="535" w:type="pct"/>
            <w:shd w:val="clear" w:color="auto" w:fill="FFFFFF" w:themeFill="background1"/>
            <w:noWrap/>
          </w:tcPr>
          <w:p w14:paraId="5D749E13"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3,9</w:t>
            </w:r>
          </w:p>
        </w:tc>
        <w:tc>
          <w:tcPr>
            <w:tcW w:w="535" w:type="pct"/>
            <w:shd w:val="clear" w:color="auto" w:fill="FFFFFF" w:themeFill="background1"/>
            <w:noWrap/>
          </w:tcPr>
          <w:p w14:paraId="5DE1258D"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3,7</w:t>
            </w:r>
          </w:p>
        </w:tc>
      </w:tr>
      <w:tr w:rsidR="00E425D7" w:rsidRPr="00AD7E7D" w14:paraId="479731BB" w14:textId="77777777" w:rsidTr="008C56D0">
        <w:trPr>
          <w:trHeight w:hRule="exact" w:val="284"/>
        </w:trPr>
        <w:tc>
          <w:tcPr>
            <w:tcW w:w="1995" w:type="pct"/>
            <w:shd w:val="clear" w:color="auto" w:fill="FFFFFF" w:themeFill="background1"/>
          </w:tcPr>
          <w:p w14:paraId="0F9FFB5C" w14:textId="77777777" w:rsidR="00E425D7" w:rsidRPr="00172214" w:rsidRDefault="00E425D7" w:rsidP="008C56D0">
            <w:pPr>
              <w:keepLines/>
              <w:widowControl w:val="0"/>
              <w:shd w:val="clear" w:color="auto" w:fill="FFFFFF" w:themeFill="background1"/>
              <w:spacing w:line="276" w:lineRule="auto"/>
              <w:ind w:left="284"/>
              <w:rPr>
                <w:rFonts w:eastAsia="Times New Roman"/>
                <w:bCs/>
                <w:color w:val="000000" w:themeColor="text1"/>
                <w:szCs w:val="24"/>
              </w:rPr>
            </w:pPr>
            <w:r w:rsidRPr="00172214">
              <w:rPr>
                <w:rFonts w:eastAsiaTheme="minorHAnsi"/>
                <w:color w:val="000000" w:themeColor="text1"/>
                <w:szCs w:val="24"/>
                <w:lang w:val="sr-Latn-RS" w:eastAsia="en-US"/>
              </w:rPr>
              <w:t xml:space="preserve">    </w:t>
            </w:r>
            <w:r w:rsidRPr="00172214">
              <w:rPr>
                <w:rFonts w:eastAsiaTheme="minorHAnsi"/>
                <w:color w:val="000000" w:themeColor="text1"/>
                <w:szCs w:val="24"/>
                <w:lang w:eastAsia="en-US"/>
              </w:rPr>
              <w:t>Customs</w:t>
            </w:r>
          </w:p>
        </w:tc>
        <w:tc>
          <w:tcPr>
            <w:tcW w:w="759" w:type="pct"/>
            <w:shd w:val="clear" w:color="auto" w:fill="FFFFFF" w:themeFill="background1"/>
          </w:tcPr>
          <w:p w14:paraId="077AB9FD"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0,9</w:t>
            </w:r>
          </w:p>
        </w:tc>
        <w:tc>
          <w:tcPr>
            <w:tcW w:w="643" w:type="pct"/>
            <w:shd w:val="clear" w:color="auto" w:fill="FFFFFF" w:themeFill="background1"/>
            <w:noWrap/>
          </w:tcPr>
          <w:p w14:paraId="0A3DCFEB"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0,9</w:t>
            </w:r>
          </w:p>
        </w:tc>
        <w:tc>
          <w:tcPr>
            <w:tcW w:w="533" w:type="pct"/>
            <w:shd w:val="clear" w:color="auto" w:fill="FFFFFF" w:themeFill="background1"/>
            <w:noWrap/>
          </w:tcPr>
          <w:p w14:paraId="005E15E9"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0,9</w:t>
            </w:r>
          </w:p>
        </w:tc>
        <w:tc>
          <w:tcPr>
            <w:tcW w:w="535" w:type="pct"/>
            <w:shd w:val="clear" w:color="auto" w:fill="FFFFFF" w:themeFill="background1"/>
            <w:noWrap/>
          </w:tcPr>
          <w:p w14:paraId="347B2D37"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0,9</w:t>
            </w:r>
          </w:p>
        </w:tc>
        <w:tc>
          <w:tcPr>
            <w:tcW w:w="535" w:type="pct"/>
            <w:shd w:val="clear" w:color="auto" w:fill="FFFFFF" w:themeFill="background1"/>
            <w:noWrap/>
          </w:tcPr>
          <w:p w14:paraId="748258D7"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0,9</w:t>
            </w:r>
          </w:p>
        </w:tc>
      </w:tr>
      <w:tr w:rsidR="00E425D7" w:rsidRPr="00AD7E7D" w14:paraId="29A594D4"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shd w:val="clear" w:color="auto" w:fill="FFFFFF" w:themeFill="background1"/>
          </w:tcPr>
          <w:p w14:paraId="0E5BB611" w14:textId="77777777" w:rsidR="00E425D7" w:rsidRPr="00172214" w:rsidRDefault="00E425D7" w:rsidP="008C56D0">
            <w:pPr>
              <w:keepLines/>
              <w:widowControl w:val="0"/>
              <w:shd w:val="clear" w:color="auto" w:fill="FFFFFF" w:themeFill="background1"/>
              <w:spacing w:line="276" w:lineRule="auto"/>
              <w:ind w:left="284"/>
              <w:rPr>
                <w:rFonts w:eastAsia="Times New Roman"/>
                <w:bCs/>
                <w:color w:val="000000" w:themeColor="text1"/>
                <w:szCs w:val="24"/>
              </w:rPr>
            </w:pPr>
            <w:r w:rsidRPr="00172214">
              <w:rPr>
                <w:rFonts w:eastAsiaTheme="minorHAnsi"/>
                <w:color w:val="000000" w:themeColor="text1"/>
                <w:szCs w:val="24"/>
                <w:lang w:val="sr-Latn-RS" w:eastAsia="en-US"/>
              </w:rPr>
              <w:t xml:space="preserve">    </w:t>
            </w:r>
            <w:r w:rsidRPr="00172214">
              <w:rPr>
                <w:rFonts w:eastAsiaTheme="minorHAnsi"/>
                <w:color w:val="000000" w:themeColor="text1"/>
                <w:szCs w:val="24"/>
                <w:lang w:eastAsia="en-US"/>
              </w:rPr>
              <w:t>Other tax revenues</w:t>
            </w:r>
          </w:p>
        </w:tc>
        <w:tc>
          <w:tcPr>
            <w:tcW w:w="759" w:type="pct"/>
            <w:shd w:val="clear" w:color="auto" w:fill="FFFFFF" w:themeFill="background1"/>
          </w:tcPr>
          <w:p w14:paraId="6F646990"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1,2</w:t>
            </w:r>
          </w:p>
        </w:tc>
        <w:tc>
          <w:tcPr>
            <w:tcW w:w="643" w:type="pct"/>
            <w:shd w:val="clear" w:color="auto" w:fill="FFFFFF" w:themeFill="background1"/>
            <w:noWrap/>
          </w:tcPr>
          <w:p w14:paraId="7A32ACC6"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1,2</w:t>
            </w:r>
          </w:p>
        </w:tc>
        <w:tc>
          <w:tcPr>
            <w:tcW w:w="533" w:type="pct"/>
            <w:shd w:val="clear" w:color="auto" w:fill="FFFFFF" w:themeFill="background1"/>
            <w:noWrap/>
          </w:tcPr>
          <w:p w14:paraId="051B24B0"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1,2</w:t>
            </w:r>
          </w:p>
        </w:tc>
        <w:tc>
          <w:tcPr>
            <w:tcW w:w="535" w:type="pct"/>
            <w:shd w:val="clear" w:color="auto" w:fill="FFFFFF" w:themeFill="background1"/>
            <w:noWrap/>
          </w:tcPr>
          <w:p w14:paraId="7D5B380B"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1,1</w:t>
            </w:r>
          </w:p>
        </w:tc>
        <w:tc>
          <w:tcPr>
            <w:tcW w:w="535" w:type="pct"/>
            <w:shd w:val="clear" w:color="auto" w:fill="FFFFFF" w:themeFill="background1"/>
            <w:noWrap/>
          </w:tcPr>
          <w:p w14:paraId="2F820278"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1,1</w:t>
            </w:r>
          </w:p>
        </w:tc>
      </w:tr>
      <w:tr w:rsidR="00E425D7" w:rsidRPr="00AD7E7D" w14:paraId="76B0D4F9" w14:textId="77777777" w:rsidTr="008C56D0">
        <w:trPr>
          <w:trHeight w:hRule="exact" w:val="284"/>
        </w:trPr>
        <w:tc>
          <w:tcPr>
            <w:tcW w:w="1995" w:type="pct"/>
            <w:shd w:val="clear" w:color="auto" w:fill="FFFFFF" w:themeFill="background1"/>
          </w:tcPr>
          <w:p w14:paraId="504B5DAF" w14:textId="77777777" w:rsidR="00E425D7" w:rsidRPr="00172214" w:rsidRDefault="00E425D7" w:rsidP="008C56D0">
            <w:pPr>
              <w:keepLines/>
              <w:widowControl w:val="0"/>
              <w:shd w:val="clear" w:color="auto" w:fill="FFFFFF" w:themeFill="background1"/>
              <w:spacing w:line="276" w:lineRule="auto"/>
              <w:ind w:left="284"/>
              <w:rPr>
                <w:rFonts w:eastAsia="Times New Roman"/>
                <w:bCs/>
                <w:color w:val="000000" w:themeColor="text1"/>
                <w:szCs w:val="24"/>
              </w:rPr>
            </w:pPr>
            <w:r w:rsidRPr="00172214">
              <w:rPr>
                <w:rFonts w:eastAsiaTheme="minorHAnsi"/>
                <w:color w:val="000000" w:themeColor="text1"/>
                <w:szCs w:val="24"/>
                <w:lang w:val="sr-Latn-RS" w:eastAsia="en-US"/>
              </w:rPr>
              <w:t xml:space="preserve">    </w:t>
            </w:r>
            <w:r w:rsidRPr="00172214">
              <w:rPr>
                <w:rFonts w:eastAsiaTheme="minorHAnsi"/>
                <w:color w:val="000000" w:themeColor="text1"/>
                <w:szCs w:val="24"/>
                <w:lang w:eastAsia="en-US"/>
              </w:rPr>
              <w:t>Social contributions</w:t>
            </w:r>
          </w:p>
        </w:tc>
        <w:tc>
          <w:tcPr>
            <w:tcW w:w="759" w:type="pct"/>
            <w:shd w:val="clear" w:color="auto" w:fill="FFFFFF" w:themeFill="background1"/>
          </w:tcPr>
          <w:p w14:paraId="7655E627"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12,0</w:t>
            </w:r>
          </w:p>
        </w:tc>
        <w:tc>
          <w:tcPr>
            <w:tcW w:w="643" w:type="pct"/>
            <w:shd w:val="clear" w:color="auto" w:fill="FFFFFF" w:themeFill="background1"/>
            <w:noWrap/>
          </w:tcPr>
          <w:p w14:paraId="586B4F5E"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12,7</w:t>
            </w:r>
          </w:p>
        </w:tc>
        <w:tc>
          <w:tcPr>
            <w:tcW w:w="533" w:type="pct"/>
            <w:shd w:val="clear" w:color="auto" w:fill="FFFFFF" w:themeFill="background1"/>
            <w:noWrap/>
          </w:tcPr>
          <w:p w14:paraId="27D0A3E3"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13,0</w:t>
            </w:r>
          </w:p>
        </w:tc>
        <w:tc>
          <w:tcPr>
            <w:tcW w:w="535" w:type="pct"/>
            <w:shd w:val="clear" w:color="auto" w:fill="FFFFFF" w:themeFill="background1"/>
            <w:noWrap/>
          </w:tcPr>
          <w:p w14:paraId="0A2C1409"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13,2</w:t>
            </w:r>
          </w:p>
        </w:tc>
        <w:tc>
          <w:tcPr>
            <w:tcW w:w="535" w:type="pct"/>
            <w:shd w:val="clear" w:color="auto" w:fill="FFFFFF" w:themeFill="background1"/>
            <w:noWrap/>
          </w:tcPr>
          <w:p w14:paraId="58094535"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13,4</w:t>
            </w:r>
          </w:p>
        </w:tc>
      </w:tr>
      <w:tr w:rsidR="00E425D7" w:rsidRPr="00AD7E7D" w14:paraId="029671D4"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shd w:val="clear" w:color="auto" w:fill="FFFFFF" w:themeFill="background1"/>
          </w:tcPr>
          <w:p w14:paraId="78E742AC" w14:textId="77777777" w:rsidR="00E425D7" w:rsidRPr="00172214" w:rsidRDefault="00E425D7" w:rsidP="008C56D0">
            <w:pPr>
              <w:keepLines/>
              <w:widowControl w:val="0"/>
              <w:shd w:val="clear" w:color="auto" w:fill="FFFFFF" w:themeFill="background1"/>
              <w:spacing w:line="276" w:lineRule="auto"/>
              <w:rPr>
                <w:rFonts w:eastAsia="Times New Roman"/>
                <w:bCs/>
                <w:color w:val="000000" w:themeColor="text1"/>
                <w:szCs w:val="24"/>
              </w:rPr>
            </w:pPr>
            <w:r w:rsidRPr="00172214">
              <w:rPr>
                <w:rFonts w:eastAsiaTheme="minorHAnsi"/>
                <w:color w:val="000000" w:themeColor="text1"/>
                <w:szCs w:val="24"/>
                <w:lang w:eastAsia="en-US"/>
              </w:rPr>
              <w:t>Non-tax revenues</w:t>
            </w:r>
          </w:p>
        </w:tc>
        <w:tc>
          <w:tcPr>
            <w:tcW w:w="759" w:type="pct"/>
            <w:shd w:val="clear" w:color="auto" w:fill="FFFFFF" w:themeFill="background1"/>
          </w:tcPr>
          <w:p w14:paraId="5AF5C82E"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4,0</w:t>
            </w:r>
          </w:p>
        </w:tc>
        <w:tc>
          <w:tcPr>
            <w:tcW w:w="643" w:type="pct"/>
            <w:shd w:val="clear" w:color="auto" w:fill="FFFFFF" w:themeFill="background1"/>
            <w:noWrap/>
          </w:tcPr>
          <w:p w14:paraId="220D64C1"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4,2</w:t>
            </w:r>
          </w:p>
        </w:tc>
        <w:tc>
          <w:tcPr>
            <w:tcW w:w="533" w:type="pct"/>
            <w:shd w:val="clear" w:color="auto" w:fill="FFFFFF" w:themeFill="background1"/>
            <w:noWrap/>
          </w:tcPr>
          <w:p w14:paraId="76DF03FF"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4,6</w:t>
            </w:r>
          </w:p>
        </w:tc>
        <w:tc>
          <w:tcPr>
            <w:tcW w:w="535" w:type="pct"/>
            <w:shd w:val="clear" w:color="auto" w:fill="FFFFFF" w:themeFill="background1"/>
            <w:noWrap/>
          </w:tcPr>
          <w:p w14:paraId="64A93D34"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4,1</w:t>
            </w:r>
          </w:p>
        </w:tc>
        <w:tc>
          <w:tcPr>
            <w:tcW w:w="535" w:type="pct"/>
            <w:shd w:val="clear" w:color="auto" w:fill="FFFFFF" w:themeFill="background1"/>
            <w:noWrap/>
          </w:tcPr>
          <w:p w14:paraId="4B9DDF90"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3,8</w:t>
            </w:r>
          </w:p>
        </w:tc>
      </w:tr>
      <w:tr w:rsidR="00E425D7" w:rsidRPr="00AD7E7D" w14:paraId="6621D931" w14:textId="77777777" w:rsidTr="008C56D0">
        <w:trPr>
          <w:trHeight w:hRule="exact" w:val="284"/>
        </w:trPr>
        <w:tc>
          <w:tcPr>
            <w:tcW w:w="1995" w:type="pct"/>
            <w:tcBorders>
              <w:bottom w:val="single" w:sz="4" w:space="0" w:color="002060"/>
            </w:tcBorders>
            <w:shd w:val="clear" w:color="auto" w:fill="FFFFFF" w:themeFill="background1"/>
          </w:tcPr>
          <w:p w14:paraId="609995AD" w14:textId="77777777" w:rsidR="00E425D7" w:rsidRPr="00172214" w:rsidRDefault="00E425D7" w:rsidP="008C56D0">
            <w:pPr>
              <w:keepLines/>
              <w:widowControl w:val="0"/>
              <w:shd w:val="clear" w:color="auto" w:fill="FFFFFF" w:themeFill="background1"/>
              <w:spacing w:line="276" w:lineRule="auto"/>
              <w:rPr>
                <w:rFonts w:eastAsia="Times New Roman"/>
                <w:bCs/>
                <w:color w:val="000000" w:themeColor="text1"/>
                <w:szCs w:val="24"/>
              </w:rPr>
            </w:pPr>
            <w:r w:rsidRPr="00172214">
              <w:rPr>
                <w:rFonts w:eastAsiaTheme="minorHAnsi"/>
                <w:color w:val="000000" w:themeColor="text1"/>
                <w:szCs w:val="24"/>
                <w:lang w:eastAsia="en-US"/>
              </w:rPr>
              <w:t>Grants</w:t>
            </w:r>
          </w:p>
        </w:tc>
        <w:tc>
          <w:tcPr>
            <w:tcW w:w="759" w:type="pct"/>
            <w:tcBorders>
              <w:bottom w:val="single" w:sz="4" w:space="0" w:color="auto"/>
            </w:tcBorders>
            <w:shd w:val="clear" w:color="auto" w:fill="FFFFFF" w:themeFill="background1"/>
          </w:tcPr>
          <w:p w14:paraId="7F0FE882"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0,5</w:t>
            </w:r>
          </w:p>
        </w:tc>
        <w:tc>
          <w:tcPr>
            <w:tcW w:w="643" w:type="pct"/>
            <w:tcBorders>
              <w:bottom w:val="single" w:sz="4" w:space="0" w:color="auto"/>
            </w:tcBorders>
            <w:shd w:val="clear" w:color="auto" w:fill="FFFFFF" w:themeFill="background1"/>
            <w:noWrap/>
          </w:tcPr>
          <w:p w14:paraId="2057D231"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0,4</w:t>
            </w:r>
          </w:p>
        </w:tc>
        <w:tc>
          <w:tcPr>
            <w:tcW w:w="533" w:type="pct"/>
            <w:tcBorders>
              <w:bottom w:val="single" w:sz="4" w:space="0" w:color="auto"/>
            </w:tcBorders>
            <w:shd w:val="clear" w:color="auto" w:fill="FFFFFF" w:themeFill="background1"/>
            <w:noWrap/>
          </w:tcPr>
          <w:p w14:paraId="64276B27"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0,4</w:t>
            </w:r>
          </w:p>
        </w:tc>
        <w:tc>
          <w:tcPr>
            <w:tcW w:w="535" w:type="pct"/>
            <w:tcBorders>
              <w:bottom w:val="single" w:sz="4" w:space="0" w:color="auto"/>
            </w:tcBorders>
            <w:shd w:val="clear" w:color="auto" w:fill="FFFFFF" w:themeFill="background1"/>
            <w:noWrap/>
          </w:tcPr>
          <w:p w14:paraId="5746B0B3"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0,4</w:t>
            </w:r>
          </w:p>
        </w:tc>
        <w:tc>
          <w:tcPr>
            <w:tcW w:w="535" w:type="pct"/>
            <w:tcBorders>
              <w:bottom w:val="single" w:sz="4" w:space="0" w:color="auto"/>
            </w:tcBorders>
            <w:shd w:val="clear" w:color="auto" w:fill="FFFFFF" w:themeFill="background1"/>
            <w:noWrap/>
          </w:tcPr>
          <w:p w14:paraId="4DF5B4B1"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0,3</w:t>
            </w:r>
          </w:p>
        </w:tc>
      </w:tr>
    </w:tbl>
    <w:p w14:paraId="3B962669" w14:textId="77777777" w:rsidR="00E425D7" w:rsidRDefault="00E425D7" w:rsidP="00E425D7">
      <w:pPr>
        <w:rPr>
          <w:rFonts w:cs="Times New Roman"/>
          <w:bCs/>
          <w:sz w:val="22"/>
          <w:szCs w:val="24"/>
          <w:lang w:val="sr-Cyrl-RS" w:eastAsia="ja-JP"/>
        </w:rPr>
      </w:pPr>
      <w:r w:rsidRPr="00172214">
        <w:rPr>
          <w:rFonts w:cs="Times New Roman"/>
          <w:bCs/>
          <w:sz w:val="22"/>
          <w:szCs w:val="24"/>
          <w:lang w:val="sr-Cyrl-RS" w:eastAsia="ja-JP"/>
        </w:rPr>
        <w:t xml:space="preserve">Source: Ministry of Finance </w:t>
      </w:r>
    </w:p>
    <w:p w14:paraId="0A4C5C6B"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lastRenderedPageBreak/>
        <w:t>The mildly declining trend in total public revenues in the observed period, in terms of GDP share, is expected given the projected structure of medium-term growth of the Serbian economy. The projection of tax revenues assumes the maintenance of the current level of collection.</w:t>
      </w:r>
    </w:p>
    <w:p w14:paraId="2E823948"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 xml:space="preserve">The predominant form of </w:t>
      </w:r>
      <w:r>
        <w:rPr>
          <w:rFonts w:eastAsia="MS PGothic" w:cs="Times New Roman"/>
          <w:szCs w:val="24"/>
          <w:lang w:eastAsia="ja-JP"/>
        </w:rPr>
        <w:t xml:space="preserve">personal </w:t>
      </w:r>
      <w:r w:rsidRPr="00D41D04">
        <w:rPr>
          <w:rFonts w:eastAsia="MS PGothic" w:cs="Times New Roman"/>
          <w:szCs w:val="24"/>
          <w:lang w:eastAsia="ja-JP"/>
        </w:rPr>
        <w:t>income tax is the tax on wages, so the movement of wage mass and employment are the main factors influencing the movement of this type of tax. Given that faster growth of these two components is expected compared to the nominal GDP, a slight increase in the share of income tax in GDP is anticipated.</w:t>
      </w:r>
    </w:p>
    <w:p w14:paraId="54DC52C6"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Two measures will impact wage tax movements in two different ways. The 13,7% increase in the minimum wage will raise wage levels, thus increasing income from wage taxes. On the other hand, the 13,7% increase in the non-taxable threshold will have a negative effect of 10,1 billion dinars on income from wage taxes. The total effect on revenue collection is estimated at 14,5 billion dinars, with 4,4 billion dinars being the loss in contribution collection.</w:t>
      </w:r>
    </w:p>
    <w:p w14:paraId="23606B0B"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 xml:space="preserve">Other forms of </w:t>
      </w:r>
      <w:r>
        <w:rPr>
          <w:rFonts w:eastAsia="MS PGothic" w:cs="Times New Roman"/>
          <w:szCs w:val="24"/>
          <w:lang w:eastAsia="ja-JP"/>
        </w:rPr>
        <w:t xml:space="preserve">personal </w:t>
      </w:r>
      <w:r w:rsidRPr="00D41D04">
        <w:rPr>
          <w:rFonts w:eastAsia="MS PGothic" w:cs="Times New Roman"/>
          <w:szCs w:val="24"/>
          <w:lang w:eastAsia="ja-JP"/>
        </w:rPr>
        <w:t>income tax (tax on dividends, tax on interest income, annual income tax, etc.) will grow more slowly, in line with the general economic activity.</w:t>
      </w:r>
    </w:p>
    <w:p w14:paraId="44F75B2A"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The movement of the share of contributions in GDP follows a similar path as the share of wage taxes, as the same assumptions about wages and employment were used for their projection. Given the expected faster growth of the wage mass, and consequently taxes and contributions on wages, compared to nominal GDP, a growth in the level of contributions in relation to GDP is projected. The loss due to the increase in the non-taxable threshold is also taken into account in the projections.</w:t>
      </w:r>
    </w:p>
    <w:p w14:paraId="60712FC0"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Revenue from corporate income tax in the period 2025–2027 will depend on the economic growth path, relative stability of the dinar exchange rate, and the overall profitability of the economy. The estimate of revenue from this source is uncertain due to both economic factors and the possibility of using tax credits or refunds, as well as differences between accounting and tax balances. It is expected that, by 2027, the collection of corporate income tax will stabilize in line with GDP growth.</w:t>
      </w:r>
    </w:p>
    <w:p w14:paraId="7141BC41"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The main determinant of VAT movement is domestic demand driven by the available income of the population. Available income, as the largest determinant of consumption, depends on wage movements, pensions, social assistance, and other forms of income, including remittances, as well as the dynamics of bank lending to the population.</w:t>
      </w:r>
    </w:p>
    <w:p w14:paraId="01DFEBD9"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As with personal income tax, the risks to the realization of VAT projections in the upcoming period, in addition to the general uncertainty of the international economic environment, also relate to wage movements in the private sector, growth in economic activity, and the level of the gray economy, i.e., the efficiency in its reduction.</w:t>
      </w:r>
    </w:p>
    <w:p w14:paraId="06679C68" w14:textId="77777777" w:rsidR="00E425D7" w:rsidRDefault="00E425D7" w:rsidP="00E425D7">
      <w:pPr>
        <w:rPr>
          <w:rFonts w:eastAsia="MS PGothic" w:cs="Times New Roman"/>
          <w:szCs w:val="24"/>
          <w:lang w:eastAsia="ja-JP"/>
        </w:rPr>
      </w:pPr>
      <w:r w:rsidRPr="00D41D04">
        <w:rPr>
          <w:rFonts w:eastAsia="MS PGothic" w:cs="Times New Roman"/>
          <w:szCs w:val="24"/>
          <w:lang w:eastAsia="ja-JP"/>
        </w:rPr>
        <w:t>Improving the efficiency of tax collection and control of taxpayers will continue in the upcoming period, although the effects of the fight against the gray economy are not explicitly included in the medium-term public revenue projection. In this segment, room for further improvements will be created by strengthening and modernizing the tax administration.</w:t>
      </w:r>
    </w:p>
    <w:p w14:paraId="4FE7FA94"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The revenue projection from excise duties is based on the current excise policy and projected consumption of excise products. In October 2023, there was an extraordinary excise increase of 8%, while the regular adjustment to consumer price growth will be applied in May 2024. In the coming years, due to caution, no growth in the consumption of oil derivatives is assumed.</w:t>
      </w:r>
    </w:p>
    <w:p w14:paraId="1184E477"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As part of the excise policy, the projected further decline in the tobacco product market is based on caution.</w:t>
      </w:r>
    </w:p>
    <w:p w14:paraId="323D5238"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lastRenderedPageBreak/>
        <w:t>Revenue from excise duties on alcoholic beverages, coffee, and electricity is projected in accordance with the existing consumption structure and current excise policy. From 2026, the introduction of an excise tax on natural gas used for heating and powering motor vehicles is anticipated.</w:t>
      </w:r>
    </w:p>
    <w:p w14:paraId="7587EF87"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Customs revenue is expected to stabilize at a level of 0,9% of GDP in the upcoming period, and is projected in accordance with expected movements in imports, exchange rates, and consumption.</w:t>
      </w:r>
    </w:p>
    <w:p w14:paraId="7AFD0F4A"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The share of other tax revenues in GDP is projected to stabilize. The most significant tax revenue in this category is the property tax, which accounts for about 70% of the total. Nominal growth of this revenue can be expected based on the expansion of the tax base. The increase in the degree of collection, through the expansion of the real estate subject to tax (i.e., the expansion of the tax base), is not included in the medium-term projections and represents a positive risk. In addition to the property tax, other taxes on the use, possession, and transfer of goods, as well as other forms of local taxes, are included in other tax revenues. These are projected in line with inflation trends, as the inflation component is built into a significant portion of these tax forms.</w:t>
      </w:r>
    </w:p>
    <w:p w14:paraId="594096D2"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 xml:space="preserve">The jump in non-tax revenues in 2025 is the result of expected revenue from the auction of 5G technology licenses. The auction is expected to take place during 2025, after which a reduction in the share of non-tax revenues in GDP to 3,8% is expected, which will remain the same in 2027. The reason for the decrease in the projected share of non-tax revenues in GDP is the exclusion from the base year of all those revenues that are not considered structural, i.e., permanent, primarily extraordinary non-tax revenues. The own revenues of indirect beneficiaries, which are included in the </w:t>
      </w:r>
      <w:r>
        <w:rPr>
          <w:rFonts w:eastAsia="MS PGothic" w:cs="Times New Roman"/>
          <w:szCs w:val="24"/>
          <w:lang w:eastAsia="ja-JP"/>
        </w:rPr>
        <w:t>general government sector</w:t>
      </w:r>
      <w:r w:rsidRPr="00D41D04">
        <w:rPr>
          <w:rFonts w:eastAsia="MS PGothic" w:cs="Times New Roman"/>
          <w:szCs w:val="24"/>
          <w:lang w:eastAsia="ja-JP"/>
        </w:rPr>
        <w:t xml:space="preserve"> coverage for the first time in 2025, will offset the exclusion of some extraordinary (non-structural) non-tax revenues.</w:t>
      </w:r>
    </w:p>
    <w:p w14:paraId="1DE6E9C2"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Extraordinary non-tax revenues are mainly one-</w:t>
      </w:r>
      <w:r>
        <w:rPr>
          <w:rFonts w:eastAsia="MS PGothic" w:cs="Times New Roman"/>
          <w:szCs w:val="24"/>
          <w:lang w:eastAsia="ja-JP"/>
        </w:rPr>
        <w:t>off</w:t>
      </w:r>
      <w:r w:rsidRPr="00D41D04">
        <w:rPr>
          <w:rFonts w:eastAsia="MS PGothic" w:cs="Times New Roman"/>
          <w:szCs w:val="24"/>
          <w:lang w:eastAsia="ja-JP"/>
        </w:rPr>
        <w:t>, somewhat uncertain, both in terms of amounts and in terms of timing of payment. The largest portion of these revenues consists of extraordinary payments of public enterprise and agency profits, budget dividends, revenue from the collection of claims from AOD, emission premiums, etc. Regular non-tax revenues include various fees, fines, revenues from bodies and organizations, and all other revenues generated according to the established dynamics throughout the year. This type of non-tax revenue is indexed with the inflation realized in the previous year or follows the change in the value of the base on which it is applied, and as a result, is adjusted with projected inflation.</w:t>
      </w:r>
    </w:p>
    <w:p w14:paraId="3EA2676E" w14:textId="77777777" w:rsidR="00E425D7" w:rsidRPr="00D41D04" w:rsidRDefault="00E425D7" w:rsidP="00E425D7">
      <w:pPr>
        <w:rPr>
          <w:rFonts w:eastAsia="MS PGothic" w:cs="Times New Roman"/>
          <w:szCs w:val="24"/>
          <w:lang w:eastAsia="ja-JP"/>
        </w:rPr>
      </w:pPr>
      <w:r w:rsidRPr="00D41D04">
        <w:rPr>
          <w:rFonts w:eastAsia="MS PGothic" w:cs="Times New Roman"/>
          <w:szCs w:val="24"/>
          <w:lang w:eastAsia="ja-JP"/>
        </w:rPr>
        <w:t>With the process of the country's approach to EU membership, available funds from IPA and IPARD funds are increasing, which make up the dominant part of revenue from donations. The projected amounts from donations also include funds for EU sectoral budget support. Revenue from donations is neutral in relation to the result, as they are equal to the expenditures for this purpose.</w:t>
      </w:r>
    </w:p>
    <w:p w14:paraId="7766CA63" w14:textId="77777777" w:rsidR="00E425D7" w:rsidRDefault="00E425D7" w:rsidP="00E425D7">
      <w:pPr>
        <w:rPr>
          <w:rFonts w:eastAsia="MS PGothic" w:cs="Times New Roman"/>
          <w:szCs w:val="24"/>
          <w:lang w:eastAsia="ja-JP"/>
        </w:rPr>
      </w:pPr>
      <w:r w:rsidRPr="00D41D04">
        <w:rPr>
          <w:rFonts w:eastAsia="MS PGothic" w:cs="Times New Roman"/>
          <w:szCs w:val="24"/>
          <w:lang w:eastAsia="ja-JP"/>
        </w:rPr>
        <w:t xml:space="preserve">Through responsible fiscal policy combined with strong macroeconomic performance in the past period, the relaxation of salary and pension policies and a significant increase in capital investments as a key component of economic development were ensured. Special attention was paid to improving the efficiency of capital investment implementation by the state. The social component of the budget has been improved through better targeting of social assistance programs and increased allocations for health and education functions. Salaries and pensions together account for over 40% of expenditure at the </w:t>
      </w:r>
      <w:r>
        <w:rPr>
          <w:rFonts w:eastAsia="MS PGothic" w:cs="Times New Roman"/>
          <w:szCs w:val="24"/>
          <w:lang w:eastAsia="ja-JP"/>
        </w:rPr>
        <w:t>general government</w:t>
      </w:r>
      <w:r w:rsidRPr="00D41D04">
        <w:rPr>
          <w:rFonts w:eastAsia="MS PGothic" w:cs="Times New Roman"/>
          <w:szCs w:val="24"/>
          <w:lang w:eastAsia="ja-JP"/>
        </w:rPr>
        <w:t xml:space="preserve"> sector level, and their stabilization is crucial for the sustainability of public finances.</w:t>
      </w:r>
    </w:p>
    <w:p w14:paraId="3D6F3997" w14:textId="77777777" w:rsidR="00E425D7" w:rsidRDefault="00E425D7" w:rsidP="00E425D7">
      <w:pPr>
        <w:rPr>
          <w:rFonts w:cs="Times New Roman"/>
          <w:i/>
          <w:szCs w:val="24"/>
          <w:lang w:val="sr-Latn-RS" w:eastAsia="ja-JP"/>
        </w:rPr>
      </w:pPr>
    </w:p>
    <w:p w14:paraId="6F0138FC" w14:textId="77777777" w:rsidR="00E425D7" w:rsidRDefault="00E425D7" w:rsidP="00E425D7">
      <w:pPr>
        <w:rPr>
          <w:rFonts w:cs="Times New Roman"/>
          <w:i/>
          <w:szCs w:val="24"/>
          <w:lang w:val="sr-Latn-RS" w:eastAsia="ja-JP"/>
        </w:rPr>
      </w:pPr>
    </w:p>
    <w:p w14:paraId="1CF4014D" w14:textId="77777777" w:rsidR="00E425D7" w:rsidRPr="00BF5A92" w:rsidRDefault="00E425D7" w:rsidP="00E425D7">
      <w:pPr>
        <w:rPr>
          <w:rFonts w:cs="Times New Roman"/>
          <w:i/>
          <w:szCs w:val="24"/>
          <w:lang w:val="sr-Cyrl-RS" w:eastAsia="ja-JP"/>
        </w:rPr>
      </w:pPr>
      <w:r>
        <w:rPr>
          <w:rFonts w:cs="Times New Roman"/>
          <w:i/>
          <w:szCs w:val="24"/>
          <w:lang w:val="sr-Latn-RS" w:eastAsia="ja-JP"/>
        </w:rPr>
        <w:lastRenderedPageBreak/>
        <w:t>Table</w:t>
      </w:r>
      <w:r w:rsidRPr="00BF5A92">
        <w:rPr>
          <w:rFonts w:cs="Times New Roman"/>
          <w:i/>
          <w:szCs w:val="24"/>
          <w:lang w:val="sr-Cyrl-RS" w:eastAsia="ja-JP"/>
        </w:rPr>
        <w:t xml:space="preserve"> 9. </w:t>
      </w:r>
      <w:r w:rsidRPr="00172214">
        <w:rPr>
          <w:rFonts w:cs="Times New Roman"/>
          <w:i/>
          <w:szCs w:val="24"/>
          <w:lang w:val="sr-Cyrl-RS" w:eastAsia="ja-JP"/>
        </w:rPr>
        <w:t>Total expenditure in the period 2023–2027, % of GDP</w:t>
      </w:r>
    </w:p>
    <w:tbl>
      <w:tblPr>
        <w:tblStyle w:val="LightShading-Accent12214"/>
        <w:tblW w:w="4952" w:type="pct"/>
        <w:tblLook w:val="0420" w:firstRow="1" w:lastRow="0" w:firstColumn="0" w:lastColumn="0" w:noHBand="0" w:noVBand="1"/>
      </w:tblPr>
      <w:tblGrid>
        <w:gridCol w:w="3457"/>
        <w:gridCol w:w="1369"/>
        <w:gridCol w:w="1160"/>
        <w:gridCol w:w="982"/>
        <w:gridCol w:w="982"/>
        <w:gridCol w:w="989"/>
      </w:tblGrid>
      <w:tr w:rsidR="00E425D7" w:rsidRPr="00AD7E7D" w14:paraId="447A1285" w14:textId="77777777" w:rsidTr="008C56D0">
        <w:trPr>
          <w:cnfStyle w:val="100000000000" w:firstRow="1" w:lastRow="0" w:firstColumn="0" w:lastColumn="0" w:oddVBand="0" w:evenVBand="0" w:oddHBand="0" w:evenHBand="0" w:firstRowFirstColumn="0" w:firstRowLastColumn="0" w:lastRowFirstColumn="0" w:lastRowLastColumn="0"/>
          <w:trHeight w:hRule="exact" w:val="284"/>
          <w:tblHeader/>
        </w:trPr>
        <w:tc>
          <w:tcPr>
            <w:tcW w:w="1934" w:type="pct"/>
            <w:tcBorders>
              <w:top w:val="single" w:sz="4" w:space="0" w:color="002060"/>
              <w:bottom w:val="single" w:sz="4" w:space="0" w:color="002060"/>
            </w:tcBorders>
            <w:shd w:val="clear" w:color="auto" w:fill="auto"/>
            <w:noWrap/>
            <w:vAlign w:val="center"/>
          </w:tcPr>
          <w:p w14:paraId="57E2B439" w14:textId="77777777" w:rsidR="00E425D7" w:rsidRPr="00AD7E7D" w:rsidRDefault="00E425D7" w:rsidP="008C56D0">
            <w:pPr>
              <w:widowControl w:val="0"/>
              <w:shd w:val="clear" w:color="auto" w:fill="FFFFFF" w:themeFill="background1"/>
              <w:spacing w:line="276" w:lineRule="auto"/>
              <w:rPr>
                <w:rFonts w:eastAsia="Times New Roman"/>
                <w:color w:val="auto"/>
                <w:szCs w:val="24"/>
              </w:rPr>
            </w:pPr>
            <w:r w:rsidRPr="00172214">
              <w:rPr>
                <w:rFonts w:eastAsiaTheme="minorHAnsi"/>
                <w:color w:val="000000" w:themeColor="text1"/>
                <w:szCs w:val="24"/>
                <w:lang w:eastAsia="en-US"/>
              </w:rPr>
              <w:t>Description</w:t>
            </w:r>
          </w:p>
        </w:tc>
        <w:tc>
          <w:tcPr>
            <w:tcW w:w="766" w:type="pct"/>
            <w:tcBorders>
              <w:top w:val="single" w:sz="4" w:space="0" w:color="002060"/>
              <w:bottom w:val="single" w:sz="4" w:space="0" w:color="002060"/>
            </w:tcBorders>
            <w:shd w:val="clear" w:color="auto" w:fill="auto"/>
            <w:vAlign w:val="center"/>
          </w:tcPr>
          <w:p w14:paraId="2F28D2F6"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172214">
              <w:rPr>
                <w:rFonts w:eastAsiaTheme="minorHAnsi"/>
                <w:color w:val="000000" w:themeColor="text1"/>
                <w:szCs w:val="24"/>
                <w:lang w:eastAsia="en-US"/>
              </w:rPr>
              <w:t>Execution</w:t>
            </w:r>
          </w:p>
        </w:tc>
        <w:tc>
          <w:tcPr>
            <w:tcW w:w="649" w:type="pct"/>
            <w:tcBorders>
              <w:top w:val="single" w:sz="4" w:space="0" w:color="002060"/>
              <w:bottom w:val="single" w:sz="4" w:space="0" w:color="002060"/>
            </w:tcBorders>
            <w:shd w:val="clear" w:color="auto" w:fill="auto"/>
            <w:vAlign w:val="center"/>
          </w:tcPr>
          <w:p w14:paraId="4C32028E"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172214">
              <w:rPr>
                <w:rFonts w:eastAsiaTheme="minorHAnsi"/>
                <w:color w:val="000000" w:themeColor="text1"/>
                <w:szCs w:val="24"/>
                <w:lang w:eastAsia="en-US"/>
              </w:rPr>
              <w:t>Estimate</w:t>
            </w:r>
          </w:p>
        </w:tc>
        <w:tc>
          <w:tcPr>
            <w:tcW w:w="1652" w:type="pct"/>
            <w:gridSpan w:val="3"/>
            <w:tcBorders>
              <w:top w:val="single" w:sz="4" w:space="0" w:color="002060"/>
              <w:bottom w:val="single" w:sz="4" w:space="0" w:color="002060"/>
            </w:tcBorders>
            <w:shd w:val="clear" w:color="auto" w:fill="auto"/>
            <w:vAlign w:val="center"/>
          </w:tcPr>
          <w:p w14:paraId="3598DD99" w14:textId="77777777" w:rsidR="00E425D7" w:rsidRPr="00AD7E7D" w:rsidRDefault="00E425D7" w:rsidP="008C56D0">
            <w:pPr>
              <w:keepNext/>
              <w:widowControl w:val="0"/>
              <w:shd w:val="clear" w:color="auto" w:fill="FFFFFF" w:themeFill="background1"/>
              <w:spacing w:line="276" w:lineRule="auto"/>
              <w:jc w:val="center"/>
              <w:rPr>
                <w:rFonts w:eastAsia="Times New Roman"/>
                <w:color w:val="auto"/>
                <w:szCs w:val="24"/>
              </w:rPr>
            </w:pPr>
            <w:r w:rsidRPr="00172214">
              <w:rPr>
                <w:rFonts w:eastAsiaTheme="minorHAnsi"/>
                <w:color w:val="000000" w:themeColor="text1"/>
                <w:szCs w:val="24"/>
                <w:lang w:eastAsia="en-US"/>
              </w:rPr>
              <w:t>Projection</w:t>
            </w:r>
          </w:p>
        </w:tc>
      </w:tr>
      <w:tr w:rsidR="00E425D7" w:rsidRPr="00AD7E7D" w14:paraId="49022E01" w14:textId="77777777" w:rsidTr="008C56D0">
        <w:trPr>
          <w:cnfStyle w:val="100000000000" w:firstRow="1" w:lastRow="0" w:firstColumn="0" w:lastColumn="0" w:oddVBand="0" w:evenVBand="0" w:oddHBand="0" w:evenHBand="0" w:firstRowFirstColumn="0" w:firstRowLastColumn="0" w:lastRowFirstColumn="0" w:lastRowLastColumn="0"/>
          <w:trHeight w:hRule="exact" w:val="284"/>
          <w:tblHeader/>
        </w:trPr>
        <w:tc>
          <w:tcPr>
            <w:tcW w:w="1934" w:type="pct"/>
            <w:tcBorders>
              <w:top w:val="single" w:sz="4" w:space="0" w:color="002060"/>
              <w:bottom w:val="nil"/>
            </w:tcBorders>
            <w:shd w:val="clear" w:color="auto" w:fill="FFFFFF" w:themeFill="background1"/>
            <w:noWrap/>
          </w:tcPr>
          <w:p w14:paraId="1A254D4A" w14:textId="77777777" w:rsidR="00E425D7" w:rsidRPr="00AD7E7D" w:rsidRDefault="00E425D7" w:rsidP="008C56D0">
            <w:pPr>
              <w:widowControl w:val="0"/>
              <w:shd w:val="clear" w:color="auto" w:fill="FFFFFF" w:themeFill="background1"/>
              <w:spacing w:line="276" w:lineRule="auto"/>
              <w:rPr>
                <w:rFonts w:eastAsia="Times New Roman"/>
                <w:color w:val="auto"/>
                <w:szCs w:val="24"/>
              </w:rPr>
            </w:pPr>
          </w:p>
        </w:tc>
        <w:tc>
          <w:tcPr>
            <w:tcW w:w="766" w:type="pct"/>
            <w:tcBorders>
              <w:top w:val="single" w:sz="4" w:space="0" w:color="002060"/>
              <w:bottom w:val="single" w:sz="4" w:space="0" w:color="002060"/>
            </w:tcBorders>
            <w:shd w:val="clear" w:color="auto" w:fill="FFFFFF" w:themeFill="background1"/>
          </w:tcPr>
          <w:p w14:paraId="2412C29C"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2023</w:t>
            </w:r>
          </w:p>
        </w:tc>
        <w:tc>
          <w:tcPr>
            <w:tcW w:w="649" w:type="pct"/>
            <w:tcBorders>
              <w:top w:val="single" w:sz="4" w:space="0" w:color="002060"/>
              <w:bottom w:val="single" w:sz="4" w:space="0" w:color="002060"/>
            </w:tcBorders>
            <w:shd w:val="clear" w:color="auto" w:fill="FFFFFF" w:themeFill="background1"/>
          </w:tcPr>
          <w:p w14:paraId="7EC0B362"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2024</w:t>
            </w:r>
          </w:p>
        </w:tc>
        <w:tc>
          <w:tcPr>
            <w:tcW w:w="549" w:type="pct"/>
            <w:tcBorders>
              <w:top w:val="single" w:sz="4" w:space="0" w:color="002060"/>
              <w:bottom w:val="single" w:sz="4" w:space="0" w:color="002060"/>
            </w:tcBorders>
            <w:shd w:val="clear" w:color="auto" w:fill="FFFFFF" w:themeFill="background1"/>
          </w:tcPr>
          <w:p w14:paraId="41AEB934"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2025</w:t>
            </w:r>
          </w:p>
        </w:tc>
        <w:tc>
          <w:tcPr>
            <w:tcW w:w="549" w:type="pct"/>
            <w:tcBorders>
              <w:top w:val="single" w:sz="4" w:space="0" w:color="002060"/>
              <w:bottom w:val="single" w:sz="4" w:space="0" w:color="002060"/>
            </w:tcBorders>
            <w:shd w:val="clear" w:color="auto" w:fill="FFFFFF" w:themeFill="background1"/>
          </w:tcPr>
          <w:p w14:paraId="6703CA71"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2026</w:t>
            </w:r>
          </w:p>
        </w:tc>
        <w:tc>
          <w:tcPr>
            <w:tcW w:w="553" w:type="pct"/>
            <w:tcBorders>
              <w:top w:val="single" w:sz="4" w:space="0" w:color="002060"/>
              <w:bottom w:val="single" w:sz="4" w:space="0" w:color="002060"/>
            </w:tcBorders>
            <w:shd w:val="clear" w:color="auto" w:fill="FFFFFF" w:themeFill="background1"/>
          </w:tcPr>
          <w:p w14:paraId="177A46FE" w14:textId="77777777" w:rsidR="00E425D7" w:rsidRPr="00AD7E7D" w:rsidRDefault="00E425D7" w:rsidP="008C56D0">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2027</w:t>
            </w:r>
          </w:p>
        </w:tc>
      </w:tr>
      <w:tr w:rsidR="00E425D7" w:rsidRPr="00AD7E7D" w14:paraId="02099360"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tcBorders>
              <w:top w:val="nil"/>
            </w:tcBorders>
            <w:shd w:val="clear" w:color="auto" w:fill="FFFFFF" w:themeFill="background1"/>
          </w:tcPr>
          <w:p w14:paraId="73ABAAE3" w14:textId="77777777" w:rsidR="00E425D7" w:rsidRPr="00172214" w:rsidRDefault="00E425D7" w:rsidP="008C56D0">
            <w:pPr>
              <w:widowControl w:val="0"/>
              <w:shd w:val="clear" w:color="auto" w:fill="FFFFFF" w:themeFill="background1"/>
              <w:spacing w:line="276" w:lineRule="auto"/>
              <w:rPr>
                <w:color w:val="000000" w:themeColor="text1"/>
                <w:szCs w:val="24"/>
              </w:rPr>
            </w:pPr>
            <w:r w:rsidRPr="00172214">
              <w:rPr>
                <w:rFonts w:eastAsiaTheme="minorHAnsi"/>
                <w:color w:val="000000" w:themeColor="text1"/>
                <w:szCs w:val="24"/>
                <w:lang w:eastAsia="en-US"/>
              </w:rPr>
              <w:t>PUBLIC EXPENDITURE</w:t>
            </w:r>
          </w:p>
        </w:tc>
        <w:tc>
          <w:tcPr>
            <w:tcW w:w="766" w:type="pct"/>
            <w:tcBorders>
              <w:top w:val="single" w:sz="4" w:space="0" w:color="002060"/>
            </w:tcBorders>
            <w:shd w:val="clear" w:color="auto" w:fill="FFFFFF" w:themeFill="background1"/>
          </w:tcPr>
          <w:p w14:paraId="1BC7AE18"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41,4</w:t>
            </w:r>
          </w:p>
        </w:tc>
        <w:tc>
          <w:tcPr>
            <w:tcW w:w="649" w:type="pct"/>
            <w:tcBorders>
              <w:top w:val="single" w:sz="4" w:space="0" w:color="002060"/>
            </w:tcBorders>
            <w:shd w:val="clear" w:color="auto" w:fill="FFFFFF" w:themeFill="background1"/>
            <w:noWrap/>
          </w:tcPr>
          <w:p w14:paraId="566E8A49"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43,6</w:t>
            </w:r>
          </w:p>
        </w:tc>
        <w:tc>
          <w:tcPr>
            <w:tcW w:w="549" w:type="pct"/>
            <w:tcBorders>
              <w:top w:val="single" w:sz="4" w:space="0" w:color="002060"/>
            </w:tcBorders>
            <w:shd w:val="clear" w:color="auto" w:fill="FFFFFF" w:themeFill="background1"/>
            <w:noWrap/>
          </w:tcPr>
          <w:p w14:paraId="69BBFBDE"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44,3</w:t>
            </w:r>
          </w:p>
        </w:tc>
        <w:tc>
          <w:tcPr>
            <w:tcW w:w="549" w:type="pct"/>
            <w:tcBorders>
              <w:top w:val="single" w:sz="4" w:space="0" w:color="002060"/>
            </w:tcBorders>
            <w:shd w:val="clear" w:color="auto" w:fill="FFFFFF" w:themeFill="background1"/>
            <w:noWrap/>
          </w:tcPr>
          <w:p w14:paraId="6BBA5C52"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43,9</w:t>
            </w:r>
          </w:p>
        </w:tc>
        <w:tc>
          <w:tcPr>
            <w:tcW w:w="553" w:type="pct"/>
            <w:tcBorders>
              <w:top w:val="single" w:sz="4" w:space="0" w:color="002060"/>
            </w:tcBorders>
            <w:shd w:val="clear" w:color="auto" w:fill="FFFFFF" w:themeFill="background1"/>
            <w:noWrap/>
          </w:tcPr>
          <w:p w14:paraId="6774AC79"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43,5</w:t>
            </w:r>
          </w:p>
        </w:tc>
      </w:tr>
      <w:tr w:rsidR="00E425D7" w:rsidRPr="00AD7E7D" w14:paraId="5C19CF1F" w14:textId="77777777" w:rsidTr="008C56D0">
        <w:trPr>
          <w:trHeight w:hRule="exact" w:val="284"/>
        </w:trPr>
        <w:tc>
          <w:tcPr>
            <w:tcW w:w="1934" w:type="pct"/>
            <w:shd w:val="clear" w:color="auto" w:fill="FFFFFF" w:themeFill="background1"/>
          </w:tcPr>
          <w:p w14:paraId="44676F30" w14:textId="77777777" w:rsidR="00E425D7" w:rsidRPr="00172214" w:rsidRDefault="00E425D7" w:rsidP="008C56D0">
            <w:pPr>
              <w:widowControl w:val="0"/>
              <w:shd w:val="clear" w:color="auto" w:fill="FFFFFF" w:themeFill="background1"/>
              <w:spacing w:line="276" w:lineRule="auto"/>
              <w:rPr>
                <w:rFonts w:eastAsia="Times New Roman"/>
                <w:bCs/>
                <w:color w:val="000000" w:themeColor="text1"/>
                <w:szCs w:val="24"/>
              </w:rPr>
            </w:pPr>
            <w:r w:rsidRPr="00172214">
              <w:rPr>
                <w:rFonts w:eastAsiaTheme="minorHAnsi"/>
                <w:color w:val="000000" w:themeColor="text1"/>
                <w:szCs w:val="24"/>
                <w:lang w:eastAsia="en-US"/>
              </w:rPr>
              <w:t xml:space="preserve"> Current expenditure</w:t>
            </w:r>
          </w:p>
        </w:tc>
        <w:tc>
          <w:tcPr>
            <w:tcW w:w="766" w:type="pct"/>
            <w:shd w:val="clear" w:color="auto" w:fill="FFFFFF" w:themeFill="background1"/>
          </w:tcPr>
          <w:p w14:paraId="4F216FD0"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33,9</w:t>
            </w:r>
          </w:p>
        </w:tc>
        <w:tc>
          <w:tcPr>
            <w:tcW w:w="649" w:type="pct"/>
            <w:shd w:val="clear" w:color="auto" w:fill="FFFFFF" w:themeFill="background1"/>
            <w:noWrap/>
          </w:tcPr>
          <w:p w14:paraId="50CB5434"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35,7</w:t>
            </w:r>
          </w:p>
        </w:tc>
        <w:tc>
          <w:tcPr>
            <w:tcW w:w="549" w:type="pct"/>
            <w:shd w:val="clear" w:color="auto" w:fill="FFFFFF" w:themeFill="background1"/>
            <w:noWrap/>
          </w:tcPr>
          <w:p w14:paraId="236A4056"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36,5</w:t>
            </w:r>
          </w:p>
        </w:tc>
        <w:tc>
          <w:tcPr>
            <w:tcW w:w="549" w:type="pct"/>
            <w:shd w:val="clear" w:color="auto" w:fill="FFFFFF" w:themeFill="background1"/>
            <w:noWrap/>
          </w:tcPr>
          <w:p w14:paraId="3E32D6DE"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36,3</w:t>
            </w:r>
          </w:p>
        </w:tc>
        <w:tc>
          <w:tcPr>
            <w:tcW w:w="553" w:type="pct"/>
            <w:shd w:val="clear" w:color="auto" w:fill="FFFFFF" w:themeFill="background1"/>
            <w:noWrap/>
          </w:tcPr>
          <w:p w14:paraId="3F69E242"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35,7</w:t>
            </w:r>
          </w:p>
        </w:tc>
      </w:tr>
      <w:tr w:rsidR="00E425D7" w:rsidRPr="00AD7E7D" w14:paraId="43807DC4"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shd w:val="clear" w:color="auto" w:fill="FFFFFF" w:themeFill="background1"/>
          </w:tcPr>
          <w:p w14:paraId="652BCD99" w14:textId="77777777" w:rsidR="00E425D7" w:rsidRPr="00172214" w:rsidRDefault="00E425D7" w:rsidP="008C56D0">
            <w:pPr>
              <w:widowControl w:val="0"/>
              <w:shd w:val="clear" w:color="auto" w:fill="FFFFFF" w:themeFill="background1"/>
              <w:spacing w:line="276" w:lineRule="auto"/>
              <w:ind w:left="284"/>
              <w:rPr>
                <w:rFonts w:eastAsia="Times New Roman"/>
                <w:bCs/>
                <w:color w:val="000000" w:themeColor="text1"/>
                <w:szCs w:val="24"/>
              </w:rPr>
            </w:pPr>
            <w:r w:rsidRPr="00172214">
              <w:rPr>
                <w:rFonts w:eastAsiaTheme="minorHAnsi"/>
                <w:color w:val="000000" w:themeColor="text1"/>
                <w:szCs w:val="24"/>
                <w:lang w:eastAsia="en-US"/>
              </w:rPr>
              <w:t>Expenditures for employees</w:t>
            </w:r>
          </w:p>
        </w:tc>
        <w:tc>
          <w:tcPr>
            <w:tcW w:w="766" w:type="pct"/>
            <w:shd w:val="clear" w:color="auto" w:fill="FFFFFF" w:themeFill="background1"/>
          </w:tcPr>
          <w:p w14:paraId="5C7B51A7"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8,8</w:t>
            </w:r>
          </w:p>
        </w:tc>
        <w:tc>
          <w:tcPr>
            <w:tcW w:w="649" w:type="pct"/>
            <w:shd w:val="clear" w:color="auto" w:fill="FFFFFF" w:themeFill="background1"/>
            <w:noWrap/>
          </w:tcPr>
          <w:p w14:paraId="01F8632A"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9,5</w:t>
            </w:r>
          </w:p>
        </w:tc>
        <w:tc>
          <w:tcPr>
            <w:tcW w:w="549" w:type="pct"/>
            <w:shd w:val="clear" w:color="auto" w:fill="FFFFFF" w:themeFill="background1"/>
            <w:noWrap/>
          </w:tcPr>
          <w:p w14:paraId="31010086"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9,8</w:t>
            </w:r>
          </w:p>
        </w:tc>
        <w:tc>
          <w:tcPr>
            <w:tcW w:w="549" w:type="pct"/>
            <w:shd w:val="clear" w:color="auto" w:fill="FFFFFF" w:themeFill="background1"/>
            <w:noWrap/>
          </w:tcPr>
          <w:p w14:paraId="0E7DEC5A"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9,8</w:t>
            </w:r>
          </w:p>
        </w:tc>
        <w:tc>
          <w:tcPr>
            <w:tcW w:w="553" w:type="pct"/>
            <w:shd w:val="clear" w:color="auto" w:fill="FFFFFF" w:themeFill="background1"/>
            <w:noWrap/>
          </w:tcPr>
          <w:p w14:paraId="0FE0F0BF"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9,8</w:t>
            </w:r>
          </w:p>
        </w:tc>
      </w:tr>
      <w:tr w:rsidR="00E425D7" w:rsidRPr="00AD7E7D" w14:paraId="6F332DC3" w14:textId="77777777" w:rsidTr="008C56D0">
        <w:trPr>
          <w:trHeight w:hRule="exact" w:val="284"/>
        </w:trPr>
        <w:tc>
          <w:tcPr>
            <w:tcW w:w="1934" w:type="pct"/>
            <w:shd w:val="clear" w:color="auto" w:fill="FFFFFF" w:themeFill="background1"/>
          </w:tcPr>
          <w:p w14:paraId="3365B2C1" w14:textId="77777777" w:rsidR="00E425D7" w:rsidRPr="00172214" w:rsidRDefault="00E425D7" w:rsidP="008C56D0">
            <w:pPr>
              <w:widowControl w:val="0"/>
              <w:shd w:val="clear" w:color="auto" w:fill="FFFFFF" w:themeFill="background1"/>
              <w:spacing w:line="276" w:lineRule="auto"/>
              <w:ind w:left="284"/>
              <w:rPr>
                <w:rFonts w:eastAsia="Times New Roman"/>
                <w:bCs/>
                <w:color w:val="000000" w:themeColor="text1"/>
                <w:szCs w:val="24"/>
              </w:rPr>
            </w:pPr>
            <w:r w:rsidRPr="00172214">
              <w:rPr>
                <w:rFonts w:eastAsiaTheme="minorHAnsi"/>
                <w:color w:val="000000" w:themeColor="text1"/>
                <w:szCs w:val="24"/>
                <w:lang w:eastAsia="en-US"/>
              </w:rPr>
              <w:t>Purchase of goods and services</w:t>
            </w:r>
          </w:p>
        </w:tc>
        <w:tc>
          <w:tcPr>
            <w:tcW w:w="766" w:type="pct"/>
            <w:shd w:val="clear" w:color="auto" w:fill="FFFFFF" w:themeFill="background1"/>
          </w:tcPr>
          <w:p w14:paraId="5F8754D4"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7,1</w:t>
            </w:r>
          </w:p>
        </w:tc>
        <w:tc>
          <w:tcPr>
            <w:tcW w:w="649" w:type="pct"/>
            <w:shd w:val="clear" w:color="auto" w:fill="FFFFFF" w:themeFill="background1"/>
            <w:noWrap/>
          </w:tcPr>
          <w:p w14:paraId="65CE2420"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7,4</w:t>
            </w:r>
          </w:p>
        </w:tc>
        <w:tc>
          <w:tcPr>
            <w:tcW w:w="549" w:type="pct"/>
            <w:shd w:val="clear" w:color="auto" w:fill="FFFFFF" w:themeFill="background1"/>
            <w:noWrap/>
          </w:tcPr>
          <w:p w14:paraId="304CDB08"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7,9</w:t>
            </w:r>
          </w:p>
        </w:tc>
        <w:tc>
          <w:tcPr>
            <w:tcW w:w="549" w:type="pct"/>
            <w:shd w:val="clear" w:color="auto" w:fill="FFFFFF" w:themeFill="background1"/>
            <w:noWrap/>
          </w:tcPr>
          <w:p w14:paraId="0F7BA1F8"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7,8</w:t>
            </w:r>
          </w:p>
        </w:tc>
        <w:tc>
          <w:tcPr>
            <w:tcW w:w="553" w:type="pct"/>
            <w:shd w:val="clear" w:color="auto" w:fill="FFFFFF" w:themeFill="background1"/>
            <w:noWrap/>
          </w:tcPr>
          <w:p w14:paraId="15015554"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7,7</w:t>
            </w:r>
          </w:p>
        </w:tc>
      </w:tr>
      <w:tr w:rsidR="00E425D7" w:rsidRPr="00AD7E7D" w14:paraId="1211574E"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shd w:val="clear" w:color="auto" w:fill="FFFFFF" w:themeFill="background1"/>
          </w:tcPr>
          <w:p w14:paraId="196F7F2A" w14:textId="77777777" w:rsidR="00E425D7" w:rsidRPr="00172214" w:rsidRDefault="00E425D7" w:rsidP="008C56D0">
            <w:pPr>
              <w:widowControl w:val="0"/>
              <w:shd w:val="clear" w:color="auto" w:fill="FFFFFF" w:themeFill="background1"/>
              <w:spacing w:line="276" w:lineRule="auto"/>
              <w:ind w:left="284"/>
              <w:rPr>
                <w:rFonts w:eastAsia="Times New Roman"/>
                <w:bCs/>
                <w:color w:val="000000" w:themeColor="text1"/>
                <w:szCs w:val="24"/>
              </w:rPr>
            </w:pPr>
            <w:r w:rsidRPr="00172214">
              <w:rPr>
                <w:rFonts w:eastAsiaTheme="minorHAnsi"/>
                <w:color w:val="000000" w:themeColor="text1"/>
                <w:szCs w:val="24"/>
                <w:lang w:eastAsia="en-US"/>
              </w:rPr>
              <w:t>Interest payments</w:t>
            </w:r>
          </w:p>
        </w:tc>
        <w:tc>
          <w:tcPr>
            <w:tcW w:w="766" w:type="pct"/>
            <w:shd w:val="clear" w:color="auto" w:fill="FFFFFF" w:themeFill="background1"/>
          </w:tcPr>
          <w:p w14:paraId="656E2255"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1,7</w:t>
            </w:r>
          </w:p>
        </w:tc>
        <w:tc>
          <w:tcPr>
            <w:tcW w:w="649" w:type="pct"/>
            <w:shd w:val="clear" w:color="auto" w:fill="FFFFFF" w:themeFill="background1"/>
            <w:noWrap/>
          </w:tcPr>
          <w:p w14:paraId="4D27F9EF"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2,0</w:t>
            </w:r>
          </w:p>
        </w:tc>
        <w:tc>
          <w:tcPr>
            <w:tcW w:w="549" w:type="pct"/>
            <w:shd w:val="clear" w:color="auto" w:fill="FFFFFF" w:themeFill="background1"/>
            <w:noWrap/>
          </w:tcPr>
          <w:p w14:paraId="11AC249D"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2,2</w:t>
            </w:r>
          </w:p>
        </w:tc>
        <w:tc>
          <w:tcPr>
            <w:tcW w:w="549" w:type="pct"/>
            <w:shd w:val="clear" w:color="auto" w:fill="FFFFFF" w:themeFill="background1"/>
            <w:noWrap/>
          </w:tcPr>
          <w:p w14:paraId="140545E6"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2,1</w:t>
            </w:r>
          </w:p>
        </w:tc>
        <w:tc>
          <w:tcPr>
            <w:tcW w:w="553" w:type="pct"/>
            <w:shd w:val="clear" w:color="auto" w:fill="FFFFFF" w:themeFill="background1"/>
            <w:noWrap/>
          </w:tcPr>
          <w:p w14:paraId="29573823"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2,0</w:t>
            </w:r>
          </w:p>
        </w:tc>
      </w:tr>
      <w:tr w:rsidR="00E425D7" w:rsidRPr="00AD7E7D" w14:paraId="6FC3E82B" w14:textId="77777777" w:rsidTr="008C56D0">
        <w:trPr>
          <w:trHeight w:hRule="exact" w:val="284"/>
        </w:trPr>
        <w:tc>
          <w:tcPr>
            <w:tcW w:w="1934" w:type="pct"/>
            <w:shd w:val="clear" w:color="auto" w:fill="FFFFFF" w:themeFill="background1"/>
          </w:tcPr>
          <w:p w14:paraId="3E4F14D7" w14:textId="77777777" w:rsidR="00E425D7" w:rsidRPr="00172214" w:rsidRDefault="00E425D7" w:rsidP="008C56D0">
            <w:pPr>
              <w:widowControl w:val="0"/>
              <w:shd w:val="clear" w:color="auto" w:fill="FFFFFF" w:themeFill="background1"/>
              <w:spacing w:line="276" w:lineRule="auto"/>
              <w:ind w:left="284"/>
              <w:rPr>
                <w:rFonts w:eastAsia="Times New Roman"/>
                <w:bCs/>
                <w:color w:val="000000" w:themeColor="text1"/>
                <w:szCs w:val="24"/>
              </w:rPr>
            </w:pPr>
            <w:r w:rsidRPr="00172214">
              <w:rPr>
                <w:rFonts w:eastAsiaTheme="minorHAnsi"/>
                <w:color w:val="000000" w:themeColor="text1"/>
                <w:szCs w:val="24"/>
                <w:lang w:eastAsia="en-US"/>
              </w:rPr>
              <w:t>Subsidies</w:t>
            </w:r>
          </w:p>
        </w:tc>
        <w:tc>
          <w:tcPr>
            <w:tcW w:w="766" w:type="pct"/>
            <w:shd w:val="clear" w:color="auto" w:fill="FFFFFF" w:themeFill="background1"/>
          </w:tcPr>
          <w:p w14:paraId="7ADF5D36"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2,4</w:t>
            </w:r>
          </w:p>
        </w:tc>
        <w:tc>
          <w:tcPr>
            <w:tcW w:w="649" w:type="pct"/>
            <w:shd w:val="clear" w:color="auto" w:fill="FFFFFF" w:themeFill="background1"/>
            <w:noWrap/>
          </w:tcPr>
          <w:p w14:paraId="6607CA0A"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2,5</w:t>
            </w:r>
          </w:p>
        </w:tc>
        <w:tc>
          <w:tcPr>
            <w:tcW w:w="549" w:type="pct"/>
            <w:shd w:val="clear" w:color="auto" w:fill="FFFFFF" w:themeFill="background1"/>
            <w:noWrap/>
          </w:tcPr>
          <w:p w14:paraId="53DED15A"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2,4</w:t>
            </w:r>
          </w:p>
        </w:tc>
        <w:tc>
          <w:tcPr>
            <w:tcW w:w="549" w:type="pct"/>
            <w:shd w:val="clear" w:color="auto" w:fill="FFFFFF" w:themeFill="background1"/>
            <w:noWrap/>
          </w:tcPr>
          <w:p w14:paraId="26123CDE"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2,4</w:t>
            </w:r>
          </w:p>
        </w:tc>
        <w:tc>
          <w:tcPr>
            <w:tcW w:w="553" w:type="pct"/>
            <w:shd w:val="clear" w:color="auto" w:fill="FFFFFF" w:themeFill="background1"/>
            <w:noWrap/>
          </w:tcPr>
          <w:p w14:paraId="24B5DBF4"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2,2</w:t>
            </w:r>
          </w:p>
        </w:tc>
      </w:tr>
      <w:tr w:rsidR="00E425D7" w:rsidRPr="00AD7E7D" w14:paraId="7CC1D329"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shd w:val="clear" w:color="auto" w:fill="FFFFFF" w:themeFill="background1"/>
          </w:tcPr>
          <w:p w14:paraId="49AEB33B" w14:textId="77777777" w:rsidR="00E425D7" w:rsidRPr="00172214" w:rsidRDefault="00E425D7" w:rsidP="008C56D0">
            <w:pPr>
              <w:widowControl w:val="0"/>
              <w:shd w:val="clear" w:color="auto" w:fill="FFFFFF" w:themeFill="background1"/>
              <w:spacing w:line="276" w:lineRule="auto"/>
              <w:ind w:left="284"/>
              <w:jc w:val="left"/>
              <w:rPr>
                <w:rFonts w:eastAsia="Times New Roman"/>
                <w:bCs/>
                <w:color w:val="000000" w:themeColor="text1"/>
                <w:szCs w:val="24"/>
              </w:rPr>
            </w:pPr>
            <w:r w:rsidRPr="00172214">
              <w:rPr>
                <w:rFonts w:eastAsiaTheme="minorHAnsi"/>
                <w:color w:val="000000" w:themeColor="text1"/>
                <w:szCs w:val="24"/>
                <w:lang w:eastAsia="en-US"/>
              </w:rPr>
              <w:t>Social assistance and transfers</w:t>
            </w:r>
          </w:p>
        </w:tc>
        <w:tc>
          <w:tcPr>
            <w:tcW w:w="766" w:type="pct"/>
            <w:shd w:val="clear" w:color="auto" w:fill="FFFFFF" w:themeFill="background1"/>
          </w:tcPr>
          <w:p w14:paraId="4E1EB0C7"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12,5</w:t>
            </w:r>
          </w:p>
        </w:tc>
        <w:tc>
          <w:tcPr>
            <w:tcW w:w="649" w:type="pct"/>
            <w:shd w:val="clear" w:color="auto" w:fill="FFFFFF" w:themeFill="background1"/>
            <w:noWrap/>
          </w:tcPr>
          <w:p w14:paraId="0A70B40A"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13,0</w:t>
            </w:r>
          </w:p>
        </w:tc>
        <w:tc>
          <w:tcPr>
            <w:tcW w:w="549" w:type="pct"/>
            <w:shd w:val="clear" w:color="auto" w:fill="FFFFFF" w:themeFill="background1"/>
            <w:noWrap/>
          </w:tcPr>
          <w:p w14:paraId="20B78CC5"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13,0</w:t>
            </w:r>
          </w:p>
        </w:tc>
        <w:tc>
          <w:tcPr>
            <w:tcW w:w="549" w:type="pct"/>
            <w:shd w:val="clear" w:color="auto" w:fill="FFFFFF" w:themeFill="background1"/>
            <w:noWrap/>
          </w:tcPr>
          <w:p w14:paraId="3CA030B1"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13,1</w:t>
            </w:r>
          </w:p>
        </w:tc>
        <w:tc>
          <w:tcPr>
            <w:tcW w:w="553" w:type="pct"/>
            <w:shd w:val="clear" w:color="auto" w:fill="FFFFFF" w:themeFill="background1"/>
            <w:noWrap/>
          </w:tcPr>
          <w:p w14:paraId="6878C8F2"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12,8</w:t>
            </w:r>
          </w:p>
        </w:tc>
      </w:tr>
      <w:tr w:rsidR="00E425D7" w:rsidRPr="00AD7E7D" w14:paraId="71715D90" w14:textId="77777777" w:rsidTr="008C56D0">
        <w:trPr>
          <w:trHeight w:hRule="exact" w:val="284"/>
        </w:trPr>
        <w:tc>
          <w:tcPr>
            <w:tcW w:w="1934" w:type="pct"/>
            <w:shd w:val="clear" w:color="auto" w:fill="FFFFFF" w:themeFill="background1"/>
          </w:tcPr>
          <w:p w14:paraId="32CED7A3" w14:textId="77777777" w:rsidR="00E425D7" w:rsidRPr="00172214" w:rsidRDefault="00E425D7" w:rsidP="008C56D0">
            <w:pPr>
              <w:widowControl w:val="0"/>
              <w:shd w:val="clear" w:color="auto" w:fill="FFFFFF" w:themeFill="background1"/>
              <w:spacing w:line="276" w:lineRule="auto"/>
              <w:ind w:left="397"/>
              <w:jc w:val="left"/>
              <w:rPr>
                <w:rFonts w:eastAsia="Times New Roman"/>
                <w:bCs/>
                <w:i/>
                <w:color w:val="000000" w:themeColor="text1"/>
                <w:szCs w:val="24"/>
              </w:rPr>
            </w:pPr>
            <w:r w:rsidRPr="00172214">
              <w:rPr>
                <w:rFonts w:eastAsiaTheme="minorHAnsi"/>
                <w:i/>
                <w:color w:val="000000" w:themeColor="text1"/>
                <w:szCs w:val="24"/>
                <w:lang w:eastAsia="en-US"/>
              </w:rPr>
              <w:t>of which</w:t>
            </w:r>
            <w:r w:rsidRPr="00172214">
              <w:rPr>
                <w:rFonts w:eastAsiaTheme="minorHAnsi"/>
                <w:i/>
                <w:color w:val="000000" w:themeColor="text1"/>
                <w:szCs w:val="24"/>
                <w:lang w:val="sr-Latn-RS" w:eastAsia="en-US"/>
              </w:rPr>
              <w:t>:</w:t>
            </w:r>
            <w:r w:rsidRPr="00172214">
              <w:rPr>
                <w:rFonts w:eastAsiaTheme="minorHAnsi"/>
                <w:i/>
                <w:color w:val="000000" w:themeColor="text1"/>
                <w:szCs w:val="24"/>
                <w:lang w:eastAsia="en-US"/>
              </w:rPr>
              <w:t xml:space="preserve"> pensions</w:t>
            </w:r>
          </w:p>
        </w:tc>
        <w:tc>
          <w:tcPr>
            <w:tcW w:w="766" w:type="pct"/>
            <w:shd w:val="clear" w:color="auto" w:fill="FFFFFF" w:themeFill="background1"/>
          </w:tcPr>
          <w:p w14:paraId="443358EA" w14:textId="77777777" w:rsidR="00E425D7" w:rsidRPr="00AD7E7D" w:rsidRDefault="00E425D7" w:rsidP="008C56D0">
            <w:pPr>
              <w:shd w:val="clear" w:color="auto" w:fill="FFFFFF" w:themeFill="background1"/>
              <w:spacing w:line="276" w:lineRule="auto"/>
              <w:jc w:val="right"/>
              <w:rPr>
                <w:i/>
                <w:color w:val="auto"/>
                <w:szCs w:val="24"/>
              </w:rPr>
            </w:pPr>
            <w:r w:rsidRPr="00AD7E7D">
              <w:rPr>
                <w:i/>
                <w:color w:val="auto"/>
                <w:szCs w:val="24"/>
              </w:rPr>
              <w:t>8,8</w:t>
            </w:r>
          </w:p>
        </w:tc>
        <w:tc>
          <w:tcPr>
            <w:tcW w:w="649" w:type="pct"/>
            <w:shd w:val="clear" w:color="auto" w:fill="FFFFFF" w:themeFill="background1"/>
            <w:noWrap/>
          </w:tcPr>
          <w:p w14:paraId="00E6D48A" w14:textId="77777777" w:rsidR="00E425D7" w:rsidRPr="00AD7E7D" w:rsidRDefault="00E425D7" w:rsidP="008C56D0">
            <w:pPr>
              <w:shd w:val="clear" w:color="auto" w:fill="FFFFFF" w:themeFill="background1"/>
              <w:spacing w:line="276" w:lineRule="auto"/>
              <w:jc w:val="right"/>
              <w:rPr>
                <w:i/>
                <w:color w:val="auto"/>
                <w:szCs w:val="24"/>
              </w:rPr>
            </w:pPr>
            <w:r w:rsidRPr="00AD7E7D">
              <w:rPr>
                <w:i/>
                <w:color w:val="auto"/>
                <w:szCs w:val="24"/>
              </w:rPr>
              <w:t>9,7</w:t>
            </w:r>
          </w:p>
        </w:tc>
        <w:tc>
          <w:tcPr>
            <w:tcW w:w="549" w:type="pct"/>
            <w:shd w:val="clear" w:color="auto" w:fill="FFFFFF" w:themeFill="background1"/>
            <w:noWrap/>
          </w:tcPr>
          <w:p w14:paraId="32746935" w14:textId="77777777" w:rsidR="00E425D7" w:rsidRPr="00AD7E7D" w:rsidRDefault="00E425D7" w:rsidP="008C56D0">
            <w:pPr>
              <w:shd w:val="clear" w:color="auto" w:fill="FFFFFF" w:themeFill="background1"/>
              <w:spacing w:line="276" w:lineRule="auto"/>
              <w:jc w:val="right"/>
              <w:rPr>
                <w:i/>
                <w:color w:val="auto"/>
                <w:szCs w:val="24"/>
              </w:rPr>
            </w:pPr>
            <w:r w:rsidRPr="00AD7E7D">
              <w:rPr>
                <w:i/>
                <w:color w:val="auto"/>
                <w:szCs w:val="24"/>
              </w:rPr>
              <w:t>10,1</w:t>
            </w:r>
          </w:p>
        </w:tc>
        <w:tc>
          <w:tcPr>
            <w:tcW w:w="549" w:type="pct"/>
            <w:shd w:val="clear" w:color="auto" w:fill="FFFFFF" w:themeFill="background1"/>
            <w:noWrap/>
          </w:tcPr>
          <w:p w14:paraId="36F4DD23" w14:textId="77777777" w:rsidR="00E425D7" w:rsidRPr="00AD7E7D" w:rsidRDefault="00E425D7" w:rsidP="008C56D0">
            <w:pPr>
              <w:shd w:val="clear" w:color="auto" w:fill="FFFFFF" w:themeFill="background1"/>
              <w:spacing w:line="276" w:lineRule="auto"/>
              <w:jc w:val="right"/>
              <w:rPr>
                <w:i/>
                <w:color w:val="auto"/>
                <w:szCs w:val="24"/>
              </w:rPr>
            </w:pPr>
            <w:r w:rsidRPr="00AD7E7D">
              <w:rPr>
                <w:i/>
                <w:color w:val="auto"/>
                <w:szCs w:val="24"/>
              </w:rPr>
              <w:t>10,2</w:t>
            </w:r>
          </w:p>
        </w:tc>
        <w:tc>
          <w:tcPr>
            <w:tcW w:w="553" w:type="pct"/>
            <w:shd w:val="clear" w:color="auto" w:fill="FFFFFF" w:themeFill="background1"/>
            <w:noWrap/>
          </w:tcPr>
          <w:p w14:paraId="6AD4669C" w14:textId="77777777" w:rsidR="00E425D7" w:rsidRPr="00AD7E7D" w:rsidRDefault="00E425D7" w:rsidP="008C56D0">
            <w:pPr>
              <w:shd w:val="clear" w:color="auto" w:fill="FFFFFF" w:themeFill="background1"/>
              <w:spacing w:line="276" w:lineRule="auto"/>
              <w:jc w:val="right"/>
              <w:rPr>
                <w:i/>
                <w:color w:val="auto"/>
                <w:szCs w:val="24"/>
              </w:rPr>
            </w:pPr>
            <w:r w:rsidRPr="00AD7E7D">
              <w:rPr>
                <w:i/>
                <w:color w:val="auto"/>
                <w:szCs w:val="24"/>
              </w:rPr>
              <w:t>10,0</w:t>
            </w:r>
          </w:p>
        </w:tc>
      </w:tr>
      <w:tr w:rsidR="00E425D7" w:rsidRPr="00AD7E7D" w14:paraId="06B69F74"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shd w:val="clear" w:color="auto" w:fill="FFFFFF" w:themeFill="background1"/>
          </w:tcPr>
          <w:p w14:paraId="251F56EC" w14:textId="77777777" w:rsidR="00E425D7" w:rsidRPr="00172214" w:rsidRDefault="00E425D7" w:rsidP="008C56D0">
            <w:pPr>
              <w:widowControl w:val="0"/>
              <w:shd w:val="clear" w:color="auto" w:fill="FFFFFF" w:themeFill="background1"/>
              <w:spacing w:line="276" w:lineRule="auto"/>
              <w:ind w:left="284"/>
              <w:jc w:val="left"/>
              <w:rPr>
                <w:rFonts w:eastAsia="Times New Roman"/>
                <w:bCs/>
                <w:color w:val="000000" w:themeColor="text1"/>
                <w:szCs w:val="24"/>
              </w:rPr>
            </w:pPr>
            <w:r w:rsidRPr="00172214">
              <w:rPr>
                <w:rFonts w:eastAsiaTheme="minorHAnsi"/>
                <w:color w:val="000000" w:themeColor="text1"/>
                <w:szCs w:val="24"/>
                <w:lang w:eastAsia="en-US"/>
              </w:rPr>
              <w:t>Other current expenditures</w:t>
            </w:r>
          </w:p>
        </w:tc>
        <w:tc>
          <w:tcPr>
            <w:tcW w:w="766" w:type="pct"/>
            <w:shd w:val="clear" w:color="auto" w:fill="FFFFFF" w:themeFill="background1"/>
          </w:tcPr>
          <w:p w14:paraId="3E566E15"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1,4</w:t>
            </w:r>
          </w:p>
        </w:tc>
        <w:tc>
          <w:tcPr>
            <w:tcW w:w="649" w:type="pct"/>
            <w:shd w:val="clear" w:color="auto" w:fill="FFFFFF" w:themeFill="background1"/>
            <w:noWrap/>
          </w:tcPr>
          <w:p w14:paraId="14C9E702"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1,4</w:t>
            </w:r>
          </w:p>
        </w:tc>
        <w:tc>
          <w:tcPr>
            <w:tcW w:w="549" w:type="pct"/>
            <w:shd w:val="clear" w:color="auto" w:fill="FFFFFF" w:themeFill="background1"/>
            <w:noWrap/>
          </w:tcPr>
          <w:p w14:paraId="20B0073A"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1,2</w:t>
            </w:r>
          </w:p>
        </w:tc>
        <w:tc>
          <w:tcPr>
            <w:tcW w:w="549" w:type="pct"/>
            <w:shd w:val="clear" w:color="auto" w:fill="FFFFFF" w:themeFill="background1"/>
            <w:noWrap/>
          </w:tcPr>
          <w:p w14:paraId="1C120B32"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1,1</w:t>
            </w:r>
          </w:p>
        </w:tc>
        <w:tc>
          <w:tcPr>
            <w:tcW w:w="553" w:type="pct"/>
            <w:shd w:val="clear" w:color="auto" w:fill="FFFFFF" w:themeFill="background1"/>
            <w:noWrap/>
          </w:tcPr>
          <w:p w14:paraId="7B444FCF"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1,1</w:t>
            </w:r>
          </w:p>
        </w:tc>
      </w:tr>
      <w:tr w:rsidR="00E425D7" w:rsidRPr="00AD7E7D" w14:paraId="4F1D87A4" w14:textId="77777777" w:rsidTr="008C56D0">
        <w:trPr>
          <w:trHeight w:hRule="exact" w:val="284"/>
        </w:trPr>
        <w:tc>
          <w:tcPr>
            <w:tcW w:w="1934" w:type="pct"/>
            <w:shd w:val="clear" w:color="auto" w:fill="FFFFFF" w:themeFill="background1"/>
          </w:tcPr>
          <w:p w14:paraId="270FE44F" w14:textId="77777777" w:rsidR="00E425D7" w:rsidRPr="00172214" w:rsidRDefault="00E425D7" w:rsidP="008C56D0">
            <w:pPr>
              <w:widowControl w:val="0"/>
              <w:shd w:val="clear" w:color="auto" w:fill="FFFFFF" w:themeFill="background1"/>
              <w:spacing w:line="276" w:lineRule="auto"/>
              <w:rPr>
                <w:rFonts w:eastAsia="Times New Roman"/>
                <w:bCs/>
                <w:color w:val="000000" w:themeColor="text1"/>
                <w:szCs w:val="24"/>
              </w:rPr>
            </w:pPr>
            <w:r w:rsidRPr="00172214">
              <w:rPr>
                <w:rFonts w:eastAsiaTheme="minorHAnsi"/>
                <w:color w:val="000000" w:themeColor="text1"/>
                <w:szCs w:val="24"/>
                <w:lang w:eastAsia="en-US"/>
              </w:rPr>
              <w:t xml:space="preserve"> Capital expenditures</w:t>
            </w:r>
          </w:p>
        </w:tc>
        <w:tc>
          <w:tcPr>
            <w:tcW w:w="766" w:type="pct"/>
            <w:shd w:val="clear" w:color="auto" w:fill="FFFFFF" w:themeFill="background1"/>
          </w:tcPr>
          <w:p w14:paraId="27B662E6"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6,4</w:t>
            </w:r>
          </w:p>
        </w:tc>
        <w:tc>
          <w:tcPr>
            <w:tcW w:w="649" w:type="pct"/>
            <w:shd w:val="clear" w:color="auto" w:fill="FFFFFF" w:themeFill="background1"/>
            <w:noWrap/>
          </w:tcPr>
          <w:p w14:paraId="1AFCCDE0"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7,4</w:t>
            </w:r>
          </w:p>
        </w:tc>
        <w:tc>
          <w:tcPr>
            <w:tcW w:w="549" w:type="pct"/>
            <w:shd w:val="clear" w:color="auto" w:fill="FFFFFF" w:themeFill="background1"/>
            <w:noWrap/>
          </w:tcPr>
          <w:p w14:paraId="6F72C651"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7,4</w:t>
            </w:r>
          </w:p>
        </w:tc>
        <w:tc>
          <w:tcPr>
            <w:tcW w:w="549" w:type="pct"/>
            <w:shd w:val="clear" w:color="auto" w:fill="FFFFFF" w:themeFill="background1"/>
            <w:noWrap/>
          </w:tcPr>
          <w:p w14:paraId="212EF741"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7,2</w:t>
            </w:r>
          </w:p>
        </w:tc>
        <w:tc>
          <w:tcPr>
            <w:tcW w:w="553" w:type="pct"/>
            <w:shd w:val="clear" w:color="auto" w:fill="FFFFFF" w:themeFill="background1"/>
            <w:noWrap/>
          </w:tcPr>
          <w:p w14:paraId="21D04CC3"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7,4</w:t>
            </w:r>
          </w:p>
        </w:tc>
      </w:tr>
      <w:tr w:rsidR="00E425D7" w:rsidRPr="00AD7E7D" w14:paraId="4EED1AAC" w14:textId="77777777" w:rsidTr="008C56D0">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tcBorders>
              <w:bottom w:val="nil"/>
            </w:tcBorders>
            <w:shd w:val="clear" w:color="auto" w:fill="FFFFFF" w:themeFill="background1"/>
            <w:noWrap/>
          </w:tcPr>
          <w:p w14:paraId="3AE97E43" w14:textId="77777777" w:rsidR="00E425D7" w:rsidRPr="00172214" w:rsidRDefault="00E425D7" w:rsidP="008C56D0">
            <w:pPr>
              <w:widowControl w:val="0"/>
              <w:shd w:val="clear" w:color="auto" w:fill="FFFFFF" w:themeFill="background1"/>
              <w:spacing w:line="276" w:lineRule="auto"/>
              <w:rPr>
                <w:rFonts w:eastAsia="Times New Roman"/>
                <w:bCs/>
                <w:color w:val="000000" w:themeColor="text1"/>
                <w:szCs w:val="24"/>
              </w:rPr>
            </w:pPr>
            <w:r w:rsidRPr="00172214">
              <w:rPr>
                <w:rFonts w:eastAsiaTheme="minorHAnsi"/>
                <w:color w:val="000000" w:themeColor="text1"/>
                <w:szCs w:val="24"/>
                <w:lang w:eastAsia="en-US"/>
              </w:rPr>
              <w:t xml:space="preserve"> Net lending</w:t>
            </w:r>
          </w:p>
        </w:tc>
        <w:tc>
          <w:tcPr>
            <w:tcW w:w="766" w:type="pct"/>
            <w:tcBorders>
              <w:bottom w:val="nil"/>
            </w:tcBorders>
            <w:shd w:val="clear" w:color="auto" w:fill="FFFFFF" w:themeFill="background1"/>
          </w:tcPr>
          <w:p w14:paraId="2A9DA875"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0,8</w:t>
            </w:r>
          </w:p>
        </w:tc>
        <w:tc>
          <w:tcPr>
            <w:tcW w:w="649" w:type="pct"/>
            <w:tcBorders>
              <w:bottom w:val="nil"/>
            </w:tcBorders>
            <w:shd w:val="clear" w:color="auto" w:fill="FFFFFF" w:themeFill="background1"/>
            <w:noWrap/>
          </w:tcPr>
          <w:p w14:paraId="7D545B5B"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0,2</w:t>
            </w:r>
          </w:p>
        </w:tc>
        <w:tc>
          <w:tcPr>
            <w:tcW w:w="549" w:type="pct"/>
            <w:tcBorders>
              <w:bottom w:val="nil"/>
            </w:tcBorders>
            <w:shd w:val="clear" w:color="auto" w:fill="FFFFFF" w:themeFill="background1"/>
            <w:noWrap/>
          </w:tcPr>
          <w:p w14:paraId="28419D82"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0,2</w:t>
            </w:r>
          </w:p>
        </w:tc>
        <w:tc>
          <w:tcPr>
            <w:tcW w:w="549" w:type="pct"/>
            <w:tcBorders>
              <w:bottom w:val="nil"/>
            </w:tcBorders>
            <w:shd w:val="clear" w:color="auto" w:fill="FFFFFF" w:themeFill="background1"/>
            <w:noWrap/>
          </w:tcPr>
          <w:p w14:paraId="784449FB"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0,2</w:t>
            </w:r>
          </w:p>
        </w:tc>
        <w:tc>
          <w:tcPr>
            <w:tcW w:w="553" w:type="pct"/>
            <w:tcBorders>
              <w:bottom w:val="nil"/>
            </w:tcBorders>
            <w:shd w:val="clear" w:color="auto" w:fill="FFFFFF" w:themeFill="background1"/>
            <w:noWrap/>
          </w:tcPr>
          <w:p w14:paraId="6ED72681"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0,2</w:t>
            </w:r>
          </w:p>
        </w:tc>
      </w:tr>
      <w:tr w:rsidR="00E425D7" w:rsidRPr="00AD7E7D" w14:paraId="7431144D" w14:textId="77777777" w:rsidTr="008C56D0">
        <w:trPr>
          <w:trHeight w:hRule="exact" w:val="284"/>
        </w:trPr>
        <w:tc>
          <w:tcPr>
            <w:tcW w:w="1934" w:type="pct"/>
            <w:tcBorders>
              <w:top w:val="nil"/>
              <w:bottom w:val="single" w:sz="4" w:space="0" w:color="002060"/>
            </w:tcBorders>
            <w:shd w:val="clear" w:color="auto" w:fill="FFFFFF" w:themeFill="background1"/>
            <w:noWrap/>
          </w:tcPr>
          <w:p w14:paraId="79252367" w14:textId="77777777" w:rsidR="00E425D7" w:rsidRPr="00172214" w:rsidRDefault="00E425D7" w:rsidP="008C56D0">
            <w:pPr>
              <w:widowControl w:val="0"/>
              <w:shd w:val="clear" w:color="auto" w:fill="FFFFFF" w:themeFill="background1"/>
              <w:spacing w:line="276" w:lineRule="auto"/>
              <w:rPr>
                <w:rFonts w:eastAsia="Times New Roman"/>
                <w:bCs/>
                <w:color w:val="000000" w:themeColor="text1"/>
                <w:szCs w:val="24"/>
              </w:rPr>
            </w:pPr>
            <w:r w:rsidRPr="00172214">
              <w:rPr>
                <w:rFonts w:eastAsiaTheme="minorHAnsi"/>
                <w:color w:val="000000" w:themeColor="text1"/>
                <w:szCs w:val="24"/>
                <w:lang w:eastAsia="en-US"/>
              </w:rPr>
              <w:t xml:space="preserve"> Activated guarantees</w:t>
            </w:r>
          </w:p>
        </w:tc>
        <w:tc>
          <w:tcPr>
            <w:tcW w:w="766" w:type="pct"/>
            <w:tcBorders>
              <w:top w:val="nil"/>
              <w:bottom w:val="single" w:sz="4" w:space="0" w:color="002060"/>
            </w:tcBorders>
            <w:shd w:val="clear" w:color="auto" w:fill="FFFFFF" w:themeFill="background1"/>
          </w:tcPr>
          <w:p w14:paraId="20CC2E57"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0,3</w:t>
            </w:r>
          </w:p>
        </w:tc>
        <w:tc>
          <w:tcPr>
            <w:tcW w:w="649" w:type="pct"/>
            <w:tcBorders>
              <w:top w:val="nil"/>
              <w:bottom w:val="single" w:sz="4" w:space="0" w:color="002060"/>
            </w:tcBorders>
            <w:shd w:val="clear" w:color="auto" w:fill="FFFFFF" w:themeFill="background1"/>
            <w:noWrap/>
          </w:tcPr>
          <w:p w14:paraId="541A8643"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0,3</w:t>
            </w:r>
          </w:p>
        </w:tc>
        <w:tc>
          <w:tcPr>
            <w:tcW w:w="549" w:type="pct"/>
            <w:tcBorders>
              <w:top w:val="nil"/>
              <w:bottom w:val="single" w:sz="4" w:space="0" w:color="002060"/>
            </w:tcBorders>
            <w:shd w:val="clear" w:color="auto" w:fill="FFFFFF" w:themeFill="background1"/>
            <w:noWrap/>
          </w:tcPr>
          <w:p w14:paraId="189D9D32"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0,2</w:t>
            </w:r>
          </w:p>
        </w:tc>
        <w:tc>
          <w:tcPr>
            <w:tcW w:w="549" w:type="pct"/>
            <w:tcBorders>
              <w:top w:val="nil"/>
              <w:bottom w:val="single" w:sz="4" w:space="0" w:color="002060"/>
            </w:tcBorders>
            <w:shd w:val="clear" w:color="auto" w:fill="FFFFFF" w:themeFill="background1"/>
            <w:noWrap/>
          </w:tcPr>
          <w:p w14:paraId="71A44D5F"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0,2</w:t>
            </w:r>
          </w:p>
        </w:tc>
        <w:tc>
          <w:tcPr>
            <w:tcW w:w="553" w:type="pct"/>
            <w:tcBorders>
              <w:top w:val="nil"/>
              <w:bottom w:val="single" w:sz="4" w:space="0" w:color="002060"/>
            </w:tcBorders>
            <w:shd w:val="clear" w:color="auto" w:fill="FFFFFF" w:themeFill="background1"/>
            <w:noWrap/>
          </w:tcPr>
          <w:p w14:paraId="473916EB" w14:textId="77777777" w:rsidR="00E425D7" w:rsidRPr="00AD7E7D" w:rsidRDefault="00E425D7" w:rsidP="008C56D0">
            <w:pPr>
              <w:shd w:val="clear" w:color="auto" w:fill="FFFFFF" w:themeFill="background1"/>
              <w:spacing w:line="276" w:lineRule="auto"/>
              <w:jc w:val="right"/>
              <w:rPr>
                <w:color w:val="auto"/>
                <w:szCs w:val="24"/>
              </w:rPr>
            </w:pPr>
            <w:r w:rsidRPr="00AD7E7D">
              <w:rPr>
                <w:color w:val="auto"/>
                <w:szCs w:val="24"/>
              </w:rPr>
              <w:t>0,2</w:t>
            </w:r>
          </w:p>
        </w:tc>
      </w:tr>
    </w:tbl>
    <w:p w14:paraId="19E4D37F" w14:textId="77777777" w:rsidR="00E425D7" w:rsidRDefault="00E425D7" w:rsidP="00E425D7">
      <w:pPr>
        <w:rPr>
          <w:rFonts w:cs="Times New Roman"/>
          <w:bCs/>
          <w:sz w:val="22"/>
          <w:szCs w:val="24"/>
          <w:lang w:val="sr-Cyrl-RS" w:eastAsia="ja-JP"/>
        </w:rPr>
      </w:pPr>
      <w:r w:rsidRPr="00172214">
        <w:rPr>
          <w:rFonts w:cs="Times New Roman"/>
          <w:bCs/>
          <w:sz w:val="22"/>
          <w:szCs w:val="24"/>
          <w:lang w:val="sr-Cyrl-RS" w:eastAsia="ja-JP"/>
        </w:rPr>
        <w:t>Source: Ministry of Finance</w:t>
      </w:r>
    </w:p>
    <w:p w14:paraId="7A927CFC" w14:textId="77777777" w:rsidR="00E425D7" w:rsidRPr="00457361" w:rsidRDefault="00E425D7" w:rsidP="00E425D7">
      <w:pPr>
        <w:rPr>
          <w:rFonts w:eastAsia="Calibri" w:cs="Times New Roman"/>
          <w:szCs w:val="24"/>
          <w:lang w:eastAsia="ja-JP"/>
        </w:rPr>
      </w:pPr>
      <w:r w:rsidRPr="00457361">
        <w:rPr>
          <w:rFonts w:eastAsia="Calibri" w:cs="Times New Roman"/>
          <w:szCs w:val="24"/>
          <w:lang w:eastAsia="ja-JP"/>
        </w:rPr>
        <w:t>The fiscal space projected for wage growth in the upcoming period will increase moderately and in a controlled manner, taking into account their share in GDP. The growth in 2025 is largely a result of the expansion of the coverage of the general government sector.</w:t>
      </w:r>
    </w:p>
    <w:p w14:paraId="60D1C52F" w14:textId="77777777" w:rsidR="00E425D7" w:rsidRPr="00AD7E7D" w:rsidRDefault="00E425D7" w:rsidP="00E425D7">
      <w:pPr>
        <w:rPr>
          <w:rFonts w:eastAsia="Calibri" w:cs="Times New Roman"/>
          <w:szCs w:val="24"/>
          <w:lang w:eastAsia="ja-JP"/>
        </w:rPr>
      </w:pPr>
      <w:r w:rsidRPr="00457361">
        <w:rPr>
          <w:rFonts w:eastAsia="Calibri" w:cs="Times New Roman"/>
          <w:szCs w:val="24"/>
          <w:lang w:eastAsia="ja-JP"/>
        </w:rPr>
        <w:t>Article 27e of the Budget System Law stipulates a limit on expenditure for employees in the general government sector of 10% of GDP. The adjustment of salaries across all institutions (entities) that make up the general government sector is limited by the defined share of these expenses in GDP. Furthermore, this limit is adjusted upward in the case of an increase in the coverage of the general government sector, i.e., by including new entities into the general government sector, and downward in the case of excluding entities fro</w:t>
      </w:r>
      <w:r>
        <w:rPr>
          <w:rFonts w:eastAsia="Calibri" w:cs="Times New Roman"/>
          <w:szCs w:val="24"/>
          <w:lang w:eastAsia="ja-JP"/>
        </w:rPr>
        <w:t>m the general government sector</w:t>
      </w:r>
      <w:r w:rsidRPr="00AD7E7D">
        <w:rPr>
          <w:rFonts w:eastAsia="Calibri" w:cs="Times New Roman"/>
          <w:szCs w:val="24"/>
          <w:vertAlign w:val="superscript"/>
          <w:lang w:eastAsia="ja-JP"/>
        </w:rPr>
        <w:footnoteReference w:id="7"/>
      </w:r>
      <w:r w:rsidRPr="00AD7E7D">
        <w:rPr>
          <w:rFonts w:eastAsia="Calibri" w:cs="Times New Roman"/>
          <w:szCs w:val="24"/>
          <w:lang w:eastAsia="ja-JP"/>
        </w:rPr>
        <w:t>.</w:t>
      </w:r>
    </w:p>
    <w:p w14:paraId="6A867CCE" w14:textId="77777777" w:rsidR="00E425D7" w:rsidRPr="00AE6A48" w:rsidRDefault="00E425D7" w:rsidP="00E425D7">
      <w:pPr>
        <w:rPr>
          <w:rFonts w:eastAsia="Calibri" w:cs="Times New Roman"/>
          <w:spacing w:val="2"/>
          <w:szCs w:val="24"/>
          <w:lang w:eastAsia="ja-JP"/>
        </w:rPr>
      </w:pPr>
      <w:r w:rsidRPr="00AE6A48">
        <w:rPr>
          <w:rFonts w:eastAsia="Calibri" w:cs="Times New Roman"/>
          <w:spacing w:val="2"/>
          <w:szCs w:val="24"/>
          <w:lang w:eastAsia="ja-JP"/>
        </w:rPr>
        <w:t>In 2023, the fiscal framework of the general government sector was expanded to include the own revenues of healthcare institutions and secondary schools, with the estimated level of expenditure for employees from these funds amounting to 0,2% of GDP. As a result, the expansion of the general government sector coverage, based on this, implies an adjustment of the maximum limit for expenditure on employees in the general government sector to 10,2% of GDP.</w:t>
      </w:r>
    </w:p>
    <w:p w14:paraId="446ED7C8" w14:textId="77777777" w:rsidR="00E425D7" w:rsidRPr="00AE6A48" w:rsidRDefault="00E425D7" w:rsidP="00E425D7">
      <w:pPr>
        <w:rPr>
          <w:rFonts w:eastAsia="Calibri" w:cs="Times New Roman"/>
          <w:spacing w:val="2"/>
          <w:szCs w:val="24"/>
          <w:lang w:eastAsia="ja-JP"/>
        </w:rPr>
      </w:pPr>
      <w:r w:rsidRPr="00AE6A48">
        <w:rPr>
          <w:rFonts w:eastAsia="Calibri" w:cs="Times New Roman"/>
          <w:spacing w:val="2"/>
          <w:szCs w:val="24"/>
          <w:lang w:eastAsia="ja-JP"/>
        </w:rPr>
        <w:t>In 2024, the coverage of the general government sector was further expanded to include a number of off-budget users (public agencies, institutes, and other entities), thus raising the maximum limit for employee expenditure in the general government sector to 10,4%, as the wage level in these institutions is about 0,2% of GDP. The inclusion of remaining own revenues and expenditures of indirect users of the national budget in the general government sector coverage in 2025 will raise the limit for employee expenditure to 10,6% of GDP, as the share of employee-related expenses paid from own revenues is about 0,2% of GDP. As a result, the wage mass in the general government sector will reach a slightly higher level compared to this year.</w:t>
      </w:r>
    </w:p>
    <w:p w14:paraId="6B58F18A" w14:textId="77777777" w:rsidR="00E425D7" w:rsidRDefault="00E425D7" w:rsidP="00E425D7">
      <w:pPr>
        <w:rPr>
          <w:rFonts w:eastAsia="Calibri" w:cs="Times New Roman"/>
          <w:spacing w:val="2"/>
          <w:szCs w:val="24"/>
          <w:lang w:eastAsia="ja-JP"/>
        </w:rPr>
      </w:pPr>
      <w:r w:rsidRPr="00AE6A48">
        <w:rPr>
          <w:rFonts w:eastAsia="Calibri" w:cs="Times New Roman"/>
          <w:spacing w:val="2"/>
          <w:szCs w:val="24"/>
          <w:lang w:eastAsia="ja-JP"/>
        </w:rPr>
        <w:t xml:space="preserve">The inclusion of expenditure from own sources of indirect users will impact the spending on goods and services. It is estimated that the effect of including new entities will raise the level </w:t>
      </w:r>
      <w:r w:rsidRPr="00AE6A48">
        <w:rPr>
          <w:rFonts w:eastAsia="Calibri" w:cs="Times New Roman"/>
          <w:spacing w:val="2"/>
          <w:szCs w:val="24"/>
          <w:lang w:eastAsia="ja-JP"/>
        </w:rPr>
        <w:lastRenderedPageBreak/>
        <w:t>of these expenditures by about 0,4% of GDP. Over the medium term, their share in GDP will gradually decrease.</w:t>
      </w:r>
    </w:p>
    <w:p w14:paraId="4E372BD3" w14:textId="77777777" w:rsidR="00E425D7" w:rsidRDefault="00E425D7" w:rsidP="00E425D7">
      <w:pPr>
        <w:rPr>
          <w:rFonts w:eastAsia="Calibri" w:cs="Times New Roman"/>
          <w:szCs w:val="24"/>
          <w:lang w:eastAsia="ja-JP"/>
        </w:rPr>
      </w:pPr>
      <w:r w:rsidRPr="00916491">
        <w:rPr>
          <w:rFonts w:eastAsia="Calibri" w:cs="Times New Roman"/>
          <w:szCs w:val="24"/>
          <w:lang w:eastAsia="ja-JP"/>
        </w:rPr>
        <w:t>Social assistance and transfers to the population represent the largest expenditure category of the state budget. The largest individual item in this group of expenditures, and also the largest item of all expenditures, are pensions. From 2020 until 2022, pensions were adjusted using the "Swiss formula" to ensure both the growth of pensioners' living standards and the sustainability of the pension system and public finances. The "Swiss formula" implies pension indexation, meaning pension increases equal to the sum of half the growth rate of average wages and half the growth rate of consumer prices.</w:t>
      </w:r>
      <w:r>
        <w:rPr>
          <w:rFonts w:eastAsia="Calibri" w:cs="Times New Roman"/>
          <w:szCs w:val="24"/>
          <w:lang w:eastAsia="ja-JP"/>
        </w:rPr>
        <w:t xml:space="preserve"> </w:t>
      </w:r>
      <w:r w:rsidRPr="00916491">
        <w:rPr>
          <w:rFonts w:eastAsia="Calibri" w:cs="Times New Roman"/>
          <w:szCs w:val="24"/>
          <w:lang w:eastAsia="ja-JP"/>
        </w:rPr>
        <w:t>Since 2023, a different method of pension indexation has been applied, considering the share of pensions in GDP to further protect the living standards of pensioners. Pension indexation and their movement determine the path of overall expenditure on population transfers and social protection in terms of GDP participation. In 2024, pensions were indexed based on wage growth, while in 2025, the "Swiss formula" will be applied again. Other forms of social benefits and transfers to the population in the coming period will be adjusted according to the prescribed indexation, current and planned policy changes in this area, and the projected number of beneficiaries.</w:t>
      </w:r>
    </w:p>
    <w:p w14:paraId="35991EAF" w14:textId="77777777" w:rsidR="00E425D7" w:rsidRDefault="00E425D7" w:rsidP="00E425D7">
      <w:pPr>
        <w:rPr>
          <w:rFonts w:eastAsia="Calibri" w:cs="Times New Roman"/>
          <w:szCs w:val="24"/>
          <w:lang w:eastAsia="ja-JP"/>
        </w:rPr>
      </w:pPr>
      <w:r w:rsidRPr="00916491">
        <w:rPr>
          <w:rFonts w:eastAsia="Calibri" w:cs="Times New Roman"/>
          <w:szCs w:val="24"/>
          <w:lang w:eastAsia="ja-JP"/>
        </w:rPr>
        <w:t>In 2024, a temporary rise in subsidies, in terms of GDP participation, is recorded due to additional subsidies allocated for agriculture, energy, and transport infrastructure. For the next medium-term period, a relatively unchanged nominal amount of subsidies is forecasted, while their share in GDP by the end of 2027 is expected to be 2,2%.</w:t>
      </w:r>
    </w:p>
    <w:p w14:paraId="4E3B0208" w14:textId="77777777" w:rsidR="00E425D7" w:rsidRDefault="00E425D7" w:rsidP="00E425D7">
      <w:pPr>
        <w:rPr>
          <w:rFonts w:eastAsia="Calibri" w:cs="Times New Roman"/>
          <w:szCs w:val="24"/>
          <w:lang w:eastAsia="ja-JP"/>
        </w:rPr>
      </w:pPr>
      <w:r w:rsidRPr="00916491">
        <w:rPr>
          <w:rFonts w:eastAsia="Calibri" w:cs="Times New Roman"/>
          <w:szCs w:val="24"/>
          <w:lang w:eastAsia="ja-JP"/>
        </w:rPr>
        <w:t>Other current expenditure categories include various expenditures, such as grants to associations, political parties, religious and sports organizations, fines, damage compensation, etc. In the coming period, a declining trend in these expenditures is expected.</w:t>
      </w:r>
    </w:p>
    <w:p w14:paraId="48C9BA4F" w14:textId="77777777" w:rsidR="00E425D7" w:rsidRDefault="00E425D7" w:rsidP="00E425D7">
      <w:pPr>
        <w:rPr>
          <w:rFonts w:eastAsia="Calibri" w:cs="Times New Roman"/>
          <w:szCs w:val="24"/>
          <w:lang w:eastAsia="ja-JP"/>
        </w:rPr>
      </w:pPr>
      <w:r w:rsidRPr="00916491">
        <w:rPr>
          <w:rFonts w:eastAsia="Calibri" w:cs="Times New Roman"/>
          <w:szCs w:val="24"/>
          <w:lang w:eastAsia="ja-JP"/>
        </w:rPr>
        <w:t>In previous years, the efficiency of public investment execution significantly improved, despite challenges posed by the pandemic and the energy crisis. In the next medium-term period, an increase in public infrastructure investments is expected, following the decision to host the Expo 2027 in Belgrade and the implementation of the "Leap into the Future – Serbia 2027" program. The most significant works will focus on road, rail, municipal, and water infrastructure. In addition to transport infrastructure, funds have been secured for additional capital investments in healthcare, energy, environmental protection, education, culture, defense, and other areas representing key state functions.</w:t>
      </w:r>
    </w:p>
    <w:p w14:paraId="7DFD3486" w14:textId="77777777" w:rsidR="00E425D7" w:rsidRDefault="00E425D7" w:rsidP="00E425D7">
      <w:pPr>
        <w:rPr>
          <w:rFonts w:eastAsia="Calibri" w:cs="Times New Roman"/>
          <w:szCs w:val="24"/>
          <w:lang w:eastAsia="ja-JP"/>
        </w:rPr>
      </w:pPr>
      <w:r w:rsidRPr="00916491">
        <w:rPr>
          <w:rFonts w:eastAsia="Calibri" w:cs="Times New Roman"/>
          <w:szCs w:val="24"/>
          <w:lang w:eastAsia="ja-JP"/>
        </w:rPr>
        <w:t>The overall focus of fiscal policy in the medium term is on increasing investments in infrastructure at all levels of government. At the local level, this primarily concerns investments in water and sewage infrastructure, waste management, local road infrastructure, and other areas.</w:t>
      </w:r>
    </w:p>
    <w:p w14:paraId="75D4F1FC" w14:textId="77777777" w:rsidR="00E425D7" w:rsidRDefault="00E425D7" w:rsidP="00E425D7">
      <w:pPr>
        <w:rPr>
          <w:rFonts w:eastAsia="Calibri" w:cs="Times New Roman"/>
          <w:szCs w:val="24"/>
          <w:lang w:eastAsia="ja-JP"/>
        </w:rPr>
      </w:pPr>
      <w:r w:rsidRPr="00916491">
        <w:rPr>
          <w:rFonts w:eastAsia="Calibri" w:cs="Times New Roman"/>
          <w:szCs w:val="24"/>
          <w:lang w:eastAsia="ja-JP"/>
        </w:rPr>
        <w:t>In the medium-term fiscal framework, by the end of 2027, a balanced overall fiscal position for local governments is projected. This means that, in total, all cities and municipalities will have approximately balanced budgets. The projection is based on trends from the previous period, during which local governments (LGUs) were most often in surplus. This situation at the level of all local governments is the result of debt reduction in the previous period. However, this does not mean that individual LGUs cannot report a deficit (in line with the fiscal rule), depending on the fiscal position of each municipality or city.</w:t>
      </w:r>
    </w:p>
    <w:p w14:paraId="055453C0" w14:textId="77777777" w:rsidR="00E425D7" w:rsidRDefault="00E425D7" w:rsidP="00E425D7">
      <w:pPr>
        <w:rPr>
          <w:rFonts w:eastAsia="Calibri" w:cs="Times New Roman"/>
          <w:szCs w:val="24"/>
          <w:lang w:eastAsia="ja-JP"/>
        </w:rPr>
      </w:pPr>
      <w:r w:rsidRPr="00916491">
        <w:rPr>
          <w:rFonts w:eastAsia="Calibri" w:cs="Times New Roman"/>
          <w:szCs w:val="24"/>
          <w:lang w:eastAsia="ja-JP"/>
        </w:rPr>
        <w:t>The movement of budget loans has been most affected by funds aimed at overcoming the negative consequences of the energy crisis. In the coming period, the share of this expenditure category is expected to decrease to 0,2% of GDP.</w:t>
      </w:r>
    </w:p>
    <w:p w14:paraId="0F1DA254" w14:textId="77777777" w:rsidR="00E425D7" w:rsidRPr="00916491" w:rsidRDefault="00E425D7" w:rsidP="00E425D7">
      <w:pPr>
        <w:rPr>
          <w:rFonts w:eastAsia="Calibri" w:cs="Times New Roman"/>
          <w:spacing w:val="2"/>
          <w:szCs w:val="24"/>
          <w:lang w:eastAsia="ja-JP"/>
        </w:rPr>
      </w:pPr>
      <w:r w:rsidRPr="00916491">
        <w:rPr>
          <w:rFonts w:eastAsia="Calibri" w:cs="Times New Roman"/>
          <w:szCs w:val="24"/>
          <w:lang w:eastAsia="ja-JP"/>
        </w:rPr>
        <w:t xml:space="preserve">Repayment of issued guarantees and payments for guarantees on commercial transactions represent obligations arising from the debt of public enterprises assumed by the national </w:t>
      </w:r>
      <w:r w:rsidRPr="00916491">
        <w:rPr>
          <w:rFonts w:eastAsia="Calibri" w:cs="Times New Roman"/>
          <w:szCs w:val="24"/>
          <w:lang w:eastAsia="ja-JP"/>
        </w:rPr>
        <w:lastRenderedPageBreak/>
        <w:t>budget, as these enterprises could not fulfill them independently. In the previous period, these expenditures were significantly reduced, and the repayment plan foresees that in 2027, these expenditures will amount to 0,2% of GDP annually.</w:t>
      </w:r>
    </w:p>
    <w:p w14:paraId="0A3D4A0C" w14:textId="77777777" w:rsidR="00994A6E" w:rsidRPr="00915EC2" w:rsidRDefault="00994A6E" w:rsidP="00994A6E">
      <w:pPr>
        <w:pStyle w:val="Heading11"/>
        <w:spacing w:before="180" w:after="180"/>
        <w:rPr>
          <w:rFonts w:ascii="Times New Roman" w:hAnsi="Times New Roman" w:cs="Times New Roman"/>
          <w:color w:val="auto"/>
          <w:sz w:val="24"/>
          <w:szCs w:val="24"/>
          <w:lang w:val="sr-Latn-RS"/>
        </w:rPr>
      </w:pPr>
      <w:bookmarkStart w:id="30" w:name="_Toc192759980"/>
      <w:r w:rsidRPr="00915EC2">
        <w:rPr>
          <w:rFonts w:ascii="Times New Roman" w:hAnsi="Times New Roman" w:cs="Times New Roman"/>
          <w:color w:val="auto"/>
          <w:sz w:val="24"/>
          <w:szCs w:val="24"/>
          <w:lang w:val="sr-Latn-RS"/>
        </w:rPr>
        <w:t xml:space="preserve">4.4. </w:t>
      </w:r>
      <w:r w:rsidRPr="00BA737A">
        <w:rPr>
          <w:rFonts w:ascii="Times New Roman" w:hAnsi="Times New Roman" w:cs="Times New Roman"/>
          <w:color w:val="auto"/>
          <w:sz w:val="24"/>
          <w:szCs w:val="24"/>
          <w:lang w:val="sr-Latn-RS"/>
        </w:rPr>
        <w:t>CYCLICALLY ADJUSTED AND STRUCTURAL FISCAL BALANCE</w:t>
      </w:r>
      <w:bookmarkEnd w:id="30"/>
      <w:r w:rsidRPr="00BA737A" w:rsidDel="001E65AA">
        <w:rPr>
          <w:rFonts w:ascii="Times New Roman" w:hAnsi="Times New Roman" w:cs="Times New Roman"/>
          <w:color w:val="auto"/>
          <w:sz w:val="24"/>
          <w:szCs w:val="24"/>
          <w:lang w:val="sr-Latn-RS"/>
        </w:rPr>
        <w:t xml:space="preserve"> </w:t>
      </w:r>
      <w:bookmarkEnd w:id="25"/>
    </w:p>
    <w:p w14:paraId="6C4E6F2C" w14:textId="77777777" w:rsidR="00994A6E" w:rsidRPr="00AD7E7D" w:rsidRDefault="00994A6E" w:rsidP="00994A6E">
      <w:pPr>
        <w:rPr>
          <w:rFonts w:eastAsia="MS PGothic" w:cs="Times New Roman"/>
          <w:szCs w:val="24"/>
          <w:lang w:val="sr-Cyrl-RS" w:eastAsia="ja-JP"/>
        </w:rPr>
      </w:pPr>
      <w:r w:rsidRPr="00F42D08">
        <w:rPr>
          <w:rFonts w:eastAsia="MS PGothic" w:cs="Times New Roman"/>
          <w:szCs w:val="24"/>
          <w:lang w:val="sr-Cyrl-RS" w:eastAsia="ja-JP"/>
        </w:rPr>
        <w:t>The cyclically adjusted fiscal balance is the fiscal balance from which the isolated effect of the economic cycle has been excluded, and the identity from which this is derived is as follows</w:t>
      </w:r>
      <w:r w:rsidRPr="00F42D08" w:rsidDel="00F42D08">
        <w:rPr>
          <w:rFonts w:eastAsia="MS PGothic" w:cs="Times New Roman"/>
          <w:szCs w:val="24"/>
          <w:lang w:val="sr-Cyrl-RS" w:eastAsia="ja-JP"/>
        </w:rPr>
        <w:t xml:space="preserve"> </w:t>
      </w:r>
      <w:r w:rsidRPr="00AD7E7D">
        <w:rPr>
          <w:rFonts w:eastAsia="MS PGothic" w:cs="Times New Roman"/>
          <w:szCs w:val="24"/>
          <w:vertAlign w:val="superscript"/>
          <w:lang w:val="sr-Cyrl-RS" w:eastAsia="ja-JP"/>
        </w:rPr>
        <w:footnoteReference w:id="8"/>
      </w:r>
      <w:r w:rsidRPr="00AD7E7D">
        <w:rPr>
          <w:rFonts w:eastAsia="MS PGothic" w:cs="Times New Roman"/>
          <w:szCs w:val="24"/>
          <w:lang w:val="sr-Cyrl-RS" w:eastAsia="ja-JP"/>
        </w:rPr>
        <w:t>:</w:t>
      </w:r>
    </w:p>
    <w:p w14:paraId="180BC966" w14:textId="77777777" w:rsidR="00994A6E" w:rsidRPr="00AD7E7D" w:rsidRDefault="00994A6E" w:rsidP="00994A6E">
      <w:pPr>
        <w:jc w:val="center"/>
        <w:rPr>
          <w:rFonts w:eastAsia="MS PGothic" w:cs="Times New Roman"/>
          <w:szCs w:val="24"/>
          <w:lang w:val="sr-Cyrl-RS" w:eastAsia="ja-JP"/>
        </w:rPr>
      </w:pPr>
      <w:r w:rsidRPr="00AD7E7D">
        <w:rPr>
          <w:rFonts w:eastAsia="MS PGothic" w:cs="Times New Roman"/>
          <w:szCs w:val="24"/>
          <w:lang w:val="sr-Cyrl-RS" w:eastAsia="ja-JP"/>
        </w:rPr>
        <w:t>FB = CB + CAB</w:t>
      </w:r>
    </w:p>
    <w:p w14:paraId="1739FC70" w14:textId="77777777" w:rsidR="00994A6E" w:rsidRPr="00AD7E7D" w:rsidRDefault="00994A6E" w:rsidP="00994A6E">
      <w:pPr>
        <w:rPr>
          <w:rFonts w:eastAsia="MS PGothic" w:cs="Times New Roman"/>
          <w:szCs w:val="24"/>
          <w:lang w:val="sr-Cyrl-RS" w:eastAsia="ja-JP"/>
        </w:rPr>
      </w:pPr>
      <w:r w:rsidRPr="003C6452">
        <w:rPr>
          <w:rFonts w:eastAsia="MS PGothic" w:cs="Times New Roman"/>
          <w:szCs w:val="24"/>
          <w:lang w:val="sr-Cyrl-RS" w:eastAsia="ja-JP"/>
        </w:rPr>
        <w:t>The part of the fiscal balance (FB) that is not affected by cyclical fluctuations is called the cyclically adjusted fiscal balance (CAB), and the goal of this procedure is to isolate the cyclical component of the fiscal balance (CB) that results from the effects of the output gap. The actual fiscal balance will be equal to the cyclically adjusted balance if the output gap is zero, i.e., if the real GDP growth rate is equal to the potential rate. The structural fiscal balance is further calculated by eliminating one-off effects on both the revenue and expenditure sides, thus reflecting the structural (permanent) fiscal position.</w:t>
      </w:r>
    </w:p>
    <w:p w14:paraId="269618E0" w14:textId="77777777" w:rsidR="00994A6E" w:rsidRPr="00AD7E7D" w:rsidRDefault="00994A6E" w:rsidP="00994A6E">
      <w:pPr>
        <w:rPr>
          <w:rFonts w:eastAsia="MS PGothic" w:cs="Times New Roman"/>
          <w:szCs w:val="24"/>
          <w:lang w:val="sr-Cyrl-RS" w:eastAsia="ja-JP"/>
        </w:rPr>
      </w:pPr>
      <w:r w:rsidRPr="003C6452">
        <w:rPr>
          <w:rFonts w:eastAsia="MS PGothic" w:cs="Times New Roman"/>
          <w:szCs w:val="24"/>
          <w:lang w:val="sr-Cyrl-RS" w:eastAsia="ja-JP"/>
        </w:rPr>
        <w:t>The fiscal space created in the previous period and the significantly improved structural fiscal position of the country have provided room for the relaxation of fiscal policy during times of crisis</w:t>
      </w:r>
      <w:r w:rsidRPr="00AD7E7D">
        <w:rPr>
          <w:rFonts w:eastAsia="MS PGothic" w:cs="Times New Roman"/>
          <w:szCs w:val="24"/>
          <w:lang w:val="sr-Cyrl-RS" w:eastAsia="ja-JP"/>
        </w:rPr>
        <w:t>.</w:t>
      </w:r>
    </w:p>
    <w:p w14:paraId="0BE0A407" w14:textId="60234FC9" w:rsidR="00994A6E" w:rsidRPr="003618D5" w:rsidRDefault="00994A6E" w:rsidP="00994A6E">
      <w:pPr>
        <w:rPr>
          <w:rFonts w:eastAsia="MS PGothic" w:cs="Times New Roman"/>
          <w:szCs w:val="24"/>
          <w:lang w:val="sr-Cyrl-RS" w:eastAsia="ja-JP"/>
        </w:rPr>
      </w:pPr>
      <w:r w:rsidRPr="003C6452">
        <w:rPr>
          <w:rFonts w:eastAsia="MS PGothic" w:cs="Times New Roman"/>
          <w:szCs w:val="24"/>
          <w:lang w:val="sr-Cyrl-RS" w:eastAsia="ja-JP"/>
        </w:rPr>
        <w:t>With the outbreak of the COVID-19 pandemic in early 2020 and the introduction of measures to protect public health, the global economy entered an unprecedented crisis. The impact on the fiscal position was evident through reduced budget revenues, resulting from the slowdown in economic activity due to the pandemic, and dramatically higher expenditures caused by increased healthcare costs and the implementation of a large economic assistance package for businesses and citizens. In such a situation, the usual analysis of the economic cycle, quantification of fiscal multipliers, and assessment of fiscal balance elasticity relative to the output gap do not provide entirely accurate assessments of the country's fiscal position. The response of fiscal policy to the complex economic situation caused by the coronavirus pandemic in 2020 and 2021 was presented through an extensive package of measures to support the economy. In the absence of measures to support businesses and citizens, the mild decline in GDP in 2020 and the strong recovery during 2021 would not have occurred, and a deeper contraction of the economy would have led to a much slower rec</w:t>
      </w:r>
      <w:r>
        <w:rPr>
          <w:rFonts w:eastAsia="MS PGothic" w:cs="Times New Roman"/>
          <w:szCs w:val="24"/>
          <w:lang w:val="sr-Cyrl-RS" w:eastAsia="ja-JP"/>
        </w:rPr>
        <w:t>overy in the medium-term period</w:t>
      </w:r>
      <w:r w:rsidRPr="00AD7E7D">
        <w:rPr>
          <w:rFonts w:eastAsia="MS PGothic" w:cs="Times New Roman"/>
          <w:szCs w:val="24"/>
          <w:lang w:val="sr-Cyrl-RS" w:eastAsia="ja-JP"/>
        </w:rPr>
        <w:t>.</w:t>
      </w:r>
    </w:p>
    <w:p w14:paraId="440156CB" w14:textId="77777777" w:rsidR="00994A6E" w:rsidRPr="00010E52" w:rsidRDefault="00994A6E" w:rsidP="00994A6E">
      <w:pPr>
        <w:rPr>
          <w:rFonts w:eastAsia="MS PGothic" w:cs="Times New Roman"/>
          <w:bCs/>
          <w:i/>
          <w:szCs w:val="24"/>
          <w:lang w:val="sr-Cyrl-RS"/>
        </w:rPr>
      </w:pPr>
      <w:r>
        <w:rPr>
          <w:rFonts w:eastAsia="MS PGothic" w:cs="Times New Roman"/>
          <w:bCs/>
          <w:i/>
          <w:szCs w:val="24"/>
        </w:rPr>
        <w:t>Table</w:t>
      </w:r>
      <w:r w:rsidRPr="00010E52">
        <w:rPr>
          <w:rFonts w:eastAsia="MS PGothic" w:cs="Times New Roman"/>
          <w:bCs/>
          <w:i/>
          <w:szCs w:val="24"/>
          <w:lang w:val="sr-Cyrl-RS"/>
        </w:rPr>
        <w:t xml:space="preserve"> 10. </w:t>
      </w:r>
      <w:r w:rsidRPr="001E65AA">
        <w:rPr>
          <w:rFonts w:eastAsia="MS PGothic" w:cs="Times New Roman"/>
          <w:bCs/>
          <w:i/>
          <w:szCs w:val="24"/>
          <w:lang w:val="sr-Cyrl-RS"/>
        </w:rPr>
        <w:t>The fiscal balance and components for the calculation of the cyclically adjusted balance during the period 2005–2027, as a percentage of GDP</w:t>
      </w:r>
    </w:p>
    <w:tbl>
      <w:tblPr>
        <w:tblStyle w:val="PlainTable2"/>
        <w:tblW w:w="0" w:type="auto"/>
        <w:jc w:val="center"/>
        <w:tblLook w:val="04A0" w:firstRow="1" w:lastRow="0" w:firstColumn="1" w:lastColumn="0" w:noHBand="0" w:noVBand="1"/>
      </w:tblPr>
      <w:tblGrid>
        <w:gridCol w:w="710"/>
        <w:gridCol w:w="1049"/>
        <w:gridCol w:w="777"/>
        <w:gridCol w:w="945"/>
        <w:gridCol w:w="1176"/>
        <w:gridCol w:w="1318"/>
        <w:gridCol w:w="1062"/>
        <w:gridCol w:w="1204"/>
        <w:gridCol w:w="785"/>
      </w:tblGrid>
      <w:tr w:rsidR="00994A6E" w:rsidRPr="00AD7E7D" w14:paraId="3E38AC67" w14:textId="77777777" w:rsidTr="008C56D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026B70B5" w14:textId="77777777" w:rsidR="00994A6E" w:rsidRPr="00010E52" w:rsidRDefault="00994A6E" w:rsidP="008C56D0">
            <w:pPr>
              <w:jc w:val="center"/>
              <w:rPr>
                <w:rFonts w:eastAsia="Times New Roman" w:cs="Times New Roman"/>
                <w:sz w:val="16"/>
                <w:szCs w:val="16"/>
              </w:rPr>
            </w:pPr>
          </w:p>
        </w:tc>
        <w:tc>
          <w:tcPr>
            <w:tcW w:w="1049" w:type="dxa"/>
            <w:hideMark/>
          </w:tcPr>
          <w:p w14:paraId="6ECF83C0" w14:textId="77777777" w:rsidR="00994A6E" w:rsidRPr="0058732C" w:rsidRDefault="00994A6E" w:rsidP="008C56D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58732C">
              <w:rPr>
                <w:sz w:val="14"/>
                <w:szCs w:val="14"/>
              </w:rPr>
              <w:t>Output gap</w:t>
            </w:r>
          </w:p>
        </w:tc>
        <w:tc>
          <w:tcPr>
            <w:tcW w:w="0" w:type="auto"/>
            <w:hideMark/>
          </w:tcPr>
          <w:p w14:paraId="29FE5F34" w14:textId="77777777" w:rsidR="00994A6E" w:rsidRPr="0058732C" w:rsidRDefault="00994A6E" w:rsidP="008C56D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58732C">
              <w:rPr>
                <w:sz w:val="14"/>
                <w:szCs w:val="14"/>
              </w:rPr>
              <w:t>Fiscal balance</w:t>
            </w:r>
          </w:p>
        </w:tc>
        <w:tc>
          <w:tcPr>
            <w:tcW w:w="0" w:type="auto"/>
            <w:hideMark/>
          </w:tcPr>
          <w:p w14:paraId="1E972170" w14:textId="77777777" w:rsidR="00994A6E" w:rsidRPr="0058732C" w:rsidRDefault="00994A6E" w:rsidP="008C56D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58732C">
              <w:rPr>
                <w:sz w:val="14"/>
                <w:szCs w:val="14"/>
              </w:rPr>
              <w:t>Primary fiscal balance</w:t>
            </w:r>
          </w:p>
        </w:tc>
        <w:tc>
          <w:tcPr>
            <w:tcW w:w="0" w:type="auto"/>
            <w:hideMark/>
          </w:tcPr>
          <w:p w14:paraId="26EA8D78" w14:textId="77777777" w:rsidR="00994A6E" w:rsidRPr="0058732C" w:rsidRDefault="00994A6E" w:rsidP="008C56D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58732C">
              <w:rPr>
                <w:sz w:val="14"/>
                <w:szCs w:val="14"/>
              </w:rPr>
              <w:t>Cyclically adjusted fiscal balance</w:t>
            </w:r>
          </w:p>
        </w:tc>
        <w:tc>
          <w:tcPr>
            <w:tcW w:w="0" w:type="auto"/>
            <w:hideMark/>
          </w:tcPr>
          <w:p w14:paraId="0F420EE3" w14:textId="77777777" w:rsidR="00994A6E" w:rsidRPr="0058732C" w:rsidRDefault="00994A6E" w:rsidP="008C56D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58732C">
              <w:rPr>
                <w:sz w:val="14"/>
                <w:szCs w:val="14"/>
              </w:rPr>
              <w:t>Cyclically adjusted primary fiscal balance</w:t>
            </w:r>
          </w:p>
        </w:tc>
        <w:tc>
          <w:tcPr>
            <w:tcW w:w="0" w:type="auto"/>
            <w:hideMark/>
          </w:tcPr>
          <w:p w14:paraId="7441C938" w14:textId="77777777" w:rsidR="00994A6E" w:rsidRPr="0058732C" w:rsidRDefault="00994A6E" w:rsidP="008C56D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58732C">
              <w:rPr>
                <w:sz w:val="14"/>
                <w:szCs w:val="14"/>
              </w:rPr>
              <w:t>Structural fiscal balance</w:t>
            </w:r>
          </w:p>
        </w:tc>
        <w:tc>
          <w:tcPr>
            <w:tcW w:w="0" w:type="auto"/>
            <w:hideMark/>
          </w:tcPr>
          <w:p w14:paraId="1AD1505F" w14:textId="77777777" w:rsidR="00994A6E" w:rsidRPr="0058732C" w:rsidRDefault="00994A6E" w:rsidP="008C56D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58732C">
              <w:rPr>
                <w:sz w:val="14"/>
                <w:szCs w:val="14"/>
              </w:rPr>
              <w:t>Structural primary fiscal balance</w:t>
            </w:r>
          </w:p>
        </w:tc>
        <w:tc>
          <w:tcPr>
            <w:tcW w:w="0" w:type="auto"/>
            <w:hideMark/>
          </w:tcPr>
          <w:p w14:paraId="6B051D0F" w14:textId="77777777" w:rsidR="00994A6E" w:rsidRPr="0058732C" w:rsidRDefault="00994A6E" w:rsidP="008C56D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58732C">
              <w:rPr>
                <w:sz w:val="14"/>
                <w:szCs w:val="14"/>
              </w:rPr>
              <w:t>Fiscal impulse</w:t>
            </w:r>
          </w:p>
        </w:tc>
      </w:tr>
      <w:tr w:rsidR="00994A6E" w:rsidRPr="00AD7E7D" w14:paraId="59A5A1F8"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1F3AD13F"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2005</w:t>
            </w:r>
          </w:p>
        </w:tc>
        <w:tc>
          <w:tcPr>
            <w:tcW w:w="1049" w:type="dxa"/>
            <w:hideMark/>
          </w:tcPr>
          <w:p w14:paraId="2E7A31F5"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0,0</w:t>
            </w:r>
          </w:p>
        </w:tc>
        <w:tc>
          <w:tcPr>
            <w:tcW w:w="0" w:type="auto"/>
            <w:hideMark/>
          </w:tcPr>
          <w:p w14:paraId="20DB5634"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1,1</w:t>
            </w:r>
          </w:p>
        </w:tc>
        <w:tc>
          <w:tcPr>
            <w:tcW w:w="0" w:type="auto"/>
            <w:hideMark/>
          </w:tcPr>
          <w:p w14:paraId="1986C656"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2,0</w:t>
            </w:r>
          </w:p>
        </w:tc>
        <w:tc>
          <w:tcPr>
            <w:tcW w:w="0" w:type="auto"/>
            <w:noWrap/>
            <w:hideMark/>
          </w:tcPr>
          <w:p w14:paraId="6273829E"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1,1</w:t>
            </w:r>
          </w:p>
        </w:tc>
        <w:tc>
          <w:tcPr>
            <w:tcW w:w="0" w:type="auto"/>
            <w:hideMark/>
          </w:tcPr>
          <w:p w14:paraId="0466DC24"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2,0</w:t>
            </w:r>
          </w:p>
        </w:tc>
        <w:tc>
          <w:tcPr>
            <w:tcW w:w="0" w:type="auto"/>
            <w:noWrap/>
            <w:hideMark/>
          </w:tcPr>
          <w:p w14:paraId="79180467"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1,3</w:t>
            </w:r>
          </w:p>
        </w:tc>
        <w:tc>
          <w:tcPr>
            <w:tcW w:w="0" w:type="auto"/>
            <w:noWrap/>
            <w:hideMark/>
          </w:tcPr>
          <w:p w14:paraId="296DCD85"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2,2</w:t>
            </w:r>
          </w:p>
        </w:tc>
        <w:tc>
          <w:tcPr>
            <w:tcW w:w="0" w:type="auto"/>
            <w:noWrap/>
            <w:hideMark/>
          </w:tcPr>
          <w:p w14:paraId="74722295"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 </w:t>
            </w:r>
          </w:p>
        </w:tc>
      </w:tr>
      <w:tr w:rsidR="00994A6E" w:rsidRPr="00AD7E7D" w14:paraId="35C2560B" w14:textId="77777777" w:rsidTr="008C56D0">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42437A0A"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2006</w:t>
            </w:r>
          </w:p>
        </w:tc>
        <w:tc>
          <w:tcPr>
            <w:tcW w:w="1049" w:type="dxa"/>
            <w:hideMark/>
          </w:tcPr>
          <w:p w14:paraId="31ADAE65"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-3,3</w:t>
            </w:r>
          </w:p>
        </w:tc>
        <w:tc>
          <w:tcPr>
            <w:tcW w:w="0" w:type="auto"/>
            <w:hideMark/>
          </w:tcPr>
          <w:p w14:paraId="6F082D95"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-1,4</w:t>
            </w:r>
          </w:p>
        </w:tc>
        <w:tc>
          <w:tcPr>
            <w:tcW w:w="0" w:type="auto"/>
            <w:hideMark/>
          </w:tcPr>
          <w:p w14:paraId="27C9A59E"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-0,1</w:t>
            </w:r>
          </w:p>
        </w:tc>
        <w:tc>
          <w:tcPr>
            <w:tcW w:w="0" w:type="auto"/>
            <w:noWrap/>
            <w:hideMark/>
          </w:tcPr>
          <w:p w14:paraId="7DE354DE"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-0,2</w:t>
            </w:r>
          </w:p>
        </w:tc>
        <w:tc>
          <w:tcPr>
            <w:tcW w:w="0" w:type="auto"/>
            <w:hideMark/>
          </w:tcPr>
          <w:p w14:paraId="153BCAE0"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1,0</w:t>
            </w:r>
          </w:p>
        </w:tc>
        <w:tc>
          <w:tcPr>
            <w:tcW w:w="0" w:type="auto"/>
            <w:hideMark/>
          </w:tcPr>
          <w:p w14:paraId="31E2C187"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0,5</w:t>
            </w:r>
          </w:p>
        </w:tc>
        <w:tc>
          <w:tcPr>
            <w:tcW w:w="0" w:type="auto"/>
            <w:noWrap/>
            <w:hideMark/>
          </w:tcPr>
          <w:p w14:paraId="63271CD3"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1,7</w:t>
            </w:r>
          </w:p>
        </w:tc>
        <w:tc>
          <w:tcPr>
            <w:tcW w:w="0" w:type="auto"/>
            <w:noWrap/>
            <w:hideMark/>
          </w:tcPr>
          <w:p w14:paraId="6E89C11D"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0,9</w:t>
            </w:r>
          </w:p>
        </w:tc>
      </w:tr>
      <w:tr w:rsidR="00994A6E" w:rsidRPr="00AD7E7D" w14:paraId="4DBEE4B4"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B6BBC09"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2007</w:t>
            </w:r>
          </w:p>
        </w:tc>
        <w:tc>
          <w:tcPr>
            <w:tcW w:w="1049" w:type="dxa"/>
            <w:hideMark/>
          </w:tcPr>
          <w:p w14:paraId="6F198F84"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1,3</w:t>
            </w:r>
          </w:p>
        </w:tc>
        <w:tc>
          <w:tcPr>
            <w:tcW w:w="0" w:type="auto"/>
            <w:hideMark/>
          </w:tcPr>
          <w:p w14:paraId="42A3AAAC"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-1,7</w:t>
            </w:r>
          </w:p>
        </w:tc>
        <w:tc>
          <w:tcPr>
            <w:tcW w:w="0" w:type="auto"/>
            <w:hideMark/>
          </w:tcPr>
          <w:p w14:paraId="1BD75BBB"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-1,2</w:t>
            </w:r>
          </w:p>
        </w:tc>
        <w:tc>
          <w:tcPr>
            <w:tcW w:w="0" w:type="auto"/>
            <w:noWrap/>
            <w:hideMark/>
          </w:tcPr>
          <w:p w14:paraId="2FE6E735"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-2,2</w:t>
            </w:r>
          </w:p>
        </w:tc>
        <w:tc>
          <w:tcPr>
            <w:tcW w:w="0" w:type="auto"/>
            <w:hideMark/>
          </w:tcPr>
          <w:p w14:paraId="4840A0AA"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-1,7</w:t>
            </w:r>
          </w:p>
        </w:tc>
        <w:tc>
          <w:tcPr>
            <w:tcW w:w="0" w:type="auto"/>
            <w:hideMark/>
          </w:tcPr>
          <w:p w14:paraId="72606D60"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-1,9</w:t>
            </w:r>
          </w:p>
        </w:tc>
        <w:tc>
          <w:tcPr>
            <w:tcW w:w="0" w:type="auto"/>
            <w:noWrap/>
            <w:hideMark/>
          </w:tcPr>
          <w:p w14:paraId="7850F0FC"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-1,3</w:t>
            </w:r>
          </w:p>
        </w:tc>
        <w:tc>
          <w:tcPr>
            <w:tcW w:w="0" w:type="auto"/>
            <w:noWrap/>
            <w:hideMark/>
          </w:tcPr>
          <w:p w14:paraId="5439F027"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2,7</w:t>
            </w:r>
          </w:p>
        </w:tc>
      </w:tr>
      <w:tr w:rsidR="00994A6E" w:rsidRPr="00AD7E7D" w14:paraId="12DE67E2" w14:textId="77777777" w:rsidTr="008C56D0">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2F58B3BE"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2008</w:t>
            </w:r>
          </w:p>
        </w:tc>
        <w:tc>
          <w:tcPr>
            <w:tcW w:w="1049" w:type="dxa"/>
            <w:hideMark/>
          </w:tcPr>
          <w:p w14:paraId="78F45E81"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4,1</w:t>
            </w:r>
          </w:p>
        </w:tc>
        <w:tc>
          <w:tcPr>
            <w:tcW w:w="0" w:type="auto"/>
            <w:hideMark/>
          </w:tcPr>
          <w:p w14:paraId="51DA7CF0"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-2,4</w:t>
            </w:r>
          </w:p>
        </w:tc>
        <w:tc>
          <w:tcPr>
            <w:tcW w:w="0" w:type="auto"/>
            <w:hideMark/>
          </w:tcPr>
          <w:p w14:paraId="45F7E99D"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-1,9</w:t>
            </w:r>
          </w:p>
        </w:tc>
        <w:tc>
          <w:tcPr>
            <w:tcW w:w="0" w:type="auto"/>
            <w:noWrap/>
            <w:hideMark/>
          </w:tcPr>
          <w:p w14:paraId="52CA117D"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-3,9</w:t>
            </w:r>
          </w:p>
        </w:tc>
        <w:tc>
          <w:tcPr>
            <w:tcW w:w="0" w:type="auto"/>
            <w:hideMark/>
          </w:tcPr>
          <w:p w14:paraId="2D0DC001"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-3,3</w:t>
            </w:r>
          </w:p>
        </w:tc>
        <w:tc>
          <w:tcPr>
            <w:tcW w:w="0" w:type="auto"/>
            <w:hideMark/>
          </w:tcPr>
          <w:p w14:paraId="038BA6CE"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-3,9</w:t>
            </w:r>
          </w:p>
        </w:tc>
        <w:tc>
          <w:tcPr>
            <w:tcW w:w="0" w:type="auto"/>
            <w:noWrap/>
            <w:hideMark/>
          </w:tcPr>
          <w:p w14:paraId="1F8AE868"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-3,4</w:t>
            </w:r>
          </w:p>
        </w:tc>
        <w:tc>
          <w:tcPr>
            <w:tcW w:w="0" w:type="auto"/>
            <w:noWrap/>
            <w:hideMark/>
          </w:tcPr>
          <w:p w14:paraId="2F02A0C5"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1,7</w:t>
            </w:r>
          </w:p>
        </w:tc>
      </w:tr>
      <w:tr w:rsidR="00994A6E" w:rsidRPr="00AD7E7D" w14:paraId="00A9C57E"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943F30F"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2009</w:t>
            </w:r>
          </w:p>
        </w:tc>
        <w:tc>
          <w:tcPr>
            <w:tcW w:w="1049" w:type="dxa"/>
            <w:hideMark/>
          </w:tcPr>
          <w:p w14:paraId="3ED07BDD"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-0,5</w:t>
            </w:r>
          </w:p>
        </w:tc>
        <w:tc>
          <w:tcPr>
            <w:tcW w:w="0" w:type="auto"/>
            <w:hideMark/>
          </w:tcPr>
          <w:p w14:paraId="5F2C9909"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-4,0</w:t>
            </w:r>
          </w:p>
        </w:tc>
        <w:tc>
          <w:tcPr>
            <w:tcW w:w="0" w:type="auto"/>
            <w:hideMark/>
          </w:tcPr>
          <w:p w14:paraId="4CF7E09C"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-3,4</w:t>
            </w:r>
          </w:p>
        </w:tc>
        <w:tc>
          <w:tcPr>
            <w:tcW w:w="0" w:type="auto"/>
            <w:noWrap/>
            <w:hideMark/>
          </w:tcPr>
          <w:p w14:paraId="5C70A18E"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-3,8</w:t>
            </w:r>
          </w:p>
        </w:tc>
        <w:tc>
          <w:tcPr>
            <w:tcW w:w="0" w:type="auto"/>
            <w:hideMark/>
          </w:tcPr>
          <w:p w14:paraId="67F2991A"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-3,2</w:t>
            </w:r>
          </w:p>
        </w:tc>
        <w:tc>
          <w:tcPr>
            <w:tcW w:w="0" w:type="auto"/>
            <w:hideMark/>
          </w:tcPr>
          <w:p w14:paraId="60E87673"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-3,9</w:t>
            </w:r>
          </w:p>
        </w:tc>
        <w:tc>
          <w:tcPr>
            <w:tcW w:w="0" w:type="auto"/>
            <w:noWrap/>
            <w:hideMark/>
          </w:tcPr>
          <w:p w14:paraId="51150B38"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-3,3</w:t>
            </w:r>
          </w:p>
        </w:tc>
        <w:tc>
          <w:tcPr>
            <w:tcW w:w="0" w:type="auto"/>
            <w:noWrap/>
            <w:hideMark/>
          </w:tcPr>
          <w:p w14:paraId="2F5C3D55"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-0,1</w:t>
            </w:r>
          </w:p>
        </w:tc>
      </w:tr>
      <w:tr w:rsidR="00994A6E" w:rsidRPr="00AD7E7D" w14:paraId="65788A93" w14:textId="77777777" w:rsidTr="008C56D0">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0C0A1D90"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2010</w:t>
            </w:r>
          </w:p>
        </w:tc>
        <w:tc>
          <w:tcPr>
            <w:tcW w:w="1049" w:type="dxa"/>
            <w:hideMark/>
          </w:tcPr>
          <w:p w14:paraId="7B1CC5EC"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0,4</w:t>
            </w:r>
          </w:p>
        </w:tc>
        <w:tc>
          <w:tcPr>
            <w:tcW w:w="0" w:type="auto"/>
            <w:hideMark/>
          </w:tcPr>
          <w:p w14:paraId="19E1E550"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-4,2</w:t>
            </w:r>
          </w:p>
        </w:tc>
        <w:tc>
          <w:tcPr>
            <w:tcW w:w="0" w:type="auto"/>
            <w:hideMark/>
          </w:tcPr>
          <w:p w14:paraId="0A26DF98"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-3,2</w:t>
            </w:r>
          </w:p>
        </w:tc>
        <w:tc>
          <w:tcPr>
            <w:tcW w:w="0" w:type="auto"/>
            <w:noWrap/>
            <w:hideMark/>
          </w:tcPr>
          <w:p w14:paraId="105C802C"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-4,3</w:t>
            </w:r>
          </w:p>
        </w:tc>
        <w:tc>
          <w:tcPr>
            <w:tcW w:w="0" w:type="auto"/>
            <w:hideMark/>
          </w:tcPr>
          <w:p w14:paraId="47ADC311"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-3,4</w:t>
            </w:r>
          </w:p>
        </w:tc>
        <w:tc>
          <w:tcPr>
            <w:tcW w:w="0" w:type="auto"/>
            <w:hideMark/>
          </w:tcPr>
          <w:p w14:paraId="70214E05"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-4,4</w:t>
            </w:r>
          </w:p>
        </w:tc>
        <w:tc>
          <w:tcPr>
            <w:tcW w:w="0" w:type="auto"/>
            <w:noWrap/>
            <w:hideMark/>
          </w:tcPr>
          <w:p w14:paraId="48BB16C5"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-3,5</w:t>
            </w:r>
          </w:p>
        </w:tc>
        <w:tc>
          <w:tcPr>
            <w:tcW w:w="0" w:type="auto"/>
            <w:noWrap/>
            <w:hideMark/>
          </w:tcPr>
          <w:p w14:paraId="4C654E45"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0,2</w:t>
            </w:r>
          </w:p>
        </w:tc>
      </w:tr>
      <w:tr w:rsidR="00994A6E" w:rsidRPr="00AD7E7D" w14:paraId="55B4E14B"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5C691D9D"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lastRenderedPageBreak/>
              <w:t>2011</w:t>
            </w:r>
          </w:p>
        </w:tc>
        <w:tc>
          <w:tcPr>
            <w:tcW w:w="1049" w:type="dxa"/>
            <w:hideMark/>
          </w:tcPr>
          <w:p w14:paraId="47A205AC"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0,3</w:t>
            </w:r>
          </w:p>
        </w:tc>
        <w:tc>
          <w:tcPr>
            <w:tcW w:w="0" w:type="auto"/>
            <w:hideMark/>
          </w:tcPr>
          <w:p w14:paraId="2DC07812"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-4,3</w:t>
            </w:r>
          </w:p>
        </w:tc>
        <w:tc>
          <w:tcPr>
            <w:tcW w:w="0" w:type="auto"/>
            <w:hideMark/>
          </w:tcPr>
          <w:p w14:paraId="4BCB032F"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-3,2</w:t>
            </w:r>
          </w:p>
        </w:tc>
        <w:tc>
          <w:tcPr>
            <w:tcW w:w="0" w:type="auto"/>
            <w:noWrap/>
            <w:hideMark/>
          </w:tcPr>
          <w:p w14:paraId="46460834"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-4,5</w:t>
            </w:r>
          </w:p>
        </w:tc>
        <w:tc>
          <w:tcPr>
            <w:tcW w:w="0" w:type="auto"/>
            <w:hideMark/>
          </w:tcPr>
          <w:p w14:paraId="07B57C79"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-3,4</w:t>
            </w:r>
          </w:p>
        </w:tc>
        <w:tc>
          <w:tcPr>
            <w:tcW w:w="0" w:type="auto"/>
            <w:hideMark/>
          </w:tcPr>
          <w:p w14:paraId="5874EFAB"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-4,7</w:t>
            </w:r>
          </w:p>
        </w:tc>
        <w:tc>
          <w:tcPr>
            <w:tcW w:w="0" w:type="auto"/>
            <w:noWrap/>
            <w:hideMark/>
          </w:tcPr>
          <w:p w14:paraId="191B586D"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-3,6</w:t>
            </w:r>
          </w:p>
        </w:tc>
        <w:tc>
          <w:tcPr>
            <w:tcW w:w="0" w:type="auto"/>
            <w:noWrap/>
            <w:hideMark/>
          </w:tcPr>
          <w:p w14:paraId="491C1740"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0,0</w:t>
            </w:r>
          </w:p>
        </w:tc>
      </w:tr>
      <w:tr w:rsidR="00994A6E" w:rsidRPr="00AD7E7D" w14:paraId="15F03A03" w14:textId="77777777" w:rsidTr="008C56D0">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1733DB6E"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2012</w:t>
            </w:r>
          </w:p>
        </w:tc>
        <w:tc>
          <w:tcPr>
            <w:tcW w:w="1049" w:type="dxa"/>
            <w:hideMark/>
          </w:tcPr>
          <w:p w14:paraId="3B75D4FE"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0,0</w:t>
            </w:r>
          </w:p>
        </w:tc>
        <w:tc>
          <w:tcPr>
            <w:tcW w:w="0" w:type="auto"/>
            <w:hideMark/>
          </w:tcPr>
          <w:p w14:paraId="3278D96F"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-6,2</w:t>
            </w:r>
          </w:p>
        </w:tc>
        <w:tc>
          <w:tcPr>
            <w:tcW w:w="0" w:type="auto"/>
            <w:hideMark/>
          </w:tcPr>
          <w:p w14:paraId="613A43E6"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-4,5</w:t>
            </w:r>
          </w:p>
        </w:tc>
        <w:tc>
          <w:tcPr>
            <w:tcW w:w="0" w:type="auto"/>
            <w:noWrap/>
            <w:hideMark/>
          </w:tcPr>
          <w:p w14:paraId="134BC0D3"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-6,2</w:t>
            </w:r>
          </w:p>
        </w:tc>
        <w:tc>
          <w:tcPr>
            <w:tcW w:w="0" w:type="auto"/>
            <w:hideMark/>
          </w:tcPr>
          <w:p w14:paraId="5C311234"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-4,5</w:t>
            </w:r>
          </w:p>
        </w:tc>
        <w:tc>
          <w:tcPr>
            <w:tcW w:w="0" w:type="auto"/>
            <w:hideMark/>
          </w:tcPr>
          <w:p w14:paraId="61942D87"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-6,1</w:t>
            </w:r>
          </w:p>
        </w:tc>
        <w:tc>
          <w:tcPr>
            <w:tcW w:w="0" w:type="auto"/>
            <w:noWrap/>
            <w:hideMark/>
          </w:tcPr>
          <w:p w14:paraId="0CA38FAE"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-4,5</w:t>
            </w:r>
          </w:p>
        </w:tc>
        <w:tc>
          <w:tcPr>
            <w:tcW w:w="0" w:type="auto"/>
            <w:noWrap/>
            <w:hideMark/>
          </w:tcPr>
          <w:p w14:paraId="79CBAE72"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1,2</w:t>
            </w:r>
          </w:p>
        </w:tc>
      </w:tr>
      <w:tr w:rsidR="00994A6E" w:rsidRPr="00AD7E7D" w14:paraId="4FA69433"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3BEE3C76"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2013</w:t>
            </w:r>
          </w:p>
        </w:tc>
        <w:tc>
          <w:tcPr>
            <w:tcW w:w="1049" w:type="dxa"/>
            <w:hideMark/>
          </w:tcPr>
          <w:p w14:paraId="3D925DA0"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0,4</w:t>
            </w:r>
          </w:p>
        </w:tc>
        <w:tc>
          <w:tcPr>
            <w:tcW w:w="0" w:type="auto"/>
            <w:hideMark/>
          </w:tcPr>
          <w:p w14:paraId="331E8609"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-4,9</w:t>
            </w:r>
          </w:p>
        </w:tc>
        <w:tc>
          <w:tcPr>
            <w:tcW w:w="0" w:type="auto"/>
            <w:hideMark/>
          </w:tcPr>
          <w:p w14:paraId="3508E8FA"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-2,8</w:t>
            </w:r>
          </w:p>
        </w:tc>
        <w:tc>
          <w:tcPr>
            <w:tcW w:w="0" w:type="auto"/>
            <w:noWrap/>
            <w:hideMark/>
          </w:tcPr>
          <w:p w14:paraId="31DE9344"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-5,1</w:t>
            </w:r>
          </w:p>
        </w:tc>
        <w:tc>
          <w:tcPr>
            <w:tcW w:w="0" w:type="auto"/>
            <w:hideMark/>
          </w:tcPr>
          <w:p w14:paraId="42C46661"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-3,0</w:t>
            </w:r>
          </w:p>
        </w:tc>
        <w:tc>
          <w:tcPr>
            <w:tcW w:w="0" w:type="auto"/>
            <w:hideMark/>
          </w:tcPr>
          <w:p w14:paraId="03986671"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-4,8</w:t>
            </w:r>
          </w:p>
        </w:tc>
        <w:tc>
          <w:tcPr>
            <w:tcW w:w="0" w:type="auto"/>
            <w:noWrap/>
            <w:hideMark/>
          </w:tcPr>
          <w:p w14:paraId="089EB04E"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-2,7</w:t>
            </w:r>
          </w:p>
        </w:tc>
        <w:tc>
          <w:tcPr>
            <w:tcW w:w="0" w:type="auto"/>
            <w:noWrap/>
            <w:hideMark/>
          </w:tcPr>
          <w:p w14:paraId="4ADE5D1A"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-1,5</w:t>
            </w:r>
          </w:p>
        </w:tc>
      </w:tr>
      <w:tr w:rsidR="00994A6E" w:rsidRPr="00AD7E7D" w14:paraId="099F83EA" w14:textId="77777777" w:rsidTr="008C56D0">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449035A1"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2014</w:t>
            </w:r>
          </w:p>
        </w:tc>
        <w:tc>
          <w:tcPr>
            <w:tcW w:w="1049" w:type="dxa"/>
            <w:hideMark/>
          </w:tcPr>
          <w:p w14:paraId="6B6637CE"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-1,7</w:t>
            </w:r>
          </w:p>
        </w:tc>
        <w:tc>
          <w:tcPr>
            <w:tcW w:w="0" w:type="auto"/>
            <w:hideMark/>
          </w:tcPr>
          <w:p w14:paraId="4B77BD44"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-5,9</w:t>
            </w:r>
          </w:p>
        </w:tc>
        <w:tc>
          <w:tcPr>
            <w:tcW w:w="0" w:type="auto"/>
            <w:hideMark/>
          </w:tcPr>
          <w:p w14:paraId="4BA4B50A"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-3,4</w:t>
            </w:r>
          </w:p>
        </w:tc>
        <w:tc>
          <w:tcPr>
            <w:tcW w:w="0" w:type="auto"/>
            <w:noWrap/>
            <w:hideMark/>
          </w:tcPr>
          <w:p w14:paraId="08C22A96"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-5,3</w:t>
            </w:r>
          </w:p>
        </w:tc>
        <w:tc>
          <w:tcPr>
            <w:tcW w:w="0" w:type="auto"/>
            <w:hideMark/>
          </w:tcPr>
          <w:p w14:paraId="1BE869D4"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-2,8</w:t>
            </w:r>
          </w:p>
        </w:tc>
        <w:tc>
          <w:tcPr>
            <w:tcW w:w="0" w:type="auto"/>
            <w:hideMark/>
          </w:tcPr>
          <w:p w14:paraId="3E30995F"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-4,5</w:t>
            </w:r>
          </w:p>
        </w:tc>
        <w:tc>
          <w:tcPr>
            <w:tcW w:w="0" w:type="auto"/>
            <w:noWrap/>
            <w:hideMark/>
          </w:tcPr>
          <w:p w14:paraId="6978A38E"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-2,0</w:t>
            </w:r>
          </w:p>
        </w:tc>
        <w:tc>
          <w:tcPr>
            <w:tcW w:w="0" w:type="auto"/>
            <w:noWrap/>
            <w:hideMark/>
          </w:tcPr>
          <w:p w14:paraId="54277AD1"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-0,2</w:t>
            </w:r>
          </w:p>
        </w:tc>
      </w:tr>
      <w:tr w:rsidR="00994A6E" w:rsidRPr="00AD7E7D" w14:paraId="0A416EBC"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47944F45"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2015</w:t>
            </w:r>
          </w:p>
        </w:tc>
        <w:tc>
          <w:tcPr>
            <w:tcW w:w="1049" w:type="dxa"/>
            <w:hideMark/>
          </w:tcPr>
          <w:p w14:paraId="1FB1EACD"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-1,4</w:t>
            </w:r>
          </w:p>
        </w:tc>
        <w:tc>
          <w:tcPr>
            <w:tcW w:w="0" w:type="auto"/>
            <w:hideMark/>
          </w:tcPr>
          <w:p w14:paraId="0789810F"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-3,3</w:t>
            </w:r>
          </w:p>
        </w:tc>
        <w:tc>
          <w:tcPr>
            <w:tcW w:w="0" w:type="auto"/>
            <w:hideMark/>
          </w:tcPr>
          <w:p w14:paraId="4128D3F9"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-0,5</w:t>
            </w:r>
          </w:p>
        </w:tc>
        <w:tc>
          <w:tcPr>
            <w:tcW w:w="0" w:type="auto"/>
            <w:noWrap/>
            <w:hideMark/>
          </w:tcPr>
          <w:p w14:paraId="5658C1C9"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-2,8</w:t>
            </w:r>
          </w:p>
        </w:tc>
        <w:tc>
          <w:tcPr>
            <w:tcW w:w="0" w:type="auto"/>
            <w:hideMark/>
          </w:tcPr>
          <w:p w14:paraId="260F1D0E"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0,1</w:t>
            </w:r>
          </w:p>
        </w:tc>
        <w:tc>
          <w:tcPr>
            <w:tcW w:w="0" w:type="auto"/>
            <w:hideMark/>
          </w:tcPr>
          <w:p w14:paraId="2CDA5E2E"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-2,0</w:t>
            </w:r>
          </w:p>
        </w:tc>
        <w:tc>
          <w:tcPr>
            <w:tcW w:w="0" w:type="auto"/>
            <w:noWrap/>
            <w:hideMark/>
          </w:tcPr>
          <w:p w14:paraId="505BD81C"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0,9</w:t>
            </w:r>
          </w:p>
        </w:tc>
        <w:tc>
          <w:tcPr>
            <w:tcW w:w="0" w:type="auto"/>
            <w:noWrap/>
            <w:hideMark/>
          </w:tcPr>
          <w:p w14:paraId="6E7E9C5C"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-2,9</w:t>
            </w:r>
          </w:p>
        </w:tc>
      </w:tr>
      <w:tr w:rsidR="00994A6E" w:rsidRPr="00AD7E7D" w14:paraId="20575FDA" w14:textId="77777777" w:rsidTr="008C56D0">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0B41D8C6"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2016</w:t>
            </w:r>
          </w:p>
        </w:tc>
        <w:tc>
          <w:tcPr>
            <w:tcW w:w="1049" w:type="dxa"/>
            <w:noWrap/>
            <w:hideMark/>
          </w:tcPr>
          <w:p w14:paraId="7825D96D"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-0,4</w:t>
            </w:r>
          </w:p>
        </w:tc>
        <w:tc>
          <w:tcPr>
            <w:tcW w:w="0" w:type="auto"/>
            <w:noWrap/>
            <w:hideMark/>
          </w:tcPr>
          <w:p w14:paraId="5F131EF6"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-1,1</w:t>
            </w:r>
          </w:p>
        </w:tc>
        <w:tc>
          <w:tcPr>
            <w:tcW w:w="0" w:type="auto"/>
            <w:noWrap/>
            <w:hideMark/>
          </w:tcPr>
          <w:p w14:paraId="7B97A0A6"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1,6</w:t>
            </w:r>
          </w:p>
        </w:tc>
        <w:tc>
          <w:tcPr>
            <w:tcW w:w="0" w:type="auto"/>
            <w:noWrap/>
            <w:hideMark/>
          </w:tcPr>
          <w:p w14:paraId="02FB05FB"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-1,0</w:t>
            </w:r>
          </w:p>
        </w:tc>
        <w:tc>
          <w:tcPr>
            <w:tcW w:w="0" w:type="auto"/>
            <w:hideMark/>
          </w:tcPr>
          <w:p w14:paraId="73212374"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1,8</w:t>
            </w:r>
          </w:p>
        </w:tc>
        <w:tc>
          <w:tcPr>
            <w:tcW w:w="0" w:type="auto"/>
            <w:hideMark/>
          </w:tcPr>
          <w:p w14:paraId="595A1EF7"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-0,9</w:t>
            </w:r>
          </w:p>
        </w:tc>
        <w:tc>
          <w:tcPr>
            <w:tcW w:w="0" w:type="auto"/>
            <w:noWrap/>
            <w:hideMark/>
          </w:tcPr>
          <w:p w14:paraId="7162C404"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1,8</w:t>
            </w:r>
          </w:p>
        </w:tc>
        <w:tc>
          <w:tcPr>
            <w:tcW w:w="0" w:type="auto"/>
            <w:noWrap/>
            <w:hideMark/>
          </w:tcPr>
          <w:p w14:paraId="7506C8EF"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-1,7</w:t>
            </w:r>
          </w:p>
        </w:tc>
      </w:tr>
      <w:tr w:rsidR="00994A6E" w:rsidRPr="00AD7E7D" w14:paraId="510D0D4D"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5304FEBE"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2017</w:t>
            </w:r>
          </w:p>
        </w:tc>
        <w:tc>
          <w:tcPr>
            <w:tcW w:w="1049" w:type="dxa"/>
            <w:hideMark/>
          </w:tcPr>
          <w:p w14:paraId="01ADA2FB"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-0,6</w:t>
            </w:r>
          </w:p>
        </w:tc>
        <w:tc>
          <w:tcPr>
            <w:tcW w:w="0" w:type="auto"/>
            <w:hideMark/>
          </w:tcPr>
          <w:p w14:paraId="7D52367F"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1,1</w:t>
            </w:r>
          </w:p>
        </w:tc>
        <w:tc>
          <w:tcPr>
            <w:tcW w:w="0" w:type="auto"/>
            <w:hideMark/>
          </w:tcPr>
          <w:p w14:paraId="560192A2"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3,5</w:t>
            </w:r>
          </w:p>
        </w:tc>
        <w:tc>
          <w:tcPr>
            <w:tcW w:w="0" w:type="auto"/>
            <w:noWrap/>
            <w:hideMark/>
          </w:tcPr>
          <w:p w14:paraId="1563425F"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1,3</w:t>
            </w:r>
          </w:p>
        </w:tc>
        <w:tc>
          <w:tcPr>
            <w:tcW w:w="0" w:type="auto"/>
            <w:hideMark/>
          </w:tcPr>
          <w:p w14:paraId="1BF5F11C"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3,7</w:t>
            </w:r>
          </w:p>
        </w:tc>
        <w:tc>
          <w:tcPr>
            <w:tcW w:w="0" w:type="auto"/>
            <w:hideMark/>
          </w:tcPr>
          <w:p w14:paraId="452F744C"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1,1</w:t>
            </w:r>
          </w:p>
        </w:tc>
        <w:tc>
          <w:tcPr>
            <w:tcW w:w="0" w:type="auto"/>
            <w:noWrap/>
            <w:hideMark/>
          </w:tcPr>
          <w:p w14:paraId="488D5922"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3,6</w:t>
            </w:r>
          </w:p>
        </w:tc>
        <w:tc>
          <w:tcPr>
            <w:tcW w:w="0" w:type="auto"/>
            <w:noWrap/>
            <w:hideMark/>
          </w:tcPr>
          <w:p w14:paraId="71A138CD"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-1,9</w:t>
            </w:r>
          </w:p>
        </w:tc>
      </w:tr>
      <w:tr w:rsidR="00994A6E" w:rsidRPr="00AD7E7D" w14:paraId="0D5BA651" w14:textId="77777777" w:rsidTr="008C56D0">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CC4347C"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2018</w:t>
            </w:r>
          </w:p>
        </w:tc>
        <w:tc>
          <w:tcPr>
            <w:tcW w:w="1049" w:type="dxa"/>
            <w:hideMark/>
          </w:tcPr>
          <w:p w14:paraId="0E1E805F"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0,8</w:t>
            </w:r>
          </w:p>
        </w:tc>
        <w:tc>
          <w:tcPr>
            <w:tcW w:w="0" w:type="auto"/>
            <w:hideMark/>
          </w:tcPr>
          <w:p w14:paraId="432F71C9"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0,6</w:t>
            </w:r>
          </w:p>
        </w:tc>
        <w:tc>
          <w:tcPr>
            <w:tcW w:w="0" w:type="auto"/>
            <w:hideMark/>
          </w:tcPr>
          <w:p w14:paraId="0E2D0B7B"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2,6</w:t>
            </w:r>
          </w:p>
        </w:tc>
        <w:tc>
          <w:tcPr>
            <w:tcW w:w="0" w:type="auto"/>
            <w:noWrap/>
            <w:hideMark/>
          </w:tcPr>
          <w:p w14:paraId="711E30E4"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0,3</w:t>
            </w:r>
          </w:p>
        </w:tc>
        <w:tc>
          <w:tcPr>
            <w:tcW w:w="0" w:type="auto"/>
            <w:hideMark/>
          </w:tcPr>
          <w:p w14:paraId="2E469869"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2,3</w:t>
            </w:r>
          </w:p>
        </w:tc>
        <w:tc>
          <w:tcPr>
            <w:tcW w:w="0" w:type="auto"/>
            <w:hideMark/>
          </w:tcPr>
          <w:p w14:paraId="6551B81A"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0,2</w:t>
            </w:r>
          </w:p>
        </w:tc>
        <w:tc>
          <w:tcPr>
            <w:tcW w:w="0" w:type="auto"/>
            <w:noWrap/>
            <w:hideMark/>
          </w:tcPr>
          <w:p w14:paraId="0B10B3FC"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2,2</w:t>
            </w:r>
          </w:p>
        </w:tc>
        <w:tc>
          <w:tcPr>
            <w:tcW w:w="0" w:type="auto"/>
            <w:noWrap/>
            <w:hideMark/>
          </w:tcPr>
          <w:p w14:paraId="1AD58BAA"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1,4</w:t>
            </w:r>
          </w:p>
        </w:tc>
      </w:tr>
      <w:tr w:rsidR="00994A6E" w:rsidRPr="00AD7E7D" w14:paraId="28F26865"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100835B0"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2019</w:t>
            </w:r>
          </w:p>
        </w:tc>
        <w:tc>
          <w:tcPr>
            <w:tcW w:w="1049" w:type="dxa"/>
            <w:hideMark/>
          </w:tcPr>
          <w:p w14:paraId="2600669F"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2,1</w:t>
            </w:r>
          </w:p>
        </w:tc>
        <w:tc>
          <w:tcPr>
            <w:tcW w:w="0" w:type="auto"/>
            <w:hideMark/>
          </w:tcPr>
          <w:p w14:paraId="786DB8C0"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-0,2</w:t>
            </w:r>
          </w:p>
        </w:tc>
        <w:tc>
          <w:tcPr>
            <w:tcW w:w="0" w:type="auto"/>
            <w:hideMark/>
          </w:tcPr>
          <w:p w14:paraId="24559989"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1,7</w:t>
            </w:r>
          </w:p>
        </w:tc>
        <w:tc>
          <w:tcPr>
            <w:tcW w:w="0" w:type="auto"/>
            <w:noWrap/>
            <w:hideMark/>
          </w:tcPr>
          <w:p w14:paraId="02EFD2F2"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-0,9</w:t>
            </w:r>
          </w:p>
        </w:tc>
        <w:tc>
          <w:tcPr>
            <w:tcW w:w="0" w:type="auto"/>
            <w:hideMark/>
          </w:tcPr>
          <w:p w14:paraId="457C4DE7"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1,0</w:t>
            </w:r>
          </w:p>
        </w:tc>
        <w:tc>
          <w:tcPr>
            <w:tcW w:w="0" w:type="auto"/>
            <w:hideMark/>
          </w:tcPr>
          <w:p w14:paraId="4CC57568"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-1,1</w:t>
            </w:r>
          </w:p>
        </w:tc>
        <w:tc>
          <w:tcPr>
            <w:tcW w:w="0" w:type="auto"/>
            <w:noWrap/>
            <w:hideMark/>
          </w:tcPr>
          <w:p w14:paraId="4E35E322"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0,8</w:t>
            </w:r>
          </w:p>
        </w:tc>
        <w:tc>
          <w:tcPr>
            <w:tcW w:w="0" w:type="auto"/>
            <w:noWrap/>
            <w:hideMark/>
          </w:tcPr>
          <w:p w14:paraId="04576CB7"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1,4</w:t>
            </w:r>
          </w:p>
        </w:tc>
      </w:tr>
      <w:tr w:rsidR="00994A6E" w:rsidRPr="00AD7E7D" w14:paraId="166E5F29" w14:textId="77777777" w:rsidTr="008C56D0">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69BC234"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2020</w:t>
            </w:r>
          </w:p>
        </w:tc>
        <w:tc>
          <w:tcPr>
            <w:tcW w:w="1049" w:type="dxa"/>
            <w:hideMark/>
          </w:tcPr>
          <w:p w14:paraId="50764B16"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-2,4</w:t>
            </w:r>
          </w:p>
        </w:tc>
        <w:tc>
          <w:tcPr>
            <w:tcW w:w="0" w:type="auto"/>
            <w:hideMark/>
          </w:tcPr>
          <w:p w14:paraId="652B711E"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-7,7</w:t>
            </w:r>
          </w:p>
        </w:tc>
        <w:tc>
          <w:tcPr>
            <w:tcW w:w="0" w:type="auto"/>
            <w:hideMark/>
          </w:tcPr>
          <w:p w14:paraId="4E9F7BD7"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-5,8</w:t>
            </w:r>
          </w:p>
        </w:tc>
        <w:tc>
          <w:tcPr>
            <w:tcW w:w="0" w:type="auto"/>
            <w:noWrap/>
            <w:hideMark/>
          </w:tcPr>
          <w:p w14:paraId="575ECF2E"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-6,8</w:t>
            </w:r>
          </w:p>
        </w:tc>
        <w:tc>
          <w:tcPr>
            <w:tcW w:w="0" w:type="auto"/>
            <w:hideMark/>
          </w:tcPr>
          <w:p w14:paraId="6B3EFD03"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-4,9</w:t>
            </w:r>
          </w:p>
        </w:tc>
        <w:tc>
          <w:tcPr>
            <w:tcW w:w="0" w:type="auto"/>
            <w:hideMark/>
          </w:tcPr>
          <w:p w14:paraId="6A7D4C1B"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-0,1</w:t>
            </w:r>
          </w:p>
        </w:tc>
        <w:tc>
          <w:tcPr>
            <w:tcW w:w="0" w:type="auto"/>
            <w:noWrap/>
            <w:hideMark/>
          </w:tcPr>
          <w:p w14:paraId="63DD96ED"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1,8</w:t>
            </w:r>
          </w:p>
        </w:tc>
        <w:tc>
          <w:tcPr>
            <w:tcW w:w="0" w:type="auto"/>
            <w:noWrap/>
            <w:hideMark/>
          </w:tcPr>
          <w:p w14:paraId="46F3EA3F"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5,9</w:t>
            </w:r>
          </w:p>
        </w:tc>
      </w:tr>
      <w:tr w:rsidR="00994A6E" w:rsidRPr="00AD7E7D" w14:paraId="727CEFA3"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23456D6E"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2021</w:t>
            </w:r>
          </w:p>
        </w:tc>
        <w:tc>
          <w:tcPr>
            <w:tcW w:w="1049" w:type="dxa"/>
            <w:hideMark/>
          </w:tcPr>
          <w:p w14:paraId="3983DE04"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1,4</w:t>
            </w:r>
          </w:p>
        </w:tc>
        <w:tc>
          <w:tcPr>
            <w:tcW w:w="0" w:type="auto"/>
            <w:hideMark/>
          </w:tcPr>
          <w:p w14:paraId="12E91D1E"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-3,9</w:t>
            </w:r>
          </w:p>
        </w:tc>
        <w:tc>
          <w:tcPr>
            <w:tcW w:w="0" w:type="auto"/>
            <w:hideMark/>
          </w:tcPr>
          <w:p w14:paraId="140EBD53"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-2,3</w:t>
            </w:r>
          </w:p>
        </w:tc>
        <w:tc>
          <w:tcPr>
            <w:tcW w:w="0" w:type="auto"/>
            <w:noWrap/>
            <w:hideMark/>
          </w:tcPr>
          <w:p w14:paraId="1481E030"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-4,5</w:t>
            </w:r>
          </w:p>
        </w:tc>
        <w:tc>
          <w:tcPr>
            <w:tcW w:w="0" w:type="auto"/>
            <w:hideMark/>
          </w:tcPr>
          <w:p w14:paraId="55824C68"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-2,8</w:t>
            </w:r>
          </w:p>
        </w:tc>
        <w:tc>
          <w:tcPr>
            <w:tcW w:w="0" w:type="auto"/>
            <w:hideMark/>
          </w:tcPr>
          <w:p w14:paraId="02BA09C0"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-0,6</w:t>
            </w:r>
          </w:p>
        </w:tc>
        <w:tc>
          <w:tcPr>
            <w:tcW w:w="0" w:type="auto"/>
            <w:noWrap/>
            <w:hideMark/>
          </w:tcPr>
          <w:p w14:paraId="3614C7AB"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1,1</w:t>
            </w:r>
          </w:p>
        </w:tc>
        <w:tc>
          <w:tcPr>
            <w:tcW w:w="0" w:type="auto"/>
            <w:noWrap/>
            <w:hideMark/>
          </w:tcPr>
          <w:p w14:paraId="563CB873"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-2,1</w:t>
            </w:r>
          </w:p>
        </w:tc>
      </w:tr>
      <w:tr w:rsidR="00994A6E" w:rsidRPr="00AD7E7D" w14:paraId="2A05039B" w14:textId="77777777" w:rsidTr="008C56D0">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3E023494"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2022</w:t>
            </w:r>
          </w:p>
        </w:tc>
        <w:tc>
          <w:tcPr>
            <w:tcW w:w="1049" w:type="dxa"/>
            <w:hideMark/>
          </w:tcPr>
          <w:p w14:paraId="75A7EF0C"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0,2</w:t>
            </w:r>
          </w:p>
        </w:tc>
        <w:tc>
          <w:tcPr>
            <w:tcW w:w="0" w:type="auto"/>
            <w:hideMark/>
          </w:tcPr>
          <w:p w14:paraId="468AA508"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-3,0</w:t>
            </w:r>
          </w:p>
        </w:tc>
        <w:tc>
          <w:tcPr>
            <w:tcW w:w="0" w:type="auto"/>
            <w:hideMark/>
          </w:tcPr>
          <w:p w14:paraId="4FE9FF8B"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-1,6</w:t>
            </w:r>
          </w:p>
        </w:tc>
        <w:tc>
          <w:tcPr>
            <w:tcW w:w="0" w:type="auto"/>
            <w:noWrap/>
            <w:hideMark/>
          </w:tcPr>
          <w:p w14:paraId="5EFD56F4"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-3,1</w:t>
            </w:r>
          </w:p>
        </w:tc>
        <w:tc>
          <w:tcPr>
            <w:tcW w:w="0" w:type="auto"/>
            <w:hideMark/>
          </w:tcPr>
          <w:p w14:paraId="37FDB837"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-1,6</w:t>
            </w:r>
          </w:p>
        </w:tc>
        <w:tc>
          <w:tcPr>
            <w:tcW w:w="0" w:type="auto"/>
            <w:hideMark/>
          </w:tcPr>
          <w:p w14:paraId="1B90ED33"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0,1</w:t>
            </w:r>
          </w:p>
        </w:tc>
        <w:tc>
          <w:tcPr>
            <w:tcW w:w="0" w:type="auto"/>
            <w:noWrap/>
            <w:hideMark/>
          </w:tcPr>
          <w:p w14:paraId="21E8817D"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1,6</w:t>
            </w:r>
          </w:p>
        </w:tc>
        <w:tc>
          <w:tcPr>
            <w:tcW w:w="0" w:type="auto"/>
            <w:noWrap/>
            <w:hideMark/>
          </w:tcPr>
          <w:p w14:paraId="6FBC6895"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-1,2</w:t>
            </w:r>
          </w:p>
        </w:tc>
      </w:tr>
      <w:tr w:rsidR="00994A6E" w:rsidRPr="00AD7E7D" w14:paraId="257B755D"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1D68254E"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2023</w:t>
            </w:r>
          </w:p>
        </w:tc>
        <w:tc>
          <w:tcPr>
            <w:tcW w:w="1049" w:type="dxa"/>
            <w:hideMark/>
          </w:tcPr>
          <w:p w14:paraId="3F6BEC90"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0,1</w:t>
            </w:r>
          </w:p>
        </w:tc>
        <w:tc>
          <w:tcPr>
            <w:tcW w:w="0" w:type="auto"/>
            <w:hideMark/>
          </w:tcPr>
          <w:p w14:paraId="2A5F383D"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-2,1</w:t>
            </w:r>
          </w:p>
        </w:tc>
        <w:tc>
          <w:tcPr>
            <w:tcW w:w="0" w:type="auto"/>
            <w:hideMark/>
          </w:tcPr>
          <w:p w14:paraId="21FD5387"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-0,5</w:t>
            </w:r>
          </w:p>
        </w:tc>
        <w:tc>
          <w:tcPr>
            <w:tcW w:w="0" w:type="auto"/>
            <w:noWrap/>
            <w:hideMark/>
          </w:tcPr>
          <w:p w14:paraId="0E7A33F1"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-2,1</w:t>
            </w:r>
          </w:p>
        </w:tc>
        <w:tc>
          <w:tcPr>
            <w:tcW w:w="0" w:type="auto"/>
            <w:hideMark/>
          </w:tcPr>
          <w:p w14:paraId="01276C7C"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-0,5</w:t>
            </w:r>
          </w:p>
        </w:tc>
        <w:tc>
          <w:tcPr>
            <w:tcW w:w="0" w:type="auto"/>
            <w:hideMark/>
          </w:tcPr>
          <w:p w14:paraId="607992E8"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-1,4</w:t>
            </w:r>
          </w:p>
        </w:tc>
        <w:tc>
          <w:tcPr>
            <w:tcW w:w="0" w:type="auto"/>
            <w:noWrap/>
            <w:hideMark/>
          </w:tcPr>
          <w:p w14:paraId="3305C186"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0,2</w:t>
            </w:r>
          </w:p>
        </w:tc>
        <w:tc>
          <w:tcPr>
            <w:tcW w:w="0" w:type="auto"/>
            <w:noWrap/>
            <w:hideMark/>
          </w:tcPr>
          <w:p w14:paraId="7EDDFE8D"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-1,2</w:t>
            </w:r>
          </w:p>
        </w:tc>
      </w:tr>
      <w:tr w:rsidR="00994A6E" w:rsidRPr="00AD7E7D" w14:paraId="524FA529" w14:textId="77777777" w:rsidTr="008C56D0">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0C523A4B"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2024</w:t>
            </w:r>
          </w:p>
        </w:tc>
        <w:tc>
          <w:tcPr>
            <w:tcW w:w="1049" w:type="dxa"/>
            <w:hideMark/>
          </w:tcPr>
          <w:p w14:paraId="499309FD"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-0,2</w:t>
            </w:r>
          </w:p>
        </w:tc>
        <w:tc>
          <w:tcPr>
            <w:tcW w:w="0" w:type="auto"/>
            <w:hideMark/>
          </w:tcPr>
          <w:p w14:paraId="28F31856"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-2,7</w:t>
            </w:r>
          </w:p>
        </w:tc>
        <w:tc>
          <w:tcPr>
            <w:tcW w:w="0" w:type="auto"/>
            <w:hideMark/>
          </w:tcPr>
          <w:p w14:paraId="10F96486"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-0,9</w:t>
            </w:r>
          </w:p>
        </w:tc>
        <w:tc>
          <w:tcPr>
            <w:tcW w:w="0" w:type="auto"/>
            <w:noWrap/>
            <w:hideMark/>
          </w:tcPr>
          <w:p w14:paraId="4A9234E2"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-2,6</w:t>
            </w:r>
          </w:p>
        </w:tc>
        <w:tc>
          <w:tcPr>
            <w:tcW w:w="0" w:type="auto"/>
            <w:hideMark/>
          </w:tcPr>
          <w:p w14:paraId="66039186"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-0,8</w:t>
            </w:r>
          </w:p>
        </w:tc>
        <w:tc>
          <w:tcPr>
            <w:tcW w:w="0" w:type="auto"/>
            <w:hideMark/>
          </w:tcPr>
          <w:p w14:paraId="31F2B033"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-2,2</w:t>
            </w:r>
          </w:p>
        </w:tc>
        <w:tc>
          <w:tcPr>
            <w:tcW w:w="0" w:type="auto"/>
            <w:noWrap/>
            <w:hideMark/>
          </w:tcPr>
          <w:p w14:paraId="465E6B4B"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-0,4</w:t>
            </w:r>
          </w:p>
        </w:tc>
        <w:tc>
          <w:tcPr>
            <w:tcW w:w="0" w:type="auto"/>
            <w:noWrap/>
            <w:hideMark/>
          </w:tcPr>
          <w:p w14:paraId="2F470320"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0,3</w:t>
            </w:r>
          </w:p>
        </w:tc>
      </w:tr>
      <w:tr w:rsidR="00994A6E" w:rsidRPr="00AD7E7D" w14:paraId="2E1C0C24"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547FFB1F"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2025</w:t>
            </w:r>
          </w:p>
        </w:tc>
        <w:tc>
          <w:tcPr>
            <w:tcW w:w="1049" w:type="dxa"/>
            <w:hideMark/>
          </w:tcPr>
          <w:p w14:paraId="4CD1BD50"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0,0</w:t>
            </w:r>
          </w:p>
        </w:tc>
        <w:tc>
          <w:tcPr>
            <w:tcW w:w="0" w:type="auto"/>
            <w:hideMark/>
          </w:tcPr>
          <w:p w14:paraId="255872DE"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-3,0</w:t>
            </w:r>
          </w:p>
        </w:tc>
        <w:tc>
          <w:tcPr>
            <w:tcW w:w="0" w:type="auto"/>
            <w:hideMark/>
          </w:tcPr>
          <w:p w14:paraId="4D3B6918"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-1,0</w:t>
            </w:r>
          </w:p>
        </w:tc>
        <w:tc>
          <w:tcPr>
            <w:tcW w:w="0" w:type="auto"/>
            <w:noWrap/>
            <w:hideMark/>
          </w:tcPr>
          <w:p w14:paraId="7B3B8B44"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-3,0</w:t>
            </w:r>
          </w:p>
        </w:tc>
        <w:tc>
          <w:tcPr>
            <w:tcW w:w="0" w:type="auto"/>
            <w:hideMark/>
          </w:tcPr>
          <w:p w14:paraId="365AAFD5"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-1,0</w:t>
            </w:r>
          </w:p>
        </w:tc>
        <w:tc>
          <w:tcPr>
            <w:tcW w:w="0" w:type="auto"/>
            <w:hideMark/>
          </w:tcPr>
          <w:p w14:paraId="5018493B"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-2,3</w:t>
            </w:r>
          </w:p>
        </w:tc>
        <w:tc>
          <w:tcPr>
            <w:tcW w:w="0" w:type="auto"/>
            <w:noWrap/>
            <w:hideMark/>
          </w:tcPr>
          <w:p w14:paraId="4EBE47E1"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-0,3</w:t>
            </w:r>
          </w:p>
        </w:tc>
        <w:tc>
          <w:tcPr>
            <w:tcW w:w="0" w:type="auto"/>
            <w:noWrap/>
            <w:hideMark/>
          </w:tcPr>
          <w:p w14:paraId="74D86EB5"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0,2</w:t>
            </w:r>
          </w:p>
        </w:tc>
      </w:tr>
      <w:tr w:rsidR="00994A6E" w:rsidRPr="00AD7E7D" w14:paraId="5ED38BCC" w14:textId="77777777" w:rsidTr="008C56D0">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050A9A9F"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2026</w:t>
            </w:r>
          </w:p>
        </w:tc>
        <w:tc>
          <w:tcPr>
            <w:tcW w:w="1049" w:type="dxa"/>
            <w:hideMark/>
          </w:tcPr>
          <w:p w14:paraId="02DA7B90"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0,0</w:t>
            </w:r>
          </w:p>
        </w:tc>
        <w:tc>
          <w:tcPr>
            <w:tcW w:w="0" w:type="auto"/>
            <w:hideMark/>
          </w:tcPr>
          <w:p w14:paraId="12C306D3"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-3,0</w:t>
            </w:r>
          </w:p>
        </w:tc>
        <w:tc>
          <w:tcPr>
            <w:tcW w:w="0" w:type="auto"/>
            <w:hideMark/>
          </w:tcPr>
          <w:p w14:paraId="5EE99961"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-1,0</w:t>
            </w:r>
          </w:p>
        </w:tc>
        <w:tc>
          <w:tcPr>
            <w:tcW w:w="0" w:type="auto"/>
            <w:noWrap/>
            <w:hideMark/>
          </w:tcPr>
          <w:p w14:paraId="42AE0F15"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-3,0</w:t>
            </w:r>
          </w:p>
        </w:tc>
        <w:tc>
          <w:tcPr>
            <w:tcW w:w="0" w:type="auto"/>
            <w:hideMark/>
          </w:tcPr>
          <w:p w14:paraId="2A85613C"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-1,0</w:t>
            </w:r>
          </w:p>
        </w:tc>
        <w:tc>
          <w:tcPr>
            <w:tcW w:w="0" w:type="auto"/>
            <w:hideMark/>
          </w:tcPr>
          <w:p w14:paraId="59F01502"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-1,7</w:t>
            </w:r>
          </w:p>
        </w:tc>
        <w:tc>
          <w:tcPr>
            <w:tcW w:w="0" w:type="auto"/>
            <w:noWrap/>
            <w:hideMark/>
          </w:tcPr>
          <w:p w14:paraId="6A62E23D"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0,3</w:t>
            </w:r>
          </w:p>
        </w:tc>
        <w:tc>
          <w:tcPr>
            <w:tcW w:w="0" w:type="auto"/>
            <w:noWrap/>
            <w:hideMark/>
          </w:tcPr>
          <w:p w14:paraId="6E8E294E" w14:textId="77777777" w:rsidR="00994A6E" w:rsidRPr="0058732C" w:rsidRDefault="00994A6E" w:rsidP="008C56D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0,0</w:t>
            </w:r>
          </w:p>
        </w:tc>
      </w:tr>
      <w:tr w:rsidR="00994A6E" w:rsidRPr="00AD7E7D" w14:paraId="5B7B5E55" w14:textId="77777777" w:rsidTr="008C56D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4A6F1B0" w14:textId="77777777" w:rsidR="00994A6E" w:rsidRPr="0058732C" w:rsidRDefault="00994A6E" w:rsidP="008C56D0">
            <w:pPr>
              <w:jc w:val="left"/>
              <w:rPr>
                <w:rFonts w:eastAsia="Times New Roman" w:cs="Times New Roman"/>
                <w:sz w:val="18"/>
                <w:szCs w:val="18"/>
              </w:rPr>
            </w:pPr>
            <w:r w:rsidRPr="0058732C">
              <w:rPr>
                <w:rFonts w:eastAsia="Times New Roman" w:cs="Times New Roman"/>
                <w:sz w:val="18"/>
                <w:szCs w:val="18"/>
              </w:rPr>
              <w:t>2027</w:t>
            </w:r>
          </w:p>
        </w:tc>
        <w:tc>
          <w:tcPr>
            <w:tcW w:w="1049" w:type="dxa"/>
            <w:hideMark/>
          </w:tcPr>
          <w:p w14:paraId="4392F24F"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0,7</w:t>
            </w:r>
          </w:p>
        </w:tc>
        <w:tc>
          <w:tcPr>
            <w:tcW w:w="0" w:type="auto"/>
            <w:hideMark/>
          </w:tcPr>
          <w:p w14:paraId="7766A6D3"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-3,0</w:t>
            </w:r>
          </w:p>
        </w:tc>
        <w:tc>
          <w:tcPr>
            <w:tcW w:w="0" w:type="auto"/>
            <w:hideMark/>
          </w:tcPr>
          <w:p w14:paraId="381ADC99"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-1,1</w:t>
            </w:r>
          </w:p>
        </w:tc>
        <w:tc>
          <w:tcPr>
            <w:tcW w:w="0" w:type="auto"/>
            <w:hideMark/>
          </w:tcPr>
          <w:p w14:paraId="798D9B71"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-3,2</w:t>
            </w:r>
          </w:p>
        </w:tc>
        <w:tc>
          <w:tcPr>
            <w:tcW w:w="0" w:type="auto"/>
            <w:hideMark/>
          </w:tcPr>
          <w:p w14:paraId="4891314A"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-1,3</w:t>
            </w:r>
          </w:p>
        </w:tc>
        <w:tc>
          <w:tcPr>
            <w:tcW w:w="0" w:type="auto"/>
            <w:hideMark/>
          </w:tcPr>
          <w:p w14:paraId="051CCBD0"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-1,7</w:t>
            </w:r>
          </w:p>
        </w:tc>
        <w:tc>
          <w:tcPr>
            <w:tcW w:w="0" w:type="auto"/>
            <w:hideMark/>
          </w:tcPr>
          <w:p w14:paraId="3CC39B91"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0,2</w:t>
            </w:r>
          </w:p>
        </w:tc>
        <w:tc>
          <w:tcPr>
            <w:tcW w:w="0" w:type="auto"/>
            <w:noWrap/>
            <w:hideMark/>
          </w:tcPr>
          <w:p w14:paraId="3733DB93" w14:textId="77777777" w:rsidR="00994A6E" w:rsidRPr="0058732C" w:rsidRDefault="00994A6E" w:rsidP="008C56D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8732C">
              <w:rPr>
                <w:rFonts w:eastAsia="Times New Roman" w:cs="Times New Roman"/>
                <w:sz w:val="20"/>
                <w:szCs w:val="20"/>
              </w:rPr>
              <w:t>0,3</w:t>
            </w:r>
          </w:p>
        </w:tc>
      </w:tr>
    </w:tbl>
    <w:p w14:paraId="26DECB1B" w14:textId="77777777" w:rsidR="00994A6E" w:rsidRPr="00010E52" w:rsidRDefault="00994A6E" w:rsidP="00994A6E">
      <w:pPr>
        <w:shd w:val="clear" w:color="auto" w:fill="FFFFFF" w:themeFill="background1"/>
        <w:spacing w:after="0" w:line="276" w:lineRule="auto"/>
        <w:rPr>
          <w:rFonts w:eastAsia="MS PGothic" w:cs="Times New Roman"/>
          <w:sz w:val="22"/>
          <w:szCs w:val="24"/>
          <w:lang w:val="sr-Cyrl-RS" w:eastAsia="ja-JP"/>
        </w:rPr>
      </w:pPr>
      <w:r w:rsidRPr="00010E52">
        <w:rPr>
          <w:rFonts w:eastAsia="MS PGothic" w:cs="Times New Roman"/>
          <w:bCs/>
          <w:sz w:val="22"/>
          <w:szCs w:val="24"/>
          <w:lang w:val="sr-Cyrl-RS" w:eastAsia="ja-JP"/>
        </w:rPr>
        <w:t xml:space="preserve">* </w:t>
      </w:r>
      <w:r w:rsidRPr="00231938">
        <w:rPr>
          <w:rFonts w:eastAsia="MS PGothic" w:cs="Times New Roman"/>
          <w:bCs/>
          <w:sz w:val="22"/>
          <w:szCs w:val="24"/>
          <w:lang w:val="sr-Cyrl-RS" w:eastAsia="ja-JP"/>
        </w:rPr>
        <w:t>For the period 2024–2027, the projected values are presented</w:t>
      </w:r>
      <w:r w:rsidRPr="00010E52">
        <w:rPr>
          <w:rFonts w:eastAsia="MS PGothic" w:cs="Times New Roman"/>
          <w:sz w:val="22"/>
          <w:szCs w:val="24"/>
          <w:lang w:val="sr-Cyrl-RS" w:eastAsia="ja-JP"/>
        </w:rPr>
        <w:t>.</w:t>
      </w:r>
    </w:p>
    <w:p w14:paraId="4C2297AF" w14:textId="77777777" w:rsidR="00994A6E" w:rsidRPr="00010E52" w:rsidRDefault="00994A6E" w:rsidP="00994A6E">
      <w:pPr>
        <w:shd w:val="clear" w:color="auto" w:fill="FFFFFF" w:themeFill="background1"/>
        <w:spacing w:after="0" w:line="276" w:lineRule="auto"/>
        <w:rPr>
          <w:rFonts w:eastAsia="MS PGothic" w:cs="Times New Roman"/>
          <w:bCs/>
          <w:sz w:val="22"/>
          <w:szCs w:val="24"/>
          <w:lang w:val="sr-Cyrl-CS" w:eastAsia="ja-JP"/>
        </w:rPr>
      </w:pPr>
      <w:r w:rsidRPr="00010E52">
        <w:rPr>
          <w:rFonts w:eastAsia="MS PGothic" w:cs="Times New Roman"/>
          <w:bCs/>
          <w:sz w:val="22"/>
          <w:szCs w:val="24"/>
          <w:lang w:val="sr-Cyrl-RS" w:eastAsia="ja-JP"/>
        </w:rPr>
        <w:t xml:space="preserve">** </w:t>
      </w:r>
      <w:r w:rsidRPr="00231938">
        <w:rPr>
          <w:rFonts w:eastAsia="MS PGothic" w:cs="Times New Roman"/>
          <w:bCs/>
          <w:sz w:val="22"/>
          <w:szCs w:val="24"/>
          <w:lang w:val="sr-Cyrl-RS" w:eastAsia="ja-JP"/>
        </w:rPr>
        <w:t>The structural balances were obtained by excluding estimated one-time revenues and expenses. For the period from 2024 to 2027, one-time expenses include part of the capital expenditures for the EXPO 2027 exhibition, as well as part of the expenses for military equipment</w:t>
      </w:r>
      <w:r w:rsidRPr="00010E52">
        <w:rPr>
          <w:rFonts w:eastAsia="MS PGothic" w:cs="Times New Roman"/>
          <w:bCs/>
          <w:sz w:val="22"/>
          <w:szCs w:val="24"/>
          <w:lang w:val="sr-Cyrl-CS" w:eastAsia="ja-JP"/>
        </w:rPr>
        <w:t xml:space="preserve">. </w:t>
      </w:r>
    </w:p>
    <w:p w14:paraId="6621FC59" w14:textId="77777777" w:rsidR="00994A6E" w:rsidRDefault="00994A6E" w:rsidP="00994A6E">
      <w:pPr>
        <w:spacing w:line="276" w:lineRule="auto"/>
        <w:rPr>
          <w:rFonts w:eastAsia="Calibri" w:cs="Times New Roman"/>
          <w:sz w:val="22"/>
          <w:szCs w:val="24"/>
          <w:lang w:val="sr-Cyrl-RS"/>
        </w:rPr>
      </w:pPr>
      <w:r w:rsidRPr="00231938">
        <w:rPr>
          <w:rFonts w:eastAsia="Calibri" w:cs="Times New Roman"/>
          <w:sz w:val="22"/>
          <w:szCs w:val="24"/>
          <w:lang w:val="sr-Cyrl-RS"/>
        </w:rPr>
        <w:t xml:space="preserve">Source: Ministry of Finance </w:t>
      </w:r>
    </w:p>
    <w:p w14:paraId="36E41BA3" w14:textId="489A9A2F" w:rsidR="00994A6E" w:rsidRDefault="00994A6E" w:rsidP="00994A6E">
      <w:pPr>
        <w:spacing w:after="0"/>
        <w:rPr>
          <w:rFonts w:cs="Times New Roman"/>
          <w:i/>
          <w:szCs w:val="24"/>
          <w:lang w:val="sr-Cyrl-RS"/>
        </w:rPr>
      </w:pPr>
      <w:r>
        <w:rPr>
          <w:rFonts w:cs="Times New Roman"/>
          <w:i/>
          <w:szCs w:val="24"/>
        </w:rPr>
        <w:t>Graph</w:t>
      </w:r>
      <w:r w:rsidRPr="00010E52">
        <w:rPr>
          <w:rFonts w:cs="Times New Roman"/>
          <w:i/>
          <w:szCs w:val="24"/>
          <w:lang w:val="sr-Cyrl-RS"/>
        </w:rPr>
        <w:t xml:space="preserve"> 1</w:t>
      </w:r>
      <w:r>
        <w:rPr>
          <w:rFonts w:cs="Times New Roman"/>
          <w:i/>
          <w:szCs w:val="24"/>
          <w:lang w:val="sr-Latn-RS"/>
        </w:rPr>
        <w:t>0</w:t>
      </w:r>
      <w:r w:rsidRPr="00010E52">
        <w:rPr>
          <w:rFonts w:cs="Times New Roman"/>
          <w:i/>
          <w:szCs w:val="24"/>
          <w:lang w:val="sr-Cyrl-RS"/>
        </w:rPr>
        <w:t xml:space="preserve">. </w:t>
      </w:r>
      <w:r w:rsidRPr="001B2855">
        <w:rPr>
          <w:rFonts w:cs="Times New Roman"/>
          <w:i/>
          <w:szCs w:val="24"/>
          <w:lang w:val="sr-Cyrl-RS"/>
        </w:rPr>
        <w:t>Output gap, Cyclically adjusted fiscal balance and Structural fiscal balance, from 2005 to 2027, % of GDP</w:t>
      </w:r>
      <w:r>
        <w:rPr>
          <w:rFonts w:cs="Times New Roman"/>
          <w:i/>
          <w:szCs w:val="24"/>
          <w:lang w:val="sr-Cyrl-RS"/>
        </w:rPr>
        <w:t>*</w:t>
      </w:r>
    </w:p>
    <w:p w14:paraId="6804FEAD" w14:textId="77777777" w:rsidR="00994A6E" w:rsidRPr="00010E52" w:rsidRDefault="00994A6E" w:rsidP="00994A6E">
      <w:pPr>
        <w:spacing w:after="0"/>
        <w:rPr>
          <w:rFonts w:cs="Times New Roman"/>
          <w:i/>
          <w:szCs w:val="24"/>
          <w:lang w:val="sr-Cyrl-RS" w:eastAsia="sr-Cyrl-RS"/>
        </w:rPr>
      </w:pPr>
      <w:r w:rsidRPr="00291CD5">
        <w:rPr>
          <w:noProof/>
        </w:rPr>
        <w:drawing>
          <wp:inline distT="0" distB="0" distL="0" distR="0" wp14:anchorId="410551D4" wp14:editId="042112C1">
            <wp:extent cx="5749747" cy="2362200"/>
            <wp:effectExtent l="0" t="0" r="0" b="0"/>
            <wp:docPr id="332543236" name="Chart 332543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AB111C" w14:textId="77777777" w:rsidR="00994A6E" w:rsidRPr="00010E52" w:rsidRDefault="00994A6E" w:rsidP="00994A6E">
      <w:pPr>
        <w:spacing w:after="180"/>
        <w:rPr>
          <w:rFonts w:eastAsia="MS PGothic" w:cs="Times New Roman"/>
          <w:sz w:val="22"/>
          <w:szCs w:val="24"/>
          <w:lang w:val="sr-Cyrl-RS" w:eastAsia="ja-JP"/>
        </w:rPr>
      </w:pPr>
      <w:r w:rsidRPr="00010E52">
        <w:rPr>
          <w:rFonts w:eastAsia="MS PGothic" w:cs="Times New Roman"/>
          <w:i/>
          <w:sz w:val="22"/>
          <w:szCs w:val="24"/>
          <w:lang w:val="sr-Cyrl-RS" w:eastAsia="ja-JP"/>
        </w:rPr>
        <w:t>*</w:t>
      </w:r>
      <w:r w:rsidRPr="00010E52">
        <w:rPr>
          <w:rFonts w:eastAsia="MS PGothic" w:cs="Times New Roman"/>
          <w:i/>
          <w:sz w:val="22"/>
          <w:szCs w:val="24"/>
          <w:lang w:val="sr-Latn-RS" w:eastAsia="ja-JP"/>
        </w:rPr>
        <w:t xml:space="preserve"> </w:t>
      </w:r>
      <w:r w:rsidRPr="001B2855">
        <w:rPr>
          <w:rFonts w:eastAsia="MS PGothic" w:cs="Times New Roman"/>
          <w:i/>
          <w:sz w:val="22"/>
          <w:szCs w:val="24"/>
          <w:lang w:val="sr-Latn-RS" w:eastAsia="ja-JP"/>
        </w:rPr>
        <w:t>For the period 2024–2027, the projected values are shown</w:t>
      </w:r>
      <w:r w:rsidRPr="001B2855" w:rsidDel="001B2855">
        <w:rPr>
          <w:rFonts w:eastAsia="MS PGothic" w:cs="Times New Roman"/>
          <w:i/>
          <w:sz w:val="22"/>
          <w:szCs w:val="24"/>
          <w:lang w:val="sr-Latn-RS" w:eastAsia="ja-JP"/>
        </w:rPr>
        <w:t xml:space="preserve"> </w:t>
      </w:r>
    </w:p>
    <w:p w14:paraId="17BC25FB" w14:textId="77777777" w:rsidR="00994A6E" w:rsidRPr="00010E52" w:rsidRDefault="00994A6E" w:rsidP="00994A6E">
      <w:pPr>
        <w:keepNext/>
        <w:spacing w:after="0"/>
        <w:rPr>
          <w:rFonts w:cs="Times New Roman"/>
          <w:i/>
          <w:szCs w:val="24"/>
          <w:lang w:val="sr-Cyrl-RS"/>
        </w:rPr>
      </w:pPr>
      <w:r w:rsidRPr="004D1E81">
        <w:rPr>
          <w:rFonts w:cs="Times New Roman"/>
          <w:i/>
          <w:szCs w:val="24"/>
          <w:lang w:val="sr-Cyrl-RS"/>
        </w:rPr>
        <w:lastRenderedPageBreak/>
        <w:t>Graph</w:t>
      </w:r>
      <w:r w:rsidRPr="004D1E81" w:rsidDel="004D1E81">
        <w:rPr>
          <w:rFonts w:cs="Times New Roman"/>
          <w:i/>
          <w:szCs w:val="24"/>
          <w:lang w:val="sr-Cyrl-RS"/>
        </w:rPr>
        <w:t xml:space="preserve"> </w:t>
      </w:r>
      <w:r w:rsidRPr="00010E52">
        <w:rPr>
          <w:rFonts w:cs="Times New Roman"/>
          <w:i/>
          <w:szCs w:val="24"/>
          <w:lang w:val="sr-Cyrl-RS"/>
        </w:rPr>
        <w:t xml:space="preserve"> 1</w:t>
      </w:r>
      <w:r>
        <w:rPr>
          <w:rFonts w:cs="Times New Roman"/>
          <w:i/>
          <w:szCs w:val="24"/>
          <w:lang w:val="sr-Latn-RS"/>
        </w:rPr>
        <w:t>1</w:t>
      </w:r>
      <w:r w:rsidRPr="00010E52">
        <w:rPr>
          <w:rFonts w:cs="Times New Roman"/>
          <w:i/>
          <w:szCs w:val="24"/>
          <w:lang w:val="sr-Cyrl-RS"/>
        </w:rPr>
        <w:t xml:space="preserve">. </w:t>
      </w:r>
      <w:r w:rsidRPr="001B2855">
        <w:rPr>
          <w:rFonts w:cs="Times New Roman"/>
          <w:i/>
          <w:szCs w:val="24"/>
          <w:lang w:val="sr-Cyrl-RS"/>
        </w:rPr>
        <w:t>The character and effects of fiscal policy in the period 2006–2027, % of GDP</w:t>
      </w:r>
      <w:r w:rsidRPr="001B2855" w:rsidDel="001B2855">
        <w:rPr>
          <w:rFonts w:cs="Times New Roman"/>
          <w:i/>
          <w:szCs w:val="24"/>
          <w:lang w:val="sr-Cyrl-RS"/>
        </w:rPr>
        <w:t xml:space="preserve"> </w:t>
      </w:r>
      <w:r w:rsidRPr="00010E52">
        <w:rPr>
          <w:rFonts w:cs="Times New Roman"/>
          <w:i/>
          <w:szCs w:val="24"/>
          <w:lang w:val="sr-Cyrl-RS"/>
        </w:rPr>
        <w:t>*</w:t>
      </w:r>
    </w:p>
    <w:p w14:paraId="2809DA9D" w14:textId="77777777" w:rsidR="00994A6E" w:rsidRDefault="00994A6E" w:rsidP="00994A6E">
      <w:pPr>
        <w:rPr>
          <w:rFonts w:cs="Times New Roman"/>
          <w:sz w:val="22"/>
          <w:szCs w:val="24"/>
          <w:lang w:val="sr-Cyrl-RS" w:eastAsia="ja-JP"/>
        </w:rPr>
      </w:pPr>
      <w:r w:rsidRPr="00291CD5">
        <w:rPr>
          <w:noProof/>
        </w:rPr>
        <w:drawing>
          <wp:inline distT="0" distB="0" distL="0" distR="0" wp14:anchorId="03D91656" wp14:editId="3A3A98C4">
            <wp:extent cx="5698541" cy="2470150"/>
            <wp:effectExtent l="0" t="0" r="0" b="6350"/>
            <wp:docPr id="332543237" name="Chart 332543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147701" w14:textId="77777777" w:rsidR="00994A6E" w:rsidRPr="006C46A3" w:rsidRDefault="00994A6E" w:rsidP="00994A6E">
      <w:pPr>
        <w:rPr>
          <w:rFonts w:cs="Times New Roman"/>
          <w:szCs w:val="24"/>
          <w:lang w:val="sr-Cyrl-RS" w:eastAsia="ja-JP"/>
        </w:rPr>
      </w:pPr>
      <w:r w:rsidRPr="006C46A3">
        <w:rPr>
          <w:rFonts w:cs="Times New Roman"/>
          <w:sz w:val="22"/>
          <w:szCs w:val="24"/>
          <w:lang w:val="sr-Cyrl-RS" w:eastAsia="ja-JP"/>
        </w:rPr>
        <w:t>*</w:t>
      </w:r>
      <w:r w:rsidRPr="006C46A3">
        <w:rPr>
          <w:rFonts w:cs="Times New Roman"/>
          <w:sz w:val="22"/>
          <w:szCs w:val="24"/>
          <w:lang w:val="sr-Latn-RS" w:eastAsia="ja-JP"/>
        </w:rPr>
        <w:t xml:space="preserve"> </w:t>
      </w:r>
      <w:r w:rsidRPr="001B2855">
        <w:rPr>
          <w:rFonts w:cs="Times New Roman"/>
          <w:sz w:val="22"/>
          <w:szCs w:val="24"/>
          <w:lang w:val="sr-Latn-RS" w:eastAsia="ja-JP"/>
        </w:rPr>
        <w:t>For the period 2024–2027, the projected values are shown</w:t>
      </w:r>
      <w:r w:rsidRPr="001B2855" w:rsidDel="001B2855">
        <w:rPr>
          <w:rFonts w:cs="Times New Roman"/>
          <w:sz w:val="22"/>
          <w:szCs w:val="24"/>
          <w:lang w:val="sr-Latn-RS" w:eastAsia="ja-JP"/>
        </w:rPr>
        <w:t xml:space="preserve"> </w:t>
      </w:r>
    </w:p>
    <w:p w14:paraId="35261D28" w14:textId="77777777" w:rsidR="00994A6E" w:rsidRPr="00AD7E7D" w:rsidRDefault="00994A6E" w:rsidP="00994A6E">
      <w:pPr>
        <w:rPr>
          <w:rFonts w:cs="Times New Roman"/>
          <w:szCs w:val="24"/>
          <w:lang w:eastAsia="ja-JP"/>
        </w:rPr>
      </w:pPr>
      <w:r w:rsidRPr="004D1E81">
        <w:rPr>
          <w:rFonts w:eastAsia="Calibri" w:cs="Times New Roman"/>
          <w:bCs/>
          <w:szCs w:val="24"/>
        </w:rPr>
        <w:t>The structural fiscal position of the country was not compromised between 2020 and 2022, because the measures of support to the economy and population within the fiscal policy domain were of a temporary nature. Furthermore, the energy crisis led to significant state interventions in ensuring energy stability in 2022. For these needs, 2,7% of GDP was spent. In 2022, support to the population was also provided, amounting to 0,9% of GDP. In addition to increased expenditures for energy resources, support to the population and the economy was ensured by reducing excise duties on petroleum products</w:t>
      </w:r>
      <w:r w:rsidRPr="00AD7E7D">
        <w:rPr>
          <w:rFonts w:cs="Times New Roman"/>
          <w:szCs w:val="24"/>
          <w:lang w:eastAsia="ja-JP"/>
        </w:rPr>
        <w:t>.</w:t>
      </w:r>
    </w:p>
    <w:p w14:paraId="12395F6D" w14:textId="77777777" w:rsidR="00994A6E" w:rsidRPr="00AD7E7D" w:rsidRDefault="00994A6E" w:rsidP="00994A6E">
      <w:pPr>
        <w:rPr>
          <w:rFonts w:cs="Times New Roman"/>
          <w:szCs w:val="24"/>
          <w:lang w:eastAsia="ja-JP"/>
        </w:rPr>
      </w:pPr>
      <w:r w:rsidRPr="004D1E81">
        <w:rPr>
          <w:rFonts w:cs="Times New Roman"/>
          <w:bCs/>
          <w:szCs w:val="24"/>
          <w:lang w:eastAsia="ja-JP"/>
        </w:rPr>
        <w:t>During 2023, the change in the structural position of the general government sector was partly conditioned by the modification of the pension indexation formula in accordance with special fiscal rules, as well as by extraordinary pension increases in 2022 and 2023. The special fiscal rule introduces a direct link between the method of pension indexation and the share of this expenditure in GDP. This systemic solution ensures that pensioners' incomes and living standards more accurately reflect the economic strength of the country, without compromising the sustainability of public finances. The remainder of the slight deterioration in the structural fiscal position is also due to the increased share of interest expenses in GDP. The higher borrowing costs, as a result of measures to curb inflationary pressures in both the domestic and international markets, will undoubtedly have a similarly negative impact in the period ahead</w:t>
      </w:r>
      <w:r w:rsidRPr="00AD7E7D">
        <w:rPr>
          <w:rFonts w:cs="Times New Roman"/>
          <w:szCs w:val="24"/>
          <w:lang w:eastAsia="ja-JP"/>
        </w:rPr>
        <w:t>.</w:t>
      </w:r>
    </w:p>
    <w:p w14:paraId="3E0E8E8C" w14:textId="77777777" w:rsidR="00994A6E" w:rsidRPr="00AD7E7D" w:rsidRDefault="00994A6E" w:rsidP="00994A6E">
      <w:pPr>
        <w:rPr>
          <w:rFonts w:cs="Times New Roman"/>
          <w:szCs w:val="24"/>
          <w:lang w:eastAsia="ja-JP"/>
        </w:rPr>
      </w:pPr>
      <w:r w:rsidRPr="004D1E81">
        <w:rPr>
          <w:rFonts w:cs="Times New Roman"/>
          <w:szCs w:val="24"/>
          <w:lang w:eastAsia="ja-JP"/>
        </w:rPr>
        <w:t>An extraordinary pension increase at the end of 2023, as well as a significant increase in parental allowances in 2024, will have a carryover effect on the structural balance dynamics during the following period. However, this fiscal framework also sets the trajectory and upper limit for the structural fiscal result, with the primary goal of ensuring a sustainable level and declining path for public debt. In the period from 2023 to 2025, the growth in interest expenditures will somewhat increase the level of the structural deficit. After that, the gradual reduction in the share of interest payments in GDP will create space for increasing other productive forms of expenditure</w:t>
      </w:r>
      <w:r w:rsidRPr="00AD7E7D">
        <w:rPr>
          <w:rFonts w:cs="Times New Roman"/>
          <w:szCs w:val="24"/>
          <w:lang w:eastAsia="ja-JP"/>
        </w:rPr>
        <w:t>.</w:t>
      </w:r>
    </w:p>
    <w:p w14:paraId="4F7F624E" w14:textId="77777777" w:rsidR="00994A6E" w:rsidRPr="00AD7E7D" w:rsidRDefault="00994A6E" w:rsidP="00994A6E">
      <w:pPr>
        <w:spacing w:after="0"/>
        <w:rPr>
          <w:rFonts w:cs="Times New Roman"/>
          <w:szCs w:val="24"/>
          <w:lang w:val="sr-Cyrl-RS" w:eastAsia="ja-JP"/>
        </w:rPr>
      </w:pPr>
      <w:r w:rsidRPr="004D1E81">
        <w:rPr>
          <w:rFonts w:cs="Times New Roman"/>
          <w:szCs w:val="24"/>
          <w:lang w:eastAsia="ja-JP"/>
        </w:rPr>
        <w:t xml:space="preserve">Fiscal impulse is defined as the difference between two consecutive cyclically adjusted (primary) balances. It is assessed that fiscal policy in 2020 was strongly expansionary and counter-cyclical, aimed at mitigating the negative economic cycle. Due to a somewhat smaller scale of economic support measures in 2021, fiscal policy was more restrictive than the previous year, but still counter-cyclical in nature. For the period from 2022 to 2023, it was assessed that fiscal policy was mildly restrictive, despite significant expenditures for mitigating the energy crisis. This is partly a result of the growth in interest expenditures, which are </w:t>
      </w:r>
      <w:r w:rsidRPr="004D1E81">
        <w:rPr>
          <w:rFonts w:cs="Times New Roman"/>
          <w:szCs w:val="24"/>
          <w:lang w:eastAsia="ja-JP"/>
        </w:rPr>
        <w:lastRenderedPageBreak/>
        <w:t>excluded from the calculation of the primary balance. For the period from 2025 to 2027, in accordance with the planned fiscal framework, the assessed fiscal policy is mildly expansionary. The main reason for this is the implementation of a strong investment cycle for the needs of the EXPO 2027 event, as well as other major infrastructure projects, which will, even after their completion, contribute to an increase in the economic growth rate</w:t>
      </w:r>
      <w:r w:rsidRPr="00AD7E7D">
        <w:rPr>
          <w:rFonts w:cs="Times New Roman"/>
          <w:szCs w:val="24"/>
          <w:lang w:eastAsia="ja-JP"/>
        </w:rPr>
        <w:t>.</w:t>
      </w:r>
    </w:p>
    <w:p w14:paraId="64EB352F" w14:textId="77777777" w:rsidR="00994A6E" w:rsidRPr="00AD7E7D" w:rsidRDefault="00994A6E" w:rsidP="00994A6E">
      <w:pPr>
        <w:spacing w:after="0"/>
        <w:rPr>
          <w:rFonts w:cs="Times New Roman"/>
          <w:szCs w:val="24"/>
          <w:lang w:val="sr-Cyrl-RS"/>
        </w:rPr>
      </w:pPr>
    </w:p>
    <w:p w14:paraId="2E6426AA" w14:textId="77777777" w:rsidR="00994A6E" w:rsidRDefault="00994A6E" w:rsidP="00994A6E">
      <w:pPr>
        <w:spacing w:after="0"/>
        <w:rPr>
          <w:rFonts w:eastAsia="Calibri" w:cs="Times New Roman"/>
          <w:szCs w:val="24"/>
          <w:highlight w:val="yellow"/>
          <w:lang w:val="sr-Cyrl-RS"/>
        </w:rPr>
      </w:pPr>
      <w:r>
        <w:rPr>
          <w:rFonts w:cs="Times New Roman"/>
          <w:i/>
          <w:spacing w:val="-2"/>
          <w:szCs w:val="24"/>
        </w:rPr>
        <w:t>Graph</w:t>
      </w:r>
      <w:r w:rsidRPr="00010E52">
        <w:rPr>
          <w:rFonts w:cs="Times New Roman"/>
          <w:i/>
          <w:spacing w:val="-2"/>
          <w:szCs w:val="24"/>
          <w:lang w:val="sr-Cyrl-RS"/>
        </w:rPr>
        <w:t xml:space="preserve"> 1</w:t>
      </w:r>
      <w:r>
        <w:rPr>
          <w:rFonts w:cs="Times New Roman"/>
          <w:i/>
          <w:spacing w:val="-2"/>
          <w:szCs w:val="24"/>
          <w:lang w:val="sr-Latn-RS"/>
        </w:rPr>
        <w:t>2</w:t>
      </w:r>
      <w:r w:rsidRPr="00010E52">
        <w:rPr>
          <w:rFonts w:cs="Times New Roman"/>
          <w:i/>
          <w:spacing w:val="-2"/>
          <w:szCs w:val="24"/>
          <w:lang w:val="sr-Cyrl-RS"/>
        </w:rPr>
        <w:t xml:space="preserve">. </w:t>
      </w:r>
      <w:r w:rsidRPr="004D1E81">
        <w:rPr>
          <w:rFonts w:cs="Times New Roman"/>
          <w:i/>
          <w:spacing w:val="-2"/>
          <w:szCs w:val="24"/>
          <w:lang w:val="sr-Cyrl-RS"/>
        </w:rPr>
        <w:t>The character and effects of fiscal policy in the period 2006–2024, % of GDP</w:t>
      </w:r>
      <w:r w:rsidRPr="004D1E81" w:rsidDel="004D1E81">
        <w:rPr>
          <w:rFonts w:cs="Times New Roman"/>
          <w:i/>
          <w:spacing w:val="-2"/>
          <w:szCs w:val="24"/>
          <w:lang w:val="sr-Cyrl-RS"/>
        </w:rPr>
        <w:t xml:space="preserve"> </w:t>
      </w:r>
      <w:bookmarkStart w:id="31" w:name="_Toc530635111"/>
    </w:p>
    <w:p w14:paraId="532C1263" w14:textId="77777777" w:rsidR="00994A6E" w:rsidRPr="00AD7E7D" w:rsidRDefault="00994A6E" w:rsidP="00994A6E">
      <w:pPr>
        <w:spacing w:after="0"/>
        <w:rPr>
          <w:rFonts w:eastAsia="Calibri" w:cs="Times New Roman"/>
          <w:szCs w:val="24"/>
          <w:highlight w:val="yellow"/>
          <w:lang w:val="sr-Cyrl-RS"/>
        </w:rPr>
      </w:pPr>
      <w:r w:rsidRPr="0058732C">
        <w:rPr>
          <w:noProof/>
          <w:sz w:val="16"/>
          <w:szCs w:val="16"/>
        </w:rPr>
        <w:drawing>
          <wp:inline distT="0" distB="0" distL="0" distR="0" wp14:anchorId="75036187" wp14:editId="1DC17F71">
            <wp:extent cx="5617845" cy="2926080"/>
            <wp:effectExtent l="0" t="0" r="0" b="7620"/>
            <wp:docPr id="332543240" name="Chart 332543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CA3681" w14:textId="1E5DF21D" w:rsidR="00994A6E" w:rsidRPr="00915EC2" w:rsidRDefault="00994A6E" w:rsidP="00994A6E">
      <w:pPr>
        <w:pStyle w:val="Heading11"/>
        <w:spacing w:before="180" w:after="180"/>
        <w:rPr>
          <w:rFonts w:ascii="Times New Roman" w:hAnsi="Times New Roman" w:cs="Times New Roman"/>
          <w:color w:val="auto"/>
          <w:sz w:val="24"/>
          <w:szCs w:val="24"/>
          <w:lang w:val="sr-Latn-RS"/>
        </w:rPr>
      </w:pPr>
      <w:bookmarkStart w:id="32" w:name="_Toc192759981"/>
      <w:bookmarkStart w:id="33" w:name="_Toc185342337"/>
      <w:r w:rsidRPr="00915EC2">
        <w:rPr>
          <w:rFonts w:ascii="Times New Roman" w:hAnsi="Times New Roman" w:cs="Times New Roman"/>
          <w:color w:val="auto"/>
          <w:sz w:val="24"/>
          <w:szCs w:val="24"/>
          <w:lang w:val="sr-Latn-RS"/>
        </w:rPr>
        <w:t xml:space="preserve">4.5. </w:t>
      </w:r>
      <w:bookmarkEnd w:id="31"/>
      <w:r w:rsidR="001956F9">
        <w:rPr>
          <w:rFonts w:ascii="Times New Roman" w:hAnsi="Times New Roman" w:cs="Times New Roman"/>
          <w:color w:val="auto"/>
          <w:sz w:val="24"/>
          <w:szCs w:val="24"/>
          <w:lang w:val="sr-Latn-RS"/>
        </w:rPr>
        <w:t>PUBLIC DEBT MANAGEMENT</w:t>
      </w:r>
      <w:bookmarkEnd w:id="32"/>
      <w:r w:rsidRPr="00BA737A" w:rsidDel="008D5F8E">
        <w:rPr>
          <w:rFonts w:ascii="Times New Roman" w:hAnsi="Times New Roman" w:cs="Times New Roman"/>
          <w:color w:val="auto"/>
          <w:sz w:val="24"/>
          <w:szCs w:val="24"/>
          <w:lang w:val="sr-Latn-RS"/>
        </w:rPr>
        <w:t xml:space="preserve"> </w:t>
      </w:r>
      <w:bookmarkEnd w:id="33"/>
    </w:p>
    <w:p w14:paraId="016AF75A" w14:textId="77777777" w:rsidR="00B36449" w:rsidRPr="00B36449" w:rsidRDefault="00B36449" w:rsidP="00B36449">
      <w:pPr>
        <w:rPr>
          <w:rFonts w:eastAsia="Calibri" w:cs="Times New Roman"/>
          <w:szCs w:val="24"/>
          <w:lang w:eastAsia="ja-JP"/>
        </w:rPr>
      </w:pPr>
      <w:bookmarkStart w:id="34" w:name="_Toc185342338"/>
      <w:r w:rsidRPr="00B36449">
        <w:rPr>
          <w:rFonts w:eastAsia="Calibri" w:cs="Times New Roman"/>
          <w:szCs w:val="24"/>
          <w:lang w:val="sr-Cyrl-RS" w:eastAsia="ja-JP"/>
        </w:rPr>
        <w:t>In accordance with international practice and the Law on Public Debt ("Official Gazette of the Republic of Serbia," Nos. 61/05, 107/09, 78/11, 68/15, 95/18, 91/19, and 149/20), the Public Debt Management Strategy for the upcoming medium-term period should be supported and consistent with the Government's overall medium-term macroeconomic framework and is an integral part of the Fiscal Strategy. The Public Debt Management Strategy is based on principles that define the need for a transparent and predictable borrowing process, with the continuous development of the government securities market and an acceptable level of exposure to financial risks</w:t>
      </w:r>
      <w:r w:rsidRPr="00B36449">
        <w:rPr>
          <w:rFonts w:eastAsia="Calibri" w:cs="Times New Roman"/>
          <w:szCs w:val="24"/>
          <w:lang w:eastAsia="ja-JP"/>
        </w:rPr>
        <w:t>.</w:t>
      </w:r>
    </w:p>
    <w:p w14:paraId="7F9FEF4A" w14:textId="77777777" w:rsidR="00B36449" w:rsidRPr="00B36449" w:rsidRDefault="00B36449" w:rsidP="00B36449">
      <w:pPr>
        <w:rPr>
          <w:rFonts w:eastAsia="Calibri" w:cs="Times New Roman"/>
          <w:szCs w:val="24"/>
          <w:lang w:val="sr-Latn-RS" w:eastAsia="ja-JP"/>
        </w:rPr>
      </w:pPr>
      <w:r w:rsidRPr="00B36449">
        <w:rPr>
          <w:rFonts w:eastAsia="Calibri" w:cs="Times New Roman"/>
          <w:szCs w:val="24"/>
          <w:lang w:val="sr-Cyrl-RS" w:eastAsia="ja-JP"/>
        </w:rPr>
        <w:t xml:space="preserve">As of the end of September 2024, the general government </w:t>
      </w:r>
      <w:r w:rsidRPr="00B36449">
        <w:rPr>
          <w:rFonts w:eastAsia="Calibri" w:cs="Times New Roman"/>
          <w:szCs w:val="24"/>
          <w:lang w:val="sr-Latn-RS" w:eastAsia="ja-JP"/>
        </w:rPr>
        <w:t xml:space="preserve">debt </w:t>
      </w:r>
      <w:r w:rsidRPr="00B36449">
        <w:rPr>
          <w:rFonts w:eastAsia="Calibri" w:cs="Times New Roman"/>
          <w:szCs w:val="24"/>
          <w:lang w:val="sr-Cyrl-RS" w:eastAsia="ja-JP"/>
        </w:rPr>
        <w:t xml:space="preserve">amounted to RSD 4,496.5 billion, </w:t>
      </w:r>
      <w:r w:rsidRPr="00B36449">
        <w:rPr>
          <w:rFonts w:eastAsia="Calibri" w:cs="Times New Roman"/>
          <w:lang w:val="en-GB"/>
        </w:rPr>
        <w:t>or</w:t>
      </w:r>
      <w:r w:rsidRPr="00B36449">
        <w:rPr>
          <w:rFonts w:eastAsia="Calibri" w:cs="Times New Roman"/>
          <w:szCs w:val="24"/>
          <w:lang w:val="sr-Cyrl-RS" w:eastAsia="ja-JP"/>
        </w:rPr>
        <w:t xml:space="preserve"> 46.8% of the</w:t>
      </w:r>
      <w:r w:rsidRPr="00B36449">
        <w:rPr>
          <w:rFonts w:eastAsia="Calibri" w:cs="Times New Roman"/>
          <w:szCs w:val="24"/>
          <w:lang w:val="sr-Latn-RS" w:eastAsia="ja-JP"/>
        </w:rPr>
        <w:t xml:space="preserve"> </w:t>
      </w:r>
      <w:r w:rsidRPr="00B36449">
        <w:rPr>
          <w:rFonts w:eastAsia="Calibri" w:cs="Times New Roman"/>
          <w:szCs w:val="24"/>
          <w:lang w:val="sr-Cyrl-RS" w:eastAsia="ja-JP"/>
        </w:rPr>
        <w:t>GDP. Of this total, RSD 4,467.0 billion referred to the</w:t>
      </w:r>
      <w:r w:rsidRPr="00B36449">
        <w:rPr>
          <w:rFonts w:eastAsia="Calibri" w:cs="Times New Roman"/>
          <w:szCs w:val="24"/>
          <w:lang w:val="sr-Latn-RS" w:eastAsia="ja-JP"/>
        </w:rPr>
        <w:t xml:space="preserve"> </w:t>
      </w:r>
      <w:r w:rsidRPr="00B36449">
        <w:rPr>
          <w:rFonts w:eastAsia="Calibri" w:cs="Times New Roman"/>
          <w:szCs w:val="24"/>
          <w:lang w:val="sr-Cyrl-RS" w:eastAsia="ja-JP"/>
        </w:rPr>
        <w:t>central government</w:t>
      </w:r>
      <w:r w:rsidRPr="00B36449">
        <w:rPr>
          <w:rFonts w:eastAsia="Calibri" w:cs="Times New Roman"/>
          <w:szCs w:val="24"/>
          <w:lang w:val="sr-Latn-RS" w:eastAsia="ja-JP"/>
        </w:rPr>
        <w:t xml:space="preserve"> debt</w:t>
      </w:r>
      <w:r w:rsidRPr="00B36449">
        <w:rPr>
          <w:rFonts w:eastAsia="Calibri" w:cs="Times New Roman"/>
          <w:szCs w:val="24"/>
          <w:lang w:val="sr-Cyrl-RS" w:eastAsia="ja-JP"/>
        </w:rPr>
        <w:t>, RSD 29.3 billion referred to the non-guaranteed debt of local governments</w:t>
      </w:r>
      <w:r w:rsidRPr="00B36449">
        <w:rPr>
          <w:rFonts w:eastAsia="Calibri" w:cs="Times New Roman"/>
          <w:szCs w:val="24"/>
          <w:lang w:val="sr-Latn-RS" w:eastAsia="ja-JP"/>
        </w:rPr>
        <w:t xml:space="preserve"> and </w:t>
      </w:r>
      <w:r w:rsidRPr="00B36449">
        <w:rPr>
          <w:rFonts w:eastAsia="Calibri" w:cs="Times New Roman"/>
          <w:szCs w:val="24"/>
          <w:lang w:val="sr-Cyrl-RS" w:eastAsia="ja-JP"/>
        </w:rPr>
        <w:t xml:space="preserve"> RSD 0.2 billion referred to non-guaranteed debt of the </w:t>
      </w:r>
      <w:r w:rsidRPr="00B36449">
        <w:rPr>
          <w:rFonts w:eastAsia="Calibri" w:cs="Times New Roman"/>
          <w:szCs w:val="24"/>
          <w:lang w:val="sr-Latn-RS" w:eastAsia="ja-JP"/>
        </w:rPr>
        <w:t>PE</w:t>
      </w:r>
      <w:r w:rsidRPr="00B36449">
        <w:rPr>
          <w:rFonts w:eastAsia="Calibri" w:cs="Times New Roman"/>
          <w:szCs w:val="24"/>
          <w:lang w:val="sr-Cyrl-RS" w:eastAsia="ja-JP"/>
        </w:rPr>
        <w:t xml:space="preserve"> Roads of Serbia and Corridors of Serbia LLC.</w:t>
      </w:r>
      <w:r w:rsidRPr="00B36449">
        <w:rPr>
          <w:rFonts w:eastAsia="Calibri" w:cs="Times New Roman"/>
          <w:szCs w:val="24"/>
          <w:lang w:val="sr-Latn-RS" w:eastAsia="ja-JP"/>
        </w:rPr>
        <w:t xml:space="preserve"> </w:t>
      </w:r>
      <w:r w:rsidRPr="00B36449">
        <w:rPr>
          <w:rFonts w:eastAsia="Calibri" w:cs="Times New Roman"/>
          <w:szCs w:val="24"/>
          <w:lang w:val="sr-Cyrl-RS" w:eastAsia="ja-JP"/>
        </w:rPr>
        <w:t>The direct public debt of the Republic of Serbia amounted to RSD 4,256.7 billion, while the indirect public debt totaled RSD 210.3 billion. The internal</w:t>
      </w:r>
      <w:r w:rsidRPr="00B36449">
        <w:rPr>
          <w:rFonts w:eastAsia="Calibri" w:cs="Times New Roman"/>
          <w:szCs w:val="24"/>
          <w:lang w:val="sr-Latn-RS" w:eastAsia="ja-JP"/>
        </w:rPr>
        <w:t xml:space="preserve"> public</w:t>
      </w:r>
      <w:r w:rsidRPr="00B36449">
        <w:rPr>
          <w:rFonts w:eastAsia="Calibri" w:cs="Times New Roman"/>
          <w:szCs w:val="24"/>
          <w:lang w:val="sr-Cyrl-RS" w:eastAsia="ja-JP"/>
        </w:rPr>
        <w:t xml:space="preserve"> debt of the Republic of Serbia amounted to RSD 1,285.1 billion, while the external </w:t>
      </w:r>
      <w:r w:rsidRPr="00B36449">
        <w:rPr>
          <w:rFonts w:eastAsia="Calibri" w:cs="Times New Roman"/>
          <w:szCs w:val="24"/>
          <w:lang w:val="sr-Latn-RS" w:eastAsia="ja-JP"/>
        </w:rPr>
        <w:t xml:space="preserve">public </w:t>
      </w:r>
      <w:r w:rsidRPr="00B36449">
        <w:rPr>
          <w:rFonts w:eastAsia="Calibri" w:cs="Times New Roman"/>
          <w:szCs w:val="24"/>
          <w:lang w:val="sr-Cyrl-RS" w:eastAsia="ja-JP"/>
        </w:rPr>
        <w:t>debt totaled RSD 3,181.9 billion.</w:t>
      </w:r>
      <w:r w:rsidRPr="00B36449">
        <w:rPr>
          <w:rFonts w:eastAsia="Calibri" w:cs="Times New Roman"/>
          <w:szCs w:val="24"/>
          <w:lang w:val="sr-Latn-RS" w:eastAsia="ja-JP"/>
        </w:rPr>
        <w:t xml:space="preserve"> </w:t>
      </w:r>
      <w:r w:rsidRPr="00B36449">
        <w:rPr>
          <w:rFonts w:eastAsia="Calibri" w:cs="Times New Roman"/>
          <w:szCs w:val="24"/>
          <w:lang w:val="sr-Cyrl-RS" w:eastAsia="ja-JP"/>
        </w:rPr>
        <w:t xml:space="preserve">Regarding the currency composition of the general government debt, as of September 30, 2024, the largest part of the currency structure was denominated in EUR, making up 58.6% of the total </w:t>
      </w:r>
      <w:r w:rsidRPr="00B36449">
        <w:rPr>
          <w:rFonts w:eastAsia="Calibri" w:cs="Times New Roman"/>
          <w:szCs w:val="24"/>
          <w:lang w:val="sr-Latn-RS" w:eastAsia="ja-JP"/>
        </w:rPr>
        <w:t xml:space="preserve">general government </w:t>
      </w:r>
      <w:r w:rsidRPr="00B36449">
        <w:rPr>
          <w:rFonts w:eastAsia="Calibri" w:cs="Times New Roman"/>
          <w:szCs w:val="24"/>
          <w:lang w:val="sr-Cyrl-RS" w:eastAsia="ja-JP"/>
        </w:rPr>
        <w:t xml:space="preserve">debt. This was followed by debt denominated in RSD at 21.9% and USD at 12.8%. The </w:t>
      </w:r>
      <w:r w:rsidRPr="00B36449">
        <w:rPr>
          <w:rFonts w:eastAsia="Calibri" w:cs="Times New Roman"/>
          <w:szCs w:val="24"/>
          <w:lang w:val="sr-Latn-RS" w:eastAsia="ja-JP"/>
        </w:rPr>
        <w:t>rest</w:t>
      </w:r>
      <w:r w:rsidRPr="00B36449">
        <w:rPr>
          <w:rFonts w:eastAsia="Calibri" w:cs="Times New Roman"/>
          <w:szCs w:val="24"/>
          <w:lang w:val="sr-Cyrl-RS" w:eastAsia="ja-JP"/>
        </w:rPr>
        <w:t xml:space="preserve"> of the debt was denominated in SDRs at 6.2%, and other currencies </w:t>
      </w:r>
      <w:r w:rsidRPr="00B36449">
        <w:rPr>
          <w:rFonts w:eastAsia="Calibri" w:cs="Times New Roman"/>
          <w:szCs w:val="24"/>
          <w:lang w:val="sr-Latn-RS" w:eastAsia="ja-JP"/>
        </w:rPr>
        <w:t>at</w:t>
      </w:r>
      <w:r w:rsidRPr="00B36449">
        <w:rPr>
          <w:rFonts w:eastAsia="Calibri" w:cs="Times New Roman"/>
          <w:szCs w:val="24"/>
          <w:lang w:val="sr-Cyrl-RS" w:eastAsia="ja-JP"/>
        </w:rPr>
        <w:t xml:space="preserve"> 0.4%.</w:t>
      </w:r>
      <w:r w:rsidRPr="00B36449">
        <w:rPr>
          <w:rFonts w:eastAsia="Calibri" w:cs="Times New Roman"/>
          <w:szCs w:val="24"/>
          <w:lang w:val="sr-Latn-RS" w:eastAsia="ja-JP"/>
        </w:rPr>
        <w:t xml:space="preserve"> </w:t>
      </w:r>
      <w:r w:rsidRPr="00B36449">
        <w:rPr>
          <w:rFonts w:eastAsia="Calibri" w:cs="Times New Roman"/>
          <w:szCs w:val="24"/>
          <w:lang w:val="sr-Cyrl-RS" w:eastAsia="ja-JP"/>
        </w:rPr>
        <w:t>In terms of the interest rates, as of September 30, 2024, the majority of the</w:t>
      </w:r>
      <w:r w:rsidRPr="00B36449">
        <w:rPr>
          <w:rFonts w:eastAsia="Calibri" w:cs="Times New Roman"/>
          <w:szCs w:val="24"/>
          <w:lang w:val="sr-Latn-RS" w:eastAsia="ja-JP"/>
        </w:rPr>
        <w:t xml:space="preserve"> general government</w:t>
      </w:r>
      <w:r w:rsidRPr="00B36449">
        <w:rPr>
          <w:rFonts w:eastAsia="Calibri" w:cs="Times New Roman"/>
          <w:szCs w:val="24"/>
          <w:lang w:val="sr-Cyrl-RS" w:eastAsia="ja-JP"/>
        </w:rPr>
        <w:t xml:space="preserve"> debt </w:t>
      </w:r>
      <w:r w:rsidRPr="00B36449">
        <w:rPr>
          <w:rFonts w:eastAsia="Calibri" w:cs="Times New Roman"/>
          <w:szCs w:val="24"/>
          <w:lang w:val="sr-Latn-RS" w:eastAsia="ja-JP"/>
        </w:rPr>
        <w:t>was subject to a fixed interest rate (</w:t>
      </w:r>
      <w:r w:rsidRPr="00B36449">
        <w:rPr>
          <w:rFonts w:eastAsia="Calibri" w:cs="Times New Roman"/>
          <w:szCs w:val="24"/>
          <w:lang w:val="sr-Cyrl-RS" w:eastAsia="ja-JP"/>
        </w:rPr>
        <w:t>72.3%</w:t>
      </w:r>
      <w:r w:rsidRPr="00B36449">
        <w:rPr>
          <w:rFonts w:eastAsia="Calibri" w:cs="Times New Roman"/>
          <w:szCs w:val="24"/>
          <w:lang w:val="sr-Latn-RS" w:eastAsia="ja-JP"/>
        </w:rPr>
        <w:t>)</w:t>
      </w:r>
      <w:r w:rsidRPr="00B36449">
        <w:rPr>
          <w:rFonts w:eastAsia="Calibri" w:cs="Times New Roman"/>
          <w:szCs w:val="24"/>
          <w:lang w:val="sr-Cyrl-RS" w:eastAsia="ja-JP"/>
        </w:rPr>
        <w:t xml:space="preserve">, while 27.7% of the debt was subject to variable interest rates. Among the variable interest rates, EURIBOR </w:t>
      </w:r>
      <w:r w:rsidRPr="00B36449">
        <w:rPr>
          <w:rFonts w:eastAsia="Calibri" w:cs="Times New Roman"/>
          <w:szCs w:val="24"/>
          <w:lang w:val="sr-Latn-RS" w:eastAsia="ja-JP"/>
        </w:rPr>
        <w:t>was</w:t>
      </w:r>
      <w:r w:rsidRPr="00B36449">
        <w:rPr>
          <w:rFonts w:eastAsia="Calibri" w:cs="Times New Roman"/>
          <w:szCs w:val="24"/>
          <w:lang w:val="sr-Cyrl-RS" w:eastAsia="ja-JP"/>
        </w:rPr>
        <w:t xml:space="preserve"> the most prevalent, accounting for 69.7%, followed by the SDR rate at 22.4%, Belibor at 7.7%, and other interest rates at 0.2%.</w:t>
      </w:r>
    </w:p>
    <w:p w14:paraId="35ABE18C" w14:textId="77777777" w:rsidR="00B36449" w:rsidRPr="00B36449" w:rsidRDefault="00B36449" w:rsidP="00B36449">
      <w:pPr>
        <w:rPr>
          <w:rFonts w:eastAsia="Calibri" w:cs="Times New Roman"/>
          <w:szCs w:val="24"/>
          <w:lang w:val="sr-Cyrl-RS" w:eastAsia="ja-JP"/>
        </w:rPr>
      </w:pPr>
      <w:r w:rsidRPr="00B36449">
        <w:rPr>
          <w:rFonts w:eastAsia="Calibri" w:cs="Times New Roman"/>
          <w:szCs w:val="24"/>
          <w:lang w:val="sr-Cyrl-RS" w:eastAsia="ja-JP"/>
        </w:rPr>
        <w:lastRenderedPageBreak/>
        <w:t xml:space="preserve">Considering the projected budget </w:t>
      </w:r>
      <w:r w:rsidRPr="00B36449">
        <w:rPr>
          <w:rFonts w:eastAsia="Calibri" w:cs="Times New Roman"/>
          <w:szCs w:val="24"/>
          <w:lang w:val="sr-Latn-RS" w:eastAsia="ja-JP"/>
        </w:rPr>
        <w:t>result</w:t>
      </w:r>
      <w:r w:rsidRPr="00B36449">
        <w:rPr>
          <w:rFonts w:eastAsia="Calibri" w:cs="Times New Roman"/>
          <w:szCs w:val="24"/>
          <w:lang w:val="sr-Cyrl-RS" w:eastAsia="ja-JP"/>
        </w:rPr>
        <w:t xml:space="preserve"> of the Republic of Serbia for the period 2025–2027, including the volume of loan disbursements for project financing, the effects of exchange rate fluctuations of the </w:t>
      </w:r>
      <w:r w:rsidRPr="00B36449">
        <w:rPr>
          <w:rFonts w:eastAsia="Calibri" w:cs="Times New Roman"/>
          <w:szCs w:val="24"/>
          <w:lang w:val="sr-Latn-RS" w:eastAsia="ja-JP"/>
        </w:rPr>
        <w:t>RSD</w:t>
      </w:r>
      <w:r w:rsidRPr="00B36449">
        <w:rPr>
          <w:rFonts w:eastAsia="Calibri" w:cs="Times New Roman"/>
          <w:szCs w:val="24"/>
          <w:lang w:val="sr-Cyrl-RS" w:eastAsia="ja-JP"/>
        </w:rPr>
        <w:t xml:space="preserve"> against the </w:t>
      </w:r>
      <w:r w:rsidRPr="00B36449">
        <w:rPr>
          <w:rFonts w:eastAsia="Calibri" w:cs="Times New Roman"/>
          <w:szCs w:val="24"/>
          <w:lang w:val="sr-Latn-RS" w:eastAsia="ja-JP"/>
        </w:rPr>
        <w:t>EUR</w:t>
      </w:r>
      <w:r w:rsidRPr="00B36449">
        <w:rPr>
          <w:rFonts w:eastAsia="Calibri" w:cs="Times New Roman"/>
          <w:szCs w:val="24"/>
          <w:lang w:val="sr-Cyrl-RS" w:eastAsia="ja-JP"/>
        </w:rPr>
        <w:t xml:space="preserve"> and the </w:t>
      </w:r>
      <w:r w:rsidRPr="00B36449">
        <w:rPr>
          <w:rFonts w:eastAsia="Calibri" w:cs="Times New Roman"/>
          <w:szCs w:val="24"/>
          <w:lang w:val="sr-Latn-RS" w:eastAsia="ja-JP"/>
        </w:rPr>
        <w:t>USD</w:t>
      </w:r>
      <w:r w:rsidRPr="00B36449">
        <w:rPr>
          <w:rFonts w:eastAsia="Calibri" w:cs="Times New Roman"/>
          <w:szCs w:val="24"/>
          <w:lang w:val="sr-Cyrl-RS" w:eastAsia="ja-JP"/>
        </w:rPr>
        <w:t>, under the baseline macroeconomic scenario, the public debt of the Republic of Serbia is expected to reach 46</w:t>
      </w:r>
      <w:r w:rsidRPr="00B36449">
        <w:rPr>
          <w:rFonts w:eastAsia="Calibri" w:cs="Times New Roman"/>
          <w:szCs w:val="24"/>
          <w:lang w:eastAsia="ja-JP"/>
        </w:rPr>
        <w:t>,</w:t>
      </w:r>
      <w:r w:rsidRPr="00B36449">
        <w:rPr>
          <w:rFonts w:eastAsia="Calibri" w:cs="Times New Roman"/>
          <w:szCs w:val="24"/>
          <w:lang w:val="sr-Cyrl-RS" w:eastAsia="ja-JP"/>
        </w:rPr>
        <w:t>0% of GDP by the end of 2027.</w:t>
      </w:r>
    </w:p>
    <w:p w14:paraId="1DF87A06" w14:textId="77777777" w:rsidR="00B36449" w:rsidRPr="00B36449" w:rsidRDefault="00B36449" w:rsidP="00B36449">
      <w:pPr>
        <w:rPr>
          <w:rFonts w:eastAsia="Calibri" w:cs="Times New Roman"/>
          <w:szCs w:val="24"/>
          <w:lang w:val="sr-Cyrl-RS" w:eastAsia="ja-JP"/>
        </w:rPr>
      </w:pPr>
    </w:p>
    <w:p w14:paraId="606DFA91" w14:textId="77777777" w:rsidR="00B36449" w:rsidRPr="00B36449" w:rsidRDefault="00B36449" w:rsidP="00B36449">
      <w:pPr>
        <w:keepLines/>
        <w:spacing w:after="160" w:line="256" w:lineRule="auto"/>
        <w:rPr>
          <w:rFonts w:eastAsia="Calibri" w:cs="Times New Roman"/>
          <w:i/>
          <w:sz w:val="20"/>
          <w:szCs w:val="20"/>
          <w:lang w:eastAsia="ja-JP"/>
        </w:rPr>
      </w:pPr>
      <w:r w:rsidRPr="00B36449">
        <w:rPr>
          <w:rFonts w:eastAsia="Calibri" w:cs="Times New Roman"/>
          <w:i/>
          <w:sz w:val="20"/>
          <w:szCs w:val="20"/>
          <w:lang w:eastAsia="ja-JP"/>
        </w:rPr>
        <w:t xml:space="preserve">Table 11. Baseline projection of general government debt through 2027 </w:t>
      </w:r>
    </w:p>
    <w:tbl>
      <w:tblPr>
        <w:tblW w:w="5000" w:type="pct"/>
        <w:tblLook w:val="0620" w:firstRow="1" w:lastRow="0" w:firstColumn="0" w:lastColumn="0" w:noHBand="1" w:noVBand="1"/>
      </w:tblPr>
      <w:tblGrid>
        <w:gridCol w:w="5546"/>
        <w:gridCol w:w="870"/>
        <w:gridCol w:w="870"/>
        <w:gridCol w:w="870"/>
        <w:gridCol w:w="870"/>
      </w:tblGrid>
      <w:tr w:rsidR="00B36449" w:rsidRPr="00B36449" w14:paraId="6170EA63" w14:textId="77777777" w:rsidTr="00B36449">
        <w:trPr>
          <w:trHeight w:val="15"/>
          <w:tblHeader/>
        </w:trPr>
        <w:tc>
          <w:tcPr>
            <w:tcW w:w="3071" w:type="pct"/>
            <w:tcBorders>
              <w:top w:val="single" w:sz="4" w:space="0" w:color="002060"/>
              <w:left w:val="nil"/>
              <w:bottom w:val="single" w:sz="8" w:space="0" w:color="FFFFFF" w:themeColor="background1"/>
              <w:right w:val="nil"/>
            </w:tcBorders>
            <w:noWrap/>
            <w:hideMark/>
          </w:tcPr>
          <w:p w14:paraId="763263F7" w14:textId="77777777" w:rsidR="00B36449" w:rsidRPr="00B36449" w:rsidRDefault="00B36449" w:rsidP="00B36449">
            <w:pPr>
              <w:rPr>
                <w:rFonts w:eastAsia="Calibri" w:cs="Times New Roman"/>
                <w:i/>
                <w:sz w:val="20"/>
                <w:szCs w:val="20"/>
                <w:lang w:eastAsia="ja-JP"/>
              </w:rPr>
            </w:pPr>
          </w:p>
        </w:tc>
        <w:tc>
          <w:tcPr>
            <w:tcW w:w="482" w:type="pct"/>
            <w:tcBorders>
              <w:top w:val="single" w:sz="4" w:space="0" w:color="002060"/>
              <w:left w:val="nil"/>
              <w:bottom w:val="single" w:sz="4" w:space="0" w:color="002060"/>
              <w:right w:val="nil"/>
            </w:tcBorders>
            <w:noWrap/>
            <w:hideMark/>
          </w:tcPr>
          <w:p w14:paraId="0631EC07" w14:textId="77777777" w:rsidR="00B36449" w:rsidRPr="00B36449" w:rsidRDefault="00B36449" w:rsidP="00B36449">
            <w:pPr>
              <w:keepLines/>
              <w:spacing w:after="160" w:line="256" w:lineRule="auto"/>
              <w:rPr>
                <w:rFonts w:eastAsia="Calibri" w:cs="Times New Roman"/>
                <w:b/>
                <w:bCs/>
                <w:sz w:val="20"/>
                <w:szCs w:val="20"/>
                <w:lang w:val="en-GB" w:eastAsia="ja-JP"/>
              </w:rPr>
            </w:pPr>
            <w:r w:rsidRPr="00B36449">
              <w:rPr>
                <w:rFonts w:eastAsia="Calibri" w:cs="Times New Roman"/>
                <w:b/>
                <w:bCs/>
                <w:sz w:val="20"/>
                <w:szCs w:val="20"/>
                <w:lang w:val="en-GB" w:eastAsia="ja-JP"/>
              </w:rPr>
              <w:t>2024 p</w:t>
            </w:r>
          </w:p>
        </w:tc>
        <w:tc>
          <w:tcPr>
            <w:tcW w:w="482" w:type="pct"/>
            <w:tcBorders>
              <w:top w:val="single" w:sz="4" w:space="0" w:color="002060"/>
              <w:left w:val="nil"/>
              <w:bottom w:val="single" w:sz="4" w:space="0" w:color="002060"/>
              <w:right w:val="nil"/>
            </w:tcBorders>
            <w:noWrap/>
            <w:hideMark/>
          </w:tcPr>
          <w:p w14:paraId="44386E3B" w14:textId="77777777" w:rsidR="00B36449" w:rsidRPr="00B36449" w:rsidRDefault="00B36449" w:rsidP="00B36449">
            <w:pPr>
              <w:keepLines/>
              <w:spacing w:after="160" w:line="256" w:lineRule="auto"/>
              <w:rPr>
                <w:rFonts w:eastAsia="Calibri" w:cs="Times New Roman"/>
                <w:b/>
                <w:bCs/>
                <w:sz w:val="20"/>
                <w:szCs w:val="20"/>
                <w:lang w:val="en-GB" w:eastAsia="ja-JP"/>
              </w:rPr>
            </w:pPr>
            <w:r w:rsidRPr="00B36449">
              <w:rPr>
                <w:rFonts w:eastAsia="Calibri" w:cs="Times New Roman"/>
                <w:b/>
                <w:bCs/>
                <w:sz w:val="20"/>
                <w:szCs w:val="20"/>
                <w:lang w:val="en-GB" w:eastAsia="ja-JP"/>
              </w:rPr>
              <w:t>2025 p</w:t>
            </w:r>
          </w:p>
        </w:tc>
        <w:tc>
          <w:tcPr>
            <w:tcW w:w="482" w:type="pct"/>
            <w:tcBorders>
              <w:top w:val="single" w:sz="4" w:space="0" w:color="002060"/>
              <w:left w:val="nil"/>
              <w:bottom w:val="single" w:sz="4" w:space="0" w:color="002060"/>
              <w:right w:val="nil"/>
            </w:tcBorders>
            <w:noWrap/>
            <w:hideMark/>
          </w:tcPr>
          <w:p w14:paraId="43E9B549" w14:textId="77777777" w:rsidR="00B36449" w:rsidRPr="00B36449" w:rsidRDefault="00B36449" w:rsidP="00B36449">
            <w:pPr>
              <w:keepLines/>
              <w:spacing w:after="160" w:line="256" w:lineRule="auto"/>
              <w:rPr>
                <w:rFonts w:eastAsia="Calibri" w:cs="Times New Roman"/>
                <w:b/>
                <w:bCs/>
                <w:sz w:val="20"/>
                <w:szCs w:val="20"/>
                <w:lang w:val="en-GB" w:eastAsia="ja-JP"/>
              </w:rPr>
            </w:pPr>
            <w:r w:rsidRPr="00B36449">
              <w:rPr>
                <w:rFonts w:eastAsia="Calibri" w:cs="Times New Roman"/>
                <w:b/>
                <w:bCs/>
                <w:sz w:val="20"/>
                <w:szCs w:val="20"/>
                <w:lang w:val="en-GB" w:eastAsia="ja-JP"/>
              </w:rPr>
              <w:t>2026 p</w:t>
            </w:r>
          </w:p>
        </w:tc>
        <w:tc>
          <w:tcPr>
            <w:tcW w:w="482" w:type="pct"/>
            <w:tcBorders>
              <w:top w:val="single" w:sz="4" w:space="0" w:color="002060"/>
              <w:left w:val="nil"/>
              <w:bottom w:val="single" w:sz="4" w:space="0" w:color="002060"/>
              <w:right w:val="nil"/>
            </w:tcBorders>
            <w:noWrap/>
            <w:hideMark/>
          </w:tcPr>
          <w:p w14:paraId="77DC81EA" w14:textId="77777777" w:rsidR="00B36449" w:rsidRPr="00B36449" w:rsidRDefault="00B36449" w:rsidP="00B36449">
            <w:pPr>
              <w:keepLines/>
              <w:spacing w:after="160" w:line="256" w:lineRule="auto"/>
              <w:rPr>
                <w:rFonts w:eastAsia="Calibri" w:cs="Times New Roman"/>
                <w:b/>
                <w:bCs/>
                <w:sz w:val="20"/>
                <w:szCs w:val="20"/>
                <w:lang w:val="en-GB" w:eastAsia="ja-JP"/>
              </w:rPr>
            </w:pPr>
            <w:r w:rsidRPr="00B36449">
              <w:rPr>
                <w:rFonts w:eastAsia="Calibri" w:cs="Times New Roman"/>
                <w:b/>
                <w:bCs/>
                <w:sz w:val="20"/>
                <w:szCs w:val="20"/>
                <w:lang w:val="en-GB" w:eastAsia="ja-JP"/>
              </w:rPr>
              <w:t>2027 p</w:t>
            </w:r>
          </w:p>
        </w:tc>
      </w:tr>
      <w:tr w:rsidR="00B36449" w:rsidRPr="00B36449" w14:paraId="3651E3A5" w14:textId="77777777" w:rsidTr="00B36449">
        <w:trPr>
          <w:trHeight w:val="15"/>
        </w:trPr>
        <w:tc>
          <w:tcPr>
            <w:tcW w:w="3071" w:type="pct"/>
            <w:noWrap/>
            <w:hideMark/>
          </w:tcPr>
          <w:p w14:paraId="43DCC5E2" w14:textId="77777777" w:rsidR="00B36449" w:rsidRPr="00B36449" w:rsidRDefault="00B36449" w:rsidP="00B36449">
            <w:pPr>
              <w:keepLines/>
              <w:spacing w:after="160" w:line="256" w:lineRule="auto"/>
              <w:rPr>
                <w:rFonts w:eastAsia="Calibri" w:cs="Times New Roman"/>
                <w:bCs/>
                <w:sz w:val="20"/>
                <w:szCs w:val="20"/>
                <w:lang w:eastAsia="ja-JP"/>
              </w:rPr>
            </w:pPr>
            <w:r w:rsidRPr="00B36449">
              <w:rPr>
                <w:rFonts w:eastAsia="Calibri" w:cs="Times New Roman"/>
                <w:bCs/>
                <w:sz w:val="20"/>
                <w:szCs w:val="20"/>
                <w:lang w:eastAsia="ja-JP"/>
              </w:rPr>
              <w:t>Public debt (Central Government Level), RSD Billion</w:t>
            </w:r>
          </w:p>
        </w:tc>
        <w:tc>
          <w:tcPr>
            <w:tcW w:w="482" w:type="pct"/>
            <w:tcBorders>
              <w:top w:val="single" w:sz="4" w:space="0" w:color="002060"/>
              <w:left w:val="nil"/>
              <w:bottom w:val="nil"/>
              <w:right w:val="nil"/>
            </w:tcBorders>
            <w:noWrap/>
            <w:hideMark/>
          </w:tcPr>
          <w:p w14:paraId="07A05ADA"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4.558,3</w:t>
            </w:r>
          </w:p>
        </w:tc>
        <w:tc>
          <w:tcPr>
            <w:tcW w:w="482" w:type="pct"/>
            <w:tcBorders>
              <w:top w:val="single" w:sz="4" w:space="0" w:color="002060"/>
              <w:left w:val="nil"/>
              <w:bottom w:val="nil"/>
              <w:right w:val="nil"/>
            </w:tcBorders>
            <w:noWrap/>
            <w:hideMark/>
          </w:tcPr>
          <w:p w14:paraId="2DCA1851"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4.854,3</w:t>
            </w:r>
          </w:p>
        </w:tc>
        <w:tc>
          <w:tcPr>
            <w:tcW w:w="482" w:type="pct"/>
            <w:tcBorders>
              <w:top w:val="single" w:sz="4" w:space="0" w:color="002060"/>
              <w:left w:val="nil"/>
              <w:bottom w:val="nil"/>
              <w:right w:val="nil"/>
            </w:tcBorders>
            <w:noWrap/>
            <w:hideMark/>
          </w:tcPr>
          <w:p w14:paraId="3D139AF7"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5.151,3</w:t>
            </w:r>
          </w:p>
        </w:tc>
        <w:tc>
          <w:tcPr>
            <w:tcW w:w="482" w:type="pct"/>
            <w:tcBorders>
              <w:top w:val="single" w:sz="4" w:space="0" w:color="002060"/>
              <w:left w:val="nil"/>
              <w:bottom w:val="nil"/>
              <w:right w:val="nil"/>
            </w:tcBorders>
            <w:noWrap/>
            <w:hideMark/>
          </w:tcPr>
          <w:p w14:paraId="342CD0C5"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5.521,5</w:t>
            </w:r>
          </w:p>
        </w:tc>
      </w:tr>
      <w:tr w:rsidR="00B36449" w:rsidRPr="00B36449" w14:paraId="3FEC7B0B" w14:textId="77777777" w:rsidTr="00B36449">
        <w:trPr>
          <w:trHeight w:val="15"/>
        </w:trPr>
        <w:tc>
          <w:tcPr>
            <w:tcW w:w="3071" w:type="pct"/>
            <w:hideMark/>
          </w:tcPr>
          <w:p w14:paraId="7E96EEC1" w14:textId="77777777" w:rsidR="00B36449" w:rsidRPr="00B36449" w:rsidRDefault="00B36449" w:rsidP="00B36449">
            <w:pPr>
              <w:keepLines/>
              <w:spacing w:after="160" w:line="256" w:lineRule="auto"/>
              <w:rPr>
                <w:rFonts w:eastAsia="Calibri" w:cs="Times New Roman"/>
                <w:bCs/>
                <w:sz w:val="20"/>
                <w:szCs w:val="20"/>
                <w:lang w:eastAsia="ja-JP"/>
              </w:rPr>
            </w:pPr>
            <w:r w:rsidRPr="00B36449">
              <w:rPr>
                <w:rFonts w:eastAsia="Calibri" w:cs="Times New Roman"/>
                <w:bCs/>
                <w:sz w:val="20"/>
                <w:szCs w:val="20"/>
                <w:lang w:eastAsia="ja-JP"/>
              </w:rPr>
              <w:t>Central Government debt, in % GDP</w:t>
            </w:r>
          </w:p>
        </w:tc>
        <w:tc>
          <w:tcPr>
            <w:tcW w:w="482" w:type="pct"/>
            <w:noWrap/>
            <w:hideMark/>
          </w:tcPr>
          <w:p w14:paraId="7F525CB1"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47,5%</w:t>
            </w:r>
          </w:p>
        </w:tc>
        <w:tc>
          <w:tcPr>
            <w:tcW w:w="482" w:type="pct"/>
            <w:noWrap/>
            <w:hideMark/>
          </w:tcPr>
          <w:p w14:paraId="15BAF8CD"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47,0%</w:t>
            </w:r>
          </w:p>
        </w:tc>
        <w:tc>
          <w:tcPr>
            <w:tcW w:w="482" w:type="pct"/>
            <w:noWrap/>
            <w:hideMark/>
          </w:tcPr>
          <w:p w14:paraId="40E785BF"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46,5%</w:t>
            </w:r>
          </w:p>
        </w:tc>
        <w:tc>
          <w:tcPr>
            <w:tcW w:w="482" w:type="pct"/>
            <w:noWrap/>
            <w:hideMark/>
          </w:tcPr>
          <w:p w14:paraId="0D02CFD9"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46,0%</w:t>
            </w:r>
          </w:p>
        </w:tc>
      </w:tr>
      <w:tr w:rsidR="00B36449" w:rsidRPr="00B36449" w14:paraId="756F0D1B" w14:textId="77777777" w:rsidTr="00B36449">
        <w:trPr>
          <w:trHeight w:val="15"/>
        </w:trPr>
        <w:tc>
          <w:tcPr>
            <w:tcW w:w="3071" w:type="pct"/>
            <w:hideMark/>
          </w:tcPr>
          <w:p w14:paraId="6E392C36" w14:textId="77777777" w:rsidR="00B36449" w:rsidRPr="00B36449" w:rsidRDefault="00B36449" w:rsidP="00B36449">
            <w:pPr>
              <w:keepLines/>
              <w:spacing w:after="160" w:line="256" w:lineRule="auto"/>
              <w:rPr>
                <w:rFonts w:eastAsia="Calibri" w:cs="Times New Roman"/>
                <w:bCs/>
                <w:sz w:val="20"/>
                <w:szCs w:val="20"/>
                <w:lang w:eastAsia="ja-JP"/>
              </w:rPr>
            </w:pPr>
            <w:r w:rsidRPr="00B36449">
              <w:rPr>
                <w:rFonts w:eastAsia="Calibri" w:cs="Times New Roman"/>
                <w:bCs/>
                <w:sz w:val="20"/>
                <w:szCs w:val="20"/>
                <w:lang w:eastAsia="ja-JP"/>
              </w:rPr>
              <w:t xml:space="preserve">Non-Guaranteed Debt of Local Self-Government Units *, </w:t>
            </w:r>
          </w:p>
          <w:p w14:paraId="2261FDF1" w14:textId="77777777" w:rsidR="00B36449" w:rsidRPr="00B36449" w:rsidRDefault="00B36449" w:rsidP="00B36449">
            <w:pPr>
              <w:keepLines/>
              <w:spacing w:after="160" w:line="256" w:lineRule="auto"/>
              <w:rPr>
                <w:rFonts w:eastAsia="Calibri" w:cs="Times New Roman"/>
                <w:bCs/>
                <w:sz w:val="20"/>
                <w:szCs w:val="20"/>
                <w:lang w:eastAsia="ja-JP"/>
              </w:rPr>
            </w:pPr>
            <w:r w:rsidRPr="00B36449">
              <w:rPr>
                <w:rFonts w:eastAsia="Calibri" w:cs="Times New Roman"/>
                <w:bCs/>
                <w:sz w:val="20"/>
                <w:szCs w:val="20"/>
                <w:lang w:eastAsia="ja-JP"/>
              </w:rPr>
              <w:t>in % GDP</w:t>
            </w:r>
          </w:p>
        </w:tc>
        <w:tc>
          <w:tcPr>
            <w:tcW w:w="482" w:type="pct"/>
            <w:noWrap/>
            <w:hideMark/>
          </w:tcPr>
          <w:p w14:paraId="2457D6CD"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0,4%</w:t>
            </w:r>
          </w:p>
        </w:tc>
        <w:tc>
          <w:tcPr>
            <w:tcW w:w="482" w:type="pct"/>
            <w:noWrap/>
            <w:hideMark/>
          </w:tcPr>
          <w:p w14:paraId="58D83E8D"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0,5%</w:t>
            </w:r>
          </w:p>
        </w:tc>
        <w:tc>
          <w:tcPr>
            <w:tcW w:w="482" w:type="pct"/>
            <w:noWrap/>
            <w:hideMark/>
          </w:tcPr>
          <w:p w14:paraId="7AE49D62"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0,5%</w:t>
            </w:r>
          </w:p>
        </w:tc>
        <w:tc>
          <w:tcPr>
            <w:tcW w:w="482" w:type="pct"/>
            <w:noWrap/>
            <w:hideMark/>
          </w:tcPr>
          <w:p w14:paraId="2F76A39A"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0,5%</w:t>
            </w:r>
          </w:p>
        </w:tc>
      </w:tr>
      <w:tr w:rsidR="00B36449" w:rsidRPr="00B36449" w14:paraId="59A26DCE" w14:textId="77777777" w:rsidTr="00B36449">
        <w:trPr>
          <w:trHeight w:val="15"/>
        </w:trPr>
        <w:tc>
          <w:tcPr>
            <w:tcW w:w="3071" w:type="pct"/>
            <w:tcBorders>
              <w:top w:val="nil"/>
              <w:left w:val="nil"/>
              <w:bottom w:val="single" w:sz="4" w:space="0" w:color="002060"/>
              <w:right w:val="nil"/>
            </w:tcBorders>
            <w:hideMark/>
          </w:tcPr>
          <w:p w14:paraId="4056AD8F" w14:textId="77777777" w:rsidR="00B36449" w:rsidRPr="00B36449" w:rsidRDefault="00B36449" w:rsidP="00B36449">
            <w:pPr>
              <w:keepLines/>
              <w:spacing w:after="160" w:line="256" w:lineRule="auto"/>
              <w:rPr>
                <w:rFonts w:eastAsia="Calibri" w:cs="Times New Roman"/>
                <w:bCs/>
                <w:sz w:val="20"/>
                <w:szCs w:val="20"/>
                <w:lang w:eastAsia="ja-JP"/>
              </w:rPr>
            </w:pPr>
            <w:r w:rsidRPr="00B36449">
              <w:rPr>
                <w:rFonts w:eastAsia="Calibri" w:cs="Times New Roman"/>
                <w:bCs/>
                <w:sz w:val="20"/>
                <w:szCs w:val="20"/>
                <w:lang w:eastAsia="ja-JP"/>
              </w:rPr>
              <w:t>General Goverment Debt, in % GDP</w:t>
            </w:r>
          </w:p>
        </w:tc>
        <w:tc>
          <w:tcPr>
            <w:tcW w:w="482" w:type="pct"/>
            <w:tcBorders>
              <w:top w:val="nil"/>
              <w:left w:val="nil"/>
              <w:bottom w:val="single" w:sz="4" w:space="0" w:color="002060"/>
              <w:right w:val="nil"/>
            </w:tcBorders>
            <w:noWrap/>
            <w:hideMark/>
          </w:tcPr>
          <w:p w14:paraId="584D1E64"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47,9%</w:t>
            </w:r>
          </w:p>
        </w:tc>
        <w:tc>
          <w:tcPr>
            <w:tcW w:w="482" w:type="pct"/>
            <w:tcBorders>
              <w:top w:val="nil"/>
              <w:left w:val="nil"/>
              <w:bottom w:val="single" w:sz="4" w:space="0" w:color="002060"/>
              <w:right w:val="nil"/>
            </w:tcBorders>
            <w:noWrap/>
            <w:hideMark/>
          </w:tcPr>
          <w:p w14:paraId="2193BB32"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47,5%</w:t>
            </w:r>
          </w:p>
        </w:tc>
        <w:tc>
          <w:tcPr>
            <w:tcW w:w="482" w:type="pct"/>
            <w:tcBorders>
              <w:top w:val="nil"/>
              <w:left w:val="nil"/>
              <w:bottom w:val="single" w:sz="4" w:space="0" w:color="002060"/>
              <w:right w:val="nil"/>
            </w:tcBorders>
            <w:noWrap/>
            <w:hideMark/>
          </w:tcPr>
          <w:p w14:paraId="3B8130FA"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47,0%</w:t>
            </w:r>
          </w:p>
        </w:tc>
        <w:tc>
          <w:tcPr>
            <w:tcW w:w="482" w:type="pct"/>
            <w:tcBorders>
              <w:top w:val="nil"/>
              <w:left w:val="nil"/>
              <w:bottom w:val="single" w:sz="4" w:space="0" w:color="002060"/>
              <w:right w:val="nil"/>
            </w:tcBorders>
            <w:noWrap/>
            <w:hideMark/>
          </w:tcPr>
          <w:p w14:paraId="6640A90E" w14:textId="77777777" w:rsidR="00B36449" w:rsidRPr="00B36449" w:rsidRDefault="00B36449" w:rsidP="00B36449">
            <w:pPr>
              <w:keepLines/>
              <w:spacing w:after="160" w:line="256" w:lineRule="auto"/>
              <w:jc w:val="right"/>
              <w:rPr>
                <w:rFonts w:eastAsia="Calibri" w:cs="Times New Roman"/>
                <w:bCs/>
                <w:sz w:val="20"/>
                <w:szCs w:val="20"/>
                <w:lang w:val="en-GB" w:eastAsia="ja-JP"/>
              </w:rPr>
            </w:pPr>
            <w:r w:rsidRPr="00B36449">
              <w:rPr>
                <w:rFonts w:eastAsia="Calibri" w:cs="Times New Roman"/>
                <w:bCs/>
                <w:sz w:val="20"/>
                <w:szCs w:val="20"/>
                <w:lang w:val="en-GB" w:eastAsia="ja-JP"/>
              </w:rPr>
              <w:t>46,5%</w:t>
            </w:r>
          </w:p>
        </w:tc>
      </w:tr>
    </w:tbl>
    <w:p w14:paraId="475B4B02" w14:textId="77777777" w:rsidR="00B36449" w:rsidRPr="00B36449" w:rsidRDefault="00B36449" w:rsidP="00B36449">
      <w:pPr>
        <w:keepLines/>
        <w:spacing w:after="60" w:line="256" w:lineRule="auto"/>
        <w:rPr>
          <w:rFonts w:eastAsia="Calibri" w:cs="Times New Roman"/>
          <w:bCs/>
          <w:sz w:val="20"/>
          <w:szCs w:val="20"/>
          <w:lang w:eastAsia="ja-JP"/>
        </w:rPr>
      </w:pPr>
      <w:r w:rsidRPr="00B36449">
        <w:rPr>
          <w:rFonts w:eastAsia="Calibri" w:cs="Times New Roman"/>
          <w:bCs/>
          <w:sz w:val="20"/>
          <w:szCs w:val="20"/>
          <w:lang w:eastAsia="ja-JP"/>
        </w:rPr>
        <w:t xml:space="preserve">* and Other State Sector </w:t>
      </w:r>
    </w:p>
    <w:p w14:paraId="14595708" w14:textId="77777777" w:rsidR="00B36449" w:rsidRPr="00B36449" w:rsidRDefault="00B36449" w:rsidP="00B36449">
      <w:pPr>
        <w:rPr>
          <w:rFonts w:eastAsia="Calibri" w:cs="Times New Roman"/>
          <w:bCs/>
          <w:sz w:val="20"/>
          <w:szCs w:val="20"/>
          <w:lang w:eastAsia="ja-JP"/>
        </w:rPr>
      </w:pPr>
      <w:r w:rsidRPr="00B36449">
        <w:rPr>
          <w:rFonts w:eastAsia="Calibri" w:cs="Times New Roman"/>
          <w:bCs/>
          <w:sz w:val="20"/>
          <w:szCs w:val="20"/>
          <w:lang w:eastAsia="ja-JP"/>
        </w:rPr>
        <w:t xml:space="preserve">Source: Ministry of Finance </w:t>
      </w:r>
    </w:p>
    <w:p w14:paraId="426C9670" w14:textId="77777777" w:rsidR="00B36449" w:rsidRPr="00B36449" w:rsidRDefault="00B36449" w:rsidP="00B36449">
      <w:pPr>
        <w:rPr>
          <w:rFonts w:eastAsia="Calibri" w:cs="Times New Roman"/>
          <w:szCs w:val="24"/>
          <w:lang w:val="sr-Cyrl-RS" w:eastAsia="ja-JP"/>
        </w:rPr>
      </w:pPr>
      <w:r w:rsidRPr="00B36449">
        <w:rPr>
          <w:rFonts w:eastAsia="Calibri" w:cs="Times New Roman"/>
          <w:szCs w:val="24"/>
          <w:lang w:val="sr-Cyrl-RS" w:eastAsia="ja-JP"/>
        </w:rPr>
        <w:t>It is projected that the non-guaranteed debt of the local government level will remain at around 0</w:t>
      </w:r>
      <w:r w:rsidRPr="00B36449">
        <w:rPr>
          <w:rFonts w:eastAsia="Calibri" w:cs="Times New Roman"/>
          <w:szCs w:val="24"/>
          <w:lang w:eastAsia="ja-JP"/>
        </w:rPr>
        <w:t>,</w:t>
      </w:r>
      <w:r w:rsidRPr="00B36449">
        <w:rPr>
          <w:rFonts w:eastAsia="Calibri" w:cs="Times New Roman"/>
          <w:szCs w:val="24"/>
          <w:lang w:val="sr-Cyrl-RS" w:eastAsia="ja-JP"/>
        </w:rPr>
        <w:t>5% of GDP by the end of 2027. At the end of 2027, the</w:t>
      </w:r>
      <w:r w:rsidRPr="00B36449">
        <w:rPr>
          <w:rFonts w:eastAsia="Calibri" w:cs="Times New Roman"/>
          <w:szCs w:val="24"/>
          <w:lang w:val="sr-Latn-RS" w:eastAsia="ja-JP"/>
        </w:rPr>
        <w:t xml:space="preserve"> general government</w:t>
      </w:r>
      <w:r w:rsidRPr="00B36449">
        <w:rPr>
          <w:rFonts w:eastAsia="Calibri" w:cs="Times New Roman"/>
          <w:szCs w:val="24"/>
          <w:lang w:val="sr-Cyrl-RS" w:eastAsia="ja-JP"/>
        </w:rPr>
        <w:t xml:space="preserve"> debt is expected to reach 46</w:t>
      </w:r>
      <w:r w:rsidRPr="00B36449">
        <w:rPr>
          <w:rFonts w:eastAsia="Calibri" w:cs="Times New Roman"/>
          <w:szCs w:val="24"/>
          <w:lang w:eastAsia="ja-JP"/>
        </w:rPr>
        <w:t>,</w:t>
      </w:r>
      <w:r w:rsidRPr="00B36449">
        <w:rPr>
          <w:rFonts w:eastAsia="Calibri" w:cs="Times New Roman"/>
          <w:szCs w:val="24"/>
          <w:lang w:val="sr-Cyrl-RS" w:eastAsia="ja-JP"/>
        </w:rPr>
        <w:t>5% of GDP.</w:t>
      </w:r>
    </w:p>
    <w:p w14:paraId="5AD419EE" w14:textId="77777777" w:rsidR="00B36449" w:rsidRPr="00B36449" w:rsidRDefault="00B36449" w:rsidP="00B36449">
      <w:pPr>
        <w:keepNext/>
        <w:keepLines/>
        <w:spacing w:after="160" w:line="256" w:lineRule="auto"/>
        <w:rPr>
          <w:rFonts w:eastAsia="Calibri" w:cs="Times New Roman"/>
          <w:szCs w:val="24"/>
          <w:lang w:val="sr-Cyrl-RS" w:eastAsia="ja-JP"/>
        </w:rPr>
      </w:pPr>
      <w:r w:rsidRPr="00B36449">
        <w:rPr>
          <w:rFonts w:eastAsia="Calibri" w:cs="Times New Roman"/>
          <w:szCs w:val="24"/>
          <w:lang w:val="sr-Cyrl-RS" w:eastAsia="ja-JP"/>
        </w:rPr>
        <w:t>Financial and fiscal risks can lead to an increase in public debt higher than anticipated in the baseline scenario. Risks that are present and that can lead to an increase in indebtedness and public debt service costs are: refinancing risk, foreign exchange risk, market risk (interest rate risk, inflation risk), liquidity risk, credit and operational risks and risks related to the distribution of servicing costs (debt structure, concentration of liabilities).</w:t>
      </w:r>
    </w:p>
    <w:p w14:paraId="15F3B819" w14:textId="77777777" w:rsidR="00B36449" w:rsidRPr="00B36449" w:rsidRDefault="00B36449" w:rsidP="00B36449">
      <w:pPr>
        <w:keepNext/>
        <w:keepLines/>
        <w:spacing w:after="160" w:line="256" w:lineRule="auto"/>
        <w:rPr>
          <w:rFonts w:eastAsia="Calibri" w:cs="Times New Roman"/>
          <w:szCs w:val="24"/>
          <w:lang w:val="sr-Cyrl-RS" w:eastAsia="ja-JP"/>
        </w:rPr>
      </w:pPr>
      <w:r w:rsidRPr="00B36449">
        <w:rPr>
          <w:rFonts w:eastAsia="Calibri" w:cs="Times New Roman"/>
          <w:szCs w:val="24"/>
          <w:lang w:val="sr-Cyrl-RS" w:eastAsia="ja-JP"/>
        </w:rPr>
        <w:t>Due to the high share of public debt denominated in foreign currency (78</w:t>
      </w:r>
      <w:r w:rsidRPr="00B36449">
        <w:rPr>
          <w:rFonts w:eastAsia="Calibri" w:cs="Times New Roman"/>
          <w:szCs w:val="24"/>
          <w:lang w:eastAsia="ja-JP"/>
        </w:rPr>
        <w:t>,</w:t>
      </w:r>
      <w:r w:rsidRPr="00B36449">
        <w:rPr>
          <w:rFonts w:eastAsia="Calibri" w:cs="Times New Roman"/>
          <w:szCs w:val="24"/>
          <w:lang w:val="sr-Cyrl-RS" w:eastAsia="ja-JP"/>
        </w:rPr>
        <w:t>1%), it is evident that foreign exchange risk will determine the behavior of the public debt-to-GDP ratio in the coming period and significantly influence the success of fiscal policy measures in consolidating public finances and reducing the share of public debt in GDP.</w:t>
      </w:r>
    </w:p>
    <w:p w14:paraId="41EA5B7E" w14:textId="77777777" w:rsidR="00B36449" w:rsidRPr="00B36449" w:rsidRDefault="00B36449" w:rsidP="00B36449">
      <w:pPr>
        <w:keepNext/>
        <w:keepLines/>
        <w:spacing w:after="160" w:line="256" w:lineRule="auto"/>
        <w:rPr>
          <w:rFonts w:eastAsia="Calibri" w:cs="Times New Roman"/>
          <w:bCs/>
          <w:i/>
          <w:szCs w:val="24"/>
          <w:lang w:val="sr-Cyrl-RS" w:eastAsia="ja-JP"/>
        </w:rPr>
      </w:pPr>
      <w:r w:rsidRPr="00B36449">
        <w:rPr>
          <w:rFonts w:eastAsia="Calibri" w:cs="Times New Roman"/>
          <w:bCs/>
          <w:i/>
          <w:szCs w:val="24"/>
          <w:lang w:eastAsia="ja-JP"/>
        </w:rPr>
        <w:t>Graph</w:t>
      </w:r>
      <w:r w:rsidRPr="00B36449">
        <w:rPr>
          <w:rFonts w:eastAsia="Calibri" w:cs="Times New Roman"/>
          <w:bCs/>
          <w:i/>
          <w:szCs w:val="24"/>
          <w:lang w:val="sr-Cyrl-RS" w:eastAsia="ja-JP"/>
        </w:rPr>
        <w:t xml:space="preserve"> 1</w:t>
      </w:r>
      <w:r w:rsidRPr="00B36449">
        <w:rPr>
          <w:rFonts w:eastAsia="Calibri" w:cs="Times New Roman"/>
          <w:bCs/>
          <w:i/>
          <w:szCs w:val="24"/>
          <w:lang w:val="sr-Latn-RS" w:eastAsia="ja-JP"/>
        </w:rPr>
        <w:t>3</w:t>
      </w:r>
      <w:r w:rsidRPr="00B36449">
        <w:rPr>
          <w:rFonts w:eastAsia="Calibri" w:cs="Times New Roman"/>
          <w:bCs/>
          <w:i/>
          <w:szCs w:val="24"/>
          <w:lang w:val="sr-Cyrl-RS" w:eastAsia="ja-JP"/>
        </w:rPr>
        <w:t xml:space="preserve">. The </w:t>
      </w:r>
      <w:r w:rsidRPr="00B36449">
        <w:rPr>
          <w:rFonts w:eastAsia="Calibri" w:cs="Times New Roman"/>
          <w:bCs/>
          <w:i/>
          <w:szCs w:val="24"/>
          <w:lang w:val="sr-Latn-RS" w:eastAsia="ja-JP"/>
        </w:rPr>
        <w:t>i</w:t>
      </w:r>
      <w:r w:rsidRPr="00B36449">
        <w:rPr>
          <w:rFonts w:eastAsia="Calibri" w:cs="Times New Roman"/>
          <w:bCs/>
          <w:i/>
          <w:szCs w:val="24"/>
          <w:lang w:val="sr-Cyrl-RS" w:eastAsia="ja-JP"/>
        </w:rPr>
        <w:t xml:space="preserve">mpact of </w:t>
      </w:r>
      <w:r w:rsidRPr="00B36449">
        <w:rPr>
          <w:rFonts w:eastAsia="Calibri" w:cs="Times New Roman"/>
          <w:bCs/>
          <w:i/>
          <w:szCs w:val="24"/>
          <w:lang w:val="sr-Latn-RS" w:eastAsia="ja-JP"/>
        </w:rPr>
        <w:t>RSD</w:t>
      </w:r>
      <w:r w:rsidRPr="00B36449">
        <w:rPr>
          <w:rFonts w:eastAsia="Calibri" w:cs="Times New Roman"/>
          <w:bCs/>
          <w:i/>
          <w:szCs w:val="24"/>
          <w:lang w:val="sr-Cyrl-RS" w:eastAsia="ja-JP"/>
        </w:rPr>
        <w:t xml:space="preserve"> </w:t>
      </w:r>
      <w:r w:rsidRPr="00B36449">
        <w:rPr>
          <w:rFonts w:eastAsia="Calibri" w:cs="Times New Roman"/>
          <w:bCs/>
          <w:i/>
          <w:szCs w:val="24"/>
          <w:lang w:val="sr-Latn-RS" w:eastAsia="ja-JP"/>
        </w:rPr>
        <w:t>e</w:t>
      </w:r>
      <w:r w:rsidRPr="00B36449">
        <w:rPr>
          <w:rFonts w:eastAsia="Calibri" w:cs="Times New Roman"/>
          <w:bCs/>
          <w:i/>
          <w:szCs w:val="24"/>
          <w:lang w:val="sr-Cyrl-RS" w:eastAsia="ja-JP"/>
        </w:rPr>
        <w:t xml:space="preserve">xchange </w:t>
      </w:r>
      <w:r w:rsidRPr="00B36449">
        <w:rPr>
          <w:rFonts w:eastAsia="Calibri" w:cs="Times New Roman"/>
          <w:bCs/>
          <w:i/>
          <w:szCs w:val="24"/>
          <w:lang w:val="sr-Latn-RS" w:eastAsia="ja-JP"/>
        </w:rPr>
        <w:t>r</w:t>
      </w:r>
      <w:r w:rsidRPr="00B36449">
        <w:rPr>
          <w:rFonts w:eastAsia="Calibri" w:cs="Times New Roman"/>
          <w:bCs/>
          <w:i/>
          <w:szCs w:val="24"/>
          <w:lang w:val="sr-Cyrl-RS" w:eastAsia="ja-JP"/>
        </w:rPr>
        <w:t xml:space="preserve">ate </w:t>
      </w:r>
      <w:r w:rsidRPr="00B36449">
        <w:rPr>
          <w:rFonts w:eastAsia="Calibri" w:cs="Times New Roman"/>
          <w:bCs/>
          <w:i/>
          <w:szCs w:val="24"/>
          <w:lang w:val="sr-Latn-RS" w:eastAsia="ja-JP"/>
        </w:rPr>
        <w:t>c</w:t>
      </w:r>
      <w:r w:rsidRPr="00B36449">
        <w:rPr>
          <w:rFonts w:eastAsia="Calibri" w:cs="Times New Roman"/>
          <w:bCs/>
          <w:i/>
          <w:szCs w:val="24"/>
          <w:lang w:val="sr-Cyrl-RS" w:eastAsia="ja-JP"/>
        </w:rPr>
        <w:t xml:space="preserve">hanges </w:t>
      </w:r>
      <w:r w:rsidRPr="00B36449">
        <w:rPr>
          <w:rFonts w:eastAsia="Calibri" w:cs="Times New Roman"/>
          <w:bCs/>
          <w:i/>
          <w:szCs w:val="24"/>
          <w:lang w:val="sr-Latn-RS" w:eastAsia="ja-JP"/>
        </w:rPr>
        <w:t>a</w:t>
      </w:r>
      <w:r w:rsidRPr="00B36449">
        <w:rPr>
          <w:rFonts w:eastAsia="Calibri" w:cs="Times New Roman"/>
          <w:bCs/>
          <w:i/>
          <w:szCs w:val="24"/>
          <w:lang w:val="sr-Cyrl-RS" w:eastAsia="ja-JP"/>
        </w:rPr>
        <w:t xml:space="preserve">gainst the </w:t>
      </w:r>
      <w:r w:rsidRPr="00B36449">
        <w:rPr>
          <w:rFonts w:eastAsia="Calibri" w:cs="Times New Roman"/>
          <w:bCs/>
          <w:i/>
          <w:szCs w:val="24"/>
          <w:lang w:val="sr-Latn-RS" w:eastAsia="ja-JP"/>
        </w:rPr>
        <w:t>c</w:t>
      </w:r>
      <w:r w:rsidRPr="00B36449">
        <w:rPr>
          <w:rFonts w:eastAsia="Calibri" w:cs="Times New Roman"/>
          <w:bCs/>
          <w:i/>
          <w:szCs w:val="24"/>
          <w:lang w:val="sr-Cyrl-RS" w:eastAsia="ja-JP"/>
        </w:rPr>
        <w:t xml:space="preserve">urrency </w:t>
      </w:r>
      <w:r w:rsidRPr="00B36449">
        <w:rPr>
          <w:rFonts w:eastAsia="Calibri" w:cs="Times New Roman"/>
          <w:bCs/>
          <w:i/>
          <w:szCs w:val="24"/>
          <w:lang w:val="sr-Latn-RS" w:eastAsia="ja-JP"/>
        </w:rPr>
        <w:t>b</w:t>
      </w:r>
      <w:r w:rsidRPr="00B36449">
        <w:rPr>
          <w:rFonts w:eastAsia="Calibri" w:cs="Times New Roman"/>
          <w:bCs/>
          <w:i/>
          <w:szCs w:val="24"/>
          <w:lang w:val="sr-Cyrl-RS" w:eastAsia="ja-JP"/>
        </w:rPr>
        <w:t xml:space="preserve">asket in the </w:t>
      </w:r>
      <w:r w:rsidRPr="00B36449">
        <w:rPr>
          <w:rFonts w:eastAsia="Calibri" w:cs="Times New Roman"/>
          <w:bCs/>
          <w:i/>
          <w:szCs w:val="24"/>
          <w:lang w:val="sr-Latn-RS" w:eastAsia="ja-JP"/>
        </w:rPr>
        <w:t>p</w:t>
      </w:r>
      <w:r w:rsidRPr="00B36449">
        <w:rPr>
          <w:rFonts w:eastAsia="Calibri" w:cs="Times New Roman"/>
          <w:bCs/>
          <w:i/>
          <w:szCs w:val="24"/>
          <w:lang w:val="sr-Cyrl-RS" w:eastAsia="ja-JP"/>
        </w:rPr>
        <w:t xml:space="preserve">ublic </w:t>
      </w:r>
      <w:r w:rsidRPr="00B36449">
        <w:rPr>
          <w:rFonts w:eastAsia="Calibri" w:cs="Times New Roman"/>
          <w:bCs/>
          <w:i/>
          <w:szCs w:val="24"/>
          <w:lang w:val="sr-Latn-RS" w:eastAsia="ja-JP"/>
        </w:rPr>
        <w:t>d</w:t>
      </w:r>
      <w:r w:rsidRPr="00B36449">
        <w:rPr>
          <w:rFonts w:eastAsia="Calibri" w:cs="Times New Roman"/>
          <w:bCs/>
          <w:i/>
          <w:szCs w:val="24"/>
          <w:lang w:val="sr-Cyrl-RS" w:eastAsia="ja-JP"/>
        </w:rPr>
        <w:t xml:space="preserve">ebt </w:t>
      </w:r>
      <w:r w:rsidRPr="00B36449">
        <w:rPr>
          <w:rFonts w:eastAsia="Calibri" w:cs="Times New Roman"/>
          <w:bCs/>
          <w:i/>
          <w:szCs w:val="24"/>
          <w:lang w:val="sr-Latn-RS" w:eastAsia="ja-JP"/>
        </w:rPr>
        <w:t>p</w:t>
      </w:r>
      <w:r w:rsidRPr="00B36449">
        <w:rPr>
          <w:rFonts w:eastAsia="Calibri" w:cs="Times New Roman"/>
          <w:bCs/>
          <w:i/>
          <w:szCs w:val="24"/>
          <w:lang w:val="sr-Cyrl-RS" w:eastAsia="ja-JP"/>
        </w:rPr>
        <w:t xml:space="preserve">ortfolio on </w:t>
      </w:r>
      <w:r w:rsidRPr="00B36449">
        <w:rPr>
          <w:rFonts w:eastAsia="Calibri" w:cs="Times New Roman"/>
          <w:bCs/>
          <w:i/>
          <w:szCs w:val="24"/>
          <w:lang w:val="sr-Latn-RS" w:eastAsia="ja-JP"/>
        </w:rPr>
        <w:t>c</w:t>
      </w:r>
      <w:r w:rsidRPr="00B36449">
        <w:rPr>
          <w:rFonts w:eastAsia="Calibri" w:cs="Times New Roman"/>
          <w:bCs/>
          <w:i/>
          <w:szCs w:val="24"/>
          <w:lang w:val="sr-Cyrl-RS" w:eastAsia="ja-JP"/>
        </w:rPr>
        <w:t xml:space="preserve">hanges in the Public Debt-to-GDP Ratio – Central Government Level </w:t>
      </w:r>
    </w:p>
    <w:p w14:paraId="56C4C464" w14:textId="77777777" w:rsidR="00B36449" w:rsidRPr="00B36449" w:rsidRDefault="00B36449" w:rsidP="00B36449">
      <w:pPr>
        <w:keepLines/>
        <w:widowControl w:val="0"/>
        <w:spacing w:after="160" w:line="256" w:lineRule="auto"/>
        <w:rPr>
          <w:rFonts w:eastAsia="Calibri" w:cs="Times New Roman"/>
          <w:bCs/>
          <w:szCs w:val="24"/>
          <w:lang w:val="sr-Cyrl-RS" w:eastAsia="ja-JP"/>
        </w:rPr>
      </w:pPr>
      <w:r w:rsidRPr="00B36449">
        <w:rPr>
          <w:rFonts w:eastAsia="Calibri" w:cs="Times New Roman"/>
          <w:noProof/>
          <w:szCs w:val="24"/>
        </w:rPr>
        <w:drawing>
          <wp:inline distT="0" distB="0" distL="0" distR="0" wp14:anchorId="13F75CF0" wp14:editId="13B51EFC">
            <wp:extent cx="5669280" cy="1945640"/>
            <wp:effectExtent l="0" t="0" r="7620" b="0"/>
            <wp:docPr id="1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AF2571" w14:textId="77777777" w:rsidR="00B36449" w:rsidRPr="00B36449" w:rsidRDefault="00B36449" w:rsidP="00B36449">
      <w:pPr>
        <w:rPr>
          <w:rFonts w:eastAsia="Calibri" w:cs="Times New Roman"/>
          <w:bCs/>
          <w:sz w:val="22"/>
          <w:szCs w:val="24"/>
          <w:lang w:val="sr-Cyrl-RS" w:eastAsia="ja-JP"/>
        </w:rPr>
      </w:pPr>
      <w:r w:rsidRPr="00B36449">
        <w:rPr>
          <w:rFonts w:eastAsia="Calibri" w:cs="Times New Roman"/>
          <w:bCs/>
          <w:sz w:val="22"/>
          <w:szCs w:val="24"/>
          <w:lang w:val="sr-Cyrl-RS" w:eastAsia="ja-JP"/>
        </w:rPr>
        <w:t xml:space="preserve">Source: Ministry of Finance </w:t>
      </w:r>
    </w:p>
    <w:p w14:paraId="3B3C3638" w14:textId="77777777" w:rsidR="00B36449" w:rsidRPr="00B36449" w:rsidRDefault="00B36449" w:rsidP="00B36449">
      <w:pPr>
        <w:rPr>
          <w:rFonts w:eastAsia="Calibri" w:cs="Times New Roman"/>
          <w:szCs w:val="24"/>
          <w:lang w:val="sr-Cyrl-RS" w:eastAsia="ja-JP"/>
        </w:rPr>
      </w:pPr>
      <w:r w:rsidRPr="00B36449">
        <w:rPr>
          <w:rFonts w:eastAsia="Calibri" w:cs="Times New Roman"/>
          <w:szCs w:val="24"/>
          <w:lang w:val="sr-Cyrl-RS" w:eastAsia="ja-JP"/>
        </w:rPr>
        <w:lastRenderedPageBreak/>
        <w:t>The chart presents the movement of the public debt-to-GDP ratio for the central government level depending on changes in the dinar exchange rate against a specific currency basket. The baseline projection is shown along with alternative scenarios based on the appreciation or depreciation of the dinar exchange rate in the range of 10% appreciation to 10% depreciation against the currency basket. By applying these scenarios, it can be seen that the ratio for 2027</w:t>
      </w:r>
      <w:r w:rsidRPr="00B36449">
        <w:rPr>
          <w:rFonts w:eastAsia="Calibri" w:cs="Times New Roman"/>
          <w:szCs w:val="24"/>
          <w:lang w:val="sr-Latn-RS" w:eastAsia="ja-JP"/>
        </w:rPr>
        <w:t>.</w:t>
      </w:r>
      <w:r w:rsidRPr="00B36449">
        <w:rPr>
          <w:rFonts w:eastAsia="Calibri" w:cs="Times New Roman"/>
          <w:szCs w:val="24"/>
          <w:lang w:val="sr-Cyrl-RS" w:eastAsia="ja-JP"/>
        </w:rPr>
        <w:t xml:space="preserve"> would range from 42</w:t>
      </w:r>
      <w:r w:rsidRPr="00B36449">
        <w:rPr>
          <w:rFonts w:eastAsia="Calibri" w:cs="Times New Roman"/>
          <w:szCs w:val="24"/>
          <w:lang w:eastAsia="ja-JP"/>
        </w:rPr>
        <w:t>,</w:t>
      </w:r>
      <w:r w:rsidRPr="00B36449">
        <w:rPr>
          <w:rFonts w:eastAsia="Calibri" w:cs="Times New Roman"/>
          <w:szCs w:val="24"/>
          <w:lang w:val="sr-Cyrl-RS" w:eastAsia="ja-JP"/>
        </w:rPr>
        <w:t>4% to 49</w:t>
      </w:r>
      <w:r w:rsidRPr="00B36449">
        <w:rPr>
          <w:rFonts w:eastAsia="Calibri" w:cs="Times New Roman"/>
          <w:szCs w:val="24"/>
          <w:lang w:eastAsia="ja-JP"/>
        </w:rPr>
        <w:t>,</w:t>
      </w:r>
      <w:r w:rsidRPr="00B36449">
        <w:rPr>
          <w:rFonts w:eastAsia="Calibri" w:cs="Times New Roman"/>
          <w:szCs w:val="24"/>
          <w:lang w:val="sr-Cyrl-RS" w:eastAsia="ja-JP"/>
        </w:rPr>
        <w:t>7%, while the baseline scenario would be at 46</w:t>
      </w:r>
      <w:r w:rsidRPr="00B36449">
        <w:rPr>
          <w:rFonts w:eastAsia="Calibri" w:cs="Times New Roman"/>
          <w:szCs w:val="24"/>
          <w:lang w:eastAsia="ja-JP"/>
        </w:rPr>
        <w:t>,</w:t>
      </w:r>
      <w:r w:rsidRPr="00B36449">
        <w:rPr>
          <w:rFonts w:eastAsia="Calibri" w:cs="Times New Roman"/>
          <w:szCs w:val="24"/>
          <w:lang w:val="sr-Cyrl-RS" w:eastAsia="ja-JP"/>
        </w:rPr>
        <w:t>0%</w:t>
      </w:r>
    </w:p>
    <w:p w14:paraId="0FF8D7D7" w14:textId="77777777" w:rsidR="00B36449" w:rsidRPr="00B36449" w:rsidRDefault="00B36449" w:rsidP="00B36449">
      <w:pPr>
        <w:rPr>
          <w:rFonts w:eastAsia="Calibri" w:cs="Times New Roman"/>
          <w:szCs w:val="24"/>
          <w:lang w:val="sr-Cyrl-RS" w:eastAsia="ja-JP"/>
        </w:rPr>
      </w:pPr>
      <w:r w:rsidRPr="00B36449">
        <w:rPr>
          <w:rFonts w:eastAsia="Calibri" w:cs="Times New Roman"/>
          <w:szCs w:val="24"/>
          <w:lang w:val="sr-Cyrl-RS" w:eastAsia="ja-JP"/>
        </w:rPr>
        <w:t>The Public Debt Management Strategy for the upcoming medium-term period is based on the assumption that financing will be secured through borrowing both on the domestic and international financial markets. Flexibility in choosing the market for borrowing, the currency of borrowing, and the financing instrument is one of the necessary conditions for securing the financing of the Republic of Serbia's budget expenditures. The decision on annual borrowing is made within the budget law for the specific fiscal year. Depending on changes in key fiscal aggregates, it is possible to adjust the borrowing plan during the fiscal year.</w:t>
      </w:r>
    </w:p>
    <w:p w14:paraId="587D103F" w14:textId="77777777" w:rsidR="00B36449" w:rsidRPr="00B36449" w:rsidRDefault="00B36449" w:rsidP="00B36449">
      <w:pPr>
        <w:rPr>
          <w:rFonts w:eastAsia="Calibri" w:cs="Times New Roman"/>
          <w:szCs w:val="24"/>
          <w:lang w:val="sr-Cyrl-RS" w:eastAsia="ja-JP"/>
        </w:rPr>
      </w:pPr>
      <w:r w:rsidRPr="00B36449">
        <w:rPr>
          <w:rFonts w:eastAsia="Calibri" w:cs="Times New Roman"/>
          <w:szCs w:val="24"/>
          <w:lang w:val="sr-Cyrl-RS" w:eastAsia="ja-JP"/>
        </w:rPr>
        <w:t>In order to optimize the portfolio and improve public debt management, an analysis of the costs and risks of alternative borrowing strategies was conducted using the World Bank's model (Medium Term Debt Strategy Model – MTDS), under the baseline scenario as well as under shock conditions that could lead to changes in the baseline scenario: exchange rate, changes in interest rates on international and domestic markets, and combined shocks.</w:t>
      </w:r>
    </w:p>
    <w:p w14:paraId="50E5231E" w14:textId="77777777" w:rsidR="00B36449" w:rsidRPr="00B36449" w:rsidRDefault="00B36449" w:rsidP="00B36449">
      <w:pPr>
        <w:rPr>
          <w:rFonts w:eastAsia="Calibri" w:cs="Times New Roman"/>
          <w:szCs w:val="24"/>
          <w:lang w:val="sr-Cyrl-RS" w:eastAsia="ja-JP"/>
        </w:rPr>
      </w:pPr>
      <w:r w:rsidRPr="00B36449">
        <w:rPr>
          <w:rFonts w:eastAsia="Calibri" w:cs="Times New Roman"/>
          <w:szCs w:val="24"/>
          <w:lang w:val="sr-Cyrl-RS" w:eastAsia="ja-JP"/>
        </w:rPr>
        <w:t>In order to reduce exposure to variable interest rates, new obligations are contracted at fixed interest rates, where possible, especially in the area of loans intended for financing investment projects.</w:t>
      </w:r>
    </w:p>
    <w:p w14:paraId="018114C3" w14:textId="77777777" w:rsidR="00B36449" w:rsidRPr="00B36449" w:rsidRDefault="00B36449" w:rsidP="00B36449">
      <w:pPr>
        <w:rPr>
          <w:rFonts w:eastAsia="Calibri" w:cs="Times New Roman"/>
          <w:szCs w:val="24"/>
          <w:lang w:val="sr-Cyrl-RS" w:eastAsia="ja-JP"/>
        </w:rPr>
      </w:pPr>
      <w:bookmarkStart w:id="35" w:name="_Toc530635112"/>
      <w:bookmarkEnd w:id="35"/>
      <w:r w:rsidRPr="00B36449">
        <w:rPr>
          <w:rFonts w:eastAsia="Calibri" w:cs="Times New Roman"/>
          <w:szCs w:val="24"/>
          <w:lang w:val="sr-Cyrl-RS" w:eastAsia="ja-JP"/>
        </w:rPr>
        <w:t>On October 4, 2024, the rating agency Standard and Poor’s upgraded the Republic of Serbia’s credit rating to investment grade, at BBB- with a stable outlook for further improvement. Investment-grade ratings are also expected from the other two agencies soon, as indicated by their latest reports.</w:t>
      </w:r>
    </w:p>
    <w:p w14:paraId="50062EAB" w14:textId="77777777" w:rsidR="00B36449" w:rsidRPr="00B36449" w:rsidRDefault="00B36449" w:rsidP="00B36449">
      <w:pPr>
        <w:rPr>
          <w:rFonts w:eastAsia="Calibri" w:cs="Times New Roman"/>
          <w:szCs w:val="24"/>
          <w:lang w:val="sr-Cyrl-RS" w:eastAsia="ja-JP"/>
        </w:rPr>
      </w:pPr>
      <w:r w:rsidRPr="00B36449">
        <w:rPr>
          <w:rFonts w:eastAsia="Calibri" w:cs="Times New Roman"/>
          <w:szCs w:val="24"/>
          <w:lang w:val="sr-Cyrl-RS" w:eastAsia="ja-JP"/>
        </w:rPr>
        <w:t>Obtaining an investment-grade rating will significantly impact the further reduction of financing costs for the Republic of Serbia. The expansion of the investor base is expected, which will lead to lower borrowing costs both on the domestic and international markets, due to the reduced risk of the instruments issued by the Republic of Serbia. Lower borrowing costs will result in savings in the budget, while simultaneously reducing the risk of the public debt portfolio.</w:t>
      </w:r>
    </w:p>
    <w:p w14:paraId="183927F2" w14:textId="77777777" w:rsidR="00B36449" w:rsidRPr="00B36449" w:rsidRDefault="00B36449" w:rsidP="00B36449">
      <w:pPr>
        <w:rPr>
          <w:rFonts w:eastAsia="Calibri" w:cs="Times New Roman"/>
          <w:szCs w:val="24"/>
          <w:lang w:val="sr-Cyrl-RS" w:eastAsia="ja-JP"/>
        </w:rPr>
      </w:pPr>
      <w:r w:rsidRPr="00B36449">
        <w:rPr>
          <w:rFonts w:eastAsia="Calibri" w:cs="Times New Roman"/>
          <w:szCs w:val="24"/>
          <w:lang w:val="sr-Cyrl-RS" w:eastAsia="ja-JP"/>
        </w:rPr>
        <w:t>By introducing "benchmark" bond issuances, a positive effect has been achieved on the volume and continuity of secondary market trading, as well as on improving market efficiency in the process of selling government securities on the primary market.</w:t>
      </w:r>
    </w:p>
    <w:p w14:paraId="0A2F8926" w14:textId="77777777" w:rsidR="00B36449" w:rsidRPr="00063F83" w:rsidRDefault="00B36449" w:rsidP="00063F83">
      <w:pPr>
        <w:rPr>
          <w:lang w:val="sr-Cyrl-RS" w:eastAsia="ja-JP"/>
        </w:rPr>
      </w:pPr>
      <w:bookmarkStart w:id="36" w:name="_Toc187314242"/>
      <w:bookmarkStart w:id="37" w:name="_Toc187314563"/>
      <w:r w:rsidRPr="00063F83">
        <w:rPr>
          <w:lang w:val="sr-Cyrl-RS" w:eastAsia="ja-JP"/>
        </w:rPr>
        <w:t>In the coming period, improvements in primary market efficiency are expected through access to the Euroclear platform, as a mechanism for selling government securities that directly, in the long term, contributes to reducing borrowing costs and refinancing risk.</w:t>
      </w:r>
      <w:bookmarkEnd w:id="36"/>
      <w:bookmarkEnd w:id="37"/>
    </w:p>
    <w:p w14:paraId="07EFA628" w14:textId="5AD07544" w:rsidR="00994A6E" w:rsidRPr="00915EC2" w:rsidRDefault="00994A6E" w:rsidP="00B36449">
      <w:pPr>
        <w:pStyle w:val="Heading11"/>
        <w:spacing w:before="180" w:after="180"/>
        <w:rPr>
          <w:rFonts w:ascii="Times New Roman" w:hAnsi="Times New Roman" w:cs="Times New Roman"/>
          <w:color w:val="auto"/>
          <w:sz w:val="24"/>
          <w:szCs w:val="24"/>
          <w:lang w:val="sr-Latn-RS"/>
        </w:rPr>
      </w:pPr>
      <w:bookmarkStart w:id="38" w:name="_Toc192759982"/>
      <w:r w:rsidRPr="00915EC2">
        <w:rPr>
          <w:rFonts w:ascii="Times New Roman" w:hAnsi="Times New Roman" w:cs="Times New Roman"/>
          <w:color w:val="auto"/>
          <w:sz w:val="24"/>
          <w:szCs w:val="24"/>
          <w:lang w:val="sr-Latn-RS"/>
        </w:rPr>
        <w:t xml:space="preserve">4.6. </w:t>
      </w:r>
      <w:r w:rsidRPr="00FB3AB1">
        <w:rPr>
          <w:rFonts w:ascii="Times New Roman" w:hAnsi="Times New Roman" w:cs="Times New Roman"/>
          <w:color w:val="auto"/>
          <w:sz w:val="24"/>
          <w:szCs w:val="24"/>
          <w:lang w:val="sr-Latn-RS"/>
        </w:rPr>
        <w:t>SENSITIVITY ANALYSIS AND COMPARISON WITH THE PREVIOUS PROGRAM</w:t>
      </w:r>
      <w:r w:rsidR="001956F9">
        <w:rPr>
          <w:rFonts w:ascii="Times New Roman" w:hAnsi="Times New Roman" w:cs="Times New Roman"/>
          <w:color w:val="auto"/>
          <w:sz w:val="24"/>
          <w:szCs w:val="24"/>
          <w:lang w:val="sr-Latn-RS"/>
        </w:rPr>
        <w:t>ME</w:t>
      </w:r>
      <w:bookmarkEnd w:id="38"/>
      <w:r w:rsidRPr="00FB3AB1" w:rsidDel="00FB3AB1">
        <w:rPr>
          <w:rFonts w:ascii="Times New Roman" w:hAnsi="Times New Roman" w:cs="Times New Roman"/>
          <w:color w:val="auto"/>
          <w:sz w:val="24"/>
          <w:szCs w:val="24"/>
          <w:lang w:val="sr-Latn-RS"/>
        </w:rPr>
        <w:t xml:space="preserve"> </w:t>
      </w:r>
      <w:bookmarkEnd w:id="34"/>
    </w:p>
    <w:p w14:paraId="0FC5FBAB" w14:textId="77777777" w:rsidR="00994A6E" w:rsidRDefault="00994A6E" w:rsidP="00994A6E">
      <w:pPr>
        <w:rPr>
          <w:rFonts w:eastAsia="MS PGothic" w:cs="Times New Roman"/>
          <w:szCs w:val="24"/>
          <w:lang w:val="sr-Cyrl-RS" w:eastAsia="ja-JP"/>
        </w:rPr>
      </w:pPr>
      <w:r w:rsidRPr="00D457FD">
        <w:rPr>
          <w:rFonts w:eastAsia="MS PGothic" w:cs="Times New Roman"/>
          <w:szCs w:val="24"/>
          <w:lang w:val="sr-Cyrl-RS" w:eastAsia="ja-JP"/>
        </w:rPr>
        <w:t xml:space="preserve">Fiscal risks represent the exposure of public finances to certain circumstances that may cause deviations from the projected fiscal framework. Deviations can occur in revenues, expenditures, fiscal results, as well as in the assets and liabilities of the state, compared to what was planned and expected. The government cannot influence external risks, such as natural disasters or global financial crises, but it is possible to define exit strategies that could mitigate their impact (e.g., maintaining stability in good times to allow fiscal policy space for an adequate response in times of recession or crisis, securing coverage in case of natural disasters, </w:t>
      </w:r>
      <w:r w:rsidRPr="00D457FD">
        <w:rPr>
          <w:rFonts w:eastAsia="MS PGothic" w:cs="Times New Roman"/>
          <w:szCs w:val="24"/>
          <w:lang w:val="sr-Cyrl-RS" w:eastAsia="ja-JP"/>
        </w:rPr>
        <w:lastRenderedPageBreak/>
        <w:t>etc.). Internal risks, or their materialization, are the result of activities in the public sector, and their probability of realization can be influenced by the decisions and policies of the government.</w:t>
      </w:r>
    </w:p>
    <w:p w14:paraId="39547CE5" w14:textId="77777777" w:rsidR="00994A6E" w:rsidRPr="00AD7E7D" w:rsidRDefault="00994A6E" w:rsidP="00994A6E">
      <w:pPr>
        <w:rPr>
          <w:rFonts w:eastAsia="MS PGothic" w:cs="Times New Roman"/>
          <w:szCs w:val="24"/>
          <w:lang w:val="sr-Cyrl-RS" w:eastAsia="ja-JP"/>
        </w:rPr>
      </w:pPr>
      <w:r w:rsidRPr="00D457FD">
        <w:rPr>
          <w:rFonts w:eastAsia="MS PGothic" w:cs="Times New Roman"/>
          <w:szCs w:val="24"/>
          <w:lang w:val="sr-Cyrl-RS" w:eastAsia="ja-JP"/>
        </w:rPr>
        <w:t>Identifying the greatest fiscal risks that may affect state finances in the medium term is the starting point for better fiscal risk management. Detailed data is available for certain fiscal risks, and it is easy to identify whether and with what probability they will affect fiscal aggregates in the medium term. For others, however, detailed data is lacking, but identifying them raises awareness of the possibility that they may lead to deviations from the planned fiscal framework in the future</w:t>
      </w:r>
      <w:r w:rsidRPr="00AD7E7D">
        <w:rPr>
          <w:rFonts w:eastAsia="MS PGothic" w:cs="Times New Roman"/>
          <w:szCs w:val="24"/>
          <w:lang w:val="sr-Cyrl-RS" w:eastAsia="ja-JP"/>
        </w:rPr>
        <w:t>.</w:t>
      </w:r>
    </w:p>
    <w:p w14:paraId="7948271B" w14:textId="77777777" w:rsidR="00994A6E" w:rsidRPr="00AD7E7D" w:rsidRDefault="00994A6E" w:rsidP="00994A6E">
      <w:pPr>
        <w:rPr>
          <w:rFonts w:eastAsia="MS PGothic" w:cs="Times New Roman"/>
          <w:szCs w:val="24"/>
          <w:lang w:val="sr-Cyrl-RS" w:eastAsia="ja-JP"/>
        </w:rPr>
      </w:pPr>
      <w:r w:rsidRPr="00D457FD">
        <w:rPr>
          <w:rFonts w:eastAsia="MS PGothic" w:cs="Times New Roman"/>
          <w:szCs w:val="24"/>
          <w:lang w:val="sr-Cyrl-RS" w:eastAsia="ja-JP"/>
        </w:rPr>
        <w:t>The Ministry of Finance plays a leading role in managing fiscal risks. As the key institution for medium-term macroeconomic and fiscal planning, formulation, and budget management, the Ministry of Finance must also take the lead in establishing the institutional and legal framework, as well as building the capacities needed for managing fiscal risks. The aim is for the result of these activities to be the identification and assessment of risks and the proposal of exit strategies, to assist the government in maintaining the stability of public finances, which is the key goal of fiscal policy and one of the basic prerequisites for dynamic economic growth</w:t>
      </w:r>
      <w:r w:rsidRPr="00AD7E7D">
        <w:rPr>
          <w:rFonts w:eastAsia="MS PGothic" w:cs="Times New Roman"/>
          <w:szCs w:val="24"/>
          <w:lang w:val="sr-Cyrl-RS" w:eastAsia="ja-JP"/>
        </w:rPr>
        <w:t>.</w:t>
      </w:r>
    </w:p>
    <w:p w14:paraId="60112B18" w14:textId="77777777" w:rsidR="00994A6E" w:rsidRPr="00AD7E7D" w:rsidRDefault="00994A6E" w:rsidP="00994A6E">
      <w:pPr>
        <w:spacing w:after="0"/>
        <w:rPr>
          <w:rFonts w:eastAsia="MS PGothic" w:cs="Times New Roman"/>
          <w:szCs w:val="24"/>
          <w:lang w:val="sr-Cyrl-RS" w:eastAsia="ja-JP"/>
        </w:rPr>
      </w:pPr>
      <w:r w:rsidRPr="00D457FD">
        <w:rPr>
          <w:rFonts w:eastAsia="MS PGothic" w:cs="Times New Roman"/>
          <w:szCs w:val="24"/>
          <w:lang w:val="sr-Cyrl-RS" w:eastAsia="ja-JP"/>
        </w:rPr>
        <w:t>To implement this process of fiscal risk monitoring, in October 2021, a Unified Methodology was adopted, prepared with the assistance of the World Bank. This methodology includes four main methodologies: 1) Methodology for monitoring fiscal risks arising from public enterprise operations; 2) Methodology for monitoring fiscal risks for the budget of the Republic of Serbia arising from the responsibilities of local self-government units; 3) Methodology for monitoring fiscal risks from judicial proceedings; 4) Methodology for monitoring fiscal risks resulting from natural disasters</w:t>
      </w:r>
      <w:r w:rsidRPr="00AD7E7D">
        <w:rPr>
          <w:rFonts w:eastAsia="MS PGothic" w:cs="Times New Roman"/>
          <w:szCs w:val="24"/>
          <w:lang w:val="sr-Cyrl-RS" w:eastAsia="ja-JP"/>
        </w:rPr>
        <w:t>.</w:t>
      </w:r>
    </w:p>
    <w:p w14:paraId="0DAF3454" w14:textId="77777777" w:rsidR="00994A6E" w:rsidRPr="00AD7E7D" w:rsidRDefault="00994A6E" w:rsidP="00994A6E">
      <w:pPr>
        <w:spacing w:after="0"/>
        <w:rPr>
          <w:rFonts w:eastAsia="MS PGothic" w:cs="Times New Roman"/>
          <w:szCs w:val="24"/>
          <w:lang w:val="sr-Cyrl-RS" w:eastAsia="ja-JP"/>
        </w:rPr>
      </w:pPr>
    </w:p>
    <w:p w14:paraId="1577309E" w14:textId="77777777" w:rsidR="00994A6E" w:rsidRDefault="00994A6E" w:rsidP="00994A6E">
      <w:pPr>
        <w:rPr>
          <w:rFonts w:eastAsia="MS PGothic" w:cs="Times New Roman"/>
          <w:szCs w:val="24"/>
          <w:lang w:eastAsia="ja-JP"/>
        </w:rPr>
      </w:pPr>
      <w:r w:rsidRPr="00D457FD">
        <w:rPr>
          <w:rFonts w:eastAsia="MS PGothic" w:cs="Times New Roman"/>
          <w:szCs w:val="24"/>
          <w:lang w:eastAsia="ja-JP"/>
        </w:rPr>
        <w:t>Guarantees issued by the state affect the level of public debt, but also the level of the deficit, if the state assumes repayment of the loan instead of the original debtor</w:t>
      </w:r>
      <w:r>
        <w:rPr>
          <w:rFonts w:eastAsia="MS PGothic" w:cs="Times New Roman"/>
          <w:szCs w:val="24"/>
          <w:lang w:eastAsia="ja-JP"/>
        </w:rPr>
        <w:t>.</w:t>
      </w:r>
    </w:p>
    <w:p w14:paraId="1890D66C" w14:textId="0646146D" w:rsidR="00994A6E" w:rsidRPr="00AD7E7D" w:rsidRDefault="00994A6E" w:rsidP="00994A6E">
      <w:pPr>
        <w:rPr>
          <w:rFonts w:eastAsia="MS PGothic" w:cs="Times New Roman"/>
          <w:spacing w:val="-2"/>
          <w:szCs w:val="24"/>
          <w:lang w:val="sr-Cyrl-RS" w:eastAsia="ja-JP"/>
        </w:rPr>
      </w:pPr>
      <w:r w:rsidRPr="00D457FD">
        <w:rPr>
          <w:rFonts w:eastAsia="MS PGothic" w:cs="Times New Roman"/>
          <w:szCs w:val="24"/>
          <w:lang w:eastAsia="ja-JP"/>
        </w:rPr>
        <w:t>Issued guarantees, according to the definition provided by the Law on Public Debt</w:t>
      </w:r>
      <w:r w:rsidR="00290433">
        <w:rPr>
          <w:rStyle w:val="FootnoteReference"/>
          <w:rFonts w:eastAsia="MS PGothic" w:cs="Times New Roman"/>
          <w:szCs w:val="24"/>
          <w:lang w:eastAsia="ja-JP"/>
        </w:rPr>
        <w:footnoteReference w:id="9"/>
      </w:r>
      <w:r w:rsidRPr="00D457FD">
        <w:rPr>
          <w:rFonts w:eastAsia="MS PGothic" w:cs="Times New Roman"/>
          <w:szCs w:val="24"/>
          <w:lang w:eastAsia="ja-JP"/>
        </w:rPr>
        <w:t>, are part of indirect liabilities and are included in the total amount of public debt. As of September 30, 2024, the total public debt in the state sector amounted to 4</w:t>
      </w:r>
      <w:r>
        <w:rPr>
          <w:rFonts w:eastAsia="MS PGothic" w:cs="Times New Roman"/>
          <w:szCs w:val="24"/>
          <w:lang w:eastAsia="ja-JP"/>
        </w:rPr>
        <w:t>.</w:t>
      </w:r>
      <w:r w:rsidRPr="00D457FD">
        <w:rPr>
          <w:rFonts w:eastAsia="MS PGothic" w:cs="Times New Roman"/>
          <w:szCs w:val="24"/>
          <w:lang w:eastAsia="ja-JP"/>
        </w:rPr>
        <w:t>496</w:t>
      </w:r>
      <w:r>
        <w:rPr>
          <w:rFonts w:eastAsia="MS PGothic" w:cs="Times New Roman"/>
          <w:szCs w:val="24"/>
          <w:lang w:eastAsia="ja-JP"/>
        </w:rPr>
        <w:t>,</w:t>
      </w:r>
      <w:r w:rsidRPr="00D457FD">
        <w:rPr>
          <w:rFonts w:eastAsia="MS PGothic" w:cs="Times New Roman"/>
          <w:szCs w:val="24"/>
          <w:lang w:eastAsia="ja-JP"/>
        </w:rPr>
        <w:t>5 billion dinars, which is 46</w:t>
      </w:r>
      <w:r>
        <w:rPr>
          <w:rFonts w:eastAsia="MS PGothic" w:cs="Times New Roman"/>
          <w:szCs w:val="24"/>
          <w:lang w:eastAsia="ja-JP"/>
        </w:rPr>
        <w:t>,</w:t>
      </w:r>
      <w:r w:rsidRPr="00D457FD">
        <w:rPr>
          <w:rFonts w:eastAsia="MS PGothic" w:cs="Times New Roman"/>
          <w:szCs w:val="24"/>
          <w:lang w:eastAsia="ja-JP"/>
        </w:rPr>
        <w:t>8% of GDP, of which direct liabilities account for 4</w:t>
      </w:r>
      <w:r>
        <w:rPr>
          <w:rFonts w:eastAsia="MS PGothic" w:cs="Times New Roman"/>
          <w:szCs w:val="24"/>
          <w:lang w:eastAsia="ja-JP"/>
        </w:rPr>
        <w:t>.</w:t>
      </w:r>
      <w:r w:rsidRPr="00D457FD">
        <w:rPr>
          <w:rFonts w:eastAsia="MS PGothic" w:cs="Times New Roman"/>
          <w:szCs w:val="24"/>
          <w:lang w:eastAsia="ja-JP"/>
        </w:rPr>
        <w:t>256</w:t>
      </w:r>
      <w:r>
        <w:rPr>
          <w:rFonts w:eastAsia="MS PGothic" w:cs="Times New Roman"/>
          <w:szCs w:val="24"/>
          <w:lang w:eastAsia="ja-JP"/>
        </w:rPr>
        <w:t>,</w:t>
      </w:r>
      <w:r w:rsidRPr="00D457FD">
        <w:rPr>
          <w:rFonts w:eastAsia="MS PGothic" w:cs="Times New Roman"/>
          <w:szCs w:val="24"/>
          <w:lang w:eastAsia="ja-JP"/>
        </w:rPr>
        <w:t>7 billion dinars (44</w:t>
      </w:r>
      <w:r>
        <w:rPr>
          <w:rFonts w:eastAsia="MS PGothic" w:cs="Times New Roman"/>
          <w:szCs w:val="24"/>
          <w:lang w:eastAsia="ja-JP"/>
        </w:rPr>
        <w:t>,</w:t>
      </w:r>
      <w:r w:rsidRPr="00D457FD">
        <w:rPr>
          <w:rFonts w:eastAsia="MS PGothic" w:cs="Times New Roman"/>
          <w:szCs w:val="24"/>
          <w:lang w:eastAsia="ja-JP"/>
        </w:rPr>
        <w:t>3% of GDP), indirect liabilities 210</w:t>
      </w:r>
      <w:r>
        <w:rPr>
          <w:rFonts w:eastAsia="MS PGothic" w:cs="Times New Roman"/>
          <w:szCs w:val="24"/>
          <w:lang w:eastAsia="ja-JP"/>
        </w:rPr>
        <w:t>,</w:t>
      </w:r>
      <w:r w:rsidRPr="00D457FD">
        <w:rPr>
          <w:rFonts w:eastAsia="MS PGothic" w:cs="Times New Roman"/>
          <w:szCs w:val="24"/>
          <w:lang w:eastAsia="ja-JP"/>
        </w:rPr>
        <w:t>3 billion dinars (2</w:t>
      </w:r>
      <w:r>
        <w:rPr>
          <w:rFonts w:eastAsia="MS PGothic" w:cs="Times New Roman"/>
          <w:szCs w:val="24"/>
          <w:lang w:eastAsia="ja-JP"/>
        </w:rPr>
        <w:t>,</w:t>
      </w:r>
      <w:r w:rsidRPr="00D457FD">
        <w:rPr>
          <w:rFonts w:eastAsia="MS PGothic" w:cs="Times New Roman"/>
          <w:szCs w:val="24"/>
          <w:lang w:eastAsia="ja-JP"/>
        </w:rPr>
        <w:t>2% of GDP), and non-guaranteed other debt of the state sector 29</w:t>
      </w:r>
      <w:r>
        <w:rPr>
          <w:rFonts w:eastAsia="MS PGothic" w:cs="Times New Roman"/>
          <w:szCs w:val="24"/>
          <w:lang w:eastAsia="ja-JP"/>
        </w:rPr>
        <w:t>,5 billion dinars (0,3% of GDP)</w:t>
      </w:r>
      <w:r w:rsidRPr="00AD7E7D">
        <w:rPr>
          <w:rFonts w:eastAsia="MS PGothic" w:cs="Times New Roman"/>
          <w:szCs w:val="24"/>
          <w:lang w:eastAsia="ja-JP"/>
        </w:rPr>
        <w:t>.</w:t>
      </w:r>
    </w:p>
    <w:p w14:paraId="077EA97B" w14:textId="1A58CB00" w:rsidR="00994A6E" w:rsidRPr="00010E52" w:rsidRDefault="00994A6E" w:rsidP="00994A6E">
      <w:pPr>
        <w:spacing w:after="0" w:line="276" w:lineRule="auto"/>
        <w:rPr>
          <w:rFonts w:eastAsia="Calibri" w:cs="Times New Roman"/>
          <w:i/>
          <w:szCs w:val="24"/>
          <w:lang w:val="sr-Cyrl-RS" w:eastAsia="ja-JP"/>
        </w:rPr>
      </w:pPr>
      <w:r>
        <w:rPr>
          <w:rFonts w:eastAsia="Calibri" w:cs="Times New Roman"/>
          <w:i/>
          <w:szCs w:val="24"/>
          <w:lang w:eastAsia="ja-JP"/>
        </w:rPr>
        <w:t>Graph</w:t>
      </w:r>
      <w:r w:rsidRPr="00010E52">
        <w:rPr>
          <w:rFonts w:eastAsia="Calibri" w:cs="Times New Roman"/>
          <w:i/>
          <w:szCs w:val="24"/>
          <w:lang w:val="sr-Cyrl-RS" w:eastAsia="ja-JP"/>
        </w:rPr>
        <w:t xml:space="preserve"> 1</w:t>
      </w:r>
      <w:r>
        <w:rPr>
          <w:rFonts w:eastAsia="Calibri" w:cs="Times New Roman"/>
          <w:i/>
          <w:szCs w:val="24"/>
          <w:lang w:val="sr-Latn-RS" w:eastAsia="ja-JP"/>
        </w:rPr>
        <w:t>4</w:t>
      </w:r>
      <w:r w:rsidRPr="00010E52">
        <w:rPr>
          <w:rFonts w:eastAsia="Calibri" w:cs="Times New Roman"/>
          <w:i/>
          <w:szCs w:val="24"/>
          <w:lang w:val="sr-Cyrl-RS" w:eastAsia="ja-JP"/>
        </w:rPr>
        <w:t xml:space="preserve">. </w:t>
      </w:r>
      <w:r w:rsidRPr="00D457FD">
        <w:rPr>
          <w:rFonts w:eastAsia="Calibri" w:cs="Times New Roman"/>
          <w:i/>
          <w:szCs w:val="24"/>
          <w:lang w:val="sr-Cyrl-RS" w:eastAsia="ja-JP"/>
        </w:rPr>
        <w:t>The share of indirect debt in the state sector debt</w:t>
      </w:r>
    </w:p>
    <w:p w14:paraId="213888A9" w14:textId="77777777" w:rsidR="00994A6E" w:rsidRPr="00AD7E7D" w:rsidRDefault="00994A6E" w:rsidP="00994A6E">
      <w:pPr>
        <w:spacing w:after="0" w:line="276" w:lineRule="auto"/>
        <w:rPr>
          <w:rFonts w:eastAsia="Calibri" w:cs="Times New Roman"/>
          <w:szCs w:val="24"/>
          <w:highlight w:val="yellow"/>
          <w:lang w:val="sr-Cyrl-RS" w:eastAsia="ja-JP"/>
        </w:rPr>
      </w:pPr>
      <w:r w:rsidRPr="00AD7E7D">
        <w:rPr>
          <w:rFonts w:cs="Times New Roman"/>
          <w:noProof/>
          <w:szCs w:val="24"/>
        </w:rPr>
        <w:drawing>
          <wp:inline distT="0" distB="0" distL="0" distR="0" wp14:anchorId="4BB74A30" wp14:editId="6DF73760">
            <wp:extent cx="5581650" cy="2228850"/>
            <wp:effectExtent l="0" t="0" r="0" b="0"/>
            <wp:docPr id="24" name="Chart 2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DF7EFC" w14:textId="77777777" w:rsidR="00994A6E" w:rsidRPr="00AD7E7D" w:rsidRDefault="00994A6E" w:rsidP="00994A6E">
      <w:pPr>
        <w:spacing w:after="240"/>
        <w:rPr>
          <w:rFonts w:eastAsia="MS PGothic" w:cs="Times New Roman"/>
          <w:szCs w:val="24"/>
          <w:lang w:eastAsia="ja-JP"/>
        </w:rPr>
      </w:pPr>
      <w:r w:rsidRPr="00D457FD">
        <w:rPr>
          <w:rFonts w:eastAsia="MS PGothic" w:cs="Times New Roman"/>
          <w:szCs w:val="24"/>
          <w:lang w:eastAsia="ja-JP"/>
        </w:rPr>
        <w:lastRenderedPageBreak/>
        <w:t>The restrictions placed on the issuance of new guarantees over the past 10 years have yielded results, with the share of indirect liabilities in total public debt decreasing year by year. Indirect liabilities (guarantees issued by the Republic of Serbia) accounted for 9</w:t>
      </w:r>
      <w:r>
        <w:rPr>
          <w:rFonts w:eastAsia="MS PGothic" w:cs="Times New Roman"/>
          <w:szCs w:val="24"/>
          <w:lang w:eastAsia="ja-JP"/>
        </w:rPr>
        <w:t>,</w:t>
      </w:r>
      <w:r w:rsidRPr="00D457FD">
        <w:rPr>
          <w:rFonts w:eastAsia="MS PGothic" w:cs="Times New Roman"/>
          <w:szCs w:val="24"/>
          <w:lang w:eastAsia="ja-JP"/>
        </w:rPr>
        <w:t>5% of the state sector debt at the end of 2015, while at the end of 2023, they accounted for 5</w:t>
      </w:r>
      <w:r>
        <w:rPr>
          <w:rFonts w:eastAsia="MS PGothic" w:cs="Times New Roman"/>
          <w:szCs w:val="24"/>
          <w:lang w:eastAsia="ja-JP"/>
        </w:rPr>
        <w:t>,</w:t>
      </w:r>
      <w:r w:rsidRPr="00D457FD">
        <w:rPr>
          <w:rFonts w:eastAsia="MS PGothic" w:cs="Times New Roman"/>
          <w:szCs w:val="24"/>
          <w:lang w:eastAsia="ja-JP"/>
        </w:rPr>
        <w:t>0% of the state sector debt. As of September 30, 2024, indirect liabilities accounted for 4</w:t>
      </w:r>
      <w:r>
        <w:rPr>
          <w:rFonts w:eastAsia="MS PGothic" w:cs="Times New Roman"/>
          <w:szCs w:val="24"/>
          <w:lang w:eastAsia="ja-JP"/>
        </w:rPr>
        <w:t>,</w:t>
      </w:r>
      <w:r w:rsidRPr="00D457FD">
        <w:rPr>
          <w:rFonts w:eastAsia="MS PGothic" w:cs="Times New Roman"/>
          <w:szCs w:val="24"/>
          <w:lang w:eastAsia="ja-JP"/>
        </w:rPr>
        <w:t>7% of the state sector debt.</w:t>
      </w:r>
    </w:p>
    <w:p w14:paraId="691736E0" w14:textId="77777777" w:rsidR="00994A6E" w:rsidRDefault="00994A6E" w:rsidP="00994A6E">
      <w:pPr>
        <w:rPr>
          <w:rFonts w:eastAsia="MS PGothic" w:cs="Times New Roman"/>
          <w:szCs w:val="24"/>
          <w:lang w:eastAsia="ja-JP"/>
        </w:rPr>
      </w:pPr>
      <w:r w:rsidRPr="00D457FD">
        <w:rPr>
          <w:rFonts w:eastAsia="MS PGothic" w:cs="Times New Roman"/>
          <w:szCs w:val="24"/>
          <w:lang w:eastAsia="ja-JP"/>
        </w:rPr>
        <w:t>The principal of guaranteed loans serviced from the Republic of Serbia’s budget in 2023 amounted to 27</w:t>
      </w:r>
      <w:r>
        <w:rPr>
          <w:rFonts w:eastAsia="MS PGothic" w:cs="Times New Roman"/>
          <w:szCs w:val="24"/>
          <w:lang w:eastAsia="ja-JP"/>
        </w:rPr>
        <w:t>,</w:t>
      </w:r>
      <w:r w:rsidRPr="00D457FD">
        <w:rPr>
          <w:rFonts w:eastAsia="MS PGothic" w:cs="Times New Roman"/>
          <w:szCs w:val="24"/>
          <w:lang w:eastAsia="ja-JP"/>
        </w:rPr>
        <w:t>2 billion dinars (compared to 21</w:t>
      </w:r>
      <w:r>
        <w:rPr>
          <w:rFonts w:eastAsia="MS PGothic" w:cs="Times New Roman"/>
          <w:szCs w:val="24"/>
          <w:lang w:eastAsia="ja-JP"/>
        </w:rPr>
        <w:t>,</w:t>
      </w:r>
      <w:r w:rsidRPr="00D457FD">
        <w:rPr>
          <w:rFonts w:eastAsia="MS PGothic" w:cs="Times New Roman"/>
          <w:szCs w:val="24"/>
          <w:lang w:eastAsia="ja-JP"/>
        </w:rPr>
        <w:t>3 billion dinars in 2022), of which 23</w:t>
      </w:r>
      <w:r>
        <w:rPr>
          <w:rFonts w:eastAsia="MS PGothic" w:cs="Times New Roman"/>
          <w:szCs w:val="24"/>
          <w:lang w:eastAsia="ja-JP"/>
        </w:rPr>
        <w:t>,</w:t>
      </w:r>
      <w:r w:rsidRPr="00D457FD">
        <w:rPr>
          <w:rFonts w:eastAsia="MS PGothic" w:cs="Times New Roman"/>
          <w:szCs w:val="24"/>
          <w:lang w:eastAsia="ja-JP"/>
        </w:rPr>
        <w:t xml:space="preserve">8 billion dinars affected the deficit. The accounting methodology, until 2014, did not include guarantee repayments in expenditures. </w:t>
      </w:r>
    </w:p>
    <w:p w14:paraId="3AA12B75" w14:textId="6186042C" w:rsidR="00994A6E" w:rsidRDefault="00994A6E" w:rsidP="00994A6E">
      <w:pPr>
        <w:rPr>
          <w:rFonts w:eastAsia="MS PGothic" w:cs="Times New Roman"/>
          <w:szCs w:val="24"/>
          <w:lang w:eastAsia="ja-JP"/>
        </w:rPr>
      </w:pPr>
      <w:r w:rsidRPr="00D457FD">
        <w:rPr>
          <w:rFonts w:eastAsia="MS PGothic" w:cs="Times New Roman"/>
          <w:szCs w:val="24"/>
          <w:lang w:eastAsia="ja-JP"/>
        </w:rPr>
        <w:t xml:space="preserve">Since 2014, part of these expenses </w:t>
      </w:r>
      <w:r w:rsidR="00790E54">
        <w:rPr>
          <w:rFonts w:eastAsia="MS PGothic" w:cs="Times New Roman"/>
          <w:szCs w:val="24"/>
          <w:lang w:eastAsia="ja-JP"/>
        </w:rPr>
        <w:t>has been included in the budget</w:t>
      </w:r>
      <w:r>
        <w:t xml:space="preserve">. </w:t>
      </w:r>
      <w:r w:rsidRPr="00D457FD">
        <w:rPr>
          <w:rFonts w:eastAsia="MS PGothic" w:cs="Times New Roman"/>
          <w:szCs w:val="24"/>
          <w:lang w:eastAsia="ja-JP"/>
        </w:rPr>
        <w:t>Regardless of the budgetary and accounting presentation, debt repaid by the state instead of the main debtor increases overall borrowing requirements.</w:t>
      </w:r>
      <w:r w:rsidRPr="00D457FD" w:rsidDel="00D457FD">
        <w:rPr>
          <w:rFonts w:eastAsia="MS PGothic" w:cs="Times New Roman"/>
          <w:szCs w:val="24"/>
          <w:lang w:eastAsia="ja-JP"/>
        </w:rPr>
        <w:t xml:space="preserve"> </w:t>
      </w:r>
    </w:p>
    <w:p w14:paraId="540CF98D" w14:textId="77777777" w:rsidR="00994A6E" w:rsidRPr="00010E52" w:rsidRDefault="00994A6E" w:rsidP="00994A6E">
      <w:pPr>
        <w:rPr>
          <w:rFonts w:eastAsia="Calibri" w:cs="Times New Roman"/>
          <w:i/>
          <w:szCs w:val="24"/>
          <w:lang w:val="sr-Cyrl-RS" w:eastAsia="ja-JP"/>
        </w:rPr>
      </w:pPr>
      <w:r>
        <w:rPr>
          <w:rFonts w:eastAsia="Calibri" w:cs="Times New Roman"/>
          <w:i/>
          <w:szCs w:val="24"/>
          <w:lang w:eastAsia="ja-JP"/>
        </w:rPr>
        <w:t>Graph</w:t>
      </w:r>
      <w:r w:rsidRPr="00010E52">
        <w:rPr>
          <w:rFonts w:eastAsia="Calibri" w:cs="Times New Roman"/>
          <w:i/>
          <w:szCs w:val="24"/>
          <w:lang w:val="sr-Cyrl-RS" w:eastAsia="ja-JP"/>
        </w:rPr>
        <w:t xml:space="preserve"> 1</w:t>
      </w:r>
      <w:r>
        <w:rPr>
          <w:rFonts w:eastAsia="Calibri" w:cs="Times New Roman"/>
          <w:i/>
          <w:szCs w:val="24"/>
          <w:lang w:val="sr-Latn-RS" w:eastAsia="ja-JP"/>
        </w:rPr>
        <w:t>5</w:t>
      </w:r>
      <w:r w:rsidRPr="00010E52">
        <w:rPr>
          <w:rFonts w:eastAsia="Calibri" w:cs="Times New Roman"/>
          <w:i/>
          <w:szCs w:val="24"/>
          <w:lang w:val="sr-Cyrl-RS" w:eastAsia="ja-JP"/>
        </w:rPr>
        <w:t xml:space="preserve">. </w:t>
      </w:r>
      <w:r w:rsidRPr="00D457FD">
        <w:rPr>
          <w:rFonts w:eastAsia="Calibri" w:cs="Times New Roman"/>
          <w:i/>
          <w:szCs w:val="24"/>
          <w:lang w:val="sr-Cyrl-RS" w:eastAsia="ja-JP"/>
        </w:rPr>
        <w:t>Debt repayment based on activated guarantees, in billion dinars</w:t>
      </w:r>
      <w:r w:rsidRPr="00D457FD" w:rsidDel="00D457FD">
        <w:rPr>
          <w:rFonts w:eastAsia="Calibri" w:cs="Times New Roman"/>
          <w:i/>
          <w:szCs w:val="24"/>
          <w:lang w:val="sr-Cyrl-RS" w:eastAsia="ja-JP"/>
        </w:rPr>
        <w:t xml:space="preserve"> </w:t>
      </w:r>
    </w:p>
    <w:p w14:paraId="10CE6C18" w14:textId="77777777" w:rsidR="00994A6E" w:rsidRPr="00AD7E7D" w:rsidRDefault="00994A6E" w:rsidP="00994A6E">
      <w:pPr>
        <w:spacing w:after="0" w:line="276" w:lineRule="auto"/>
        <w:rPr>
          <w:rFonts w:eastAsia="Calibri" w:cs="Times New Roman"/>
          <w:szCs w:val="24"/>
          <w:highlight w:val="yellow"/>
          <w:lang w:val="sr-Cyrl-RS" w:eastAsia="ja-JP"/>
        </w:rPr>
      </w:pPr>
      <w:r w:rsidRPr="00AD7E7D">
        <w:rPr>
          <w:rFonts w:cs="Times New Roman"/>
          <w:noProof/>
          <w:szCs w:val="24"/>
        </w:rPr>
        <w:drawing>
          <wp:inline distT="0" distB="0" distL="0" distR="0" wp14:anchorId="649279B7" wp14:editId="0C97F1BC">
            <wp:extent cx="5888355" cy="2343150"/>
            <wp:effectExtent l="0" t="0" r="0" b="0"/>
            <wp:docPr id="25"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158E56" w14:textId="77777777" w:rsidR="00994A6E" w:rsidRDefault="00994A6E" w:rsidP="00994A6E">
      <w:pPr>
        <w:spacing w:line="257" w:lineRule="auto"/>
        <w:rPr>
          <w:rFonts w:eastAsia="MS PGothic" w:cs="Times New Roman"/>
          <w:szCs w:val="24"/>
          <w:lang w:eastAsia="ja-JP"/>
        </w:rPr>
      </w:pPr>
      <w:r w:rsidRPr="007E7139">
        <w:rPr>
          <w:rFonts w:eastAsia="MS PGothic" w:cs="Times New Roman"/>
          <w:szCs w:val="24"/>
          <w:lang w:eastAsia="ja-JP"/>
        </w:rPr>
        <w:t>The repayment plan under guarantees (total principal and interest) in the Budget Law of the Republic of Serbia for 2024 amounts to 41</w:t>
      </w:r>
      <w:r>
        <w:rPr>
          <w:rFonts w:eastAsia="MS PGothic" w:cs="Times New Roman"/>
          <w:szCs w:val="24"/>
          <w:lang w:eastAsia="ja-JP"/>
        </w:rPr>
        <w:t>,</w:t>
      </w:r>
      <w:r w:rsidRPr="007E7139">
        <w:rPr>
          <w:rFonts w:eastAsia="MS PGothic" w:cs="Times New Roman"/>
          <w:szCs w:val="24"/>
          <w:lang w:eastAsia="ja-JP"/>
        </w:rPr>
        <w:t>3 billion dinars, of which 28</w:t>
      </w:r>
      <w:r>
        <w:rPr>
          <w:rFonts w:eastAsia="MS PGothic" w:cs="Times New Roman"/>
          <w:szCs w:val="24"/>
          <w:lang w:eastAsia="ja-JP"/>
        </w:rPr>
        <w:t>,</w:t>
      </w:r>
      <w:r w:rsidRPr="007E7139">
        <w:rPr>
          <w:rFonts w:eastAsia="MS PGothic" w:cs="Times New Roman"/>
          <w:szCs w:val="24"/>
          <w:lang w:eastAsia="ja-JP"/>
        </w:rPr>
        <w:t>5 billion dinars for principal repayment under guarantees is included in expenditures that affect the fiscal result.</w:t>
      </w:r>
    </w:p>
    <w:p w14:paraId="08026D3C" w14:textId="77777777" w:rsidR="00994A6E" w:rsidRDefault="00994A6E" w:rsidP="00994A6E">
      <w:pPr>
        <w:spacing w:line="257" w:lineRule="auto"/>
        <w:rPr>
          <w:rFonts w:eastAsia="MS PGothic" w:cs="Times New Roman"/>
          <w:szCs w:val="24"/>
          <w:lang w:val="sr-Cyrl-RS" w:eastAsia="ja-JP"/>
        </w:rPr>
      </w:pPr>
      <w:r w:rsidRPr="007E7139">
        <w:rPr>
          <w:rFonts w:eastAsia="MS PGothic" w:cs="Times New Roman"/>
          <w:szCs w:val="24"/>
          <w:lang w:eastAsia="ja-JP"/>
        </w:rPr>
        <w:t xml:space="preserve">Indirect debt, along with the inclusion of a portion of guarantee repayments in budgetary expenditures and the resulting increase in the deficit, has raised awareness of the growing fiscal risks </w:t>
      </w:r>
      <w:r>
        <w:rPr>
          <w:rFonts w:eastAsia="MS PGothic" w:cs="Times New Roman"/>
          <w:szCs w:val="24"/>
          <w:lang w:eastAsia="ja-JP"/>
        </w:rPr>
        <w:t>stemming from issued guarantees</w:t>
      </w:r>
      <w:r w:rsidRPr="00AD7E7D">
        <w:rPr>
          <w:rFonts w:eastAsia="MS PGothic" w:cs="Times New Roman"/>
          <w:szCs w:val="24"/>
          <w:lang w:eastAsia="ja-JP"/>
        </w:rPr>
        <w:t xml:space="preserve">. </w:t>
      </w:r>
      <w:r>
        <w:rPr>
          <w:rFonts w:eastAsia="MS PGothic" w:cs="Times New Roman"/>
          <w:szCs w:val="24"/>
          <w:lang w:val="sr-Cyrl-RS" w:eastAsia="ja-JP"/>
        </w:rPr>
        <w:t xml:space="preserve"> </w:t>
      </w:r>
    </w:p>
    <w:p w14:paraId="6025512A" w14:textId="77777777" w:rsidR="00994A6E" w:rsidRPr="00AD7E7D" w:rsidRDefault="00994A6E" w:rsidP="00994A6E">
      <w:pPr>
        <w:rPr>
          <w:rFonts w:eastAsia="MS PGothic" w:cs="Times New Roman"/>
          <w:szCs w:val="24"/>
          <w:lang w:val="sr-Cyrl-RS" w:eastAsia="ja-JP"/>
        </w:rPr>
      </w:pPr>
      <w:r w:rsidRPr="007E7139">
        <w:rPr>
          <w:rFonts w:eastAsia="MS PGothic" w:cs="Times New Roman"/>
          <w:szCs w:val="24"/>
          <w:lang w:val="sr-Cyrl-RS" w:eastAsia="ja-JP"/>
        </w:rPr>
        <w:t>The Law on Amendments and Supplements to the Budget Law of the Republic of Serbia for 2024, Article 3a, provides for the issuance of guarantees up to a maximum of 405 billion dinars. Additionally, it allows for the increase in the volume of issued guarantees, aimed at preserving and strengthening financial stability or preventing or mitigating the consequences of extraordinary circumstances that could endanger life and health or cause significant damage, in an amount up to 20 billion dinars, upon the proposal of the ministry responsible for financial affairs</w:t>
      </w:r>
      <w:r w:rsidRPr="00AD7E7D">
        <w:rPr>
          <w:rFonts w:eastAsia="MS PGothic" w:cs="Times New Roman"/>
          <w:szCs w:val="24"/>
          <w:lang w:eastAsia="ja-JP"/>
        </w:rPr>
        <w:t>.</w:t>
      </w:r>
    </w:p>
    <w:p w14:paraId="12A7A535" w14:textId="77777777" w:rsidR="00994A6E" w:rsidRPr="00AD7E7D" w:rsidRDefault="00994A6E" w:rsidP="00994A6E">
      <w:pPr>
        <w:spacing w:line="257" w:lineRule="auto"/>
        <w:rPr>
          <w:rFonts w:eastAsia="MS PGothic" w:cs="Times New Roman"/>
          <w:szCs w:val="24"/>
          <w:lang w:eastAsia="ja-JP"/>
        </w:rPr>
      </w:pPr>
      <w:r w:rsidRPr="007E7139">
        <w:rPr>
          <w:rFonts w:eastAsia="MS PGothic" w:cs="Times New Roman"/>
          <w:szCs w:val="24"/>
          <w:lang w:eastAsia="ja-JP"/>
        </w:rPr>
        <w:t>Beyond limiting the issuance of state guarantees, a key step in reducing and mitigating fiscal risks in this regard is the reform of state-owned enterprises, which are the primary beneficiaries of guarantees, to enable them to repay their loans independently. A significant number of enterprises, including the largest beneficiaries of guarantees, are undergoing restructuring processes or implementing restructuring plans developed in cooperation with international financial institutions</w:t>
      </w:r>
      <w:r w:rsidRPr="00AD7E7D">
        <w:rPr>
          <w:rFonts w:eastAsia="MS PGothic" w:cs="Times New Roman"/>
          <w:szCs w:val="24"/>
          <w:lang w:eastAsia="ja-JP"/>
        </w:rPr>
        <w:t>.</w:t>
      </w:r>
    </w:p>
    <w:p w14:paraId="447999C7" w14:textId="77777777" w:rsidR="00994A6E" w:rsidRPr="00AD7E7D" w:rsidRDefault="00994A6E" w:rsidP="00994A6E">
      <w:pPr>
        <w:rPr>
          <w:rFonts w:eastAsia="MS PGothic" w:cs="Times New Roman"/>
          <w:szCs w:val="24"/>
          <w:lang w:val="sr-Cyrl-RS" w:eastAsia="ja-JP"/>
        </w:rPr>
      </w:pPr>
      <w:r w:rsidRPr="007E7139">
        <w:rPr>
          <w:rFonts w:eastAsia="MS PGothic" w:cs="Times New Roman"/>
          <w:szCs w:val="24"/>
          <w:lang w:val="sr-Cyrl-RS" w:eastAsia="ja-JP"/>
        </w:rPr>
        <w:lastRenderedPageBreak/>
        <w:t>Structural reforms of public and state-owned enterprises, their preparation for market competition and financial sustainability on the one hand, and the limited and targeted issuance of new guarantees on the other, will contribute to reducing fiscal risks and maintaining expenditures within the planned or projected frameworks in the upcoming medium-term period</w:t>
      </w:r>
      <w:r w:rsidRPr="00AD7E7D">
        <w:rPr>
          <w:rFonts w:eastAsia="MS PGothic" w:cs="Times New Roman"/>
          <w:szCs w:val="24"/>
          <w:lang w:val="sr-Cyrl-RS" w:eastAsia="ja-JP"/>
        </w:rPr>
        <w:t>.</w:t>
      </w:r>
    </w:p>
    <w:p w14:paraId="080D31A0" w14:textId="77777777" w:rsidR="00994A6E" w:rsidRPr="00AD7E7D" w:rsidRDefault="00994A6E" w:rsidP="00994A6E">
      <w:pPr>
        <w:rPr>
          <w:rFonts w:eastAsia="MS PGothic" w:cs="Times New Roman"/>
          <w:szCs w:val="24"/>
          <w:lang w:val="sr-Cyrl-RS" w:eastAsia="ja-JP"/>
        </w:rPr>
      </w:pPr>
      <w:r w:rsidRPr="007E7139">
        <w:rPr>
          <w:rFonts w:eastAsia="MS PGothic" w:cs="Times New Roman"/>
          <w:szCs w:val="24"/>
          <w:lang w:eastAsia="ja-JP"/>
        </w:rPr>
        <w:t>The operations of state-owned enterprises represent a significant source of fiscal risks, both on the revenue side and on the expenditure side of the budget. State-owned enterprises face numerous challenges in their operations, from the collection of receivables to the regular settlement of obligations to creditors, the state, employees, and others. The state, as their founder and sole owner, is responsible for their operations and serves as their primary support in cases of insolvency. Several channels exist through which fiscal risks associated with the operations of state-owned enterprises can materialize. The most significant, but not the only risk, is the state guarantees issued for loans taken by state-owned enterprises. The sustainability, efficiency, and profitability of state-owned enterprises affect budget revenues, specifically the amount of profits they pay into the budget. The quality of goods and services provided by state-owned enterprises impacts the efficiency and profitability of the private sector, and ultimately, the level of taxes paid into the budget</w:t>
      </w:r>
      <w:r w:rsidRPr="00AD7E7D">
        <w:rPr>
          <w:rFonts w:eastAsia="MS PGothic" w:cs="Times New Roman"/>
          <w:szCs w:val="24"/>
          <w:lang w:eastAsia="ja-JP"/>
        </w:rPr>
        <w:t>.</w:t>
      </w:r>
    </w:p>
    <w:p w14:paraId="7D3581CA" w14:textId="77777777" w:rsidR="00994A6E" w:rsidRPr="00AD7E7D" w:rsidRDefault="00994A6E" w:rsidP="00994A6E">
      <w:pPr>
        <w:rPr>
          <w:rFonts w:cs="Times New Roman"/>
          <w:szCs w:val="24"/>
          <w:highlight w:val="yellow"/>
          <w:lang w:val="sr-Cyrl-RS" w:eastAsia="ja-JP"/>
        </w:rPr>
      </w:pPr>
      <w:r w:rsidRPr="007E7139">
        <w:rPr>
          <w:rFonts w:eastAsia="MS PGothic" w:cs="Times New Roman"/>
          <w:szCs w:val="24"/>
          <w:lang w:val="sr-Cyrl-RS" w:eastAsia="ja-JP"/>
        </w:rPr>
        <w:t>The Ministry of Finance monitors the performance of 36 strategic enterprises majority-owned by the Republic of Serbia, which represent a significant segment of the Serbian economy. As of the end of the third quarter of 2024, these enterprises employed 65</w:t>
      </w:r>
      <w:r>
        <w:rPr>
          <w:rFonts w:eastAsia="MS PGothic" w:cs="Times New Roman"/>
          <w:szCs w:val="24"/>
          <w:lang w:eastAsia="ja-JP"/>
        </w:rPr>
        <w:t>,</w:t>
      </w:r>
      <w:r w:rsidRPr="007E7139">
        <w:rPr>
          <w:rFonts w:eastAsia="MS PGothic" w:cs="Times New Roman"/>
          <w:szCs w:val="24"/>
          <w:lang w:val="sr-Cyrl-RS" w:eastAsia="ja-JP"/>
        </w:rPr>
        <w:t>8 thousand people. Their operations are regulated by the Law on Public Enterprises, adopted in February 2016, the Law on the Management of Companies Owned by the Republic of Serbia, adopted in September 2023, as well as sub-sectoral laws that define specific areas not covered by the Law on Public Enterprises (e.g., the Energy Law, the Law on Companies, etc.)</w:t>
      </w:r>
      <w:r w:rsidRPr="00AD7E7D">
        <w:rPr>
          <w:rFonts w:eastAsia="MS PGothic" w:cs="Times New Roman"/>
          <w:spacing w:val="-4"/>
          <w:szCs w:val="24"/>
          <w:lang w:eastAsia="ja-JP"/>
        </w:rPr>
        <w:t>.</w:t>
      </w:r>
    </w:p>
    <w:p w14:paraId="08C12B35" w14:textId="77777777" w:rsidR="00994A6E" w:rsidRPr="00AD7E7D" w:rsidRDefault="00994A6E" w:rsidP="00994A6E">
      <w:pPr>
        <w:rPr>
          <w:rFonts w:cs="Times New Roman"/>
          <w:szCs w:val="24"/>
          <w:highlight w:val="yellow"/>
          <w:lang w:val="sr-Cyrl-RS"/>
        </w:rPr>
      </w:pPr>
      <w:r w:rsidRPr="00A17255">
        <w:rPr>
          <w:rFonts w:eastAsia="MS PGothic" w:cs="Times New Roman"/>
          <w:szCs w:val="24"/>
          <w:lang w:val="sr-Cyrl-RS" w:eastAsia="ja-JP"/>
        </w:rPr>
        <w:t>In the autumn of 2021, disruptions occurred in the global energy market. The energy sector crisis compounded the already existing challenges caused by the COVID-19 pandemic. Due to increased demand driven by the post-pandemic economic recovery, coupled with supply issues, insufficient availability, and inadequate reserves, natural gas prices reached historic highs. This surge stimulated demand for other energy sources, whose prices also skyrocketed. High prices for other energy sources, reduced wind power generation in Europe, and elevated costs of CO2 emission allowances further drove electricity prices to record highs</w:t>
      </w:r>
      <w:r w:rsidRPr="00AD7E7D">
        <w:rPr>
          <w:rFonts w:eastAsia="MS PGothic" w:cs="Times New Roman"/>
          <w:szCs w:val="24"/>
          <w:lang w:val="sr-Cyrl-RS" w:eastAsia="ja-JP"/>
        </w:rPr>
        <w:t>.</w:t>
      </w:r>
    </w:p>
    <w:p w14:paraId="75A33770" w14:textId="77777777" w:rsidR="00994A6E" w:rsidRPr="0058732C" w:rsidRDefault="00994A6E" w:rsidP="00994A6E">
      <w:pPr>
        <w:rPr>
          <w:rFonts w:cs="Times New Roman"/>
          <w:spacing w:val="-4"/>
          <w:szCs w:val="24"/>
        </w:rPr>
      </w:pPr>
      <w:r w:rsidRPr="007F7843">
        <w:rPr>
          <w:rFonts w:cs="Times New Roman"/>
          <w:spacing w:val="-4"/>
          <w:szCs w:val="24"/>
          <w:lang w:val="sr-Cyrl-RS"/>
        </w:rPr>
        <w:t>It has been repeatedly shown that the rise of key energy sources, such as oil and gas, leads to an increase in other prices in the market. On top of this already difficult situation, the crisis in Ukraine has added further complexity, making energy security and Europe's dependency on Russian fossil fuels one of the key issues. This sequence of events has caused the prices of electricity and natural gas worldwide to reach levels significantly higher than usual in recent years. The energy crisis inevitably spilled over into Serbia, with energy companies, primarily AD "Elektroprivreda Srbije" and JP "Srbijagas," being the most affected</w:t>
      </w:r>
      <w:r>
        <w:rPr>
          <w:rFonts w:cs="Times New Roman"/>
          <w:spacing w:val="-4"/>
          <w:szCs w:val="24"/>
        </w:rPr>
        <w:t>.</w:t>
      </w:r>
    </w:p>
    <w:p w14:paraId="1192C3D1" w14:textId="77777777" w:rsidR="00994A6E" w:rsidRPr="00AD7E7D" w:rsidRDefault="00994A6E" w:rsidP="00994A6E">
      <w:pPr>
        <w:rPr>
          <w:rFonts w:eastAsia="MS PGothic" w:cs="Times New Roman"/>
          <w:szCs w:val="24"/>
          <w:lang w:eastAsia="ja-JP"/>
        </w:rPr>
      </w:pPr>
      <w:r w:rsidRPr="00A17255">
        <w:rPr>
          <w:rFonts w:eastAsia="MS PGothic" w:cs="Times New Roman"/>
          <w:szCs w:val="24"/>
          <w:lang w:eastAsia="ja-JP"/>
        </w:rPr>
        <w:t>To mitigate the high electricity prices in the previous period, which endangered the operations of businesses in Serbia, as well as energy entities involved in electricity transmission and distribution (related to electricity procurement for losses), it was recommended that “Elektroprivreda Srbije” supply these entities at prices below market levels. As a result, EPS was exposed to financial risk, with the burden of rising prices entirely shifted onto the company</w:t>
      </w:r>
      <w:r w:rsidRPr="00AD7E7D">
        <w:rPr>
          <w:rFonts w:eastAsia="MS PGothic" w:cs="Times New Roman"/>
          <w:szCs w:val="24"/>
          <w:lang w:eastAsia="ja-JP"/>
        </w:rPr>
        <w:t xml:space="preserve">. </w:t>
      </w:r>
      <w:r w:rsidRPr="00463799">
        <w:rPr>
          <w:rFonts w:eastAsia="MS PGothic" w:cs="Times New Roman"/>
          <w:szCs w:val="24"/>
          <w:lang w:eastAsia="ja-JP"/>
        </w:rPr>
        <w:t>In the latter half of 2023, energy commodity prices in the global market stabilized, leading to stability in Serbia’s energy sector</w:t>
      </w:r>
      <w:r w:rsidRPr="00AD7E7D">
        <w:rPr>
          <w:rFonts w:eastAsia="MS PGothic" w:cs="Times New Roman"/>
          <w:szCs w:val="24"/>
          <w:lang w:eastAsia="ja-JP"/>
        </w:rPr>
        <w:t>.</w:t>
      </w:r>
    </w:p>
    <w:p w14:paraId="466EF3C7" w14:textId="77777777" w:rsidR="00994A6E" w:rsidRPr="00AD7E7D" w:rsidRDefault="00994A6E" w:rsidP="00994A6E">
      <w:pPr>
        <w:rPr>
          <w:rFonts w:eastAsia="MS PGothic" w:cs="Times New Roman"/>
          <w:szCs w:val="24"/>
          <w:highlight w:val="yellow"/>
          <w:lang w:eastAsia="ja-JP"/>
        </w:rPr>
      </w:pPr>
      <w:r w:rsidRPr="00463799">
        <w:rPr>
          <w:rFonts w:eastAsia="MS PGothic" w:cs="Times New Roman"/>
          <w:szCs w:val="24"/>
          <w:lang w:eastAsia="ja-JP"/>
        </w:rPr>
        <w:t xml:space="preserve">The Republic of Serbia continued in 2023 to ensure the supply of key energy resources through financial and strategic measures. Additionally, significant efforts were made to advance the </w:t>
      </w:r>
      <w:r w:rsidRPr="00463799">
        <w:rPr>
          <w:rFonts w:eastAsia="MS PGothic" w:cs="Times New Roman"/>
          <w:szCs w:val="24"/>
          <w:lang w:eastAsia="ja-JP"/>
        </w:rPr>
        <w:lastRenderedPageBreak/>
        <w:t>transformation of energy sector enterprises. On April 6, 2023, EPS transitioned from a public enterprise to a non-public joint-stock company</w:t>
      </w:r>
      <w:r w:rsidRPr="00AD7E7D">
        <w:rPr>
          <w:rFonts w:eastAsia="MS PGothic" w:cs="Times New Roman"/>
          <w:szCs w:val="24"/>
          <w:lang w:eastAsia="ja-JP"/>
        </w:rPr>
        <w:t xml:space="preserve">. </w:t>
      </w:r>
      <w:r w:rsidRPr="00463799">
        <w:rPr>
          <w:rFonts w:eastAsia="MS PGothic" w:cs="Times New Roman"/>
          <w:szCs w:val="24"/>
          <w:lang w:eastAsia="ja-JP"/>
        </w:rPr>
        <w:t>The increase in electricity prices during 2022–2023, rational resource planning, energy price trends, and favorable hydrological conditions enabled EPS to conclude 2023 with a historic net profit of 112</w:t>
      </w:r>
      <w:r>
        <w:rPr>
          <w:rFonts w:eastAsia="MS PGothic" w:cs="Times New Roman"/>
          <w:szCs w:val="24"/>
          <w:lang w:eastAsia="ja-JP"/>
        </w:rPr>
        <w:t>,</w:t>
      </w:r>
      <w:r w:rsidRPr="00463799">
        <w:rPr>
          <w:rFonts w:eastAsia="MS PGothic" w:cs="Times New Roman"/>
          <w:szCs w:val="24"/>
          <w:lang w:eastAsia="ja-JP"/>
        </w:rPr>
        <w:t>4 billion dinars. The achieved result was partially used to repay loans for liquidity and investment projects, which will positively impact the company's future operations. Despite positive advancements, the main challenge for the coming period is the continuation of reforms and energy transition, which will enable a gradual shift toward increased renewable energy production. This transition will undoubtedly require financial consolidation and significant investment</w:t>
      </w:r>
      <w:r w:rsidRPr="00AD7E7D">
        <w:rPr>
          <w:rFonts w:eastAsia="MS PGothic" w:cs="Times New Roman"/>
          <w:szCs w:val="24"/>
          <w:lang w:eastAsia="ja-JP"/>
        </w:rPr>
        <w:t>.</w:t>
      </w:r>
    </w:p>
    <w:p w14:paraId="298B04BE" w14:textId="77777777" w:rsidR="00994A6E" w:rsidRDefault="00994A6E" w:rsidP="00994A6E">
      <w:pPr>
        <w:rPr>
          <w:rFonts w:eastAsia="MS PGothic" w:cs="Times New Roman"/>
          <w:szCs w:val="24"/>
          <w:lang w:eastAsia="ja-JP"/>
        </w:rPr>
      </w:pPr>
      <w:r w:rsidRPr="00463799">
        <w:rPr>
          <w:rFonts w:eastAsia="MS PGothic" w:cs="Times New Roman"/>
          <w:szCs w:val="24"/>
          <w:lang w:eastAsia="ja-JP"/>
        </w:rPr>
        <w:t>An important role in energy stability is also played by another electricity sector enterprise, “Elektrodistribucija Srbije” (EDS), which has operated independently since 2021 (previously part of EPS). In 2023, EDS’s primary revenues from grid fees were insufficient for sustainable operations, prompting the Republic of Serbia to intervene with short-term interest-free loans. High electricity prices and other energy sector challenges resulted in EDS closing 2023 with a negative result of 1 billion dinars</w:t>
      </w:r>
      <w:r w:rsidRPr="00AD7E7D">
        <w:rPr>
          <w:rFonts w:eastAsia="MS PGothic" w:cs="Times New Roman"/>
          <w:szCs w:val="24"/>
          <w:lang w:eastAsia="ja-JP"/>
        </w:rPr>
        <w:t xml:space="preserve">. </w:t>
      </w:r>
      <w:r w:rsidRPr="00463799">
        <w:rPr>
          <w:rFonts w:eastAsia="MS PGothic" w:cs="Times New Roman"/>
          <w:szCs w:val="24"/>
          <w:lang w:eastAsia="ja-JP"/>
        </w:rPr>
        <w:t>Despite numerous challenges, EDS has seen positive aspects, including significant investments. In the first half of 2024, the Distribution Network Reconstruction project was completed, replacing over 34,000 wooden poles with concrete ones. Ongoing projects include the Smart Metering project, partially funded by EU grants and loans from the EBRD and EIB, and the Automation of Medium Voltage Distribution Network project in collaboration with Schneider Electric. These projects aim to address EDS's structural issues, significantly improving distribution networks and reducing network losses</w:t>
      </w:r>
      <w:r w:rsidRPr="00AD7E7D">
        <w:rPr>
          <w:rFonts w:eastAsia="MS PGothic" w:cs="Times New Roman"/>
          <w:szCs w:val="24"/>
          <w:lang w:eastAsia="ja-JP"/>
        </w:rPr>
        <w:t xml:space="preserve">. </w:t>
      </w:r>
      <w:r w:rsidRPr="00463799">
        <w:rPr>
          <w:rFonts w:eastAsia="MS PGothic" w:cs="Times New Roman"/>
          <w:szCs w:val="24"/>
          <w:lang w:eastAsia="ja-JP"/>
        </w:rPr>
        <w:t>Recognizing the challenges faced by this enterprise, the Republic of Serbia has planned continued support for 2024, including guarantees amounting to 32</w:t>
      </w:r>
      <w:r>
        <w:rPr>
          <w:rFonts w:eastAsia="MS PGothic" w:cs="Times New Roman"/>
          <w:szCs w:val="24"/>
          <w:lang w:eastAsia="ja-JP"/>
        </w:rPr>
        <w:t>,</w:t>
      </w:r>
      <w:r w:rsidRPr="00463799">
        <w:rPr>
          <w:rFonts w:eastAsia="MS PGothic" w:cs="Times New Roman"/>
          <w:szCs w:val="24"/>
          <w:lang w:eastAsia="ja-JP"/>
        </w:rPr>
        <w:t>7 billion dinars</w:t>
      </w:r>
      <w:r>
        <w:rPr>
          <w:rFonts w:eastAsia="MS PGothic" w:cs="Times New Roman"/>
          <w:szCs w:val="24"/>
          <w:lang w:eastAsia="ja-JP"/>
        </w:rPr>
        <w:t>.</w:t>
      </w:r>
    </w:p>
    <w:p w14:paraId="5541B2A1" w14:textId="77777777" w:rsidR="00994A6E" w:rsidRPr="00AD7E7D" w:rsidRDefault="00994A6E" w:rsidP="00994A6E">
      <w:pPr>
        <w:rPr>
          <w:rFonts w:eastAsia="MS PGothic" w:cs="Times New Roman"/>
          <w:szCs w:val="24"/>
          <w:lang w:eastAsia="ja-JP"/>
        </w:rPr>
      </w:pPr>
      <w:r w:rsidRPr="00F1426B">
        <w:rPr>
          <w:rFonts w:eastAsia="MS PGothic" w:cs="Times New Roman"/>
          <w:szCs w:val="24"/>
          <w:lang w:eastAsia="ja-JP"/>
        </w:rPr>
        <w:t>As for the public enterprise “Srbijagas,” unfavorable market trends in 2021 and 2022, as well as the financial position of natural gas distributors, led the Republic of Serbia to participate in financing the procurement of reserve gas quantities and co-financing regular procurement in the previous period. Through proactive operations during 2022 and 2023, additional natural gas storage capacities were secured in Hungary. Stored quantities were occasionally withdrawn during the winter seasons of 2022/2023 and 2023/2024, while the remaining amounts will ensure additional supply security for the winter season of 2024/2025. Global energy price trends caused “Srbijagas” to adjust its gas sales prices several times during 2022/2023, which improved the financial position of this public enterprise</w:t>
      </w:r>
      <w:r w:rsidRPr="00AD7E7D">
        <w:rPr>
          <w:rFonts w:eastAsia="MS PGothic" w:cs="Times New Roman"/>
          <w:szCs w:val="24"/>
          <w:lang w:eastAsia="ja-JP"/>
        </w:rPr>
        <w:t xml:space="preserve">. </w:t>
      </w:r>
      <w:r w:rsidRPr="00F1426B">
        <w:rPr>
          <w:rFonts w:eastAsia="MS PGothic" w:cs="Times New Roman"/>
          <w:szCs w:val="24"/>
          <w:lang w:eastAsia="ja-JP"/>
        </w:rPr>
        <w:t>It is important to note that at the end of 2023, “Srbijagas” signed a natural gas supply contract with the Azerbaijani state oil company SOCAR, a major producer and exporter of fossil fuels, primarily natural gas. This agreement continued the diversification of supply sources, thereby enhancing security in case of disruptions in the global market. For 2024, plans include continued investments, primarily in gas transport and distribution activities, as well as further development of the distribution network and strengthening of gas pipeline transport capacities within the Republic of Serbia</w:t>
      </w:r>
      <w:r w:rsidRPr="00AD7E7D">
        <w:rPr>
          <w:rFonts w:eastAsia="MS PGothic" w:cs="Times New Roman"/>
          <w:szCs w:val="24"/>
          <w:lang w:eastAsia="ja-JP"/>
        </w:rPr>
        <w:t>.</w:t>
      </w:r>
    </w:p>
    <w:p w14:paraId="546EC0E0" w14:textId="77777777" w:rsidR="00994A6E" w:rsidRPr="00AD7E7D" w:rsidRDefault="00994A6E" w:rsidP="00994A6E">
      <w:pPr>
        <w:rPr>
          <w:rFonts w:eastAsia="MS PGothic" w:cs="Times New Roman"/>
          <w:szCs w:val="24"/>
          <w:lang w:eastAsia="ja-JP"/>
        </w:rPr>
      </w:pPr>
      <w:bookmarkStart w:id="39" w:name="_Hlk179981160"/>
      <w:r w:rsidRPr="00F1426B">
        <w:rPr>
          <w:rFonts w:eastAsia="MS PGothic" w:cs="Times New Roman"/>
          <w:szCs w:val="24"/>
          <w:lang w:eastAsia="ja-JP"/>
        </w:rPr>
        <w:t>The effects of the global energy crisis also impacted the public enterprise “Putevi Srbije”, which has been identified as a high fiscal risk due to the rise in prices of essential energy commodities and key raw materials necessary for its core activities. This could further deteriorate its financial position and increase reliance on the budget of the Republic of Serbia. To prevent such budgetary impacts, Serbia implemented a series of measures in 2023. To mitigate negative effects, “Putevi Srbije” increased toll prices by 14% (or 8% for vehicles with TAG devices) starting April 1, 2023, with further adjustments made to the pricing policy in mid-2024</w:t>
      </w:r>
      <w:bookmarkEnd w:id="39"/>
      <w:r w:rsidRPr="00AD7E7D">
        <w:rPr>
          <w:rFonts w:eastAsia="MS PGothic" w:cs="Times New Roman"/>
          <w:szCs w:val="24"/>
          <w:lang w:eastAsia="ja-JP"/>
        </w:rPr>
        <w:t xml:space="preserve">. </w:t>
      </w:r>
    </w:p>
    <w:p w14:paraId="37EA2AEA" w14:textId="77777777" w:rsidR="00994A6E" w:rsidRPr="00AD7E7D" w:rsidRDefault="00994A6E" w:rsidP="00994A6E">
      <w:pPr>
        <w:rPr>
          <w:rFonts w:cs="Times New Roman"/>
          <w:szCs w:val="24"/>
        </w:rPr>
      </w:pPr>
      <w:r w:rsidRPr="00F1426B">
        <w:rPr>
          <w:rFonts w:eastAsia="MS PGothic" w:cs="Times New Roman"/>
          <w:szCs w:val="24"/>
          <w:lang w:eastAsia="ja-JP"/>
        </w:rPr>
        <w:t xml:space="preserve">A similar situation was identified with “Koridori Srbije” d.o.o., which faces high expenses for capital investments under its jurisdiction. As a result, changes in the prices of basic raw </w:t>
      </w:r>
      <w:r w:rsidRPr="00F1426B">
        <w:rPr>
          <w:rFonts w:eastAsia="MS PGothic" w:cs="Times New Roman"/>
          <w:szCs w:val="24"/>
          <w:lang w:eastAsia="ja-JP"/>
        </w:rPr>
        <w:lastRenderedPageBreak/>
        <w:t>materials could significantly increase project implementation costs and reliance on the Republic of Serbia’s budget to ensure the continuous realization of projects</w:t>
      </w:r>
      <w:r w:rsidRPr="00AD7E7D">
        <w:rPr>
          <w:rFonts w:eastAsia="MS PGothic" w:cs="Times New Roman"/>
          <w:szCs w:val="24"/>
          <w:lang w:eastAsia="ja-JP"/>
        </w:rPr>
        <w:t>.</w:t>
      </w:r>
    </w:p>
    <w:p w14:paraId="2D7D2F2C" w14:textId="77777777" w:rsidR="00994A6E" w:rsidRPr="00AD7E7D" w:rsidRDefault="00994A6E" w:rsidP="00994A6E">
      <w:pPr>
        <w:rPr>
          <w:rFonts w:eastAsia="MS PGothic" w:cs="Times New Roman"/>
          <w:szCs w:val="24"/>
          <w:lang w:eastAsia="ja-JP"/>
        </w:rPr>
      </w:pPr>
      <w:r w:rsidRPr="00F1426B">
        <w:rPr>
          <w:rFonts w:eastAsia="MS PGothic" w:cs="Times New Roman"/>
          <w:szCs w:val="24"/>
          <w:lang w:eastAsia="ja-JP"/>
        </w:rPr>
        <w:t>The total assets of state-owned enterprises at the end of 2023 amounted to 3</w:t>
      </w:r>
      <w:r>
        <w:rPr>
          <w:rFonts w:eastAsia="MS PGothic" w:cs="Times New Roman"/>
          <w:szCs w:val="24"/>
          <w:lang w:eastAsia="ja-JP"/>
        </w:rPr>
        <w:t>.</w:t>
      </w:r>
      <w:r w:rsidRPr="00F1426B">
        <w:rPr>
          <w:rFonts w:eastAsia="MS PGothic" w:cs="Times New Roman"/>
          <w:szCs w:val="24"/>
          <w:lang w:eastAsia="ja-JP"/>
        </w:rPr>
        <w:t>587 billion dinars, primarily consisting of fixed assets, which accounted for 85</w:t>
      </w:r>
      <w:r>
        <w:rPr>
          <w:rFonts w:eastAsia="MS PGothic" w:cs="Times New Roman"/>
          <w:szCs w:val="24"/>
          <w:lang w:eastAsia="ja-JP"/>
        </w:rPr>
        <w:t>,</w:t>
      </w:r>
      <w:r w:rsidRPr="00F1426B">
        <w:rPr>
          <w:rFonts w:eastAsia="MS PGothic" w:cs="Times New Roman"/>
          <w:szCs w:val="24"/>
          <w:lang w:eastAsia="ja-JP"/>
        </w:rPr>
        <w:t>7%, as most state enterprises operate in capital-intensive industries. Total liabilities include loans, supplier obligations, and other liabilities, which increased significantly between 2021 and 2022, in line with the occurrence of energy shocks in the market. Loan obligations accounted for 38</w:t>
      </w:r>
      <w:r>
        <w:rPr>
          <w:rFonts w:eastAsia="MS PGothic" w:cs="Times New Roman"/>
          <w:szCs w:val="24"/>
          <w:lang w:eastAsia="ja-JP"/>
        </w:rPr>
        <w:t>,</w:t>
      </w:r>
      <w:r w:rsidRPr="00F1426B">
        <w:rPr>
          <w:rFonts w:eastAsia="MS PGothic" w:cs="Times New Roman"/>
          <w:szCs w:val="24"/>
          <w:lang w:eastAsia="ja-JP"/>
        </w:rPr>
        <w:t>7% of total liabilities at the end of 2023 and 37</w:t>
      </w:r>
      <w:r>
        <w:rPr>
          <w:rFonts w:eastAsia="MS PGothic" w:cs="Times New Roman"/>
          <w:szCs w:val="24"/>
          <w:lang w:eastAsia="ja-JP"/>
        </w:rPr>
        <w:t>,</w:t>
      </w:r>
      <w:r w:rsidRPr="00F1426B">
        <w:rPr>
          <w:rFonts w:eastAsia="MS PGothic" w:cs="Times New Roman"/>
          <w:szCs w:val="24"/>
          <w:lang w:eastAsia="ja-JP"/>
        </w:rPr>
        <w:t>8% by the end of the third quarter of 2024</w:t>
      </w:r>
      <w:r w:rsidRPr="00AD7E7D">
        <w:rPr>
          <w:rFonts w:eastAsia="MS PGothic" w:cs="Times New Roman"/>
          <w:szCs w:val="24"/>
          <w:lang w:eastAsia="ja-JP"/>
        </w:rPr>
        <w:t>.</w:t>
      </w:r>
    </w:p>
    <w:p w14:paraId="36876E7F" w14:textId="77777777" w:rsidR="00994A6E" w:rsidRPr="00010E52" w:rsidRDefault="00994A6E" w:rsidP="00994A6E">
      <w:pPr>
        <w:spacing w:after="80" w:line="276" w:lineRule="auto"/>
        <w:rPr>
          <w:rFonts w:eastAsia="Calibri" w:cs="Times New Roman"/>
          <w:i/>
          <w:szCs w:val="24"/>
          <w:lang w:val="sr-Cyrl-RS" w:eastAsia="ja-JP"/>
        </w:rPr>
      </w:pPr>
      <w:r>
        <w:rPr>
          <w:rFonts w:eastAsia="Calibri" w:cs="Times New Roman"/>
          <w:i/>
          <w:szCs w:val="24"/>
          <w:lang w:eastAsia="ja-JP"/>
        </w:rPr>
        <w:t>Table</w:t>
      </w:r>
      <w:r w:rsidRPr="00010E52">
        <w:rPr>
          <w:rFonts w:eastAsia="Calibri" w:cs="Times New Roman"/>
          <w:i/>
          <w:szCs w:val="24"/>
          <w:lang w:val="sr-Cyrl-RS" w:eastAsia="ja-JP"/>
        </w:rPr>
        <w:t xml:space="preserve"> 1</w:t>
      </w:r>
      <w:r>
        <w:rPr>
          <w:rFonts w:eastAsia="Calibri" w:cs="Times New Roman"/>
          <w:i/>
          <w:szCs w:val="24"/>
          <w:lang w:val="sr-Latn-RS" w:eastAsia="ja-JP"/>
        </w:rPr>
        <w:t>2</w:t>
      </w:r>
      <w:r w:rsidRPr="00010E52">
        <w:rPr>
          <w:rFonts w:eastAsia="Calibri" w:cs="Times New Roman"/>
          <w:i/>
          <w:szCs w:val="24"/>
          <w:lang w:val="sr-Cyrl-RS" w:eastAsia="ja-JP"/>
        </w:rPr>
        <w:t xml:space="preserve">. </w:t>
      </w:r>
      <w:r w:rsidRPr="006E0DC1">
        <w:rPr>
          <w:rFonts w:eastAsia="Calibri" w:cs="Times New Roman"/>
          <w:i/>
          <w:szCs w:val="24"/>
          <w:lang w:val="sr-Cyrl-RS" w:eastAsia="ja-JP"/>
        </w:rPr>
        <w:t>Key Financial Indicators of State-Owned Enterprises' Operations, in Billion Dinars</w:t>
      </w:r>
      <w:r w:rsidRPr="006E0DC1" w:rsidDel="006E0DC1">
        <w:rPr>
          <w:rFonts w:eastAsia="Calibri" w:cs="Times New Roman"/>
          <w:i/>
          <w:szCs w:val="24"/>
          <w:lang w:val="sr-Cyrl-RS" w:eastAsia="ja-JP"/>
        </w:rPr>
        <w:t xml:space="preserve"> </w:t>
      </w:r>
    </w:p>
    <w:tbl>
      <w:tblPr>
        <w:tblW w:w="8957" w:type="dxa"/>
        <w:tblLook w:val="04A0" w:firstRow="1" w:lastRow="0" w:firstColumn="1" w:lastColumn="0" w:noHBand="0" w:noVBand="1"/>
      </w:tblPr>
      <w:tblGrid>
        <w:gridCol w:w="3294"/>
        <w:gridCol w:w="1273"/>
        <w:gridCol w:w="1273"/>
        <w:gridCol w:w="1263"/>
        <w:gridCol w:w="1854"/>
      </w:tblGrid>
      <w:tr w:rsidR="00994A6E" w:rsidRPr="00AD7E7D" w14:paraId="7A71C2D2" w14:textId="77777777" w:rsidTr="008C56D0">
        <w:trPr>
          <w:trHeight w:val="25"/>
        </w:trPr>
        <w:tc>
          <w:tcPr>
            <w:tcW w:w="3294" w:type="dxa"/>
            <w:tcBorders>
              <w:top w:val="single" w:sz="4" w:space="0" w:color="002060"/>
              <w:left w:val="nil"/>
              <w:bottom w:val="single" w:sz="4" w:space="0" w:color="002060"/>
              <w:right w:val="nil"/>
            </w:tcBorders>
            <w:shd w:val="clear" w:color="auto" w:fill="FFFFFF" w:themeFill="background1"/>
            <w:noWrap/>
            <w:vAlign w:val="center"/>
            <w:hideMark/>
          </w:tcPr>
          <w:p w14:paraId="04A6CADE" w14:textId="7B980168" w:rsidR="00994A6E" w:rsidRPr="00AD7E7D" w:rsidRDefault="001956F9" w:rsidP="008C56D0">
            <w:pPr>
              <w:spacing w:after="0"/>
              <w:rPr>
                <w:rFonts w:eastAsia="Times New Roman" w:cs="Times New Roman"/>
                <w:b/>
                <w:bCs/>
                <w:szCs w:val="24"/>
              </w:rPr>
            </w:pPr>
            <w:r>
              <w:rPr>
                <w:rFonts w:eastAsia="Times New Roman" w:cs="Times New Roman"/>
                <w:b/>
                <w:bCs/>
                <w:szCs w:val="24"/>
              </w:rPr>
              <w:t>Description</w:t>
            </w:r>
          </w:p>
        </w:tc>
        <w:tc>
          <w:tcPr>
            <w:tcW w:w="1273" w:type="dxa"/>
            <w:tcBorders>
              <w:top w:val="single" w:sz="4" w:space="0" w:color="002060"/>
              <w:left w:val="nil"/>
              <w:bottom w:val="single" w:sz="4" w:space="0" w:color="002060"/>
              <w:right w:val="nil"/>
            </w:tcBorders>
            <w:shd w:val="clear" w:color="auto" w:fill="FFFFFF" w:themeFill="background1"/>
            <w:noWrap/>
            <w:vAlign w:val="center"/>
            <w:hideMark/>
          </w:tcPr>
          <w:p w14:paraId="0DC15A21"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2021</w:t>
            </w:r>
          </w:p>
        </w:tc>
        <w:tc>
          <w:tcPr>
            <w:tcW w:w="1273" w:type="dxa"/>
            <w:tcBorders>
              <w:top w:val="single" w:sz="4" w:space="0" w:color="002060"/>
              <w:left w:val="nil"/>
              <w:bottom w:val="single" w:sz="4" w:space="0" w:color="002060"/>
              <w:right w:val="nil"/>
            </w:tcBorders>
            <w:shd w:val="clear" w:color="auto" w:fill="FFFFFF" w:themeFill="background1"/>
            <w:noWrap/>
            <w:vAlign w:val="center"/>
            <w:hideMark/>
          </w:tcPr>
          <w:p w14:paraId="4DAB4F4C"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2022</w:t>
            </w:r>
          </w:p>
        </w:tc>
        <w:tc>
          <w:tcPr>
            <w:tcW w:w="1263" w:type="dxa"/>
            <w:tcBorders>
              <w:top w:val="single" w:sz="4" w:space="0" w:color="002060"/>
              <w:left w:val="nil"/>
              <w:bottom w:val="single" w:sz="4" w:space="0" w:color="002060"/>
              <w:right w:val="nil"/>
            </w:tcBorders>
            <w:shd w:val="clear" w:color="auto" w:fill="FFFFFF" w:themeFill="background1"/>
            <w:noWrap/>
            <w:vAlign w:val="center"/>
            <w:hideMark/>
          </w:tcPr>
          <w:p w14:paraId="400DF000"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2023</w:t>
            </w:r>
          </w:p>
        </w:tc>
        <w:tc>
          <w:tcPr>
            <w:tcW w:w="1854" w:type="dxa"/>
            <w:tcBorders>
              <w:top w:val="single" w:sz="4" w:space="0" w:color="002060"/>
              <w:left w:val="nil"/>
              <w:bottom w:val="single" w:sz="4" w:space="0" w:color="002060"/>
              <w:right w:val="nil"/>
            </w:tcBorders>
            <w:shd w:val="clear" w:color="auto" w:fill="FFFFFF" w:themeFill="background1"/>
            <w:noWrap/>
            <w:vAlign w:val="center"/>
            <w:hideMark/>
          </w:tcPr>
          <w:p w14:paraId="71BCFE39"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Q3 2024</w:t>
            </w:r>
          </w:p>
        </w:tc>
      </w:tr>
      <w:tr w:rsidR="00994A6E" w:rsidRPr="00AD7E7D" w14:paraId="2D177655" w14:textId="77777777" w:rsidTr="008C56D0">
        <w:trPr>
          <w:trHeight w:val="25"/>
        </w:trPr>
        <w:tc>
          <w:tcPr>
            <w:tcW w:w="3294" w:type="dxa"/>
            <w:tcBorders>
              <w:top w:val="nil"/>
              <w:left w:val="nil"/>
              <w:bottom w:val="nil"/>
              <w:right w:val="nil"/>
            </w:tcBorders>
            <w:shd w:val="clear" w:color="000000" w:fill="FFFFFF"/>
            <w:noWrap/>
            <w:vAlign w:val="center"/>
            <w:hideMark/>
          </w:tcPr>
          <w:p w14:paraId="794BE4B4" w14:textId="77777777" w:rsidR="00994A6E" w:rsidRPr="00AD7E7D" w:rsidRDefault="00994A6E" w:rsidP="008C56D0">
            <w:pPr>
              <w:spacing w:after="0"/>
              <w:rPr>
                <w:rFonts w:eastAsia="Times New Roman" w:cs="Times New Roman"/>
                <w:b/>
                <w:bCs/>
                <w:szCs w:val="24"/>
              </w:rPr>
            </w:pPr>
            <w:r w:rsidRPr="00AA3E68">
              <w:rPr>
                <w:rFonts w:eastAsia="Times New Roman" w:cs="Times New Roman"/>
                <w:b/>
                <w:bCs/>
                <w:szCs w:val="24"/>
              </w:rPr>
              <w:t>Total Assets</w:t>
            </w:r>
          </w:p>
        </w:tc>
        <w:tc>
          <w:tcPr>
            <w:tcW w:w="1273" w:type="dxa"/>
            <w:tcBorders>
              <w:top w:val="nil"/>
              <w:left w:val="nil"/>
              <w:bottom w:val="nil"/>
              <w:right w:val="nil"/>
            </w:tcBorders>
            <w:shd w:val="clear" w:color="000000" w:fill="FFFFFF"/>
            <w:noWrap/>
            <w:vAlign w:val="center"/>
            <w:hideMark/>
          </w:tcPr>
          <w:p w14:paraId="6F91B550"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3.217</w:t>
            </w:r>
          </w:p>
        </w:tc>
        <w:tc>
          <w:tcPr>
            <w:tcW w:w="1273" w:type="dxa"/>
            <w:tcBorders>
              <w:top w:val="nil"/>
              <w:left w:val="nil"/>
              <w:bottom w:val="nil"/>
              <w:right w:val="nil"/>
            </w:tcBorders>
            <w:shd w:val="clear" w:color="000000" w:fill="FFFFFF"/>
            <w:noWrap/>
            <w:vAlign w:val="center"/>
            <w:hideMark/>
          </w:tcPr>
          <w:p w14:paraId="43E5BBDE"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3.454</w:t>
            </w:r>
          </w:p>
        </w:tc>
        <w:tc>
          <w:tcPr>
            <w:tcW w:w="1263" w:type="dxa"/>
            <w:tcBorders>
              <w:top w:val="nil"/>
              <w:left w:val="nil"/>
              <w:bottom w:val="nil"/>
              <w:right w:val="nil"/>
            </w:tcBorders>
            <w:shd w:val="clear" w:color="000000" w:fill="FFFFFF"/>
            <w:noWrap/>
            <w:vAlign w:val="center"/>
            <w:hideMark/>
          </w:tcPr>
          <w:p w14:paraId="5F650C96"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3.587</w:t>
            </w:r>
          </w:p>
        </w:tc>
        <w:tc>
          <w:tcPr>
            <w:tcW w:w="1854" w:type="dxa"/>
            <w:tcBorders>
              <w:top w:val="nil"/>
              <w:left w:val="nil"/>
              <w:bottom w:val="nil"/>
              <w:right w:val="nil"/>
            </w:tcBorders>
            <w:shd w:val="clear" w:color="000000" w:fill="FFFFFF"/>
            <w:noWrap/>
            <w:vAlign w:val="center"/>
            <w:hideMark/>
          </w:tcPr>
          <w:p w14:paraId="42A0C7A2"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3.615</w:t>
            </w:r>
          </w:p>
        </w:tc>
      </w:tr>
      <w:tr w:rsidR="00994A6E" w:rsidRPr="00AD7E7D" w14:paraId="64180F07" w14:textId="77777777" w:rsidTr="008C56D0">
        <w:trPr>
          <w:trHeight w:val="25"/>
        </w:trPr>
        <w:tc>
          <w:tcPr>
            <w:tcW w:w="3294" w:type="dxa"/>
            <w:tcBorders>
              <w:top w:val="nil"/>
              <w:left w:val="nil"/>
              <w:bottom w:val="nil"/>
              <w:right w:val="nil"/>
            </w:tcBorders>
            <w:shd w:val="clear" w:color="000000" w:fill="FFFFFF"/>
            <w:noWrap/>
            <w:vAlign w:val="center"/>
            <w:hideMark/>
          </w:tcPr>
          <w:p w14:paraId="7823649B" w14:textId="77777777" w:rsidR="00994A6E" w:rsidRPr="00AD7E7D" w:rsidRDefault="00994A6E" w:rsidP="008C56D0">
            <w:pPr>
              <w:spacing w:after="0"/>
              <w:rPr>
                <w:rFonts w:eastAsia="Times New Roman" w:cs="Times New Roman"/>
                <w:szCs w:val="24"/>
              </w:rPr>
            </w:pPr>
            <w:r w:rsidRPr="00AA3E68">
              <w:rPr>
                <w:rFonts w:eastAsia="Times New Roman" w:cs="Times New Roman"/>
                <w:szCs w:val="24"/>
              </w:rPr>
              <w:t>Fixed Assets</w:t>
            </w:r>
          </w:p>
        </w:tc>
        <w:tc>
          <w:tcPr>
            <w:tcW w:w="1273" w:type="dxa"/>
            <w:tcBorders>
              <w:top w:val="nil"/>
              <w:left w:val="nil"/>
              <w:bottom w:val="nil"/>
              <w:right w:val="nil"/>
            </w:tcBorders>
            <w:shd w:val="clear" w:color="000000" w:fill="FFFFFF"/>
            <w:noWrap/>
            <w:vAlign w:val="center"/>
            <w:hideMark/>
          </w:tcPr>
          <w:p w14:paraId="00D78453"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2.872</w:t>
            </w:r>
          </w:p>
        </w:tc>
        <w:tc>
          <w:tcPr>
            <w:tcW w:w="1273" w:type="dxa"/>
            <w:tcBorders>
              <w:top w:val="nil"/>
              <w:left w:val="nil"/>
              <w:bottom w:val="nil"/>
              <w:right w:val="nil"/>
            </w:tcBorders>
            <w:shd w:val="clear" w:color="000000" w:fill="FFFFFF"/>
            <w:noWrap/>
            <w:vAlign w:val="center"/>
            <w:hideMark/>
          </w:tcPr>
          <w:p w14:paraId="66FC1AEC"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2.936</w:t>
            </w:r>
          </w:p>
        </w:tc>
        <w:tc>
          <w:tcPr>
            <w:tcW w:w="1263" w:type="dxa"/>
            <w:tcBorders>
              <w:top w:val="nil"/>
              <w:left w:val="nil"/>
              <w:bottom w:val="nil"/>
              <w:right w:val="nil"/>
            </w:tcBorders>
            <w:shd w:val="clear" w:color="000000" w:fill="FFFFFF"/>
            <w:noWrap/>
            <w:vAlign w:val="center"/>
            <w:hideMark/>
          </w:tcPr>
          <w:p w14:paraId="70A1C778"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3.074</w:t>
            </w:r>
          </w:p>
        </w:tc>
        <w:tc>
          <w:tcPr>
            <w:tcW w:w="1854" w:type="dxa"/>
            <w:tcBorders>
              <w:top w:val="nil"/>
              <w:left w:val="nil"/>
              <w:bottom w:val="nil"/>
              <w:right w:val="nil"/>
            </w:tcBorders>
            <w:shd w:val="clear" w:color="000000" w:fill="FFFFFF"/>
            <w:noWrap/>
            <w:vAlign w:val="center"/>
            <w:hideMark/>
          </w:tcPr>
          <w:p w14:paraId="096E35F1"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3.166</w:t>
            </w:r>
          </w:p>
        </w:tc>
      </w:tr>
      <w:tr w:rsidR="00994A6E" w:rsidRPr="00AD7E7D" w14:paraId="373774C0" w14:textId="77777777" w:rsidTr="008C56D0">
        <w:trPr>
          <w:trHeight w:val="25"/>
        </w:trPr>
        <w:tc>
          <w:tcPr>
            <w:tcW w:w="3294" w:type="dxa"/>
            <w:tcBorders>
              <w:top w:val="nil"/>
              <w:left w:val="nil"/>
              <w:bottom w:val="nil"/>
              <w:right w:val="nil"/>
            </w:tcBorders>
            <w:shd w:val="clear" w:color="000000" w:fill="FFFFFF"/>
            <w:noWrap/>
            <w:vAlign w:val="center"/>
            <w:hideMark/>
          </w:tcPr>
          <w:p w14:paraId="0A056D64" w14:textId="77777777" w:rsidR="00994A6E" w:rsidRPr="00AD7E7D" w:rsidRDefault="00994A6E" w:rsidP="008C56D0">
            <w:pPr>
              <w:spacing w:after="0"/>
              <w:rPr>
                <w:rFonts w:eastAsia="Times New Roman" w:cs="Times New Roman"/>
                <w:szCs w:val="24"/>
              </w:rPr>
            </w:pPr>
            <w:r w:rsidRPr="00AA3E68">
              <w:rPr>
                <w:rFonts w:eastAsia="Times New Roman" w:cs="Times New Roman"/>
                <w:szCs w:val="24"/>
              </w:rPr>
              <w:t>Current Assets</w:t>
            </w:r>
          </w:p>
        </w:tc>
        <w:tc>
          <w:tcPr>
            <w:tcW w:w="1273" w:type="dxa"/>
            <w:tcBorders>
              <w:top w:val="nil"/>
              <w:left w:val="nil"/>
              <w:bottom w:val="nil"/>
              <w:right w:val="nil"/>
            </w:tcBorders>
            <w:shd w:val="clear" w:color="000000" w:fill="FFFFFF"/>
            <w:noWrap/>
            <w:vAlign w:val="center"/>
            <w:hideMark/>
          </w:tcPr>
          <w:p w14:paraId="0D4253BF"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340</w:t>
            </w:r>
          </w:p>
        </w:tc>
        <w:tc>
          <w:tcPr>
            <w:tcW w:w="1273" w:type="dxa"/>
            <w:tcBorders>
              <w:top w:val="nil"/>
              <w:left w:val="nil"/>
              <w:bottom w:val="nil"/>
              <w:right w:val="nil"/>
            </w:tcBorders>
            <w:shd w:val="clear" w:color="000000" w:fill="FFFFFF"/>
            <w:noWrap/>
            <w:vAlign w:val="center"/>
            <w:hideMark/>
          </w:tcPr>
          <w:p w14:paraId="449385A0"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513</w:t>
            </w:r>
          </w:p>
        </w:tc>
        <w:tc>
          <w:tcPr>
            <w:tcW w:w="1263" w:type="dxa"/>
            <w:tcBorders>
              <w:top w:val="nil"/>
              <w:left w:val="nil"/>
              <w:bottom w:val="nil"/>
              <w:right w:val="nil"/>
            </w:tcBorders>
            <w:shd w:val="clear" w:color="000000" w:fill="FFFFFF"/>
            <w:noWrap/>
            <w:vAlign w:val="center"/>
            <w:hideMark/>
          </w:tcPr>
          <w:p w14:paraId="6A7A30A7"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507</w:t>
            </w:r>
          </w:p>
        </w:tc>
        <w:tc>
          <w:tcPr>
            <w:tcW w:w="1854" w:type="dxa"/>
            <w:tcBorders>
              <w:top w:val="nil"/>
              <w:left w:val="nil"/>
              <w:bottom w:val="nil"/>
              <w:right w:val="nil"/>
            </w:tcBorders>
            <w:shd w:val="clear" w:color="000000" w:fill="FFFFFF"/>
            <w:noWrap/>
            <w:vAlign w:val="center"/>
            <w:hideMark/>
          </w:tcPr>
          <w:p w14:paraId="6CA9553A"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444</w:t>
            </w:r>
          </w:p>
        </w:tc>
      </w:tr>
      <w:tr w:rsidR="00994A6E" w:rsidRPr="00AD7E7D" w14:paraId="46342106" w14:textId="77777777" w:rsidTr="008C56D0">
        <w:trPr>
          <w:trHeight w:val="25"/>
        </w:trPr>
        <w:tc>
          <w:tcPr>
            <w:tcW w:w="3294" w:type="dxa"/>
            <w:tcBorders>
              <w:top w:val="nil"/>
              <w:left w:val="nil"/>
              <w:bottom w:val="nil"/>
              <w:right w:val="nil"/>
            </w:tcBorders>
            <w:shd w:val="clear" w:color="000000" w:fill="FFFFFF"/>
            <w:noWrap/>
            <w:vAlign w:val="center"/>
            <w:hideMark/>
          </w:tcPr>
          <w:p w14:paraId="6586CC21" w14:textId="77777777" w:rsidR="00994A6E" w:rsidRPr="00AD7E7D" w:rsidRDefault="00994A6E" w:rsidP="008C56D0">
            <w:pPr>
              <w:spacing w:after="0"/>
              <w:rPr>
                <w:rFonts w:eastAsia="Times New Roman" w:cs="Times New Roman"/>
                <w:b/>
                <w:bCs/>
                <w:szCs w:val="24"/>
              </w:rPr>
            </w:pPr>
            <w:r w:rsidRPr="00AA3E68">
              <w:rPr>
                <w:rFonts w:eastAsia="Times New Roman" w:cs="Times New Roman"/>
                <w:b/>
                <w:bCs/>
                <w:szCs w:val="24"/>
              </w:rPr>
              <w:t>Total Equity</w:t>
            </w:r>
          </w:p>
        </w:tc>
        <w:tc>
          <w:tcPr>
            <w:tcW w:w="1273" w:type="dxa"/>
            <w:tcBorders>
              <w:top w:val="nil"/>
              <w:left w:val="nil"/>
              <w:bottom w:val="nil"/>
              <w:right w:val="nil"/>
            </w:tcBorders>
            <w:shd w:val="clear" w:color="000000" w:fill="FFFFFF"/>
            <w:noWrap/>
            <w:vAlign w:val="center"/>
            <w:hideMark/>
          </w:tcPr>
          <w:p w14:paraId="7F51FAC8"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1.963</w:t>
            </w:r>
          </w:p>
        </w:tc>
        <w:tc>
          <w:tcPr>
            <w:tcW w:w="1273" w:type="dxa"/>
            <w:tcBorders>
              <w:top w:val="nil"/>
              <w:left w:val="nil"/>
              <w:bottom w:val="nil"/>
              <w:right w:val="nil"/>
            </w:tcBorders>
            <w:shd w:val="clear" w:color="000000" w:fill="FFFFFF"/>
            <w:noWrap/>
            <w:vAlign w:val="center"/>
            <w:hideMark/>
          </w:tcPr>
          <w:p w14:paraId="070EC0F9"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1.896</w:t>
            </w:r>
          </w:p>
        </w:tc>
        <w:tc>
          <w:tcPr>
            <w:tcW w:w="1263" w:type="dxa"/>
            <w:tcBorders>
              <w:top w:val="nil"/>
              <w:left w:val="nil"/>
              <w:bottom w:val="nil"/>
              <w:right w:val="nil"/>
            </w:tcBorders>
            <w:shd w:val="clear" w:color="000000" w:fill="FFFFFF"/>
            <w:noWrap/>
            <w:vAlign w:val="center"/>
            <w:hideMark/>
          </w:tcPr>
          <w:p w14:paraId="5C0DBCBD"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2.048</w:t>
            </w:r>
          </w:p>
        </w:tc>
        <w:tc>
          <w:tcPr>
            <w:tcW w:w="1854" w:type="dxa"/>
            <w:tcBorders>
              <w:top w:val="nil"/>
              <w:left w:val="nil"/>
              <w:bottom w:val="nil"/>
              <w:right w:val="nil"/>
            </w:tcBorders>
            <w:shd w:val="clear" w:color="000000" w:fill="FFFFFF"/>
            <w:noWrap/>
            <w:vAlign w:val="center"/>
            <w:hideMark/>
          </w:tcPr>
          <w:p w14:paraId="160E85EA"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2.079</w:t>
            </w:r>
          </w:p>
        </w:tc>
      </w:tr>
      <w:tr w:rsidR="00994A6E" w:rsidRPr="00AD7E7D" w14:paraId="5C457924" w14:textId="77777777" w:rsidTr="008C56D0">
        <w:trPr>
          <w:trHeight w:val="25"/>
        </w:trPr>
        <w:tc>
          <w:tcPr>
            <w:tcW w:w="3294" w:type="dxa"/>
            <w:tcBorders>
              <w:top w:val="nil"/>
              <w:left w:val="nil"/>
              <w:bottom w:val="nil"/>
              <w:right w:val="nil"/>
            </w:tcBorders>
            <w:shd w:val="clear" w:color="000000" w:fill="FFFFFF"/>
            <w:noWrap/>
            <w:vAlign w:val="center"/>
            <w:hideMark/>
          </w:tcPr>
          <w:p w14:paraId="58E3B3CD" w14:textId="77777777" w:rsidR="00994A6E" w:rsidRPr="00AD7E7D" w:rsidRDefault="00994A6E" w:rsidP="008C56D0">
            <w:pPr>
              <w:spacing w:after="0"/>
              <w:rPr>
                <w:rFonts w:eastAsia="Times New Roman" w:cs="Times New Roman"/>
                <w:b/>
                <w:bCs/>
                <w:szCs w:val="24"/>
              </w:rPr>
            </w:pPr>
            <w:r w:rsidRPr="00AA3E68">
              <w:rPr>
                <w:rFonts w:eastAsia="Times New Roman" w:cs="Times New Roman"/>
                <w:b/>
                <w:bCs/>
                <w:szCs w:val="24"/>
              </w:rPr>
              <w:t>Total Liabilities</w:t>
            </w:r>
          </w:p>
        </w:tc>
        <w:tc>
          <w:tcPr>
            <w:tcW w:w="1273" w:type="dxa"/>
            <w:tcBorders>
              <w:top w:val="nil"/>
              <w:left w:val="nil"/>
              <w:bottom w:val="nil"/>
              <w:right w:val="nil"/>
            </w:tcBorders>
            <w:shd w:val="clear" w:color="000000" w:fill="FFFFFF"/>
            <w:noWrap/>
            <w:vAlign w:val="center"/>
            <w:hideMark/>
          </w:tcPr>
          <w:p w14:paraId="3275AA65"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1.254</w:t>
            </w:r>
          </w:p>
        </w:tc>
        <w:tc>
          <w:tcPr>
            <w:tcW w:w="1273" w:type="dxa"/>
            <w:tcBorders>
              <w:top w:val="nil"/>
              <w:left w:val="nil"/>
              <w:bottom w:val="nil"/>
              <w:right w:val="nil"/>
            </w:tcBorders>
            <w:shd w:val="clear" w:color="000000" w:fill="FFFFFF"/>
            <w:noWrap/>
            <w:vAlign w:val="center"/>
            <w:hideMark/>
          </w:tcPr>
          <w:p w14:paraId="6716C63F"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1.558</w:t>
            </w:r>
          </w:p>
        </w:tc>
        <w:tc>
          <w:tcPr>
            <w:tcW w:w="1263" w:type="dxa"/>
            <w:tcBorders>
              <w:top w:val="nil"/>
              <w:left w:val="nil"/>
              <w:bottom w:val="nil"/>
              <w:right w:val="nil"/>
            </w:tcBorders>
            <w:shd w:val="clear" w:color="000000" w:fill="FFFFFF"/>
            <w:noWrap/>
            <w:vAlign w:val="center"/>
            <w:hideMark/>
          </w:tcPr>
          <w:p w14:paraId="6FC04BC1"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1.539</w:t>
            </w:r>
          </w:p>
        </w:tc>
        <w:tc>
          <w:tcPr>
            <w:tcW w:w="1854" w:type="dxa"/>
            <w:tcBorders>
              <w:top w:val="nil"/>
              <w:left w:val="nil"/>
              <w:bottom w:val="nil"/>
              <w:right w:val="nil"/>
            </w:tcBorders>
            <w:shd w:val="clear" w:color="000000" w:fill="FFFFFF"/>
            <w:noWrap/>
            <w:vAlign w:val="center"/>
            <w:hideMark/>
          </w:tcPr>
          <w:p w14:paraId="3F272865"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1.536</w:t>
            </w:r>
          </w:p>
        </w:tc>
      </w:tr>
      <w:tr w:rsidR="00994A6E" w:rsidRPr="00AD7E7D" w14:paraId="53EDB240" w14:textId="77777777" w:rsidTr="008C56D0">
        <w:trPr>
          <w:trHeight w:val="25"/>
        </w:trPr>
        <w:tc>
          <w:tcPr>
            <w:tcW w:w="3294" w:type="dxa"/>
            <w:tcBorders>
              <w:top w:val="nil"/>
              <w:left w:val="nil"/>
              <w:bottom w:val="single" w:sz="4" w:space="0" w:color="002060"/>
              <w:right w:val="nil"/>
            </w:tcBorders>
            <w:shd w:val="clear" w:color="000000" w:fill="FFFFFF"/>
            <w:noWrap/>
            <w:vAlign w:val="center"/>
            <w:hideMark/>
          </w:tcPr>
          <w:p w14:paraId="70453ABC" w14:textId="77777777" w:rsidR="00994A6E" w:rsidRPr="00AD7E7D" w:rsidRDefault="00994A6E" w:rsidP="008C56D0">
            <w:pPr>
              <w:spacing w:after="0"/>
              <w:rPr>
                <w:rFonts w:eastAsia="Times New Roman" w:cs="Times New Roman"/>
                <w:szCs w:val="24"/>
              </w:rPr>
            </w:pPr>
            <w:r w:rsidRPr="00AA3E68">
              <w:rPr>
                <w:rFonts w:eastAsia="Times New Roman" w:cs="Times New Roman"/>
                <w:szCs w:val="24"/>
              </w:rPr>
              <w:t>Loan Obligations</w:t>
            </w:r>
          </w:p>
        </w:tc>
        <w:tc>
          <w:tcPr>
            <w:tcW w:w="1273" w:type="dxa"/>
            <w:tcBorders>
              <w:top w:val="nil"/>
              <w:left w:val="nil"/>
              <w:bottom w:val="single" w:sz="4" w:space="0" w:color="002060"/>
              <w:right w:val="nil"/>
            </w:tcBorders>
            <w:shd w:val="clear" w:color="000000" w:fill="FFFFFF"/>
            <w:noWrap/>
            <w:vAlign w:val="center"/>
            <w:hideMark/>
          </w:tcPr>
          <w:p w14:paraId="2AEB2447"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500</w:t>
            </w:r>
          </w:p>
        </w:tc>
        <w:tc>
          <w:tcPr>
            <w:tcW w:w="1273" w:type="dxa"/>
            <w:tcBorders>
              <w:top w:val="nil"/>
              <w:left w:val="nil"/>
              <w:bottom w:val="single" w:sz="4" w:space="0" w:color="002060"/>
              <w:right w:val="nil"/>
            </w:tcBorders>
            <w:shd w:val="clear" w:color="000000" w:fill="FFFFFF"/>
            <w:noWrap/>
            <w:vAlign w:val="center"/>
            <w:hideMark/>
          </w:tcPr>
          <w:p w14:paraId="19DB7383"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650</w:t>
            </w:r>
          </w:p>
        </w:tc>
        <w:tc>
          <w:tcPr>
            <w:tcW w:w="1263" w:type="dxa"/>
            <w:tcBorders>
              <w:top w:val="nil"/>
              <w:left w:val="nil"/>
              <w:bottom w:val="single" w:sz="4" w:space="0" w:color="002060"/>
              <w:right w:val="nil"/>
            </w:tcBorders>
            <w:shd w:val="clear" w:color="000000" w:fill="FFFFFF"/>
            <w:noWrap/>
            <w:vAlign w:val="center"/>
            <w:hideMark/>
          </w:tcPr>
          <w:p w14:paraId="12EB3984" w14:textId="77777777" w:rsidR="00994A6E" w:rsidRPr="00AD7E7D" w:rsidRDefault="00994A6E" w:rsidP="008C56D0">
            <w:pPr>
              <w:spacing w:after="0"/>
              <w:jc w:val="center"/>
              <w:rPr>
                <w:rFonts w:eastAsia="Times New Roman" w:cs="Times New Roman"/>
                <w:szCs w:val="24"/>
                <w:highlight w:val="yellow"/>
              </w:rPr>
            </w:pPr>
            <w:r w:rsidRPr="00AD7E7D">
              <w:rPr>
                <w:rFonts w:eastAsia="Times New Roman" w:cs="Times New Roman"/>
                <w:szCs w:val="24"/>
              </w:rPr>
              <w:t>596</w:t>
            </w:r>
          </w:p>
        </w:tc>
        <w:tc>
          <w:tcPr>
            <w:tcW w:w="1854" w:type="dxa"/>
            <w:tcBorders>
              <w:top w:val="nil"/>
              <w:left w:val="nil"/>
              <w:bottom w:val="single" w:sz="4" w:space="0" w:color="002060"/>
              <w:right w:val="nil"/>
            </w:tcBorders>
            <w:shd w:val="clear" w:color="000000" w:fill="FFFFFF"/>
            <w:noWrap/>
            <w:vAlign w:val="center"/>
            <w:hideMark/>
          </w:tcPr>
          <w:p w14:paraId="650A3705" w14:textId="77777777" w:rsidR="00994A6E" w:rsidRPr="00AD7E7D" w:rsidRDefault="00994A6E" w:rsidP="008C56D0">
            <w:pPr>
              <w:spacing w:after="0"/>
              <w:jc w:val="center"/>
              <w:rPr>
                <w:rFonts w:eastAsia="Times New Roman" w:cs="Times New Roman"/>
                <w:szCs w:val="24"/>
                <w:highlight w:val="yellow"/>
              </w:rPr>
            </w:pPr>
            <w:r w:rsidRPr="00AD7E7D">
              <w:rPr>
                <w:rFonts w:eastAsia="Times New Roman" w:cs="Times New Roman"/>
                <w:szCs w:val="24"/>
              </w:rPr>
              <w:t>580</w:t>
            </w:r>
          </w:p>
        </w:tc>
      </w:tr>
    </w:tbl>
    <w:p w14:paraId="60DC2F9E" w14:textId="77777777" w:rsidR="00994A6E" w:rsidRDefault="00994A6E" w:rsidP="00994A6E">
      <w:pPr>
        <w:spacing w:line="276" w:lineRule="auto"/>
        <w:rPr>
          <w:rFonts w:eastAsia="Calibri" w:cs="Times New Roman"/>
          <w:bCs/>
          <w:sz w:val="22"/>
          <w:szCs w:val="24"/>
          <w:lang w:val="sr-Cyrl-RS" w:eastAsia="ja-JP"/>
        </w:rPr>
      </w:pPr>
      <w:r w:rsidRPr="00010E52">
        <w:rPr>
          <w:rFonts w:eastAsia="Calibri" w:cs="Times New Roman"/>
          <w:bCs/>
          <w:sz w:val="22"/>
          <w:szCs w:val="24"/>
          <w:lang w:val="sr-Cyrl-RS" w:eastAsia="ja-JP"/>
        </w:rPr>
        <w:t xml:space="preserve"> </w:t>
      </w:r>
      <w:r w:rsidRPr="007F7843">
        <w:rPr>
          <w:rFonts w:eastAsia="Calibri" w:cs="Times New Roman"/>
          <w:bCs/>
          <w:sz w:val="22"/>
          <w:szCs w:val="24"/>
          <w:lang w:val="sr-Cyrl-RS" w:eastAsia="ja-JP"/>
        </w:rPr>
        <w:t>Source: Financial reports (APR</w:t>
      </w:r>
      <w:r>
        <w:rPr>
          <w:rFonts w:eastAsia="Calibri" w:cs="Times New Roman"/>
          <w:bCs/>
          <w:sz w:val="22"/>
          <w:szCs w:val="24"/>
          <w:lang w:val="sr-Cyrl-RS" w:eastAsia="ja-JP"/>
        </w:rPr>
        <w:t>) and quarterly report for 2024</w:t>
      </w:r>
    </w:p>
    <w:p w14:paraId="7A1BAF97" w14:textId="77777777" w:rsidR="00994A6E" w:rsidRPr="00AD7E7D" w:rsidRDefault="00994A6E" w:rsidP="00994A6E">
      <w:pPr>
        <w:spacing w:line="276" w:lineRule="auto"/>
        <w:rPr>
          <w:rFonts w:eastAsia="MS PGothic" w:cs="Times New Roman"/>
          <w:szCs w:val="24"/>
          <w:lang w:val="sr-Cyrl-RS" w:eastAsia="ja-JP"/>
        </w:rPr>
      </w:pPr>
      <w:r w:rsidRPr="00410299">
        <w:rPr>
          <w:rFonts w:eastAsia="MS PGothic" w:cs="Times New Roman"/>
          <w:szCs w:val="24"/>
          <w:lang w:val="sr-Cyrl-RS" w:eastAsia="ja-JP"/>
        </w:rPr>
        <w:t>The total net result determined in the third quarter of 2024 is a profit of 31</w:t>
      </w:r>
      <w:r>
        <w:rPr>
          <w:rFonts w:eastAsia="MS PGothic" w:cs="Times New Roman"/>
          <w:szCs w:val="24"/>
          <w:lang w:eastAsia="ja-JP"/>
        </w:rPr>
        <w:t>,</w:t>
      </w:r>
      <w:r w:rsidRPr="00410299">
        <w:rPr>
          <w:rFonts w:eastAsia="MS PGothic" w:cs="Times New Roman"/>
          <w:szCs w:val="24"/>
          <w:lang w:val="sr-Cyrl-RS" w:eastAsia="ja-JP"/>
        </w:rPr>
        <w:t>5 billion dinars. The current year's result has been overestimated for depreciation expenses of JP "Putevi Srbije," as the company records these expenses only at the end of the year in the full amount for the given year. Business revenues and total revenues in state-owned enterprises are showing an upward trend, with the best performance in the last three years recorded at the end of 2023. Meanwhile, business expenses and total expenses have decreased compared to 2022, which is consistent with the more effi</w:t>
      </w:r>
      <w:r>
        <w:rPr>
          <w:rFonts w:eastAsia="MS PGothic" w:cs="Times New Roman"/>
          <w:szCs w:val="24"/>
          <w:lang w:val="sr-Cyrl-RS" w:eastAsia="ja-JP"/>
        </w:rPr>
        <w:t>cient operations of the company</w:t>
      </w:r>
      <w:r w:rsidRPr="00AD7E7D">
        <w:rPr>
          <w:rFonts w:eastAsia="MS PGothic" w:cs="Times New Roman"/>
          <w:szCs w:val="24"/>
          <w:lang w:val="sr-Cyrl-RS" w:eastAsia="ja-JP"/>
        </w:rPr>
        <w:t xml:space="preserve">. </w:t>
      </w:r>
    </w:p>
    <w:p w14:paraId="132C22FA" w14:textId="77777777" w:rsidR="00994A6E" w:rsidRPr="00AD7E7D" w:rsidRDefault="00994A6E" w:rsidP="00994A6E">
      <w:pPr>
        <w:rPr>
          <w:rFonts w:eastAsia="MS PGothic" w:cs="Times New Roman"/>
          <w:szCs w:val="24"/>
          <w:lang w:eastAsia="ja-JP"/>
        </w:rPr>
      </w:pPr>
      <w:r w:rsidRPr="007F7843">
        <w:rPr>
          <w:rFonts w:eastAsia="MS PGothic" w:cs="Times New Roman"/>
          <w:szCs w:val="24"/>
          <w:lang w:eastAsia="ja-JP"/>
        </w:rPr>
        <w:t>The net result at the end of 2023 was a positive amount of 114</w:t>
      </w:r>
      <w:r>
        <w:rPr>
          <w:rFonts w:eastAsia="MS PGothic" w:cs="Times New Roman"/>
          <w:szCs w:val="24"/>
          <w:lang w:eastAsia="ja-JP"/>
        </w:rPr>
        <w:t>,</w:t>
      </w:r>
      <w:r w:rsidRPr="007F7843">
        <w:rPr>
          <w:rFonts w:eastAsia="MS PGothic" w:cs="Times New Roman"/>
          <w:szCs w:val="24"/>
          <w:lang w:eastAsia="ja-JP"/>
        </w:rPr>
        <w:t>3 billion dinars, representing a significant improvement compared to previous years when state-owned enterprises recorded negative net results. The greatest contribution to the overall result of state-owned enterprises was made by "Elektroprivreda Srbije" AD. When analyzing quarterly financial performance, it is necessary to take into account that a number of companies have a seasonal component in their operations</w:t>
      </w:r>
      <w:r w:rsidRPr="00AD7E7D">
        <w:rPr>
          <w:rFonts w:eastAsia="MS PGothic" w:cs="Times New Roman"/>
          <w:szCs w:val="24"/>
          <w:lang w:eastAsia="ja-JP"/>
        </w:rPr>
        <w:t>.</w:t>
      </w:r>
    </w:p>
    <w:p w14:paraId="1F4692AF" w14:textId="77777777" w:rsidR="00994A6E" w:rsidRPr="00010E52" w:rsidRDefault="00994A6E" w:rsidP="00994A6E">
      <w:pPr>
        <w:keepNext/>
        <w:spacing w:after="80" w:line="276" w:lineRule="auto"/>
        <w:rPr>
          <w:rFonts w:eastAsia="Calibri" w:cs="Times New Roman"/>
          <w:i/>
          <w:szCs w:val="24"/>
          <w:lang w:val="sr-Cyrl-RS" w:eastAsia="ja-JP"/>
        </w:rPr>
      </w:pPr>
      <w:r>
        <w:rPr>
          <w:rFonts w:eastAsia="Calibri" w:cs="Times New Roman"/>
          <w:i/>
          <w:szCs w:val="24"/>
          <w:lang w:eastAsia="ja-JP"/>
        </w:rPr>
        <w:t>Table</w:t>
      </w:r>
      <w:r w:rsidRPr="00010E52">
        <w:rPr>
          <w:rFonts w:eastAsia="Calibri" w:cs="Times New Roman"/>
          <w:i/>
          <w:szCs w:val="24"/>
          <w:lang w:val="sr-Cyrl-RS" w:eastAsia="ja-JP"/>
        </w:rPr>
        <w:t xml:space="preserve"> 1</w:t>
      </w:r>
      <w:r>
        <w:rPr>
          <w:rFonts w:eastAsia="Calibri" w:cs="Times New Roman"/>
          <w:i/>
          <w:szCs w:val="24"/>
          <w:lang w:val="sr-Latn-RS" w:eastAsia="ja-JP"/>
        </w:rPr>
        <w:t>3</w:t>
      </w:r>
      <w:r w:rsidRPr="00010E52">
        <w:rPr>
          <w:rFonts w:eastAsia="Calibri" w:cs="Times New Roman"/>
          <w:i/>
          <w:szCs w:val="24"/>
          <w:lang w:val="sr-Cyrl-RS" w:eastAsia="ja-JP"/>
        </w:rPr>
        <w:t xml:space="preserve">. </w:t>
      </w:r>
      <w:r w:rsidRPr="007F7843">
        <w:rPr>
          <w:rFonts w:eastAsia="Calibri" w:cs="Times New Roman"/>
          <w:i/>
          <w:szCs w:val="24"/>
          <w:lang w:val="sr-Cyrl-RS" w:eastAsia="ja-JP"/>
        </w:rPr>
        <w:t>Key business indicators of state-owned enterprises as of September 30, 2024, billion dinars</w:t>
      </w:r>
    </w:p>
    <w:tbl>
      <w:tblPr>
        <w:tblW w:w="4978" w:type="pct"/>
        <w:jc w:val="center"/>
        <w:tblLook w:val="04A0" w:firstRow="1" w:lastRow="0" w:firstColumn="1" w:lastColumn="0" w:noHBand="0" w:noVBand="1"/>
      </w:tblPr>
      <w:tblGrid>
        <w:gridCol w:w="5255"/>
        <w:gridCol w:w="796"/>
        <w:gridCol w:w="936"/>
        <w:gridCol w:w="936"/>
        <w:gridCol w:w="1063"/>
      </w:tblGrid>
      <w:tr w:rsidR="00994A6E" w:rsidRPr="00AD7E7D" w14:paraId="238C2187" w14:textId="77777777" w:rsidTr="003618D5">
        <w:trPr>
          <w:trHeight w:val="19"/>
          <w:jc w:val="center"/>
        </w:trPr>
        <w:tc>
          <w:tcPr>
            <w:tcW w:w="2973" w:type="pct"/>
            <w:tcBorders>
              <w:top w:val="single" w:sz="4" w:space="0" w:color="002060"/>
              <w:left w:val="nil"/>
              <w:bottom w:val="single" w:sz="4" w:space="0" w:color="002060"/>
              <w:right w:val="nil"/>
            </w:tcBorders>
            <w:shd w:val="clear" w:color="auto" w:fill="FFFFFF" w:themeFill="background1"/>
            <w:noWrap/>
            <w:vAlign w:val="center"/>
            <w:hideMark/>
          </w:tcPr>
          <w:p w14:paraId="71761073" w14:textId="77777777" w:rsidR="00994A6E" w:rsidRPr="00AD7E7D" w:rsidRDefault="00994A6E" w:rsidP="008C56D0">
            <w:pPr>
              <w:spacing w:after="0"/>
              <w:jc w:val="center"/>
              <w:rPr>
                <w:rFonts w:eastAsia="Times New Roman" w:cs="Times New Roman"/>
                <w:b/>
                <w:bCs/>
                <w:szCs w:val="24"/>
              </w:rPr>
            </w:pPr>
            <w:r w:rsidRPr="007F7843">
              <w:rPr>
                <w:rFonts w:eastAsia="Times New Roman" w:cs="Times New Roman"/>
                <w:b/>
                <w:bCs/>
                <w:szCs w:val="24"/>
              </w:rPr>
              <w:t>Description</w:t>
            </w:r>
          </w:p>
        </w:tc>
        <w:tc>
          <w:tcPr>
            <w:tcW w:w="432" w:type="pct"/>
            <w:tcBorders>
              <w:top w:val="single" w:sz="4" w:space="0" w:color="002060"/>
              <w:left w:val="nil"/>
              <w:bottom w:val="single" w:sz="4" w:space="0" w:color="002060"/>
              <w:right w:val="nil"/>
            </w:tcBorders>
            <w:shd w:val="clear" w:color="auto" w:fill="FFFFFF" w:themeFill="background1"/>
            <w:noWrap/>
            <w:vAlign w:val="center"/>
            <w:hideMark/>
          </w:tcPr>
          <w:p w14:paraId="5961F38D"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2021</w:t>
            </w:r>
          </w:p>
        </w:tc>
        <w:tc>
          <w:tcPr>
            <w:tcW w:w="509" w:type="pct"/>
            <w:tcBorders>
              <w:top w:val="single" w:sz="4" w:space="0" w:color="002060"/>
              <w:left w:val="nil"/>
              <w:bottom w:val="single" w:sz="4" w:space="0" w:color="002060"/>
              <w:right w:val="nil"/>
            </w:tcBorders>
            <w:shd w:val="clear" w:color="auto" w:fill="FFFFFF" w:themeFill="background1"/>
            <w:noWrap/>
            <w:vAlign w:val="center"/>
            <w:hideMark/>
          </w:tcPr>
          <w:p w14:paraId="1DC95818"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2022</w:t>
            </w:r>
          </w:p>
        </w:tc>
        <w:tc>
          <w:tcPr>
            <w:tcW w:w="509" w:type="pct"/>
            <w:tcBorders>
              <w:top w:val="single" w:sz="4" w:space="0" w:color="002060"/>
              <w:left w:val="nil"/>
              <w:bottom w:val="single" w:sz="4" w:space="0" w:color="002060"/>
              <w:right w:val="nil"/>
            </w:tcBorders>
            <w:shd w:val="clear" w:color="auto" w:fill="FFFFFF" w:themeFill="background1"/>
            <w:noWrap/>
            <w:vAlign w:val="center"/>
            <w:hideMark/>
          </w:tcPr>
          <w:p w14:paraId="50454B76"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2023</w:t>
            </w:r>
          </w:p>
        </w:tc>
        <w:tc>
          <w:tcPr>
            <w:tcW w:w="578" w:type="pct"/>
            <w:tcBorders>
              <w:top w:val="single" w:sz="4" w:space="0" w:color="002060"/>
              <w:left w:val="nil"/>
              <w:bottom w:val="single" w:sz="4" w:space="0" w:color="002060"/>
              <w:right w:val="nil"/>
            </w:tcBorders>
            <w:shd w:val="clear" w:color="auto" w:fill="FFFFFF" w:themeFill="background1"/>
            <w:noWrap/>
            <w:vAlign w:val="center"/>
            <w:hideMark/>
          </w:tcPr>
          <w:p w14:paraId="0D6CD74B"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Q3 2024</w:t>
            </w:r>
          </w:p>
        </w:tc>
      </w:tr>
      <w:tr w:rsidR="00994A6E" w:rsidRPr="00AD7E7D" w14:paraId="59B9EA42" w14:textId="77777777" w:rsidTr="003618D5">
        <w:trPr>
          <w:trHeight w:val="19"/>
          <w:jc w:val="center"/>
        </w:trPr>
        <w:tc>
          <w:tcPr>
            <w:tcW w:w="2973" w:type="pct"/>
            <w:tcBorders>
              <w:top w:val="nil"/>
              <w:left w:val="nil"/>
              <w:bottom w:val="nil"/>
              <w:right w:val="nil"/>
            </w:tcBorders>
            <w:shd w:val="clear" w:color="000000" w:fill="FFFFFF"/>
            <w:noWrap/>
            <w:vAlign w:val="center"/>
            <w:hideMark/>
          </w:tcPr>
          <w:p w14:paraId="51EF043F" w14:textId="77777777" w:rsidR="00994A6E" w:rsidRPr="0058732C" w:rsidRDefault="00994A6E" w:rsidP="008C56D0">
            <w:pPr>
              <w:spacing w:after="0"/>
              <w:jc w:val="left"/>
              <w:rPr>
                <w:rFonts w:eastAsia="Times New Roman" w:cs="Times New Roman"/>
                <w:sz w:val="20"/>
                <w:szCs w:val="20"/>
              </w:rPr>
            </w:pPr>
            <w:r w:rsidRPr="0058732C">
              <w:rPr>
                <w:rFonts w:eastAsia="Times New Roman" w:cs="Times New Roman"/>
                <w:sz w:val="20"/>
                <w:szCs w:val="20"/>
              </w:rPr>
              <w:t>Business revenues</w:t>
            </w:r>
          </w:p>
        </w:tc>
        <w:tc>
          <w:tcPr>
            <w:tcW w:w="432" w:type="pct"/>
            <w:tcBorders>
              <w:top w:val="nil"/>
              <w:left w:val="nil"/>
              <w:bottom w:val="nil"/>
              <w:right w:val="nil"/>
            </w:tcBorders>
            <w:shd w:val="clear" w:color="000000" w:fill="FFFFFF"/>
            <w:noWrap/>
            <w:vAlign w:val="center"/>
            <w:hideMark/>
          </w:tcPr>
          <w:p w14:paraId="5982B44F"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739,1</w:t>
            </w:r>
          </w:p>
        </w:tc>
        <w:tc>
          <w:tcPr>
            <w:tcW w:w="509" w:type="pct"/>
            <w:tcBorders>
              <w:top w:val="nil"/>
              <w:left w:val="nil"/>
              <w:bottom w:val="nil"/>
              <w:right w:val="nil"/>
            </w:tcBorders>
            <w:shd w:val="clear" w:color="000000" w:fill="FFFFFF"/>
            <w:noWrap/>
            <w:vAlign w:val="center"/>
            <w:hideMark/>
          </w:tcPr>
          <w:p w14:paraId="064C2939"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905,2</w:t>
            </w:r>
          </w:p>
        </w:tc>
        <w:tc>
          <w:tcPr>
            <w:tcW w:w="509" w:type="pct"/>
            <w:tcBorders>
              <w:top w:val="nil"/>
              <w:left w:val="nil"/>
              <w:bottom w:val="nil"/>
              <w:right w:val="nil"/>
            </w:tcBorders>
            <w:shd w:val="clear" w:color="000000" w:fill="FFFFFF"/>
            <w:noWrap/>
            <w:vAlign w:val="center"/>
            <w:hideMark/>
          </w:tcPr>
          <w:p w14:paraId="32D6201D"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1.018,5</w:t>
            </w:r>
          </w:p>
        </w:tc>
        <w:tc>
          <w:tcPr>
            <w:tcW w:w="578" w:type="pct"/>
            <w:tcBorders>
              <w:top w:val="nil"/>
              <w:left w:val="nil"/>
              <w:bottom w:val="nil"/>
              <w:right w:val="nil"/>
            </w:tcBorders>
            <w:shd w:val="clear" w:color="000000" w:fill="FFFFFF"/>
            <w:noWrap/>
            <w:vAlign w:val="center"/>
            <w:hideMark/>
          </w:tcPr>
          <w:p w14:paraId="5B9AB90C"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711,0</w:t>
            </w:r>
          </w:p>
        </w:tc>
      </w:tr>
      <w:tr w:rsidR="00994A6E" w:rsidRPr="00AD7E7D" w14:paraId="19DCBF46" w14:textId="77777777" w:rsidTr="003618D5">
        <w:trPr>
          <w:trHeight w:val="19"/>
          <w:jc w:val="center"/>
        </w:trPr>
        <w:tc>
          <w:tcPr>
            <w:tcW w:w="2973" w:type="pct"/>
            <w:tcBorders>
              <w:top w:val="nil"/>
              <w:left w:val="nil"/>
              <w:bottom w:val="nil"/>
              <w:right w:val="nil"/>
            </w:tcBorders>
            <w:shd w:val="clear" w:color="000000" w:fill="FFFFFF"/>
            <w:noWrap/>
            <w:vAlign w:val="center"/>
            <w:hideMark/>
          </w:tcPr>
          <w:p w14:paraId="4C5CCB34" w14:textId="77777777" w:rsidR="00994A6E" w:rsidRPr="0058732C" w:rsidRDefault="00994A6E" w:rsidP="008C56D0">
            <w:pPr>
              <w:spacing w:after="0"/>
              <w:jc w:val="left"/>
              <w:rPr>
                <w:rFonts w:eastAsia="Times New Roman" w:cs="Times New Roman"/>
                <w:sz w:val="20"/>
                <w:szCs w:val="20"/>
              </w:rPr>
            </w:pPr>
            <w:r w:rsidRPr="0058732C">
              <w:rPr>
                <w:rFonts w:eastAsia="Times New Roman" w:cs="Times New Roman"/>
                <w:sz w:val="20"/>
                <w:szCs w:val="20"/>
              </w:rPr>
              <w:t>Business expenditures</w:t>
            </w:r>
          </w:p>
        </w:tc>
        <w:tc>
          <w:tcPr>
            <w:tcW w:w="432" w:type="pct"/>
            <w:tcBorders>
              <w:top w:val="nil"/>
              <w:left w:val="nil"/>
              <w:bottom w:val="nil"/>
              <w:right w:val="nil"/>
            </w:tcBorders>
            <w:shd w:val="clear" w:color="000000" w:fill="FFFFFF"/>
            <w:noWrap/>
            <w:vAlign w:val="center"/>
            <w:hideMark/>
          </w:tcPr>
          <w:p w14:paraId="1EEC72F1"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741,0</w:t>
            </w:r>
          </w:p>
        </w:tc>
        <w:tc>
          <w:tcPr>
            <w:tcW w:w="509" w:type="pct"/>
            <w:tcBorders>
              <w:top w:val="nil"/>
              <w:left w:val="nil"/>
              <w:bottom w:val="nil"/>
              <w:right w:val="nil"/>
            </w:tcBorders>
            <w:shd w:val="clear" w:color="000000" w:fill="FFFFFF"/>
            <w:noWrap/>
            <w:vAlign w:val="center"/>
            <w:hideMark/>
          </w:tcPr>
          <w:p w14:paraId="7002545A"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950,9</w:t>
            </w:r>
          </w:p>
        </w:tc>
        <w:tc>
          <w:tcPr>
            <w:tcW w:w="509" w:type="pct"/>
            <w:tcBorders>
              <w:top w:val="nil"/>
              <w:left w:val="nil"/>
              <w:bottom w:val="nil"/>
              <w:right w:val="nil"/>
            </w:tcBorders>
            <w:shd w:val="clear" w:color="000000" w:fill="FFFFFF"/>
            <w:noWrap/>
            <w:vAlign w:val="center"/>
            <w:hideMark/>
          </w:tcPr>
          <w:p w14:paraId="246AE181"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870,9</w:t>
            </w:r>
          </w:p>
        </w:tc>
        <w:tc>
          <w:tcPr>
            <w:tcW w:w="578" w:type="pct"/>
            <w:tcBorders>
              <w:top w:val="nil"/>
              <w:left w:val="nil"/>
              <w:bottom w:val="nil"/>
              <w:right w:val="nil"/>
            </w:tcBorders>
            <w:shd w:val="clear" w:color="000000" w:fill="FFFFFF"/>
            <w:noWrap/>
            <w:vAlign w:val="center"/>
            <w:hideMark/>
          </w:tcPr>
          <w:p w14:paraId="3359DF6A"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653,0</w:t>
            </w:r>
          </w:p>
        </w:tc>
      </w:tr>
      <w:tr w:rsidR="00994A6E" w:rsidRPr="00AD7E7D" w14:paraId="680247DB" w14:textId="77777777" w:rsidTr="003618D5">
        <w:trPr>
          <w:trHeight w:val="19"/>
          <w:jc w:val="center"/>
        </w:trPr>
        <w:tc>
          <w:tcPr>
            <w:tcW w:w="2973" w:type="pct"/>
            <w:tcBorders>
              <w:top w:val="nil"/>
              <w:left w:val="nil"/>
              <w:bottom w:val="nil"/>
              <w:right w:val="nil"/>
            </w:tcBorders>
            <w:shd w:val="clear" w:color="000000" w:fill="FFFFFF"/>
            <w:noWrap/>
            <w:vAlign w:val="center"/>
            <w:hideMark/>
          </w:tcPr>
          <w:p w14:paraId="44A2AB22" w14:textId="77777777" w:rsidR="00994A6E" w:rsidRPr="0058732C" w:rsidRDefault="00994A6E" w:rsidP="008C56D0">
            <w:pPr>
              <w:spacing w:after="0"/>
              <w:ind w:firstLineChars="100" w:firstLine="200"/>
              <w:jc w:val="left"/>
              <w:rPr>
                <w:rFonts w:eastAsia="Times New Roman" w:cs="Times New Roman"/>
                <w:sz w:val="20"/>
                <w:szCs w:val="20"/>
              </w:rPr>
            </w:pPr>
            <w:r w:rsidRPr="0058732C">
              <w:rPr>
                <w:rFonts w:eastAsia="Times New Roman" w:cs="Times New Roman"/>
                <w:sz w:val="20"/>
                <w:szCs w:val="20"/>
              </w:rPr>
              <w:t>Wage costs</w:t>
            </w:r>
          </w:p>
        </w:tc>
        <w:tc>
          <w:tcPr>
            <w:tcW w:w="432" w:type="pct"/>
            <w:tcBorders>
              <w:top w:val="nil"/>
              <w:left w:val="nil"/>
              <w:bottom w:val="nil"/>
              <w:right w:val="nil"/>
            </w:tcBorders>
            <w:shd w:val="clear" w:color="000000" w:fill="FFFFFF"/>
            <w:noWrap/>
            <w:vAlign w:val="center"/>
            <w:hideMark/>
          </w:tcPr>
          <w:p w14:paraId="2F8C14DD"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115,0</w:t>
            </w:r>
          </w:p>
        </w:tc>
        <w:tc>
          <w:tcPr>
            <w:tcW w:w="509" w:type="pct"/>
            <w:tcBorders>
              <w:top w:val="nil"/>
              <w:left w:val="nil"/>
              <w:bottom w:val="nil"/>
              <w:right w:val="nil"/>
            </w:tcBorders>
            <w:shd w:val="clear" w:color="000000" w:fill="FFFFFF"/>
            <w:noWrap/>
            <w:vAlign w:val="center"/>
            <w:hideMark/>
          </w:tcPr>
          <w:p w14:paraId="2C093023"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118,5</w:t>
            </w:r>
          </w:p>
        </w:tc>
        <w:tc>
          <w:tcPr>
            <w:tcW w:w="509" w:type="pct"/>
            <w:tcBorders>
              <w:top w:val="nil"/>
              <w:left w:val="nil"/>
              <w:bottom w:val="nil"/>
              <w:right w:val="nil"/>
            </w:tcBorders>
            <w:shd w:val="clear" w:color="000000" w:fill="FFFFFF"/>
            <w:noWrap/>
            <w:vAlign w:val="center"/>
            <w:hideMark/>
          </w:tcPr>
          <w:p w14:paraId="77887DFC"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127,9</w:t>
            </w:r>
          </w:p>
        </w:tc>
        <w:tc>
          <w:tcPr>
            <w:tcW w:w="578" w:type="pct"/>
            <w:tcBorders>
              <w:top w:val="nil"/>
              <w:left w:val="nil"/>
              <w:bottom w:val="nil"/>
              <w:right w:val="nil"/>
            </w:tcBorders>
            <w:shd w:val="clear" w:color="000000" w:fill="FFFFFF"/>
            <w:noWrap/>
            <w:vAlign w:val="center"/>
            <w:hideMark/>
          </w:tcPr>
          <w:p w14:paraId="4A56337E"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103,6</w:t>
            </w:r>
          </w:p>
        </w:tc>
      </w:tr>
      <w:tr w:rsidR="00994A6E" w:rsidRPr="00AD7E7D" w14:paraId="0968A465" w14:textId="77777777" w:rsidTr="003618D5">
        <w:trPr>
          <w:trHeight w:val="19"/>
          <w:jc w:val="center"/>
        </w:trPr>
        <w:tc>
          <w:tcPr>
            <w:tcW w:w="2973" w:type="pct"/>
            <w:tcBorders>
              <w:top w:val="nil"/>
              <w:left w:val="nil"/>
              <w:bottom w:val="nil"/>
              <w:right w:val="nil"/>
            </w:tcBorders>
            <w:shd w:val="clear" w:color="000000" w:fill="FFFFFF"/>
            <w:noWrap/>
            <w:vAlign w:val="center"/>
            <w:hideMark/>
          </w:tcPr>
          <w:p w14:paraId="3A8B89A8" w14:textId="77777777" w:rsidR="00994A6E" w:rsidRPr="0058732C" w:rsidRDefault="00994A6E" w:rsidP="008C56D0">
            <w:pPr>
              <w:spacing w:after="0"/>
              <w:jc w:val="left"/>
              <w:rPr>
                <w:rFonts w:eastAsia="Times New Roman" w:cs="Times New Roman"/>
                <w:sz w:val="20"/>
                <w:szCs w:val="20"/>
              </w:rPr>
            </w:pPr>
            <w:r w:rsidRPr="0058732C">
              <w:rPr>
                <w:rFonts w:eastAsia="Times New Roman" w:cs="Times New Roman"/>
                <w:sz w:val="20"/>
                <w:szCs w:val="20"/>
              </w:rPr>
              <w:t>EBIT (operating result)</w:t>
            </w:r>
          </w:p>
        </w:tc>
        <w:tc>
          <w:tcPr>
            <w:tcW w:w="432" w:type="pct"/>
            <w:tcBorders>
              <w:top w:val="nil"/>
              <w:left w:val="nil"/>
              <w:bottom w:val="nil"/>
              <w:right w:val="nil"/>
            </w:tcBorders>
            <w:shd w:val="clear" w:color="000000" w:fill="FFFFFF"/>
            <w:noWrap/>
            <w:vAlign w:val="center"/>
            <w:hideMark/>
          </w:tcPr>
          <w:p w14:paraId="162CB77E"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(1,9)</w:t>
            </w:r>
          </w:p>
        </w:tc>
        <w:tc>
          <w:tcPr>
            <w:tcW w:w="509" w:type="pct"/>
            <w:tcBorders>
              <w:top w:val="nil"/>
              <w:left w:val="nil"/>
              <w:bottom w:val="nil"/>
              <w:right w:val="nil"/>
            </w:tcBorders>
            <w:shd w:val="clear" w:color="000000" w:fill="FFFFFF"/>
            <w:noWrap/>
            <w:vAlign w:val="center"/>
            <w:hideMark/>
          </w:tcPr>
          <w:p w14:paraId="4C881EDC"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(45,7)</w:t>
            </w:r>
          </w:p>
        </w:tc>
        <w:tc>
          <w:tcPr>
            <w:tcW w:w="509" w:type="pct"/>
            <w:tcBorders>
              <w:top w:val="nil"/>
              <w:left w:val="nil"/>
              <w:bottom w:val="nil"/>
              <w:right w:val="nil"/>
            </w:tcBorders>
            <w:shd w:val="clear" w:color="000000" w:fill="FFFFFF"/>
            <w:noWrap/>
            <w:vAlign w:val="center"/>
            <w:hideMark/>
          </w:tcPr>
          <w:p w14:paraId="1D14BFB5"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147,6</w:t>
            </w:r>
          </w:p>
        </w:tc>
        <w:tc>
          <w:tcPr>
            <w:tcW w:w="578" w:type="pct"/>
            <w:tcBorders>
              <w:top w:val="nil"/>
              <w:left w:val="nil"/>
              <w:bottom w:val="nil"/>
              <w:right w:val="nil"/>
            </w:tcBorders>
            <w:shd w:val="clear" w:color="000000" w:fill="FFFFFF"/>
            <w:noWrap/>
            <w:vAlign w:val="center"/>
            <w:hideMark/>
          </w:tcPr>
          <w:p w14:paraId="400B37CE"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58,0</w:t>
            </w:r>
          </w:p>
        </w:tc>
      </w:tr>
      <w:tr w:rsidR="00994A6E" w:rsidRPr="00AD7E7D" w14:paraId="496104A1" w14:textId="77777777" w:rsidTr="003618D5">
        <w:trPr>
          <w:trHeight w:val="19"/>
          <w:jc w:val="center"/>
        </w:trPr>
        <w:tc>
          <w:tcPr>
            <w:tcW w:w="2973" w:type="pct"/>
            <w:tcBorders>
              <w:top w:val="nil"/>
              <w:left w:val="nil"/>
              <w:bottom w:val="nil"/>
              <w:right w:val="nil"/>
            </w:tcBorders>
            <w:shd w:val="clear" w:color="000000" w:fill="FFFFFF"/>
            <w:noWrap/>
            <w:vAlign w:val="center"/>
            <w:hideMark/>
          </w:tcPr>
          <w:p w14:paraId="0E775FE8" w14:textId="77777777" w:rsidR="00994A6E" w:rsidRPr="0058732C" w:rsidRDefault="00994A6E" w:rsidP="008C56D0">
            <w:pPr>
              <w:spacing w:after="0"/>
              <w:jc w:val="left"/>
              <w:rPr>
                <w:rFonts w:eastAsia="Times New Roman" w:cs="Times New Roman"/>
                <w:sz w:val="20"/>
                <w:szCs w:val="20"/>
              </w:rPr>
            </w:pPr>
            <w:r w:rsidRPr="0058732C">
              <w:rPr>
                <w:rFonts w:eastAsia="Times New Roman" w:cs="Times New Roman"/>
                <w:sz w:val="20"/>
                <w:szCs w:val="20"/>
              </w:rPr>
              <w:t>Total revenues</w:t>
            </w:r>
          </w:p>
        </w:tc>
        <w:tc>
          <w:tcPr>
            <w:tcW w:w="432" w:type="pct"/>
            <w:tcBorders>
              <w:top w:val="nil"/>
              <w:left w:val="nil"/>
              <w:bottom w:val="nil"/>
              <w:right w:val="nil"/>
            </w:tcBorders>
            <w:shd w:val="clear" w:color="000000" w:fill="FFFFFF"/>
            <w:noWrap/>
            <w:vAlign w:val="center"/>
            <w:hideMark/>
          </w:tcPr>
          <w:p w14:paraId="14A6F703"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775,8</w:t>
            </w:r>
          </w:p>
        </w:tc>
        <w:tc>
          <w:tcPr>
            <w:tcW w:w="509" w:type="pct"/>
            <w:tcBorders>
              <w:top w:val="nil"/>
              <w:left w:val="nil"/>
              <w:bottom w:val="nil"/>
              <w:right w:val="nil"/>
            </w:tcBorders>
            <w:shd w:val="clear" w:color="000000" w:fill="FFFFFF"/>
            <w:noWrap/>
            <w:vAlign w:val="center"/>
            <w:hideMark/>
          </w:tcPr>
          <w:p w14:paraId="645EFC9D"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937,7</w:t>
            </w:r>
          </w:p>
        </w:tc>
        <w:tc>
          <w:tcPr>
            <w:tcW w:w="509" w:type="pct"/>
            <w:tcBorders>
              <w:top w:val="nil"/>
              <w:left w:val="nil"/>
              <w:bottom w:val="nil"/>
              <w:right w:val="nil"/>
            </w:tcBorders>
            <w:shd w:val="clear" w:color="000000" w:fill="FFFFFF"/>
            <w:noWrap/>
            <w:vAlign w:val="center"/>
            <w:hideMark/>
          </w:tcPr>
          <w:p w14:paraId="2B0DFAAA"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1.057,5</w:t>
            </w:r>
          </w:p>
        </w:tc>
        <w:tc>
          <w:tcPr>
            <w:tcW w:w="578" w:type="pct"/>
            <w:tcBorders>
              <w:top w:val="nil"/>
              <w:left w:val="nil"/>
              <w:bottom w:val="nil"/>
              <w:right w:val="nil"/>
            </w:tcBorders>
            <w:shd w:val="clear" w:color="000000" w:fill="FFFFFF"/>
            <w:noWrap/>
            <w:vAlign w:val="center"/>
            <w:hideMark/>
          </w:tcPr>
          <w:p w14:paraId="52560740"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733,6</w:t>
            </w:r>
          </w:p>
        </w:tc>
      </w:tr>
      <w:tr w:rsidR="00994A6E" w:rsidRPr="00AD7E7D" w14:paraId="3E4EE81A" w14:textId="77777777" w:rsidTr="003618D5">
        <w:trPr>
          <w:trHeight w:val="19"/>
          <w:jc w:val="center"/>
        </w:trPr>
        <w:tc>
          <w:tcPr>
            <w:tcW w:w="2973" w:type="pct"/>
            <w:tcBorders>
              <w:top w:val="nil"/>
              <w:left w:val="nil"/>
              <w:bottom w:val="nil"/>
              <w:right w:val="nil"/>
            </w:tcBorders>
            <w:shd w:val="clear" w:color="000000" w:fill="FFFFFF"/>
            <w:noWrap/>
            <w:vAlign w:val="center"/>
            <w:hideMark/>
          </w:tcPr>
          <w:p w14:paraId="29FB8149" w14:textId="77777777" w:rsidR="00994A6E" w:rsidRPr="0058732C" w:rsidRDefault="00994A6E" w:rsidP="008C56D0">
            <w:pPr>
              <w:spacing w:after="0"/>
              <w:jc w:val="left"/>
              <w:rPr>
                <w:rFonts w:eastAsia="Times New Roman" w:cs="Times New Roman"/>
                <w:sz w:val="20"/>
                <w:szCs w:val="20"/>
              </w:rPr>
            </w:pPr>
            <w:r w:rsidRPr="0058732C">
              <w:rPr>
                <w:rFonts w:eastAsia="Times New Roman" w:cs="Times New Roman"/>
                <w:sz w:val="20"/>
                <w:szCs w:val="20"/>
              </w:rPr>
              <w:t>Total expenditures</w:t>
            </w:r>
          </w:p>
        </w:tc>
        <w:tc>
          <w:tcPr>
            <w:tcW w:w="432" w:type="pct"/>
            <w:tcBorders>
              <w:top w:val="nil"/>
              <w:left w:val="nil"/>
              <w:bottom w:val="nil"/>
              <w:right w:val="nil"/>
            </w:tcBorders>
            <w:shd w:val="clear" w:color="000000" w:fill="FFFFFF"/>
            <w:noWrap/>
            <w:vAlign w:val="center"/>
            <w:hideMark/>
          </w:tcPr>
          <w:p w14:paraId="309B9D78"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787,8</w:t>
            </w:r>
          </w:p>
        </w:tc>
        <w:tc>
          <w:tcPr>
            <w:tcW w:w="509" w:type="pct"/>
            <w:tcBorders>
              <w:top w:val="nil"/>
              <w:left w:val="nil"/>
              <w:bottom w:val="nil"/>
              <w:right w:val="nil"/>
            </w:tcBorders>
            <w:shd w:val="clear" w:color="000000" w:fill="FFFFFF"/>
            <w:noWrap/>
            <w:vAlign w:val="center"/>
            <w:hideMark/>
          </w:tcPr>
          <w:p w14:paraId="5CF4D72A"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1.006,0</w:t>
            </w:r>
          </w:p>
        </w:tc>
        <w:tc>
          <w:tcPr>
            <w:tcW w:w="509" w:type="pct"/>
            <w:tcBorders>
              <w:top w:val="nil"/>
              <w:left w:val="nil"/>
              <w:bottom w:val="nil"/>
              <w:right w:val="nil"/>
            </w:tcBorders>
            <w:shd w:val="clear" w:color="000000" w:fill="FFFFFF"/>
            <w:noWrap/>
            <w:vAlign w:val="center"/>
            <w:hideMark/>
          </w:tcPr>
          <w:p w14:paraId="37EF468B"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921,8</w:t>
            </w:r>
          </w:p>
        </w:tc>
        <w:tc>
          <w:tcPr>
            <w:tcW w:w="578" w:type="pct"/>
            <w:tcBorders>
              <w:top w:val="nil"/>
              <w:left w:val="nil"/>
              <w:bottom w:val="nil"/>
              <w:right w:val="nil"/>
            </w:tcBorders>
            <w:shd w:val="clear" w:color="000000" w:fill="FFFFFF"/>
            <w:noWrap/>
            <w:vAlign w:val="center"/>
            <w:hideMark/>
          </w:tcPr>
          <w:p w14:paraId="717205A1"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692,6</w:t>
            </w:r>
          </w:p>
        </w:tc>
      </w:tr>
      <w:tr w:rsidR="00994A6E" w:rsidRPr="00AD7E7D" w14:paraId="477C4212" w14:textId="77777777" w:rsidTr="003618D5">
        <w:trPr>
          <w:trHeight w:val="19"/>
          <w:jc w:val="center"/>
        </w:trPr>
        <w:tc>
          <w:tcPr>
            <w:tcW w:w="2973" w:type="pct"/>
            <w:tcBorders>
              <w:top w:val="nil"/>
              <w:left w:val="nil"/>
              <w:bottom w:val="nil"/>
              <w:right w:val="nil"/>
            </w:tcBorders>
            <w:shd w:val="clear" w:color="000000" w:fill="FFFFFF"/>
            <w:noWrap/>
            <w:vAlign w:val="center"/>
            <w:hideMark/>
          </w:tcPr>
          <w:p w14:paraId="742AF599" w14:textId="77777777" w:rsidR="00994A6E" w:rsidRPr="0058732C" w:rsidRDefault="00994A6E" w:rsidP="008C56D0">
            <w:pPr>
              <w:spacing w:after="0"/>
              <w:jc w:val="left"/>
              <w:rPr>
                <w:rFonts w:eastAsia="Times New Roman" w:cs="Times New Roman"/>
                <w:b/>
                <w:bCs/>
                <w:sz w:val="20"/>
                <w:szCs w:val="20"/>
              </w:rPr>
            </w:pPr>
            <w:r w:rsidRPr="0058732C">
              <w:rPr>
                <w:rFonts w:eastAsia="Times New Roman" w:cs="Times New Roman"/>
                <w:b/>
                <w:bCs/>
                <w:sz w:val="20"/>
                <w:szCs w:val="20"/>
              </w:rPr>
              <w:t>Net result</w:t>
            </w:r>
          </w:p>
        </w:tc>
        <w:tc>
          <w:tcPr>
            <w:tcW w:w="432" w:type="pct"/>
            <w:tcBorders>
              <w:top w:val="nil"/>
              <w:left w:val="nil"/>
              <w:bottom w:val="nil"/>
              <w:right w:val="nil"/>
            </w:tcBorders>
            <w:shd w:val="clear" w:color="000000" w:fill="FFFFFF"/>
            <w:noWrap/>
            <w:vAlign w:val="center"/>
            <w:hideMark/>
          </w:tcPr>
          <w:p w14:paraId="2F1CEBB7"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(13,9)</w:t>
            </w:r>
          </w:p>
        </w:tc>
        <w:tc>
          <w:tcPr>
            <w:tcW w:w="509" w:type="pct"/>
            <w:tcBorders>
              <w:top w:val="nil"/>
              <w:left w:val="nil"/>
              <w:bottom w:val="nil"/>
              <w:right w:val="nil"/>
            </w:tcBorders>
            <w:shd w:val="clear" w:color="000000" w:fill="FFFFFF"/>
            <w:noWrap/>
            <w:vAlign w:val="center"/>
            <w:hideMark/>
          </w:tcPr>
          <w:p w14:paraId="038B8C26"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(68,8)</w:t>
            </w:r>
          </w:p>
        </w:tc>
        <w:tc>
          <w:tcPr>
            <w:tcW w:w="509" w:type="pct"/>
            <w:tcBorders>
              <w:top w:val="nil"/>
              <w:left w:val="nil"/>
              <w:bottom w:val="nil"/>
              <w:right w:val="nil"/>
            </w:tcBorders>
            <w:shd w:val="clear" w:color="000000" w:fill="FFFFFF"/>
            <w:noWrap/>
            <w:vAlign w:val="center"/>
            <w:hideMark/>
          </w:tcPr>
          <w:p w14:paraId="1B8C37EB"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114,3</w:t>
            </w:r>
          </w:p>
        </w:tc>
        <w:tc>
          <w:tcPr>
            <w:tcW w:w="578" w:type="pct"/>
            <w:tcBorders>
              <w:top w:val="nil"/>
              <w:left w:val="nil"/>
              <w:bottom w:val="nil"/>
              <w:right w:val="nil"/>
            </w:tcBorders>
            <w:shd w:val="clear" w:color="000000" w:fill="FFFFFF"/>
            <w:noWrap/>
            <w:vAlign w:val="center"/>
            <w:hideMark/>
          </w:tcPr>
          <w:p w14:paraId="6D49E8FE" w14:textId="77777777" w:rsidR="00994A6E" w:rsidRPr="00AD7E7D" w:rsidRDefault="00994A6E" w:rsidP="008C56D0">
            <w:pPr>
              <w:spacing w:after="0"/>
              <w:jc w:val="center"/>
              <w:rPr>
                <w:rFonts w:eastAsia="Times New Roman" w:cs="Times New Roman"/>
                <w:szCs w:val="24"/>
              </w:rPr>
            </w:pPr>
            <w:r w:rsidRPr="00AD7E7D">
              <w:rPr>
                <w:rFonts w:eastAsia="Times New Roman" w:cs="Times New Roman"/>
                <w:szCs w:val="24"/>
              </w:rPr>
              <w:t>31,5</w:t>
            </w:r>
          </w:p>
        </w:tc>
      </w:tr>
      <w:tr w:rsidR="00994A6E" w:rsidRPr="00AD7E7D" w14:paraId="1D005DFB" w14:textId="77777777" w:rsidTr="003618D5">
        <w:trPr>
          <w:trHeight w:val="19"/>
          <w:jc w:val="center"/>
        </w:trPr>
        <w:tc>
          <w:tcPr>
            <w:tcW w:w="2973" w:type="pct"/>
            <w:tcBorders>
              <w:top w:val="single" w:sz="4" w:space="0" w:color="002060"/>
              <w:left w:val="nil"/>
              <w:bottom w:val="single" w:sz="4" w:space="0" w:color="002060"/>
              <w:right w:val="nil"/>
            </w:tcBorders>
            <w:shd w:val="clear" w:color="auto" w:fill="FFFFFF" w:themeFill="background1"/>
            <w:noWrap/>
            <w:vAlign w:val="center"/>
            <w:hideMark/>
          </w:tcPr>
          <w:p w14:paraId="04FF98AA" w14:textId="77777777" w:rsidR="00994A6E" w:rsidRPr="0058732C" w:rsidRDefault="00994A6E" w:rsidP="008C56D0">
            <w:pPr>
              <w:spacing w:after="0"/>
              <w:jc w:val="left"/>
              <w:rPr>
                <w:rFonts w:eastAsia="Times New Roman" w:cs="Times New Roman"/>
                <w:b/>
                <w:bCs/>
                <w:sz w:val="20"/>
                <w:szCs w:val="20"/>
              </w:rPr>
            </w:pPr>
            <w:r w:rsidRPr="0058732C">
              <w:rPr>
                <w:rFonts w:eastAsia="Times New Roman" w:cs="Times New Roman"/>
                <w:b/>
                <w:bCs/>
                <w:sz w:val="20"/>
                <w:szCs w:val="20"/>
              </w:rPr>
              <w:t>Number of SO enterprises with profit</w:t>
            </w:r>
          </w:p>
        </w:tc>
        <w:tc>
          <w:tcPr>
            <w:tcW w:w="432" w:type="pct"/>
            <w:tcBorders>
              <w:top w:val="single" w:sz="4" w:space="0" w:color="002060"/>
              <w:left w:val="nil"/>
              <w:bottom w:val="single" w:sz="4" w:space="0" w:color="002060"/>
              <w:right w:val="nil"/>
            </w:tcBorders>
            <w:shd w:val="clear" w:color="auto" w:fill="FFFFFF" w:themeFill="background1"/>
            <w:noWrap/>
            <w:vAlign w:val="center"/>
            <w:hideMark/>
          </w:tcPr>
          <w:p w14:paraId="5C90695A"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26</w:t>
            </w:r>
          </w:p>
        </w:tc>
        <w:tc>
          <w:tcPr>
            <w:tcW w:w="509" w:type="pct"/>
            <w:tcBorders>
              <w:top w:val="single" w:sz="4" w:space="0" w:color="002060"/>
              <w:left w:val="nil"/>
              <w:bottom w:val="single" w:sz="4" w:space="0" w:color="002060"/>
              <w:right w:val="nil"/>
            </w:tcBorders>
            <w:shd w:val="clear" w:color="auto" w:fill="FFFFFF" w:themeFill="background1"/>
            <w:noWrap/>
            <w:vAlign w:val="center"/>
            <w:hideMark/>
          </w:tcPr>
          <w:p w14:paraId="2B26995B"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25</w:t>
            </w:r>
          </w:p>
        </w:tc>
        <w:tc>
          <w:tcPr>
            <w:tcW w:w="509" w:type="pct"/>
            <w:tcBorders>
              <w:top w:val="single" w:sz="4" w:space="0" w:color="002060"/>
              <w:left w:val="nil"/>
              <w:bottom w:val="single" w:sz="4" w:space="0" w:color="002060"/>
              <w:right w:val="nil"/>
            </w:tcBorders>
            <w:shd w:val="clear" w:color="auto" w:fill="FFFFFF" w:themeFill="background1"/>
            <w:noWrap/>
            <w:vAlign w:val="center"/>
            <w:hideMark/>
          </w:tcPr>
          <w:p w14:paraId="02D614F9"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28</w:t>
            </w:r>
          </w:p>
        </w:tc>
        <w:tc>
          <w:tcPr>
            <w:tcW w:w="578" w:type="pct"/>
            <w:tcBorders>
              <w:top w:val="single" w:sz="4" w:space="0" w:color="002060"/>
              <w:left w:val="nil"/>
              <w:bottom w:val="single" w:sz="4" w:space="0" w:color="002060"/>
              <w:right w:val="nil"/>
            </w:tcBorders>
            <w:shd w:val="clear" w:color="auto" w:fill="FFFFFF" w:themeFill="background1"/>
            <w:noWrap/>
            <w:vAlign w:val="center"/>
            <w:hideMark/>
          </w:tcPr>
          <w:p w14:paraId="69EF50EC"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22</w:t>
            </w:r>
          </w:p>
        </w:tc>
      </w:tr>
      <w:tr w:rsidR="00994A6E" w:rsidRPr="00AD7E7D" w14:paraId="223F2010" w14:textId="77777777" w:rsidTr="003618D5">
        <w:trPr>
          <w:trHeight w:val="19"/>
          <w:jc w:val="center"/>
        </w:trPr>
        <w:tc>
          <w:tcPr>
            <w:tcW w:w="2973" w:type="pct"/>
            <w:tcBorders>
              <w:top w:val="nil"/>
              <w:left w:val="nil"/>
              <w:bottom w:val="single" w:sz="4" w:space="0" w:color="002060"/>
              <w:right w:val="nil"/>
            </w:tcBorders>
            <w:shd w:val="clear" w:color="auto" w:fill="FFFFFF" w:themeFill="background1"/>
            <w:noWrap/>
            <w:vAlign w:val="center"/>
            <w:hideMark/>
          </w:tcPr>
          <w:p w14:paraId="32223469" w14:textId="77777777" w:rsidR="00994A6E" w:rsidRPr="0058732C" w:rsidRDefault="00994A6E" w:rsidP="008C56D0">
            <w:pPr>
              <w:spacing w:after="0"/>
              <w:jc w:val="left"/>
              <w:rPr>
                <w:rFonts w:eastAsia="Times New Roman" w:cs="Times New Roman"/>
                <w:b/>
                <w:bCs/>
                <w:sz w:val="20"/>
                <w:szCs w:val="20"/>
              </w:rPr>
            </w:pPr>
            <w:r w:rsidRPr="0058732C">
              <w:rPr>
                <w:rFonts w:eastAsia="Times New Roman" w:cs="Times New Roman"/>
                <w:b/>
                <w:bCs/>
                <w:sz w:val="20"/>
                <w:szCs w:val="20"/>
              </w:rPr>
              <w:t>Number of SO enterprises with loss</w:t>
            </w:r>
          </w:p>
        </w:tc>
        <w:tc>
          <w:tcPr>
            <w:tcW w:w="432" w:type="pct"/>
            <w:tcBorders>
              <w:top w:val="nil"/>
              <w:left w:val="nil"/>
              <w:bottom w:val="single" w:sz="4" w:space="0" w:color="002060"/>
              <w:right w:val="nil"/>
            </w:tcBorders>
            <w:shd w:val="clear" w:color="auto" w:fill="FFFFFF" w:themeFill="background1"/>
            <w:noWrap/>
            <w:vAlign w:val="center"/>
            <w:hideMark/>
          </w:tcPr>
          <w:p w14:paraId="65416BE5"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10</w:t>
            </w:r>
          </w:p>
        </w:tc>
        <w:tc>
          <w:tcPr>
            <w:tcW w:w="509" w:type="pct"/>
            <w:tcBorders>
              <w:top w:val="nil"/>
              <w:left w:val="nil"/>
              <w:bottom w:val="single" w:sz="4" w:space="0" w:color="002060"/>
              <w:right w:val="nil"/>
            </w:tcBorders>
            <w:shd w:val="clear" w:color="auto" w:fill="FFFFFF" w:themeFill="background1"/>
            <w:noWrap/>
            <w:vAlign w:val="center"/>
            <w:hideMark/>
          </w:tcPr>
          <w:p w14:paraId="19D52289"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11</w:t>
            </w:r>
          </w:p>
        </w:tc>
        <w:tc>
          <w:tcPr>
            <w:tcW w:w="509" w:type="pct"/>
            <w:tcBorders>
              <w:top w:val="nil"/>
              <w:left w:val="nil"/>
              <w:bottom w:val="single" w:sz="4" w:space="0" w:color="002060"/>
              <w:right w:val="nil"/>
            </w:tcBorders>
            <w:shd w:val="clear" w:color="auto" w:fill="FFFFFF" w:themeFill="background1"/>
            <w:noWrap/>
            <w:vAlign w:val="center"/>
            <w:hideMark/>
          </w:tcPr>
          <w:p w14:paraId="209A9C4A"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8</w:t>
            </w:r>
          </w:p>
        </w:tc>
        <w:tc>
          <w:tcPr>
            <w:tcW w:w="578" w:type="pct"/>
            <w:tcBorders>
              <w:top w:val="nil"/>
              <w:left w:val="nil"/>
              <w:bottom w:val="single" w:sz="4" w:space="0" w:color="002060"/>
              <w:right w:val="nil"/>
            </w:tcBorders>
            <w:shd w:val="clear" w:color="auto" w:fill="FFFFFF" w:themeFill="background1"/>
            <w:noWrap/>
            <w:vAlign w:val="center"/>
            <w:hideMark/>
          </w:tcPr>
          <w:p w14:paraId="666A9766" w14:textId="77777777" w:rsidR="00994A6E" w:rsidRPr="00AD7E7D" w:rsidRDefault="00994A6E" w:rsidP="008C56D0">
            <w:pPr>
              <w:spacing w:after="0"/>
              <w:jc w:val="center"/>
              <w:rPr>
                <w:rFonts w:eastAsia="Times New Roman" w:cs="Times New Roman"/>
                <w:b/>
                <w:bCs/>
                <w:szCs w:val="24"/>
              </w:rPr>
            </w:pPr>
            <w:r w:rsidRPr="00AD7E7D">
              <w:rPr>
                <w:rFonts w:eastAsia="Times New Roman" w:cs="Times New Roman"/>
                <w:b/>
                <w:bCs/>
                <w:szCs w:val="24"/>
              </w:rPr>
              <w:t>14</w:t>
            </w:r>
          </w:p>
        </w:tc>
      </w:tr>
    </w:tbl>
    <w:p w14:paraId="6ABDD0E3" w14:textId="77777777" w:rsidR="00994A6E" w:rsidRDefault="00994A6E" w:rsidP="00994A6E">
      <w:pPr>
        <w:spacing w:after="240"/>
        <w:rPr>
          <w:rFonts w:eastAsia="MS PGothic" w:cs="Times New Roman"/>
          <w:sz w:val="22"/>
          <w:szCs w:val="24"/>
          <w:lang w:eastAsia="ja-JP"/>
        </w:rPr>
      </w:pPr>
      <w:r w:rsidRPr="007F7843">
        <w:rPr>
          <w:rFonts w:eastAsia="MS PGothic" w:cs="Times New Roman"/>
          <w:sz w:val="22"/>
          <w:szCs w:val="24"/>
          <w:lang w:eastAsia="ja-JP"/>
        </w:rPr>
        <w:t>Source: Financial reports (APR</w:t>
      </w:r>
      <w:r>
        <w:rPr>
          <w:rFonts w:eastAsia="MS PGothic" w:cs="Times New Roman"/>
          <w:sz w:val="22"/>
          <w:szCs w:val="24"/>
          <w:lang w:eastAsia="ja-JP"/>
        </w:rPr>
        <w:t>) and quarterly report for 2024</w:t>
      </w:r>
    </w:p>
    <w:p w14:paraId="0F0394D2" w14:textId="77777777" w:rsidR="00994A6E" w:rsidRDefault="00994A6E" w:rsidP="003618D5">
      <w:pPr>
        <w:rPr>
          <w:rFonts w:eastAsia="MS PGothic" w:cs="Times New Roman"/>
          <w:szCs w:val="24"/>
          <w:lang w:eastAsia="ja-JP"/>
        </w:rPr>
      </w:pPr>
      <w:r w:rsidRPr="007F7843">
        <w:rPr>
          <w:rFonts w:eastAsia="MS PGothic" w:cs="Times New Roman"/>
          <w:szCs w:val="24"/>
          <w:lang w:eastAsia="ja-JP"/>
        </w:rPr>
        <w:lastRenderedPageBreak/>
        <w:t>The majority of subsidies received by companies are mainly used for capital projects, while a certain number of companies also use them to maintain current liquidity. The share of paid subsidies in total budget expenses ranges from 3-4% each year</w:t>
      </w:r>
    </w:p>
    <w:p w14:paraId="1770F589" w14:textId="77777777" w:rsidR="00994A6E" w:rsidRPr="00010E52" w:rsidRDefault="00994A6E" w:rsidP="00994A6E">
      <w:pPr>
        <w:jc w:val="left"/>
        <w:rPr>
          <w:rFonts w:eastAsia="MS PGothic" w:cs="Times New Roman"/>
          <w:i/>
          <w:szCs w:val="24"/>
          <w:lang w:eastAsia="ja-JP"/>
        </w:rPr>
      </w:pPr>
      <w:r>
        <w:rPr>
          <w:rFonts w:eastAsia="MS PGothic" w:cs="Times New Roman"/>
          <w:i/>
          <w:szCs w:val="24"/>
          <w:lang w:eastAsia="ja-JP"/>
        </w:rPr>
        <w:t>Table</w:t>
      </w:r>
      <w:r w:rsidRPr="00010E52">
        <w:rPr>
          <w:rFonts w:eastAsia="MS PGothic" w:cs="Times New Roman"/>
          <w:i/>
          <w:szCs w:val="24"/>
          <w:lang w:eastAsia="ja-JP"/>
        </w:rPr>
        <w:t xml:space="preserve"> 1</w:t>
      </w:r>
      <w:r>
        <w:rPr>
          <w:rFonts w:eastAsia="MS PGothic" w:cs="Times New Roman"/>
          <w:i/>
          <w:szCs w:val="24"/>
          <w:lang w:eastAsia="ja-JP"/>
        </w:rPr>
        <w:t>4</w:t>
      </w:r>
      <w:r w:rsidRPr="00010E52">
        <w:rPr>
          <w:rFonts w:eastAsia="MS PGothic" w:cs="Times New Roman"/>
          <w:i/>
          <w:szCs w:val="24"/>
          <w:lang w:eastAsia="ja-JP"/>
        </w:rPr>
        <w:t xml:space="preserve">. </w:t>
      </w:r>
      <w:r w:rsidRPr="007F7843">
        <w:rPr>
          <w:rFonts w:eastAsia="MS PGothic" w:cs="Times New Roman"/>
          <w:i/>
          <w:szCs w:val="24"/>
          <w:lang w:eastAsia="ja-JP"/>
        </w:rPr>
        <w:t>Overview of subsidy recipients (36 companies) and their share in the total expenses of the b</w:t>
      </w:r>
      <w:r>
        <w:rPr>
          <w:rFonts w:eastAsia="MS PGothic" w:cs="Times New Roman"/>
          <w:i/>
          <w:szCs w:val="24"/>
          <w:lang w:eastAsia="ja-JP"/>
        </w:rPr>
        <w:t>udget of the Republic of Serbia</w:t>
      </w:r>
    </w:p>
    <w:tbl>
      <w:tblPr>
        <w:tblW w:w="4953" w:type="pct"/>
        <w:tblLook w:val="04A0" w:firstRow="1" w:lastRow="0" w:firstColumn="1" w:lastColumn="0" w:noHBand="0" w:noVBand="1"/>
      </w:tblPr>
      <w:tblGrid>
        <w:gridCol w:w="6637"/>
        <w:gridCol w:w="576"/>
        <w:gridCol w:w="576"/>
        <w:gridCol w:w="576"/>
        <w:gridCol w:w="576"/>
      </w:tblGrid>
      <w:tr w:rsidR="00994A6E" w:rsidRPr="00AD7E7D" w14:paraId="00734A7F" w14:textId="77777777" w:rsidTr="003618D5">
        <w:trPr>
          <w:trHeight w:val="42"/>
        </w:trPr>
        <w:tc>
          <w:tcPr>
            <w:tcW w:w="3775" w:type="pct"/>
            <w:tcBorders>
              <w:top w:val="single" w:sz="4" w:space="0" w:color="002060"/>
              <w:left w:val="nil"/>
              <w:bottom w:val="single" w:sz="4" w:space="0" w:color="002060"/>
              <w:right w:val="nil"/>
            </w:tcBorders>
            <w:shd w:val="clear" w:color="auto" w:fill="FFFFFF" w:themeFill="background1"/>
            <w:noWrap/>
            <w:vAlign w:val="center"/>
            <w:hideMark/>
          </w:tcPr>
          <w:p w14:paraId="638859EA" w14:textId="77777777" w:rsidR="00994A6E" w:rsidRPr="00AD7E7D" w:rsidRDefault="00994A6E" w:rsidP="008C56D0">
            <w:pPr>
              <w:spacing w:after="0"/>
              <w:jc w:val="center"/>
              <w:rPr>
                <w:rFonts w:eastAsia="Times New Roman" w:cs="Times New Roman"/>
                <w:b/>
                <w:bCs/>
                <w:szCs w:val="24"/>
              </w:rPr>
            </w:pPr>
            <w:r>
              <w:rPr>
                <w:rFonts w:eastAsia="Times New Roman" w:cs="Times New Roman"/>
                <w:b/>
                <w:bCs/>
                <w:szCs w:val="24"/>
              </w:rPr>
              <w:t>Year</w:t>
            </w:r>
          </w:p>
        </w:tc>
        <w:tc>
          <w:tcPr>
            <w:tcW w:w="306" w:type="pct"/>
            <w:tcBorders>
              <w:top w:val="single" w:sz="4" w:space="0" w:color="002060"/>
              <w:left w:val="nil"/>
              <w:bottom w:val="single" w:sz="4" w:space="0" w:color="002060"/>
              <w:right w:val="nil"/>
            </w:tcBorders>
            <w:shd w:val="clear" w:color="auto" w:fill="FFFFFF" w:themeFill="background1"/>
            <w:noWrap/>
            <w:vAlign w:val="center"/>
            <w:hideMark/>
          </w:tcPr>
          <w:p w14:paraId="00EE5B5A" w14:textId="77777777" w:rsidR="00994A6E" w:rsidRPr="0058732C" w:rsidRDefault="00994A6E" w:rsidP="008C56D0">
            <w:pPr>
              <w:spacing w:after="0"/>
              <w:jc w:val="center"/>
              <w:rPr>
                <w:rFonts w:eastAsia="Times New Roman" w:cs="Times New Roman"/>
                <w:b/>
                <w:bCs/>
                <w:sz w:val="16"/>
                <w:szCs w:val="16"/>
              </w:rPr>
            </w:pPr>
            <w:r w:rsidRPr="0058732C">
              <w:rPr>
                <w:rFonts w:eastAsia="Times New Roman" w:cs="Times New Roman"/>
                <w:b/>
                <w:bCs/>
                <w:sz w:val="16"/>
                <w:szCs w:val="16"/>
              </w:rPr>
              <w:t>2020</w:t>
            </w:r>
          </w:p>
        </w:tc>
        <w:tc>
          <w:tcPr>
            <w:tcW w:w="306" w:type="pct"/>
            <w:tcBorders>
              <w:top w:val="single" w:sz="4" w:space="0" w:color="002060"/>
              <w:left w:val="nil"/>
              <w:bottom w:val="single" w:sz="4" w:space="0" w:color="002060"/>
              <w:right w:val="nil"/>
            </w:tcBorders>
            <w:shd w:val="clear" w:color="auto" w:fill="FFFFFF" w:themeFill="background1"/>
            <w:noWrap/>
            <w:vAlign w:val="center"/>
            <w:hideMark/>
          </w:tcPr>
          <w:p w14:paraId="53332A0A" w14:textId="77777777" w:rsidR="00994A6E" w:rsidRPr="0058732C" w:rsidRDefault="00994A6E" w:rsidP="008C56D0">
            <w:pPr>
              <w:spacing w:after="0"/>
              <w:jc w:val="center"/>
              <w:rPr>
                <w:rFonts w:eastAsia="Times New Roman" w:cs="Times New Roman"/>
                <w:b/>
                <w:bCs/>
                <w:sz w:val="16"/>
                <w:szCs w:val="16"/>
              </w:rPr>
            </w:pPr>
            <w:r w:rsidRPr="0058732C">
              <w:rPr>
                <w:rFonts w:eastAsia="Times New Roman" w:cs="Times New Roman"/>
                <w:b/>
                <w:bCs/>
                <w:sz w:val="16"/>
                <w:szCs w:val="16"/>
              </w:rPr>
              <w:t>2021</w:t>
            </w:r>
          </w:p>
        </w:tc>
        <w:tc>
          <w:tcPr>
            <w:tcW w:w="306" w:type="pct"/>
            <w:tcBorders>
              <w:top w:val="single" w:sz="4" w:space="0" w:color="002060"/>
              <w:left w:val="nil"/>
              <w:bottom w:val="single" w:sz="4" w:space="0" w:color="002060"/>
              <w:right w:val="nil"/>
            </w:tcBorders>
            <w:shd w:val="clear" w:color="auto" w:fill="FFFFFF" w:themeFill="background1"/>
            <w:noWrap/>
            <w:vAlign w:val="center"/>
            <w:hideMark/>
          </w:tcPr>
          <w:p w14:paraId="6CE0B120" w14:textId="77777777" w:rsidR="00994A6E" w:rsidRPr="0058732C" w:rsidRDefault="00994A6E" w:rsidP="008C56D0">
            <w:pPr>
              <w:spacing w:after="0"/>
              <w:jc w:val="center"/>
              <w:rPr>
                <w:rFonts w:eastAsia="Times New Roman" w:cs="Times New Roman"/>
                <w:b/>
                <w:bCs/>
                <w:sz w:val="16"/>
                <w:szCs w:val="16"/>
              </w:rPr>
            </w:pPr>
            <w:r w:rsidRPr="0058732C">
              <w:rPr>
                <w:rFonts w:eastAsia="Times New Roman" w:cs="Times New Roman"/>
                <w:b/>
                <w:bCs/>
                <w:sz w:val="16"/>
                <w:szCs w:val="16"/>
              </w:rPr>
              <w:t>2022</w:t>
            </w:r>
          </w:p>
        </w:tc>
        <w:tc>
          <w:tcPr>
            <w:tcW w:w="305" w:type="pct"/>
            <w:tcBorders>
              <w:top w:val="single" w:sz="4" w:space="0" w:color="002060"/>
              <w:left w:val="nil"/>
              <w:bottom w:val="single" w:sz="4" w:space="0" w:color="002060"/>
              <w:right w:val="nil"/>
            </w:tcBorders>
            <w:shd w:val="clear" w:color="auto" w:fill="FFFFFF" w:themeFill="background1"/>
            <w:noWrap/>
            <w:vAlign w:val="center"/>
            <w:hideMark/>
          </w:tcPr>
          <w:p w14:paraId="02F808B9" w14:textId="77777777" w:rsidR="00994A6E" w:rsidRPr="0058732C" w:rsidRDefault="00994A6E" w:rsidP="008C56D0">
            <w:pPr>
              <w:spacing w:after="0"/>
              <w:jc w:val="center"/>
              <w:rPr>
                <w:rFonts w:eastAsia="Times New Roman" w:cs="Times New Roman"/>
                <w:b/>
                <w:bCs/>
                <w:sz w:val="16"/>
                <w:szCs w:val="16"/>
              </w:rPr>
            </w:pPr>
            <w:r w:rsidRPr="0058732C">
              <w:rPr>
                <w:rFonts w:eastAsia="Times New Roman" w:cs="Times New Roman"/>
                <w:b/>
                <w:bCs/>
                <w:sz w:val="16"/>
                <w:szCs w:val="16"/>
              </w:rPr>
              <w:t>2023</w:t>
            </w:r>
          </w:p>
        </w:tc>
      </w:tr>
      <w:tr w:rsidR="00994A6E" w:rsidRPr="00AD7E7D" w14:paraId="0D07633E" w14:textId="77777777" w:rsidTr="003618D5">
        <w:trPr>
          <w:trHeight w:val="42"/>
        </w:trPr>
        <w:tc>
          <w:tcPr>
            <w:tcW w:w="3775" w:type="pct"/>
            <w:tcBorders>
              <w:top w:val="nil"/>
              <w:left w:val="nil"/>
              <w:bottom w:val="nil"/>
              <w:right w:val="nil"/>
            </w:tcBorders>
            <w:shd w:val="clear" w:color="000000" w:fill="FFFFFF"/>
            <w:noWrap/>
            <w:vAlign w:val="center"/>
            <w:hideMark/>
          </w:tcPr>
          <w:p w14:paraId="61FDA0D6" w14:textId="77777777" w:rsidR="00994A6E" w:rsidRPr="0058732C" w:rsidRDefault="00994A6E" w:rsidP="008C56D0">
            <w:pPr>
              <w:spacing w:after="0"/>
              <w:jc w:val="left"/>
              <w:rPr>
                <w:rFonts w:eastAsia="Times New Roman" w:cs="Times New Roman"/>
                <w:sz w:val="16"/>
                <w:szCs w:val="16"/>
              </w:rPr>
            </w:pPr>
            <w:r w:rsidRPr="0058732C">
              <w:rPr>
                <w:rFonts w:eastAsia="Times New Roman" w:cs="Times New Roman"/>
                <w:sz w:val="16"/>
                <w:szCs w:val="16"/>
              </w:rPr>
              <w:t>Number of subsidy beneficiaries (out of 36 state-owned enterprises)</w:t>
            </w:r>
          </w:p>
        </w:tc>
        <w:tc>
          <w:tcPr>
            <w:tcW w:w="306" w:type="pct"/>
            <w:tcBorders>
              <w:top w:val="nil"/>
              <w:left w:val="nil"/>
              <w:bottom w:val="nil"/>
              <w:right w:val="nil"/>
            </w:tcBorders>
            <w:shd w:val="clear" w:color="000000" w:fill="FFFFFF"/>
            <w:noWrap/>
            <w:vAlign w:val="center"/>
            <w:hideMark/>
          </w:tcPr>
          <w:p w14:paraId="5A101324"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23</w:t>
            </w:r>
          </w:p>
        </w:tc>
        <w:tc>
          <w:tcPr>
            <w:tcW w:w="306" w:type="pct"/>
            <w:tcBorders>
              <w:top w:val="nil"/>
              <w:left w:val="nil"/>
              <w:bottom w:val="nil"/>
              <w:right w:val="nil"/>
            </w:tcBorders>
            <w:shd w:val="clear" w:color="000000" w:fill="FFFFFF"/>
            <w:noWrap/>
            <w:vAlign w:val="center"/>
            <w:hideMark/>
          </w:tcPr>
          <w:p w14:paraId="35BB3E45"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25</w:t>
            </w:r>
          </w:p>
        </w:tc>
        <w:tc>
          <w:tcPr>
            <w:tcW w:w="306" w:type="pct"/>
            <w:tcBorders>
              <w:top w:val="nil"/>
              <w:left w:val="nil"/>
              <w:bottom w:val="nil"/>
              <w:right w:val="nil"/>
            </w:tcBorders>
            <w:shd w:val="clear" w:color="000000" w:fill="FFFFFF"/>
            <w:noWrap/>
            <w:vAlign w:val="center"/>
            <w:hideMark/>
          </w:tcPr>
          <w:p w14:paraId="6B50B002"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25</w:t>
            </w:r>
          </w:p>
        </w:tc>
        <w:tc>
          <w:tcPr>
            <w:tcW w:w="305" w:type="pct"/>
            <w:tcBorders>
              <w:top w:val="nil"/>
              <w:left w:val="nil"/>
              <w:bottom w:val="nil"/>
              <w:right w:val="nil"/>
            </w:tcBorders>
            <w:shd w:val="clear" w:color="000000" w:fill="FFFFFF"/>
            <w:noWrap/>
            <w:vAlign w:val="center"/>
            <w:hideMark/>
          </w:tcPr>
          <w:p w14:paraId="117D3FDB"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27</w:t>
            </w:r>
          </w:p>
        </w:tc>
      </w:tr>
      <w:tr w:rsidR="00994A6E" w:rsidRPr="00AD7E7D" w14:paraId="6CDCC784" w14:textId="77777777" w:rsidTr="003618D5">
        <w:trPr>
          <w:trHeight w:val="42"/>
        </w:trPr>
        <w:tc>
          <w:tcPr>
            <w:tcW w:w="3775" w:type="pct"/>
            <w:tcBorders>
              <w:top w:val="nil"/>
              <w:left w:val="nil"/>
              <w:bottom w:val="nil"/>
              <w:right w:val="nil"/>
            </w:tcBorders>
            <w:shd w:val="clear" w:color="000000" w:fill="FFFFFF"/>
            <w:noWrap/>
            <w:vAlign w:val="center"/>
            <w:hideMark/>
          </w:tcPr>
          <w:p w14:paraId="6F76FB37" w14:textId="77777777" w:rsidR="00994A6E" w:rsidRPr="0058732C" w:rsidRDefault="00994A6E" w:rsidP="008C56D0">
            <w:pPr>
              <w:spacing w:after="0"/>
              <w:jc w:val="left"/>
              <w:rPr>
                <w:rFonts w:eastAsia="Times New Roman" w:cs="Times New Roman"/>
                <w:sz w:val="16"/>
                <w:szCs w:val="16"/>
              </w:rPr>
            </w:pPr>
            <w:r w:rsidRPr="0058732C">
              <w:rPr>
                <w:rFonts w:eastAsia="Times New Roman" w:cs="Times New Roman"/>
                <w:sz w:val="16"/>
                <w:szCs w:val="16"/>
              </w:rPr>
              <w:t>Paid subsidies (billion RSD)</w:t>
            </w:r>
          </w:p>
        </w:tc>
        <w:tc>
          <w:tcPr>
            <w:tcW w:w="306" w:type="pct"/>
            <w:tcBorders>
              <w:top w:val="nil"/>
              <w:left w:val="nil"/>
              <w:bottom w:val="nil"/>
              <w:right w:val="nil"/>
            </w:tcBorders>
            <w:shd w:val="clear" w:color="000000" w:fill="FFFFFF"/>
            <w:noWrap/>
            <w:vAlign w:val="center"/>
            <w:hideMark/>
          </w:tcPr>
          <w:p w14:paraId="429067F0"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66,7</w:t>
            </w:r>
          </w:p>
        </w:tc>
        <w:tc>
          <w:tcPr>
            <w:tcW w:w="306" w:type="pct"/>
            <w:tcBorders>
              <w:top w:val="nil"/>
              <w:left w:val="nil"/>
              <w:bottom w:val="nil"/>
              <w:right w:val="nil"/>
            </w:tcBorders>
            <w:shd w:val="clear" w:color="000000" w:fill="FFFFFF"/>
            <w:noWrap/>
            <w:vAlign w:val="center"/>
            <w:hideMark/>
          </w:tcPr>
          <w:p w14:paraId="38F03EE0"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67,3</w:t>
            </w:r>
          </w:p>
        </w:tc>
        <w:tc>
          <w:tcPr>
            <w:tcW w:w="306" w:type="pct"/>
            <w:tcBorders>
              <w:top w:val="nil"/>
              <w:left w:val="nil"/>
              <w:bottom w:val="nil"/>
              <w:right w:val="nil"/>
            </w:tcBorders>
            <w:shd w:val="clear" w:color="000000" w:fill="FFFFFF"/>
            <w:noWrap/>
            <w:vAlign w:val="center"/>
            <w:hideMark/>
          </w:tcPr>
          <w:p w14:paraId="73A8E54C"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56,0</w:t>
            </w:r>
          </w:p>
        </w:tc>
        <w:tc>
          <w:tcPr>
            <w:tcW w:w="305" w:type="pct"/>
            <w:tcBorders>
              <w:top w:val="nil"/>
              <w:left w:val="nil"/>
              <w:bottom w:val="nil"/>
              <w:right w:val="nil"/>
            </w:tcBorders>
            <w:shd w:val="clear" w:color="000000" w:fill="FFFFFF"/>
            <w:noWrap/>
            <w:vAlign w:val="center"/>
            <w:hideMark/>
          </w:tcPr>
          <w:p w14:paraId="31719137"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67,9</w:t>
            </w:r>
          </w:p>
        </w:tc>
      </w:tr>
      <w:tr w:rsidR="00994A6E" w:rsidRPr="00AD7E7D" w14:paraId="25E5A4FF" w14:textId="77777777" w:rsidTr="003618D5">
        <w:trPr>
          <w:trHeight w:val="42"/>
        </w:trPr>
        <w:tc>
          <w:tcPr>
            <w:tcW w:w="3775" w:type="pct"/>
            <w:tcBorders>
              <w:top w:val="nil"/>
              <w:left w:val="nil"/>
              <w:bottom w:val="nil"/>
              <w:right w:val="nil"/>
            </w:tcBorders>
            <w:shd w:val="clear" w:color="000000" w:fill="FFFFFF"/>
            <w:noWrap/>
            <w:vAlign w:val="center"/>
            <w:hideMark/>
          </w:tcPr>
          <w:p w14:paraId="6CDEF94E" w14:textId="77777777" w:rsidR="00994A6E" w:rsidRPr="0058732C" w:rsidRDefault="00994A6E" w:rsidP="008C56D0">
            <w:pPr>
              <w:spacing w:after="0"/>
              <w:jc w:val="left"/>
              <w:rPr>
                <w:rFonts w:eastAsia="Times New Roman" w:cs="Times New Roman"/>
                <w:sz w:val="16"/>
                <w:szCs w:val="16"/>
              </w:rPr>
            </w:pPr>
            <w:r w:rsidRPr="0058732C">
              <w:rPr>
                <w:rFonts w:eastAsia="Times New Roman" w:cs="Times New Roman"/>
                <w:sz w:val="16"/>
                <w:szCs w:val="16"/>
              </w:rPr>
              <w:t>Total budget expenditures of the Republic of Serbia (billion RSD)</w:t>
            </w:r>
          </w:p>
        </w:tc>
        <w:tc>
          <w:tcPr>
            <w:tcW w:w="306" w:type="pct"/>
            <w:tcBorders>
              <w:top w:val="nil"/>
              <w:left w:val="nil"/>
              <w:bottom w:val="nil"/>
              <w:right w:val="nil"/>
            </w:tcBorders>
            <w:shd w:val="clear" w:color="000000" w:fill="FFFFFF"/>
            <w:noWrap/>
            <w:vAlign w:val="center"/>
            <w:hideMark/>
          </w:tcPr>
          <w:p w14:paraId="410F03F8"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1.717</w:t>
            </w:r>
          </w:p>
        </w:tc>
        <w:tc>
          <w:tcPr>
            <w:tcW w:w="306" w:type="pct"/>
            <w:tcBorders>
              <w:top w:val="nil"/>
              <w:left w:val="nil"/>
              <w:bottom w:val="nil"/>
              <w:right w:val="nil"/>
            </w:tcBorders>
            <w:shd w:val="clear" w:color="000000" w:fill="FFFFFF"/>
            <w:noWrap/>
            <w:vAlign w:val="center"/>
            <w:hideMark/>
          </w:tcPr>
          <w:p w14:paraId="78182AD1"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1.751</w:t>
            </w:r>
          </w:p>
        </w:tc>
        <w:tc>
          <w:tcPr>
            <w:tcW w:w="306" w:type="pct"/>
            <w:tcBorders>
              <w:top w:val="nil"/>
              <w:left w:val="nil"/>
              <w:bottom w:val="nil"/>
              <w:right w:val="nil"/>
            </w:tcBorders>
            <w:shd w:val="clear" w:color="000000" w:fill="FFFFFF"/>
            <w:noWrap/>
            <w:vAlign w:val="center"/>
            <w:hideMark/>
          </w:tcPr>
          <w:p w14:paraId="522F7914"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1.915</w:t>
            </w:r>
          </w:p>
        </w:tc>
        <w:tc>
          <w:tcPr>
            <w:tcW w:w="305" w:type="pct"/>
            <w:tcBorders>
              <w:top w:val="nil"/>
              <w:left w:val="nil"/>
              <w:bottom w:val="nil"/>
              <w:right w:val="nil"/>
            </w:tcBorders>
            <w:shd w:val="clear" w:color="000000" w:fill="FFFFFF"/>
            <w:noWrap/>
            <w:vAlign w:val="center"/>
            <w:hideMark/>
          </w:tcPr>
          <w:p w14:paraId="0244D680" w14:textId="77777777" w:rsidR="00994A6E" w:rsidRPr="0058732C" w:rsidRDefault="00994A6E" w:rsidP="008C56D0">
            <w:pPr>
              <w:spacing w:after="0"/>
              <w:jc w:val="center"/>
              <w:rPr>
                <w:rFonts w:eastAsia="Times New Roman" w:cs="Times New Roman"/>
                <w:sz w:val="16"/>
                <w:szCs w:val="16"/>
              </w:rPr>
            </w:pPr>
            <w:r w:rsidRPr="0058732C">
              <w:rPr>
                <w:rFonts w:eastAsia="Times New Roman" w:cs="Times New Roman"/>
                <w:sz w:val="16"/>
                <w:szCs w:val="16"/>
              </w:rPr>
              <w:t>2.068</w:t>
            </w:r>
          </w:p>
        </w:tc>
      </w:tr>
      <w:tr w:rsidR="00994A6E" w:rsidRPr="00AD7E7D" w14:paraId="72BF683B" w14:textId="77777777" w:rsidTr="003618D5">
        <w:trPr>
          <w:trHeight w:val="42"/>
        </w:trPr>
        <w:tc>
          <w:tcPr>
            <w:tcW w:w="3775" w:type="pct"/>
            <w:tcBorders>
              <w:top w:val="nil"/>
              <w:left w:val="nil"/>
              <w:bottom w:val="single" w:sz="4" w:space="0" w:color="002060"/>
              <w:right w:val="nil"/>
            </w:tcBorders>
            <w:shd w:val="clear" w:color="000000" w:fill="FFFFFF"/>
            <w:noWrap/>
            <w:vAlign w:val="center"/>
            <w:hideMark/>
          </w:tcPr>
          <w:p w14:paraId="75F7A2D4" w14:textId="77777777" w:rsidR="00994A6E" w:rsidRPr="0058732C" w:rsidRDefault="00994A6E" w:rsidP="008C56D0">
            <w:pPr>
              <w:spacing w:after="0"/>
              <w:jc w:val="left"/>
              <w:rPr>
                <w:rFonts w:eastAsia="Times New Roman" w:cs="Times New Roman"/>
                <w:b/>
                <w:bCs/>
                <w:i/>
                <w:iCs/>
                <w:sz w:val="16"/>
                <w:szCs w:val="16"/>
              </w:rPr>
            </w:pPr>
            <w:r w:rsidRPr="0058732C">
              <w:rPr>
                <w:rFonts w:eastAsia="Times New Roman" w:cs="Times New Roman"/>
                <w:b/>
                <w:bCs/>
                <w:i/>
                <w:iCs/>
                <w:sz w:val="16"/>
                <w:szCs w:val="16"/>
              </w:rPr>
              <w:t>% of paid subsidies/total budget expenditures</w:t>
            </w:r>
          </w:p>
        </w:tc>
        <w:tc>
          <w:tcPr>
            <w:tcW w:w="306" w:type="pct"/>
            <w:tcBorders>
              <w:top w:val="nil"/>
              <w:left w:val="nil"/>
              <w:bottom w:val="single" w:sz="4" w:space="0" w:color="002060"/>
              <w:right w:val="nil"/>
            </w:tcBorders>
            <w:shd w:val="clear" w:color="000000" w:fill="FFFFFF"/>
            <w:noWrap/>
            <w:vAlign w:val="center"/>
            <w:hideMark/>
          </w:tcPr>
          <w:p w14:paraId="382E87D7" w14:textId="77777777" w:rsidR="00994A6E" w:rsidRPr="0058732C" w:rsidRDefault="00994A6E" w:rsidP="008C56D0">
            <w:pPr>
              <w:spacing w:after="0"/>
              <w:jc w:val="center"/>
              <w:rPr>
                <w:rFonts w:eastAsia="Times New Roman" w:cs="Times New Roman"/>
                <w:b/>
                <w:bCs/>
                <w:i/>
                <w:iCs/>
                <w:sz w:val="16"/>
                <w:szCs w:val="16"/>
              </w:rPr>
            </w:pPr>
            <w:r w:rsidRPr="0058732C">
              <w:rPr>
                <w:rFonts w:eastAsia="Times New Roman" w:cs="Times New Roman"/>
                <w:b/>
                <w:bCs/>
                <w:i/>
                <w:iCs/>
                <w:sz w:val="16"/>
                <w:szCs w:val="16"/>
              </w:rPr>
              <w:t>3,9%</w:t>
            </w:r>
          </w:p>
        </w:tc>
        <w:tc>
          <w:tcPr>
            <w:tcW w:w="306" w:type="pct"/>
            <w:tcBorders>
              <w:top w:val="nil"/>
              <w:left w:val="nil"/>
              <w:bottom w:val="single" w:sz="4" w:space="0" w:color="002060"/>
              <w:right w:val="nil"/>
            </w:tcBorders>
            <w:shd w:val="clear" w:color="000000" w:fill="FFFFFF"/>
            <w:noWrap/>
            <w:vAlign w:val="center"/>
            <w:hideMark/>
          </w:tcPr>
          <w:p w14:paraId="6C1E2170" w14:textId="77777777" w:rsidR="00994A6E" w:rsidRPr="0058732C" w:rsidRDefault="00994A6E" w:rsidP="008C56D0">
            <w:pPr>
              <w:spacing w:after="0"/>
              <w:jc w:val="center"/>
              <w:rPr>
                <w:rFonts w:eastAsia="Times New Roman" w:cs="Times New Roman"/>
                <w:b/>
                <w:bCs/>
                <w:i/>
                <w:iCs/>
                <w:sz w:val="16"/>
                <w:szCs w:val="16"/>
              </w:rPr>
            </w:pPr>
            <w:r w:rsidRPr="0058732C">
              <w:rPr>
                <w:rFonts w:eastAsia="Times New Roman" w:cs="Times New Roman"/>
                <w:b/>
                <w:bCs/>
                <w:i/>
                <w:iCs/>
                <w:sz w:val="16"/>
                <w:szCs w:val="16"/>
              </w:rPr>
              <w:t>3,8%</w:t>
            </w:r>
          </w:p>
        </w:tc>
        <w:tc>
          <w:tcPr>
            <w:tcW w:w="306" w:type="pct"/>
            <w:tcBorders>
              <w:top w:val="nil"/>
              <w:left w:val="nil"/>
              <w:bottom w:val="single" w:sz="4" w:space="0" w:color="002060"/>
              <w:right w:val="nil"/>
            </w:tcBorders>
            <w:shd w:val="clear" w:color="000000" w:fill="FFFFFF"/>
            <w:noWrap/>
            <w:vAlign w:val="center"/>
            <w:hideMark/>
          </w:tcPr>
          <w:p w14:paraId="5AF5B9D3" w14:textId="77777777" w:rsidR="00994A6E" w:rsidRPr="0058732C" w:rsidRDefault="00994A6E" w:rsidP="008C56D0">
            <w:pPr>
              <w:spacing w:after="0"/>
              <w:jc w:val="center"/>
              <w:rPr>
                <w:rFonts w:eastAsia="Times New Roman" w:cs="Times New Roman"/>
                <w:b/>
                <w:bCs/>
                <w:i/>
                <w:iCs/>
                <w:sz w:val="16"/>
                <w:szCs w:val="16"/>
              </w:rPr>
            </w:pPr>
            <w:r w:rsidRPr="0058732C">
              <w:rPr>
                <w:rFonts w:eastAsia="Times New Roman" w:cs="Times New Roman"/>
                <w:b/>
                <w:bCs/>
                <w:i/>
                <w:iCs/>
                <w:sz w:val="16"/>
                <w:szCs w:val="16"/>
              </w:rPr>
              <w:t>2,9%</w:t>
            </w:r>
          </w:p>
        </w:tc>
        <w:tc>
          <w:tcPr>
            <w:tcW w:w="305" w:type="pct"/>
            <w:tcBorders>
              <w:top w:val="nil"/>
              <w:left w:val="nil"/>
              <w:bottom w:val="single" w:sz="4" w:space="0" w:color="002060"/>
              <w:right w:val="nil"/>
            </w:tcBorders>
            <w:shd w:val="clear" w:color="000000" w:fill="FFFFFF"/>
            <w:noWrap/>
            <w:vAlign w:val="center"/>
            <w:hideMark/>
          </w:tcPr>
          <w:p w14:paraId="1FE6C279" w14:textId="77777777" w:rsidR="00994A6E" w:rsidRPr="0058732C" w:rsidRDefault="00994A6E" w:rsidP="008C56D0">
            <w:pPr>
              <w:spacing w:after="0"/>
              <w:jc w:val="center"/>
              <w:rPr>
                <w:rFonts w:eastAsia="Times New Roman" w:cs="Times New Roman"/>
                <w:b/>
                <w:bCs/>
                <w:i/>
                <w:iCs/>
                <w:sz w:val="16"/>
                <w:szCs w:val="16"/>
              </w:rPr>
            </w:pPr>
            <w:r w:rsidRPr="0058732C">
              <w:rPr>
                <w:rFonts w:eastAsia="Times New Roman" w:cs="Times New Roman"/>
                <w:b/>
                <w:bCs/>
                <w:i/>
                <w:iCs/>
                <w:sz w:val="16"/>
                <w:szCs w:val="16"/>
              </w:rPr>
              <w:t>3,3%</w:t>
            </w:r>
          </w:p>
        </w:tc>
      </w:tr>
    </w:tbl>
    <w:p w14:paraId="340E9C31" w14:textId="215FE5D8" w:rsidR="00994A6E" w:rsidRPr="00010E52" w:rsidRDefault="00994A6E" w:rsidP="00994A6E">
      <w:pPr>
        <w:spacing w:before="40" w:after="180" w:line="276" w:lineRule="auto"/>
        <w:rPr>
          <w:rFonts w:eastAsia="MS PGothic" w:cs="Times New Roman"/>
          <w:sz w:val="22"/>
          <w:szCs w:val="24"/>
          <w:lang w:eastAsia="ja-JP"/>
        </w:rPr>
      </w:pPr>
      <w:r w:rsidRPr="00010E52">
        <w:rPr>
          <w:rFonts w:eastAsia="MS PGothic" w:cs="Times New Roman"/>
          <w:sz w:val="22"/>
          <w:szCs w:val="24"/>
          <w:lang w:eastAsia="ja-JP"/>
        </w:rPr>
        <w:t xml:space="preserve"> </w:t>
      </w:r>
      <w:r>
        <w:rPr>
          <w:rFonts w:eastAsia="MS PGothic" w:cs="Times New Roman"/>
          <w:sz w:val="22"/>
          <w:szCs w:val="24"/>
          <w:lang w:eastAsia="ja-JP"/>
        </w:rPr>
        <w:t>Source</w:t>
      </w:r>
      <w:r w:rsidRPr="00010E52">
        <w:rPr>
          <w:rFonts w:eastAsia="MS PGothic" w:cs="Times New Roman"/>
          <w:sz w:val="22"/>
          <w:szCs w:val="24"/>
          <w:lang w:eastAsia="ja-JP"/>
        </w:rPr>
        <w:t xml:space="preserve">: </w:t>
      </w:r>
      <w:r>
        <w:rPr>
          <w:rFonts w:eastAsia="MS PGothic" w:cs="Times New Roman"/>
          <w:sz w:val="22"/>
          <w:szCs w:val="24"/>
          <w:lang w:eastAsia="ja-JP"/>
        </w:rPr>
        <w:t>Ministry of inance</w:t>
      </w:r>
    </w:p>
    <w:p w14:paraId="2F8AC7E9" w14:textId="77777777" w:rsidR="00994A6E" w:rsidRPr="0058732C" w:rsidRDefault="00994A6E" w:rsidP="00994A6E">
      <w:pPr>
        <w:rPr>
          <w:rFonts w:eastAsia="MS PGothic" w:cs="Times New Roman"/>
          <w:szCs w:val="24"/>
          <w:lang w:eastAsia="ja-JP"/>
        </w:rPr>
      </w:pPr>
      <w:r w:rsidRPr="000F323A">
        <w:rPr>
          <w:rFonts w:eastAsia="MS PGothic" w:cs="Times New Roman"/>
          <w:szCs w:val="24"/>
          <w:lang w:val="sr-Cyrl-RS" w:eastAsia="ja-JP"/>
        </w:rPr>
        <w:t>The new Law on the Management of State-Owned Enterprises, which came into effect in September 2024, is expected to contribute to reducing fiscal risks and improving the performance of state-owned enterprises. This law will enable better monitoring of state-owned enterprises through centralized management, and the change in the legal form of public enterprises into joint-stock companies or limited liability companies will contribute to the professionalization of corporate governance, thereby increasing economic efficiency and competitiveness. The general objective of this law is to create sustainable and efficient management of enterprises owned by the Republic of Serbia</w:t>
      </w:r>
      <w:r>
        <w:rPr>
          <w:rFonts w:eastAsia="MS PGothic" w:cs="Times New Roman"/>
          <w:szCs w:val="24"/>
          <w:lang w:eastAsia="ja-JP"/>
        </w:rPr>
        <w:t>.</w:t>
      </w:r>
    </w:p>
    <w:p w14:paraId="7A2413C0" w14:textId="77777777" w:rsidR="00994A6E" w:rsidRDefault="00994A6E" w:rsidP="00994A6E">
      <w:pPr>
        <w:spacing w:before="160"/>
        <w:rPr>
          <w:rFonts w:eastAsia="MS PGothic" w:cs="Times New Roman"/>
          <w:szCs w:val="24"/>
          <w:lang w:val="sr-Cyrl-RS" w:eastAsia="ja-JP"/>
        </w:rPr>
      </w:pPr>
      <w:r w:rsidRPr="000F323A">
        <w:rPr>
          <w:rFonts w:eastAsia="MS PGothic" w:cs="Times New Roman"/>
          <w:szCs w:val="24"/>
          <w:lang w:val="sr-Cyrl-RS" w:eastAsia="ja-JP"/>
        </w:rPr>
        <w:t>The assessment of fiscal risks of state-owned enterprises is carried out using the Altman Z-score model. In addition to the basic model, the adjusted Altman Z" model is also used, which is primarily applied to emerging markets, i.e., in countries that do not have a developed capital market. The adjusted Altman Z"-score model represents a linear combination of 4 financial ratio indicators, each assigned the corresponding coefficients.</w:t>
      </w:r>
    </w:p>
    <w:p w14:paraId="5516B259" w14:textId="77777777" w:rsidR="00994A6E" w:rsidRPr="00AD7E7D" w:rsidRDefault="00994A6E" w:rsidP="00994A6E">
      <w:pPr>
        <w:spacing w:before="160"/>
        <w:rPr>
          <w:rFonts w:eastAsia="MS PGothic" w:cs="Times New Roman"/>
          <w:szCs w:val="24"/>
          <w:lang w:eastAsia="ja-JP"/>
        </w:rPr>
      </w:pPr>
      <w:r w:rsidRPr="000F323A">
        <w:rPr>
          <w:rFonts w:eastAsia="MS PGothic" w:cs="Times New Roman"/>
          <w:szCs w:val="24"/>
          <w:lang w:eastAsia="ja-JP"/>
        </w:rPr>
        <w:t>According to the data from the official financial reports submitted as of December 31, 2023, out of 36 state-owned enterprises, the application of this model identified that 19</w:t>
      </w:r>
      <w:r>
        <w:rPr>
          <w:rFonts w:eastAsia="MS PGothic" w:cs="Times New Roman"/>
          <w:szCs w:val="24"/>
          <w:lang w:eastAsia="ja-JP"/>
        </w:rPr>
        <w:t>,</w:t>
      </w:r>
      <w:r w:rsidRPr="000F323A">
        <w:rPr>
          <w:rFonts w:eastAsia="MS PGothic" w:cs="Times New Roman"/>
          <w:szCs w:val="24"/>
          <w:lang w:eastAsia="ja-JP"/>
        </w:rPr>
        <w:t>4% of state-owned enterprises are high-risk, 16</w:t>
      </w:r>
      <w:r>
        <w:rPr>
          <w:rFonts w:eastAsia="MS PGothic" w:cs="Times New Roman"/>
          <w:szCs w:val="24"/>
          <w:lang w:eastAsia="ja-JP"/>
        </w:rPr>
        <w:t>,</w:t>
      </w:r>
      <w:r w:rsidRPr="000F323A">
        <w:rPr>
          <w:rFonts w:eastAsia="MS PGothic" w:cs="Times New Roman"/>
          <w:szCs w:val="24"/>
          <w:lang w:eastAsia="ja-JP"/>
        </w:rPr>
        <w:t>7% have moderate risk, while the remaining 63</w:t>
      </w:r>
      <w:r>
        <w:rPr>
          <w:rFonts w:eastAsia="MS PGothic" w:cs="Times New Roman"/>
          <w:szCs w:val="24"/>
          <w:lang w:eastAsia="ja-JP"/>
        </w:rPr>
        <w:t>,</w:t>
      </w:r>
      <w:r w:rsidRPr="000F323A">
        <w:rPr>
          <w:rFonts w:eastAsia="MS PGothic" w:cs="Times New Roman"/>
          <w:szCs w:val="24"/>
          <w:lang w:eastAsia="ja-JP"/>
        </w:rPr>
        <w:t>9% of state-owned enterprises have low operational risk. The state-owned enterprises identified as high-risk are from the energy sector, railway transport, and the construction-technical branch. Observed over annual periods, a decreasing trend is noticeable among high-risk enterprises, where there were 10 high-risk enterprises in 2021, and by the end of 2023, this number had decreased to 7</w:t>
      </w:r>
      <w:r w:rsidRPr="00AD7E7D">
        <w:rPr>
          <w:rFonts w:eastAsia="MS PGothic" w:cs="Times New Roman"/>
          <w:szCs w:val="24"/>
          <w:lang w:eastAsia="ja-JP"/>
        </w:rPr>
        <w:t>.</w:t>
      </w:r>
    </w:p>
    <w:p w14:paraId="62C4D513" w14:textId="77777777" w:rsidR="00994A6E" w:rsidRPr="00AD7E7D" w:rsidRDefault="00994A6E" w:rsidP="00994A6E">
      <w:pPr>
        <w:rPr>
          <w:rFonts w:eastAsia="MS PGothic" w:cs="Times New Roman"/>
          <w:szCs w:val="24"/>
          <w:lang w:eastAsia="ja-JP"/>
        </w:rPr>
      </w:pPr>
      <w:r w:rsidRPr="000F323A">
        <w:rPr>
          <w:rFonts w:eastAsia="MS PGothic" w:cs="Times New Roman"/>
          <w:szCs w:val="24"/>
          <w:lang w:eastAsia="ja-JP"/>
        </w:rPr>
        <w:t>Risk quantification is one of the main challenges in risk assessment and its material expression. According to the applied model, risk quantification involves identifying and presenting potential expenditures that may arise for individual enterprises, which represent a potential threat to the budget of the Republic of Serbia, as they could lead to unplanned interventions in the repayment of obligations to state-owned enterprises. These expenditures are commonly referred to as "expected expenditures" and represent a statistical calculation that includes a combination of the probability of incurring the expense and the size of annual obligations on loans, as one of the most sensitive and significant expenditures that may require budgetary support.</w:t>
      </w:r>
    </w:p>
    <w:p w14:paraId="342F2474" w14:textId="77777777" w:rsidR="00994A6E" w:rsidRPr="00AD7E7D" w:rsidRDefault="00994A6E" w:rsidP="00994A6E">
      <w:pPr>
        <w:rPr>
          <w:rFonts w:eastAsia="MS PGothic" w:cs="Times New Roman"/>
          <w:szCs w:val="24"/>
          <w:lang w:eastAsia="ja-JP"/>
        </w:rPr>
      </w:pPr>
      <w:r w:rsidRPr="000F323A">
        <w:rPr>
          <w:rFonts w:eastAsia="MS PGothic" w:cs="Times New Roman"/>
          <w:szCs w:val="24"/>
          <w:lang w:eastAsia="ja-JP"/>
        </w:rPr>
        <w:t>According to the results of the model, the total fiscal risk, or expected expenditures for 36 state-owned enterprises for 2024, is estimated at around 5</w:t>
      </w:r>
      <w:r>
        <w:rPr>
          <w:rFonts w:eastAsia="MS PGothic" w:cs="Times New Roman"/>
          <w:szCs w:val="24"/>
          <w:lang w:eastAsia="ja-JP"/>
        </w:rPr>
        <w:t>,</w:t>
      </w:r>
      <w:r w:rsidRPr="000F323A">
        <w:rPr>
          <w:rFonts w:eastAsia="MS PGothic" w:cs="Times New Roman"/>
          <w:szCs w:val="24"/>
          <w:lang w:eastAsia="ja-JP"/>
        </w:rPr>
        <w:t>1 billion dinars. These results indicate the need for continuous monitoring and risk management in order to mitigate potential financial consequences for public finances, while simultaneously developing measures that would strengthen the</w:t>
      </w:r>
      <w:r>
        <w:rPr>
          <w:rFonts w:eastAsia="MS PGothic" w:cs="Times New Roman"/>
          <w:szCs w:val="24"/>
          <w:lang w:eastAsia="ja-JP"/>
        </w:rPr>
        <w:t xml:space="preserve"> stability of these enterprises</w:t>
      </w:r>
      <w:r w:rsidRPr="00AD7E7D">
        <w:rPr>
          <w:rFonts w:eastAsia="MS PGothic" w:cs="Times New Roman"/>
          <w:szCs w:val="24"/>
          <w:lang w:eastAsia="ja-JP"/>
        </w:rPr>
        <w:t>.</w:t>
      </w:r>
    </w:p>
    <w:p w14:paraId="0F9634DC" w14:textId="04E88209" w:rsidR="00994A6E" w:rsidRPr="00AD7E7D" w:rsidRDefault="00994A6E" w:rsidP="00994A6E">
      <w:pPr>
        <w:rPr>
          <w:rFonts w:eastAsia="MS PGothic" w:cs="Times New Roman"/>
          <w:szCs w:val="24"/>
          <w:lang w:eastAsia="ja-JP"/>
        </w:rPr>
      </w:pPr>
      <w:r w:rsidRPr="000F323A">
        <w:rPr>
          <w:rFonts w:eastAsia="MS PGothic" w:cs="Times New Roman"/>
          <w:szCs w:val="24"/>
          <w:lang w:eastAsia="ja-JP"/>
        </w:rPr>
        <w:lastRenderedPageBreak/>
        <w:t>Expected expenditures in the next three years are projected at slightly lower levels. Estimates indicate that in 2025, they will amount to 4</w:t>
      </w:r>
      <w:r>
        <w:rPr>
          <w:rFonts w:eastAsia="MS PGothic" w:cs="Times New Roman"/>
          <w:szCs w:val="24"/>
          <w:lang w:eastAsia="ja-JP"/>
        </w:rPr>
        <w:t>,</w:t>
      </w:r>
      <w:r w:rsidRPr="000F323A">
        <w:rPr>
          <w:rFonts w:eastAsia="MS PGothic" w:cs="Times New Roman"/>
          <w:szCs w:val="24"/>
          <w:lang w:eastAsia="ja-JP"/>
        </w:rPr>
        <w:t>8 billion dinars, in 2026, also 4</w:t>
      </w:r>
      <w:r>
        <w:rPr>
          <w:rFonts w:eastAsia="MS PGothic" w:cs="Times New Roman"/>
          <w:szCs w:val="24"/>
          <w:lang w:eastAsia="ja-JP"/>
        </w:rPr>
        <w:t>,</w:t>
      </w:r>
      <w:r w:rsidRPr="000F323A">
        <w:rPr>
          <w:rFonts w:eastAsia="MS PGothic" w:cs="Times New Roman"/>
          <w:szCs w:val="24"/>
          <w:lang w:eastAsia="ja-JP"/>
        </w:rPr>
        <w:t>8 billion dinars, while for 2027, a decrease to 4</w:t>
      </w:r>
      <w:r>
        <w:rPr>
          <w:rFonts w:eastAsia="MS PGothic" w:cs="Times New Roman"/>
          <w:szCs w:val="24"/>
          <w:lang w:eastAsia="ja-JP"/>
        </w:rPr>
        <w:t>,</w:t>
      </w:r>
      <w:r w:rsidRPr="000F323A">
        <w:rPr>
          <w:rFonts w:eastAsia="MS PGothic" w:cs="Times New Roman"/>
          <w:szCs w:val="24"/>
          <w:lang w:eastAsia="ja-JP"/>
        </w:rPr>
        <w:t>6 billion dinars is expected. Given that the size of the expected expenditure is directly influenced by annual obligations on loans, any new borrowing by enterprises would lead to an increase in the expected expenditure, which highlights the importance of debt control and sustainable financial obligation management.</w:t>
      </w:r>
    </w:p>
    <w:p w14:paraId="107690AD" w14:textId="77777777" w:rsidR="00994A6E" w:rsidRPr="00AD7E7D" w:rsidRDefault="00994A6E" w:rsidP="00994A6E">
      <w:pPr>
        <w:rPr>
          <w:rFonts w:eastAsia="MS PGothic" w:cs="Times New Roman"/>
          <w:szCs w:val="24"/>
          <w:lang w:eastAsia="ja-JP"/>
        </w:rPr>
      </w:pPr>
      <w:r w:rsidRPr="008B4E71">
        <w:rPr>
          <w:rFonts w:eastAsia="MS PGothic" w:cs="Times New Roman"/>
          <w:szCs w:val="24"/>
          <w:lang w:eastAsia="ja-JP"/>
        </w:rPr>
        <w:t>The Ministry of Finance will continue to improve analyses, collect qualitative information, enhance models, all with the aim of making the model more comprehensive and accurate, in order to provide a reliable foundation for risk management and support the su</w:t>
      </w:r>
      <w:r>
        <w:rPr>
          <w:rFonts w:eastAsia="MS PGothic" w:cs="Times New Roman"/>
          <w:szCs w:val="24"/>
          <w:lang w:eastAsia="ja-JP"/>
        </w:rPr>
        <w:t>stainability of public finances</w:t>
      </w:r>
      <w:r w:rsidRPr="00AD7E7D">
        <w:rPr>
          <w:rFonts w:eastAsia="MS PGothic" w:cs="Times New Roman"/>
          <w:szCs w:val="24"/>
          <w:lang w:eastAsia="ja-JP"/>
        </w:rPr>
        <w:t>.</w:t>
      </w:r>
    </w:p>
    <w:p w14:paraId="2F98EB88" w14:textId="77777777" w:rsidR="00994A6E" w:rsidRPr="00AD7E7D" w:rsidRDefault="00994A6E" w:rsidP="00994A6E">
      <w:pPr>
        <w:rPr>
          <w:rFonts w:eastAsia="MS PGothic" w:cs="Times New Roman"/>
          <w:color w:val="44546A"/>
          <w:szCs w:val="24"/>
          <w:lang w:eastAsia="ja-JP"/>
        </w:rPr>
      </w:pPr>
      <w:r w:rsidRPr="008B4E71">
        <w:rPr>
          <w:rFonts w:cs="Times New Roman"/>
          <w:szCs w:val="24"/>
          <w:lang w:val="sr-Cyrl-RS" w:eastAsia="ja-JP"/>
        </w:rPr>
        <w:t>The payment of profits by public enterprises and dividends from capital companies in which the state holds ownership is a significant part of non-tax revenues. Economic entities founded by the Republic of Serbia or in which the Republic of Serbia has an ownership stake are required to pay at least 50% of the proportional share of profits from the final account for 2022 into the budget of the Republic of Serbia by November 30 of the current fiscal year. In 2023, a total of 4</w:t>
      </w:r>
      <w:r>
        <w:rPr>
          <w:rFonts w:cs="Times New Roman"/>
          <w:szCs w:val="24"/>
          <w:lang w:eastAsia="ja-JP"/>
        </w:rPr>
        <w:t>,</w:t>
      </w:r>
      <w:r w:rsidRPr="008B4E71">
        <w:rPr>
          <w:rFonts w:cs="Times New Roman"/>
          <w:szCs w:val="24"/>
          <w:lang w:val="sr-Cyrl-RS" w:eastAsia="ja-JP"/>
        </w:rPr>
        <w:t>3 billion dinars was paid into the budget of the Republic by 36 state-owned enterprises based on this requirement.</w:t>
      </w:r>
    </w:p>
    <w:p w14:paraId="18907A1B" w14:textId="77777777" w:rsidR="00994A6E" w:rsidRDefault="00994A6E" w:rsidP="00994A6E">
      <w:pPr>
        <w:rPr>
          <w:rFonts w:cs="Times New Roman"/>
          <w:szCs w:val="24"/>
          <w:lang w:val="sr-Cyrl-RS" w:eastAsia="ja-JP"/>
        </w:rPr>
      </w:pPr>
      <w:r w:rsidRPr="00CB31A7">
        <w:rPr>
          <w:rFonts w:cs="Times New Roman"/>
          <w:szCs w:val="24"/>
          <w:lang w:val="sr-Cyrl-RS" w:eastAsia="ja-JP"/>
        </w:rPr>
        <w:t>Before the period of fiscal consolidation, the Republic of Serbia had significant fiscal costs related to the bailout of state-owned banks. The total costs of state interventions in the banking sector between 2012 and 2015 amounted to around 900 million euros. This amount was allocated for the recapitalization of banks, various financial transactions during the mergers of unsuccessful banks with more successful ones, including the payout of insured and uninsured deposits (for which funds from the Deposit Insurance Fund were also used).</w:t>
      </w:r>
    </w:p>
    <w:p w14:paraId="79A90C09" w14:textId="77777777" w:rsidR="00994A6E" w:rsidRDefault="00994A6E" w:rsidP="00994A6E">
      <w:pPr>
        <w:rPr>
          <w:rFonts w:cs="Times New Roman"/>
          <w:szCs w:val="24"/>
          <w:lang w:val="sr-Cyrl-RS" w:eastAsia="ja-JP"/>
        </w:rPr>
      </w:pPr>
      <w:r w:rsidRPr="00CB31A7">
        <w:rPr>
          <w:rFonts w:cs="Times New Roman"/>
          <w:szCs w:val="24"/>
          <w:lang w:val="sr-Cyrl-RS" w:eastAsia="ja-JP"/>
        </w:rPr>
        <w:t>The Republic of Serbia today holds a direct stake in the capital of the Banka Poštanska štedionica a.d. Belgrade (78</w:t>
      </w:r>
      <w:r>
        <w:rPr>
          <w:rFonts w:cs="Times New Roman"/>
          <w:szCs w:val="24"/>
          <w:lang w:eastAsia="ja-JP"/>
        </w:rPr>
        <w:t>,</w:t>
      </w:r>
      <w:r w:rsidRPr="00CB31A7">
        <w:rPr>
          <w:rFonts w:cs="Times New Roman"/>
          <w:szCs w:val="24"/>
          <w:lang w:val="sr-Cyrl-RS" w:eastAsia="ja-JP"/>
        </w:rPr>
        <w:t>54%) and the Srpska Banka a.d. Belgrade (76</w:t>
      </w:r>
      <w:r>
        <w:rPr>
          <w:rFonts w:cs="Times New Roman"/>
          <w:szCs w:val="24"/>
          <w:lang w:eastAsia="ja-JP"/>
        </w:rPr>
        <w:t>,</w:t>
      </w:r>
      <w:r w:rsidRPr="00CB31A7">
        <w:rPr>
          <w:rFonts w:cs="Times New Roman"/>
          <w:szCs w:val="24"/>
          <w:lang w:val="sr-Cyrl-RS" w:eastAsia="ja-JP"/>
        </w:rPr>
        <w:t>69%).</w:t>
      </w:r>
    </w:p>
    <w:p w14:paraId="653FB83E" w14:textId="77777777" w:rsidR="00994A6E" w:rsidRPr="00AD7E7D" w:rsidRDefault="00994A6E" w:rsidP="00994A6E">
      <w:pPr>
        <w:rPr>
          <w:rFonts w:cs="Times New Roman"/>
          <w:szCs w:val="24"/>
          <w:lang w:val="sr-Cyrl-RS" w:eastAsia="ja-JP"/>
        </w:rPr>
      </w:pPr>
      <w:r w:rsidRPr="00CB31A7">
        <w:rPr>
          <w:rFonts w:cs="Times New Roman"/>
          <w:szCs w:val="24"/>
          <w:lang w:val="sr-Cyrl-RS" w:eastAsia="ja-JP"/>
        </w:rPr>
        <w:t>In order to consistently implement the exit strategy and reduce fiscal risks in this regard, reform activities in the area of state financial institutions, initiated in 2012 and 2015, continue</w:t>
      </w:r>
      <w:r w:rsidRPr="00AD7E7D">
        <w:rPr>
          <w:rFonts w:cs="Times New Roman"/>
          <w:szCs w:val="24"/>
          <w:lang w:val="sr-Cyrl-RS" w:eastAsia="ja-JP"/>
        </w:rPr>
        <w:t>.</w:t>
      </w:r>
    </w:p>
    <w:p w14:paraId="588C0FD8" w14:textId="77777777" w:rsidR="00994A6E" w:rsidRPr="00AD7E7D" w:rsidRDefault="00994A6E" w:rsidP="00994A6E">
      <w:pPr>
        <w:rPr>
          <w:rFonts w:cs="Times New Roman"/>
          <w:szCs w:val="24"/>
          <w:lang w:val="sr-Cyrl-CS" w:eastAsia="ja-JP"/>
        </w:rPr>
      </w:pPr>
      <w:r w:rsidRPr="00287510">
        <w:rPr>
          <w:rFonts w:cs="Times New Roman"/>
          <w:szCs w:val="24"/>
          <w:lang w:val="sr-Cyrl-CS" w:eastAsia="ja-JP"/>
        </w:rPr>
        <w:t xml:space="preserve">The Business Strategy for the period 2024-2026 was adopted by the Assembly of Banka Poštanska štedionica (BPS) in December 2023. According to the business strategy, BPS will continue to implement activities focusing on further improvement and development in the following areas: business with individuals, entrepreneurs, micro, small, and medium-sized legal entities, local government units, public enterprises founded by the Republic of Serbia or autonomous provinces or local government units, and business companies in which the Republic of Serbia or autonomous provinces or local government units have ownership; improving the bank's internal organization, corporate governance, and risk management; </w:t>
      </w:r>
      <w:r>
        <w:rPr>
          <w:rFonts w:cs="Times New Roman"/>
          <w:szCs w:val="24"/>
          <w:lang w:val="sr-Cyrl-CS" w:eastAsia="ja-JP"/>
        </w:rPr>
        <w:t>strengthening IT infrastructure</w:t>
      </w:r>
      <w:r w:rsidRPr="00AD7E7D">
        <w:rPr>
          <w:rFonts w:cs="Times New Roman"/>
          <w:szCs w:val="24"/>
          <w:lang w:val="sr-Cyrl-CS" w:eastAsia="ja-JP"/>
        </w:rPr>
        <w:t>.</w:t>
      </w:r>
    </w:p>
    <w:p w14:paraId="1048ABD6" w14:textId="77777777" w:rsidR="00994A6E" w:rsidRPr="00AD7E7D" w:rsidRDefault="00994A6E" w:rsidP="00994A6E">
      <w:pPr>
        <w:rPr>
          <w:rFonts w:cs="Times New Roman"/>
          <w:szCs w:val="24"/>
          <w:lang w:val="sr-Cyrl-CS" w:eastAsia="ja-JP"/>
        </w:rPr>
      </w:pPr>
      <w:r w:rsidRPr="00287510">
        <w:rPr>
          <w:rFonts w:cs="Times New Roman"/>
          <w:szCs w:val="24"/>
          <w:lang w:val="sr-Cyrl-CS" w:eastAsia="ja-JP"/>
        </w:rPr>
        <w:t>To mitigate the economic and financial consequences caused by the COVID-19 pandemic, the Bank acts in accordance with the Law on Establishing a Guarantee Scheme as a measure of support to the economy to mitigate the consequences of the COVID-19 pandemic caused by the SARS-CoV-2 virus ("Official Gazette of RS", no. 153/20 and 40/21) and the Law on Establishing Another Guarantee Scheme as an additional measure of support to the economy due to the prolonged negative impact of the COVID-19 pandemic caused by the SARS-CoV-2 virus ("Official Gazett</w:t>
      </w:r>
      <w:r>
        <w:rPr>
          <w:rFonts w:cs="Times New Roman"/>
          <w:szCs w:val="24"/>
          <w:lang w:val="sr-Cyrl-CS" w:eastAsia="ja-JP"/>
        </w:rPr>
        <w:t>e of RS", no. 40/21 and 129/21)</w:t>
      </w:r>
      <w:r w:rsidRPr="00AD7E7D">
        <w:rPr>
          <w:rFonts w:cs="Times New Roman"/>
          <w:szCs w:val="24"/>
          <w:lang w:val="sr-Cyrl-CS" w:eastAsia="ja-JP"/>
        </w:rPr>
        <w:t>.</w:t>
      </w:r>
    </w:p>
    <w:p w14:paraId="4EF4E677" w14:textId="77777777" w:rsidR="00994A6E" w:rsidRPr="00AD7E7D" w:rsidRDefault="00994A6E" w:rsidP="00994A6E">
      <w:pPr>
        <w:rPr>
          <w:rFonts w:cs="Times New Roman"/>
          <w:szCs w:val="24"/>
          <w:lang w:val="sr-Cyrl-CS" w:eastAsia="ja-JP"/>
        </w:rPr>
      </w:pPr>
      <w:r w:rsidRPr="00287510">
        <w:rPr>
          <w:rFonts w:cs="Times New Roman"/>
          <w:szCs w:val="24"/>
          <w:lang w:val="sr-Cyrl-CS" w:eastAsia="ja-JP"/>
        </w:rPr>
        <w:t xml:space="preserve">In accordance with the Government's strategy for state-owned banks, an Expert Working Group for the transformation of Srpska Banka into a specialized financial institution for providing all types of financial services and support to the designated industry of the Republic of Serbia was established on January 21, 2019, and began its formal work in March 2019 when </w:t>
      </w:r>
      <w:r w:rsidRPr="00287510">
        <w:rPr>
          <w:rFonts w:cs="Times New Roman"/>
          <w:szCs w:val="24"/>
          <w:lang w:val="sr-Cyrl-CS" w:eastAsia="ja-JP"/>
        </w:rPr>
        <w:lastRenderedPageBreak/>
        <w:t>the constitutive meeting was held. Due to the continued COVID-19 pandemic, as well as the crisis caused by the war in Ukraine and ongoing activities within the Ministry of Finance, it is expected that activities aimed at the transformation of Srpska Banka wil</w:t>
      </w:r>
      <w:r>
        <w:rPr>
          <w:rFonts w:cs="Times New Roman"/>
          <w:szCs w:val="24"/>
          <w:lang w:val="sr-Cyrl-CS" w:eastAsia="ja-JP"/>
        </w:rPr>
        <w:t>l continue in the coming period</w:t>
      </w:r>
      <w:r w:rsidRPr="00AD7E7D">
        <w:rPr>
          <w:rFonts w:cs="Times New Roman"/>
          <w:szCs w:val="24"/>
          <w:lang w:val="sr-Cyrl-CS" w:eastAsia="ja-JP"/>
        </w:rPr>
        <w:t>.</w:t>
      </w:r>
    </w:p>
    <w:p w14:paraId="243A4623" w14:textId="77777777" w:rsidR="00994A6E" w:rsidRPr="00AD7E7D" w:rsidRDefault="00994A6E" w:rsidP="00994A6E">
      <w:pPr>
        <w:rPr>
          <w:rFonts w:cs="Times New Roman"/>
          <w:szCs w:val="24"/>
          <w:lang w:val="sr-Cyrl-RS" w:eastAsia="ja-JP"/>
        </w:rPr>
      </w:pPr>
      <w:r w:rsidRPr="00287510">
        <w:rPr>
          <w:rFonts w:cs="Times New Roman"/>
          <w:szCs w:val="24"/>
          <w:lang w:val="sr-Cyrl-RS" w:eastAsia="ja-JP"/>
        </w:rPr>
        <w:t>The reform of regulations governing the Serbian financial system was implemented in February 2015. One of the features of this reform is the transfer of responsibilities for monitoring the performance and management bodies of banks, insurance companies, and other financial institutions in which the Republic of Serbia is a shareholder, as well as the organization and execution of the procedure for selling shares in them, from the AOD to the Ministry of Finance, starting from April 1, 2015. The reform also transposed the Bank Recovery and Resolution Directive (BRRD) into domestic regulations, and the function of bank restructuring was entrusted to the NBS. In December 2016, a set of regulations was adopted to implement the Basel III standards into the domestic regulatory framework, achieving a significant degree of alignment of domestic regulations with relevant EU regulations in this area, and in 2017, activities continued to improve domestic regulations governing the operation of banks, with the goal of further aligning them with EU regulations. The main objectives of adopting these regulations are to increase the resilience of the banking sector by increasing the quality of capital and introducing capital buffers, improving the monitoring and control of liquidity risk exposure in banks, further strengthening market discipline and transparency in the operations of banks in the Republic of Serbia by publishing all relevant information about bank operations, and adapting the reporting system to new regulatory solutions</w:t>
      </w:r>
      <w:r w:rsidRPr="00AD7E7D">
        <w:rPr>
          <w:rFonts w:cs="Times New Roman"/>
          <w:szCs w:val="24"/>
          <w:lang w:val="sr-Cyrl-RS" w:eastAsia="ja-JP"/>
        </w:rPr>
        <w:t>.</w:t>
      </w:r>
    </w:p>
    <w:p w14:paraId="6AA17D8F" w14:textId="77777777" w:rsidR="00994A6E" w:rsidRPr="00AD7E7D" w:rsidRDefault="00994A6E" w:rsidP="00994A6E">
      <w:pPr>
        <w:rPr>
          <w:rFonts w:cs="Times New Roman"/>
          <w:szCs w:val="24"/>
          <w:highlight w:val="yellow"/>
          <w:lang w:val="sr-Cyrl-RS" w:eastAsia="ja-JP"/>
        </w:rPr>
      </w:pPr>
      <w:r w:rsidRPr="008E1AFD">
        <w:rPr>
          <w:rFonts w:cs="Times New Roman"/>
          <w:szCs w:val="24"/>
          <w:lang w:val="sr-Cyrl-RS" w:eastAsia="ja-JP"/>
        </w:rPr>
        <w:t>One of the limiting factors for the growth of credit activity was the relatively high level of non-performing loans. In August 2015, the Strategy for Resolving Non-Performing Loans was adopted, which is being implemented through two three-year action plans, one prepared by the Government and the other by the NBS, with the aim of reducing the level of non-performing loans. Key areas of implementation included strengthening the capacity of banks to resolve non-performing loans, improving the regulations for the assessment of collateral asset value, developing the market for non-performing loans, and more</w:t>
      </w:r>
      <w:r>
        <w:rPr>
          <w:rFonts w:cs="Times New Roman"/>
          <w:szCs w:val="24"/>
          <w:lang w:eastAsia="ja-JP"/>
        </w:rPr>
        <w:t>.</w:t>
      </w:r>
    </w:p>
    <w:p w14:paraId="505AD6C7" w14:textId="77777777" w:rsidR="00994A6E" w:rsidRPr="00AD7E7D" w:rsidRDefault="00994A6E" w:rsidP="00994A6E">
      <w:pPr>
        <w:spacing w:after="60" w:line="238" w:lineRule="auto"/>
        <w:rPr>
          <w:rFonts w:eastAsia="MS PGothic" w:cs="Times New Roman"/>
          <w:szCs w:val="24"/>
          <w:lang w:val="sr-Cyrl-RS" w:eastAsia="ja-JP"/>
        </w:rPr>
      </w:pPr>
      <w:r w:rsidRPr="00D00795">
        <w:rPr>
          <w:rFonts w:eastAsia="MS PGothic" w:cs="Times New Roman"/>
          <w:szCs w:val="24"/>
          <w:lang w:val="sr-Cyrl-RS" w:eastAsia="ja-JP"/>
        </w:rPr>
        <w:t>Before the adoption of the mentioned strategy, a number of legislative and sub-legal acts were adopted and amended, institutional capacity was improved, and numerous measures were implemented to facilitate the write-off and transfer of non-collectible receivables. By creating stable operating conditions, the Serbian economy entered an investment cycle in 2015, and since then, investments have represented a significant part of economic growth. The profitability of the economy is growing in conditions of low and stable inflation and a relatively stable exchange rate. These were all key factors for the sustainable resolution of non-performing loans. This is also clearly visible from the fact that in sectors which are the main drivers of growth, the most significant decrease in non-performing loans was recorded, notably in the manufact</w:t>
      </w:r>
      <w:r>
        <w:rPr>
          <w:rFonts w:eastAsia="MS PGothic" w:cs="Times New Roman"/>
          <w:szCs w:val="24"/>
          <w:lang w:val="sr-Cyrl-RS" w:eastAsia="ja-JP"/>
        </w:rPr>
        <w:t>uring industry and construction</w:t>
      </w:r>
      <w:r w:rsidRPr="00AD7E7D">
        <w:rPr>
          <w:rFonts w:eastAsia="MS PGothic" w:cs="Times New Roman"/>
          <w:szCs w:val="24"/>
          <w:lang w:val="sr-Cyrl-RS" w:eastAsia="ja-JP"/>
        </w:rPr>
        <w:t>.</w:t>
      </w:r>
    </w:p>
    <w:p w14:paraId="47EE657C" w14:textId="77777777" w:rsidR="00994A6E" w:rsidRPr="00AD7E7D" w:rsidRDefault="00994A6E" w:rsidP="00994A6E">
      <w:pPr>
        <w:spacing w:after="60" w:line="238" w:lineRule="auto"/>
        <w:rPr>
          <w:rFonts w:eastAsia="MS PGothic" w:cs="Times New Roman"/>
          <w:szCs w:val="24"/>
          <w:lang w:val="sr-Cyrl-RS" w:eastAsia="ja-JP"/>
        </w:rPr>
      </w:pPr>
      <w:r w:rsidRPr="00D00795">
        <w:rPr>
          <w:rFonts w:eastAsia="MS PGothic" w:cs="Times New Roman"/>
          <w:szCs w:val="24"/>
          <w:lang w:val="sr-Cyrl-RS" w:eastAsia="ja-JP"/>
        </w:rPr>
        <w:t>Deposit insurance is a mechanism that contributes to maintaining financial stability and ensures protection for depositors. The deposit insurance system guarantees that each protected depositor will be paid the full amount of their deposits in each bank up to the insured amount of 50</w:t>
      </w:r>
      <w:r>
        <w:rPr>
          <w:rFonts w:eastAsia="MS PGothic" w:cs="Times New Roman"/>
          <w:szCs w:val="24"/>
          <w:lang w:eastAsia="ja-JP"/>
        </w:rPr>
        <w:t>.</w:t>
      </w:r>
      <w:r w:rsidRPr="00D00795">
        <w:rPr>
          <w:rFonts w:eastAsia="MS PGothic" w:cs="Times New Roman"/>
          <w:szCs w:val="24"/>
          <w:lang w:val="sr-Cyrl-RS" w:eastAsia="ja-JP"/>
        </w:rPr>
        <w:t>000 euros in the event of bankruptcy or liquidation of the bank. Deposit insurance is regulated by the Deposit Insurance Law. The guarantee of payment of insured deposits by the state, either directly from the budget or indirectly through the issuance of guarantees for the borrowing of AOD, is a source of fiscal risks and potential fiscal costs. However, thanks to the achieved stability of the banking sector, since 2015, there has been no need to use the funds from the deposit insurance fund, nor has the state had to intervene for the pay</w:t>
      </w:r>
      <w:r>
        <w:rPr>
          <w:rFonts w:eastAsia="MS PGothic" w:cs="Times New Roman"/>
          <w:szCs w:val="24"/>
          <w:lang w:val="sr-Cyrl-RS" w:eastAsia="ja-JP"/>
        </w:rPr>
        <w:t>ment of insured deposit amounts</w:t>
      </w:r>
      <w:r w:rsidRPr="00AD7E7D">
        <w:rPr>
          <w:rFonts w:eastAsia="MS PGothic" w:cs="Times New Roman"/>
          <w:szCs w:val="24"/>
          <w:lang w:val="sr-Cyrl-RS" w:eastAsia="ja-JP"/>
        </w:rPr>
        <w:t>.</w:t>
      </w:r>
    </w:p>
    <w:p w14:paraId="1FB8340B" w14:textId="77777777" w:rsidR="00994A6E" w:rsidRPr="00AD7E7D" w:rsidRDefault="00994A6E" w:rsidP="00994A6E">
      <w:pPr>
        <w:spacing w:after="60" w:line="238" w:lineRule="auto"/>
        <w:rPr>
          <w:rFonts w:cs="Times New Roman"/>
          <w:szCs w:val="24"/>
          <w:lang w:val="sr-Cyrl-RS" w:eastAsia="ja-JP"/>
        </w:rPr>
      </w:pPr>
      <w:r w:rsidRPr="00DF6C2B">
        <w:rPr>
          <w:rFonts w:cs="Times New Roman"/>
          <w:szCs w:val="24"/>
          <w:lang w:val="sr-Cyrl-RS" w:eastAsia="ja-JP"/>
        </w:rPr>
        <w:lastRenderedPageBreak/>
        <w:t>Considering the situation arising from the declaration of a state of emergency in the Republic of Serbia, in order to mitigate the economic and financial consequences of the COVID-19 pandemic, measures to support the economy were taken, aiming to increase the liquidity of economic entities. One of these measures was the adoption of the Law on Establishing a Guarantee Scheme as a measure to support the economy in mitigating the consequences of the COVID-19 pandemic caused by the SARS-CoV-2 virus. In 2021, the Law on Establishing Another Guarantee Scheme was adopted, which approved an additional 500 million euros in aid. In total, under both guarantee schemes, banks allocated approximately 2</w:t>
      </w:r>
      <w:r>
        <w:rPr>
          <w:rFonts w:cs="Times New Roman"/>
          <w:szCs w:val="24"/>
          <w:lang w:eastAsia="ja-JP"/>
        </w:rPr>
        <w:t>,</w:t>
      </w:r>
      <w:r w:rsidRPr="00DF6C2B">
        <w:rPr>
          <w:rFonts w:cs="Times New Roman"/>
          <w:szCs w:val="24"/>
          <w:lang w:val="sr-Cyrl-RS" w:eastAsia="ja-JP"/>
        </w:rPr>
        <w:t>5 billion euros in loans</w:t>
      </w:r>
      <w:r w:rsidRPr="00AD7E7D">
        <w:rPr>
          <w:rFonts w:cs="Times New Roman"/>
          <w:szCs w:val="24"/>
          <w:lang w:val="sr-Cyrl-RS" w:eastAsia="ja-JP"/>
        </w:rPr>
        <w:t>.</w:t>
      </w:r>
    </w:p>
    <w:p w14:paraId="78B15658" w14:textId="77777777" w:rsidR="00994A6E" w:rsidRPr="00AD7E7D" w:rsidRDefault="00994A6E" w:rsidP="00994A6E">
      <w:pPr>
        <w:rPr>
          <w:rFonts w:eastAsia="MS PGothic" w:cs="Times New Roman"/>
          <w:szCs w:val="24"/>
          <w:lang w:eastAsia="ja-JP"/>
        </w:rPr>
      </w:pPr>
      <w:r w:rsidRPr="001003F3">
        <w:rPr>
          <w:rFonts w:cs="Times New Roman"/>
          <w:szCs w:val="24"/>
          <w:lang w:val="sr-Cyrl-RS" w:eastAsia="ja-JP"/>
        </w:rPr>
        <w:t>There are significant fiscal risks arising from court decisions, both domestic and international, fines, and damages imposed by state authorities. The Republic of Serbia has paid a total of 121 billion dinars from the national budget in the period from 2009 to 2020 for fines and penalties imposed by courts and compensation for damages caused by state authorities. In 2021, 16</w:t>
      </w:r>
      <w:r>
        <w:rPr>
          <w:rFonts w:cs="Times New Roman"/>
          <w:szCs w:val="24"/>
          <w:lang w:eastAsia="ja-JP"/>
        </w:rPr>
        <w:t>,</w:t>
      </w:r>
      <w:r w:rsidRPr="001003F3">
        <w:rPr>
          <w:rFonts w:cs="Times New Roman"/>
          <w:szCs w:val="24"/>
          <w:lang w:val="sr-Cyrl-RS" w:eastAsia="ja-JP"/>
        </w:rPr>
        <w:t>6 billion dinars were paid from the national budget for this purpose, 26</w:t>
      </w:r>
      <w:r>
        <w:rPr>
          <w:rFonts w:cs="Times New Roman"/>
          <w:szCs w:val="24"/>
          <w:lang w:eastAsia="ja-JP"/>
        </w:rPr>
        <w:t>,</w:t>
      </w:r>
      <w:r w:rsidRPr="001003F3">
        <w:rPr>
          <w:rFonts w:cs="Times New Roman"/>
          <w:szCs w:val="24"/>
          <w:lang w:val="sr-Cyrl-RS" w:eastAsia="ja-JP"/>
        </w:rPr>
        <w:t>8 billion dinars were paid in 2022, 25</w:t>
      </w:r>
      <w:r>
        <w:rPr>
          <w:rFonts w:cs="Times New Roman"/>
          <w:szCs w:val="24"/>
          <w:lang w:eastAsia="ja-JP"/>
        </w:rPr>
        <w:t>,</w:t>
      </w:r>
      <w:r w:rsidRPr="001003F3">
        <w:rPr>
          <w:rFonts w:cs="Times New Roman"/>
          <w:szCs w:val="24"/>
          <w:lang w:val="sr-Cyrl-RS" w:eastAsia="ja-JP"/>
        </w:rPr>
        <w:t>4 billion dinars in 2023, and 32</w:t>
      </w:r>
      <w:r>
        <w:rPr>
          <w:rFonts w:cs="Times New Roman"/>
          <w:szCs w:val="24"/>
          <w:lang w:eastAsia="ja-JP"/>
        </w:rPr>
        <w:t>,</w:t>
      </w:r>
      <w:r w:rsidRPr="001003F3">
        <w:rPr>
          <w:rFonts w:cs="Times New Roman"/>
          <w:szCs w:val="24"/>
          <w:lang w:val="sr-Cyrl-RS" w:eastAsia="ja-JP"/>
        </w:rPr>
        <w:t>8 billion dinars are planned for 2024. Based on the existing trend of national budget execution from 2018 to 2023, it is expected that in the next 3 years, national budget expenditures related to court proceedings, based on projections from the constant growth rate during the mentioned period, will range from 28</w:t>
      </w:r>
      <w:r>
        <w:rPr>
          <w:rFonts w:cs="Times New Roman"/>
          <w:szCs w:val="24"/>
          <w:lang w:eastAsia="ja-JP"/>
        </w:rPr>
        <w:t>,</w:t>
      </w:r>
      <w:r w:rsidRPr="001003F3">
        <w:rPr>
          <w:rFonts w:cs="Times New Roman"/>
          <w:szCs w:val="24"/>
          <w:lang w:val="sr-Cyrl-RS" w:eastAsia="ja-JP"/>
        </w:rPr>
        <w:t>0 to 33</w:t>
      </w:r>
      <w:r>
        <w:rPr>
          <w:rFonts w:cs="Times New Roman"/>
          <w:szCs w:val="24"/>
          <w:lang w:eastAsia="ja-JP"/>
        </w:rPr>
        <w:t>,</w:t>
      </w:r>
      <w:r w:rsidRPr="001003F3">
        <w:rPr>
          <w:rFonts w:cs="Times New Roman"/>
          <w:szCs w:val="24"/>
          <w:lang w:val="sr-Cyrl-RS" w:eastAsia="ja-JP"/>
        </w:rPr>
        <w:t>9 billion dinars, or approximately 30.0 billion dinars on average per year, with a potential for slight growth. The decision of the European Court of Human Rights has obliged the Republic of Serbia to settle public debt for unpaid foreign currency savings that were deposited by citizens of former SFRY republics and the Republic of Serbia’s citizens with banks headquartered in the Republic of Serbia and their branches in former SFRY republics. Potential liabilities may also arise from decisions of the Constitutional Court based on constitutional complaints and decisions of the European Court of Human Rights based on complaints filed by workers of former social enterprises (unpaid wages, mandatory social security contributions, interest, procedural costs, claims from commercial transactions)</w:t>
      </w:r>
      <w:r w:rsidRPr="00AD7E7D">
        <w:rPr>
          <w:rFonts w:cs="Times New Roman"/>
          <w:szCs w:val="24"/>
          <w:lang w:val="sr-Cyrl-RS" w:eastAsia="ja-JP"/>
        </w:rPr>
        <w:t>.</w:t>
      </w:r>
    </w:p>
    <w:p w14:paraId="464A71B1" w14:textId="77777777" w:rsidR="00994A6E" w:rsidRPr="00AD7E7D" w:rsidRDefault="00994A6E" w:rsidP="00994A6E">
      <w:pPr>
        <w:rPr>
          <w:rFonts w:eastAsia="MS PGothic" w:cs="Times New Roman"/>
          <w:szCs w:val="24"/>
          <w:lang w:eastAsia="ja-JP"/>
        </w:rPr>
      </w:pPr>
      <w:r w:rsidRPr="001003F3">
        <w:rPr>
          <w:rFonts w:cs="Times New Roman"/>
          <w:szCs w:val="24"/>
          <w:lang w:val="sr-Cyrl-RS" w:eastAsia="ja-JP"/>
        </w:rPr>
        <w:t>The constant risk of natural disasters and catastrophes obliges investment in prevention programs in order to reduce potential fiscal costs for eliminating damage caused by such events. Prevention refers to the inclusion of a broader range of financial instruments (such as reserve funds, potential credit lines, and particularly insurance) that should be available to the state. In 2014, the Republic of Serbia faced catastrophic flood consequences, with total damage (including losses) estimated at over 1</w:t>
      </w:r>
      <w:r>
        <w:rPr>
          <w:rFonts w:cs="Times New Roman"/>
          <w:szCs w:val="24"/>
          <w:lang w:eastAsia="ja-JP"/>
        </w:rPr>
        <w:t>,</w:t>
      </w:r>
      <w:r w:rsidRPr="001003F3">
        <w:rPr>
          <w:rFonts w:cs="Times New Roman"/>
          <w:szCs w:val="24"/>
          <w:lang w:val="sr-Cyrl-RS" w:eastAsia="ja-JP"/>
        </w:rPr>
        <w:t>7 billion euros. In December 2014, the government adopted the National Program for Disaster Risk Management, which will be implemented in cooperation with the World Bank, the United Nations, and the EU. As part of the National Program, another umbrella law was adopted in November 2018, addressing the issue of natural disasters and catastrophes: the Law on Reducing the Risk of Disasters and Managing Emergency Situations</w:t>
      </w:r>
      <w:r w:rsidRPr="00AD7E7D">
        <w:rPr>
          <w:rFonts w:cs="Times New Roman"/>
          <w:szCs w:val="24"/>
          <w:lang w:val="sr-Cyrl-RS" w:eastAsia="ja-JP"/>
        </w:rPr>
        <w:t>.</w:t>
      </w:r>
      <w:r w:rsidRPr="00AD7E7D">
        <w:rPr>
          <w:rFonts w:eastAsia="MS PGothic" w:cs="Times New Roman"/>
          <w:szCs w:val="24"/>
          <w:lang w:eastAsia="ja-JP"/>
        </w:rPr>
        <w:t xml:space="preserve"> </w:t>
      </w:r>
    </w:p>
    <w:p w14:paraId="30F879BB" w14:textId="77777777" w:rsidR="00994A6E" w:rsidRPr="00AD7E7D" w:rsidRDefault="00994A6E" w:rsidP="00994A6E">
      <w:pPr>
        <w:rPr>
          <w:rFonts w:eastAsia="MS PGothic" w:cs="Times New Roman"/>
          <w:szCs w:val="24"/>
          <w:lang w:eastAsia="ja-JP"/>
        </w:rPr>
      </w:pPr>
      <w:r w:rsidRPr="001003F3">
        <w:rPr>
          <w:rFonts w:eastAsia="MS PGothic" w:cs="Times New Roman"/>
          <w:szCs w:val="24"/>
          <w:lang w:eastAsia="ja-JP"/>
        </w:rPr>
        <w:t>The increasing frequency and intensity of natural and other disasters, as well as the growing costs of mitigating their consequences, highlight the need for constant vigilance when dealing with this type of fiscal risk. In 2021, the Unique Methodology for Monitoring Fiscal Risks in the Republic of Serbia was adopted, which, among other things, includes the Methodology for Monitoring Fiscal Risks Arising from Natural Disasters. In 2022, in cooperation with the World Bank, a model for assessing fiscal risks from natural disasters was developed. The model for monitoring fiscal risks from natural disasters provides a quantified estimate of the negative effect of a natural disaster on the country's Gross Domestic Product (GDP), fiscal defici</w:t>
      </w:r>
      <w:r>
        <w:rPr>
          <w:rFonts w:eastAsia="MS PGothic" w:cs="Times New Roman"/>
          <w:szCs w:val="24"/>
          <w:lang w:eastAsia="ja-JP"/>
        </w:rPr>
        <w:t>t, and consequently public debt</w:t>
      </w:r>
      <w:r w:rsidRPr="00AD7E7D">
        <w:rPr>
          <w:rFonts w:eastAsia="MS PGothic" w:cs="Times New Roman"/>
          <w:szCs w:val="24"/>
          <w:lang w:eastAsia="ja-JP"/>
        </w:rPr>
        <w:t xml:space="preserve">. </w:t>
      </w:r>
    </w:p>
    <w:p w14:paraId="4762BA06" w14:textId="77777777" w:rsidR="00994A6E" w:rsidRPr="00AD7E7D" w:rsidRDefault="00994A6E" w:rsidP="00994A6E">
      <w:pPr>
        <w:rPr>
          <w:rFonts w:eastAsia="MS PGothic" w:cs="Times New Roman"/>
          <w:szCs w:val="24"/>
          <w:lang w:eastAsia="ja-JP"/>
        </w:rPr>
      </w:pPr>
      <w:r w:rsidRPr="008A76E8">
        <w:rPr>
          <w:rFonts w:eastAsia="MS PGothic" w:cs="Times New Roman"/>
          <w:szCs w:val="24"/>
          <w:lang w:eastAsia="ja-JP"/>
        </w:rPr>
        <w:t xml:space="preserve">According to the assessments based on data from the risk modeling company "Applied Research Institute Worldwide Corporation" (the so-called “AIR” model), the damage related </w:t>
      </w:r>
      <w:r w:rsidRPr="008A76E8">
        <w:rPr>
          <w:rFonts w:eastAsia="MS PGothic" w:cs="Times New Roman"/>
          <w:szCs w:val="24"/>
          <w:lang w:eastAsia="ja-JP"/>
        </w:rPr>
        <w:lastRenderedPageBreak/>
        <w:t>to floods, depending on the intensity and likelihood of occurrence, can range from 135 million dollars to 5</w:t>
      </w:r>
      <w:r>
        <w:rPr>
          <w:rFonts w:eastAsia="MS PGothic" w:cs="Times New Roman"/>
          <w:szCs w:val="24"/>
          <w:lang w:eastAsia="ja-JP"/>
        </w:rPr>
        <w:t>,</w:t>
      </w:r>
      <w:r w:rsidRPr="008A76E8">
        <w:rPr>
          <w:rFonts w:eastAsia="MS PGothic" w:cs="Times New Roman"/>
          <w:szCs w:val="24"/>
          <w:lang w:eastAsia="ja-JP"/>
        </w:rPr>
        <w:t>7 billion dollars. Although earthquake risks are considered moderate, the same estimates show that damage associated with earthquakes can range from 132 million dollars to as much as 7</w:t>
      </w:r>
      <w:r>
        <w:rPr>
          <w:rFonts w:eastAsia="MS PGothic" w:cs="Times New Roman"/>
          <w:szCs w:val="24"/>
          <w:lang w:eastAsia="ja-JP"/>
        </w:rPr>
        <w:t>,</w:t>
      </w:r>
      <w:r w:rsidRPr="008A76E8">
        <w:rPr>
          <w:rFonts w:eastAsia="MS PGothic" w:cs="Times New Roman"/>
          <w:szCs w:val="24"/>
          <w:lang w:eastAsia="ja-JP"/>
        </w:rPr>
        <w:t>6 billion dollars. Depending on the type and intensity of the natural disaster, the expected contraction of GDP, or a smaller GDP growth in the year when the natural disaster occurs, compared to the growth that would have occurred had the natural disaster not taken place, varies. For earthquakes, GDP growth can decrease from 0</w:t>
      </w:r>
      <w:r>
        <w:rPr>
          <w:rFonts w:eastAsia="MS PGothic" w:cs="Times New Roman"/>
          <w:szCs w:val="24"/>
          <w:lang w:eastAsia="ja-JP"/>
        </w:rPr>
        <w:t>,</w:t>
      </w:r>
      <w:r w:rsidRPr="008A76E8">
        <w:rPr>
          <w:rFonts w:eastAsia="MS PGothic" w:cs="Times New Roman"/>
          <w:szCs w:val="24"/>
          <w:lang w:eastAsia="ja-JP"/>
        </w:rPr>
        <w:t>02% for less intense earthquakes to a significant 1</w:t>
      </w:r>
      <w:r>
        <w:rPr>
          <w:rFonts w:eastAsia="MS PGothic" w:cs="Times New Roman"/>
          <w:szCs w:val="24"/>
          <w:lang w:eastAsia="ja-JP"/>
        </w:rPr>
        <w:t>,</w:t>
      </w:r>
      <w:r w:rsidRPr="008A76E8">
        <w:rPr>
          <w:rFonts w:eastAsia="MS PGothic" w:cs="Times New Roman"/>
          <w:szCs w:val="24"/>
          <w:lang w:eastAsia="ja-JP"/>
        </w:rPr>
        <w:t>39% for rare, large-scale earthquakes. For floods, the contraction in GDP growth can range from 0</w:t>
      </w:r>
      <w:r>
        <w:rPr>
          <w:rFonts w:eastAsia="MS PGothic" w:cs="Times New Roman"/>
          <w:szCs w:val="24"/>
          <w:lang w:eastAsia="ja-JP"/>
        </w:rPr>
        <w:t>,</w:t>
      </w:r>
      <w:r w:rsidRPr="008A76E8">
        <w:rPr>
          <w:rFonts w:eastAsia="MS PGothic" w:cs="Times New Roman"/>
          <w:szCs w:val="24"/>
          <w:lang w:eastAsia="ja-JP"/>
        </w:rPr>
        <w:t>02% for less intense floods to, at most, 1</w:t>
      </w:r>
      <w:r>
        <w:rPr>
          <w:rFonts w:eastAsia="MS PGothic" w:cs="Times New Roman"/>
          <w:szCs w:val="24"/>
          <w:lang w:eastAsia="ja-JP"/>
        </w:rPr>
        <w:t>,</w:t>
      </w:r>
      <w:r w:rsidRPr="008A76E8">
        <w:rPr>
          <w:rFonts w:eastAsia="MS PGothic" w:cs="Times New Roman"/>
          <w:szCs w:val="24"/>
          <w:lang w:eastAsia="ja-JP"/>
        </w:rPr>
        <w:t>05% for rare, large-scale floods. Based on the model for assessing fiscal risks from natural disasters for the Republic of Serbia, it can be concluded that in the case of an earthquake, the fiscal deficit can increase by between 0</w:t>
      </w:r>
      <w:r>
        <w:rPr>
          <w:rFonts w:eastAsia="MS PGothic" w:cs="Times New Roman"/>
          <w:szCs w:val="24"/>
          <w:lang w:eastAsia="ja-JP"/>
        </w:rPr>
        <w:t>,</w:t>
      </w:r>
      <w:r w:rsidRPr="008A76E8">
        <w:rPr>
          <w:rFonts w:eastAsia="MS PGothic" w:cs="Times New Roman"/>
          <w:szCs w:val="24"/>
          <w:lang w:eastAsia="ja-JP"/>
        </w:rPr>
        <w:t>04% and 2</w:t>
      </w:r>
      <w:r>
        <w:rPr>
          <w:rFonts w:eastAsia="MS PGothic" w:cs="Times New Roman"/>
          <w:szCs w:val="24"/>
          <w:lang w:eastAsia="ja-JP"/>
        </w:rPr>
        <w:t>,</w:t>
      </w:r>
      <w:r w:rsidRPr="008A76E8">
        <w:rPr>
          <w:rFonts w:eastAsia="MS PGothic" w:cs="Times New Roman"/>
          <w:szCs w:val="24"/>
          <w:lang w:eastAsia="ja-JP"/>
        </w:rPr>
        <w:t>5% of GDP annually, which can further impact the growth of public debt by 0</w:t>
      </w:r>
      <w:r>
        <w:rPr>
          <w:rFonts w:eastAsia="MS PGothic" w:cs="Times New Roman"/>
          <w:szCs w:val="24"/>
          <w:lang w:eastAsia="ja-JP"/>
        </w:rPr>
        <w:t>,</w:t>
      </w:r>
      <w:r w:rsidRPr="008A76E8">
        <w:rPr>
          <w:rFonts w:eastAsia="MS PGothic" w:cs="Times New Roman"/>
          <w:szCs w:val="24"/>
          <w:lang w:eastAsia="ja-JP"/>
        </w:rPr>
        <w:t>05% to over 6</w:t>
      </w:r>
      <w:r>
        <w:rPr>
          <w:rFonts w:eastAsia="MS PGothic" w:cs="Times New Roman"/>
          <w:szCs w:val="24"/>
          <w:lang w:eastAsia="ja-JP"/>
        </w:rPr>
        <w:t>,</w:t>
      </w:r>
      <w:r w:rsidRPr="008A76E8">
        <w:rPr>
          <w:rFonts w:eastAsia="MS PGothic" w:cs="Times New Roman"/>
          <w:szCs w:val="24"/>
          <w:lang w:eastAsia="ja-JP"/>
        </w:rPr>
        <w:t>4% of GDP in the years following a major earthquake shock. In the case of floods, a similar situation is observed, with the fiscal deficit potentially increasing between 0</w:t>
      </w:r>
      <w:r>
        <w:rPr>
          <w:rFonts w:eastAsia="MS PGothic" w:cs="Times New Roman"/>
          <w:szCs w:val="24"/>
          <w:lang w:eastAsia="ja-JP"/>
        </w:rPr>
        <w:t>,</w:t>
      </w:r>
      <w:r w:rsidRPr="008A76E8">
        <w:rPr>
          <w:rFonts w:eastAsia="MS PGothic" w:cs="Times New Roman"/>
          <w:szCs w:val="24"/>
          <w:lang w:eastAsia="ja-JP"/>
        </w:rPr>
        <w:t>04% and 1</w:t>
      </w:r>
      <w:r>
        <w:rPr>
          <w:rFonts w:eastAsia="MS PGothic" w:cs="Times New Roman"/>
          <w:szCs w:val="24"/>
          <w:lang w:eastAsia="ja-JP"/>
        </w:rPr>
        <w:t>,</w:t>
      </w:r>
      <w:r w:rsidRPr="008A76E8">
        <w:rPr>
          <w:rFonts w:eastAsia="MS PGothic" w:cs="Times New Roman"/>
          <w:szCs w:val="24"/>
          <w:lang w:eastAsia="ja-JP"/>
        </w:rPr>
        <w:t>9% of GDP annually, which can further affect the growth of public debt by 0</w:t>
      </w:r>
      <w:r>
        <w:rPr>
          <w:rFonts w:eastAsia="MS PGothic" w:cs="Times New Roman"/>
          <w:szCs w:val="24"/>
          <w:lang w:eastAsia="ja-JP"/>
        </w:rPr>
        <w:t>,</w:t>
      </w:r>
      <w:r w:rsidRPr="008A76E8">
        <w:rPr>
          <w:rFonts w:eastAsia="MS PGothic" w:cs="Times New Roman"/>
          <w:szCs w:val="24"/>
          <w:lang w:eastAsia="ja-JP"/>
        </w:rPr>
        <w:t>06% to over 4</w:t>
      </w:r>
      <w:r>
        <w:rPr>
          <w:rFonts w:eastAsia="MS PGothic" w:cs="Times New Roman"/>
          <w:szCs w:val="24"/>
          <w:lang w:eastAsia="ja-JP"/>
        </w:rPr>
        <w:t>,</w:t>
      </w:r>
      <w:r w:rsidRPr="008A76E8">
        <w:rPr>
          <w:rFonts w:eastAsia="MS PGothic" w:cs="Times New Roman"/>
          <w:szCs w:val="24"/>
          <w:lang w:eastAsia="ja-JP"/>
        </w:rPr>
        <w:t>8% of GDP in the years following a lar</w:t>
      </w:r>
      <w:r>
        <w:rPr>
          <w:rFonts w:eastAsia="MS PGothic" w:cs="Times New Roman"/>
          <w:szCs w:val="24"/>
          <w:lang w:eastAsia="ja-JP"/>
        </w:rPr>
        <w:t>ge-scale flood shock</w:t>
      </w:r>
      <w:r w:rsidRPr="00AD7E7D">
        <w:rPr>
          <w:rFonts w:eastAsia="MS PGothic" w:cs="Times New Roman"/>
          <w:szCs w:val="24"/>
          <w:lang w:eastAsia="ja-JP"/>
        </w:rPr>
        <w:t>.</w:t>
      </w:r>
    </w:p>
    <w:p w14:paraId="0409AF54" w14:textId="3A61D67B" w:rsidR="00BC23B9" w:rsidRDefault="00BC23B9" w:rsidP="00994A6E">
      <w:pPr>
        <w:rPr>
          <w:rFonts w:eastAsia="MS PGothic" w:cs="Times New Roman"/>
          <w:i/>
          <w:szCs w:val="24"/>
          <w:lang w:eastAsia="ja-JP"/>
        </w:rPr>
      </w:pPr>
    </w:p>
    <w:p w14:paraId="31874FC6" w14:textId="6FC87920" w:rsidR="00994A6E" w:rsidRPr="00010E52" w:rsidRDefault="00994A6E" w:rsidP="00994A6E">
      <w:pPr>
        <w:rPr>
          <w:rFonts w:eastAsia="MS PGothic" w:cs="Times New Roman"/>
          <w:i/>
          <w:szCs w:val="24"/>
          <w:lang w:val="sr-Cyrl-RS" w:eastAsia="ja-JP"/>
        </w:rPr>
      </w:pPr>
      <w:r>
        <w:rPr>
          <w:rFonts w:eastAsia="MS PGothic" w:cs="Times New Roman"/>
          <w:i/>
          <w:szCs w:val="24"/>
          <w:lang w:eastAsia="ja-JP"/>
        </w:rPr>
        <w:t>Table</w:t>
      </w:r>
      <w:r w:rsidRPr="00010E52">
        <w:rPr>
          <w:rFonts w:eastAsia="MS PGothic" w:cs="Times New Roman"/>
          <w:i/>
          <w:szCs w:val="24"/>
          <w:lang w:val="sr-Cyrl-RS" w:eastAsia="ja-JP"/>
        </w:rPr>
        <w:t xml:space="preserve"> 1</w:t>
      </w:r>
      <w:r>
        <w:rPr>
          <w:rFonts w:eastAsia="MS PGothic" w:cs="Times New Roman"/>
          <w:i/>
          <w:szCs w:val="24"/>
          <w:lang w:val="sr-Latn-RS" w:eastAsia="ja-JP"/>
        </w:rPr>
        <w:t>5</w:t>
      </w:r>
      <w:r w:rsidRPr="00010E52">
        <w:rPr>
          <w:rFonts w:eastAsia="MS PGothic" w:cs="Times New Roman"/>
          <w:i/>
          <w:szCs w:val="24"/>
          <w:lang w:val="sr-Cyrl-RS" w:eastAsia="ja-JP"/>
        </w:rPr>
        <w:t xml:space="preserve">. </w:t>
      </w:r>
      <w:r w:rsidRPr="008A76E8">
        <w:rPr>
          <w:rFonts w:eastAsia="MS PGothic" w:cs="Times New Roman"/>
          <w:i/>
          <w:szCs w:val="24"/>
          <w:lang w:val="sr-Cyrl-RS" w:eastAsia="ja-JP"/>
        </w:rPr>
        <w:t>Changes in fiscal variables depending on the type of natural disasters, as a percentage of GDP</w:t>
      </w:r>
    </w:p>
    <w:tbl>
      <w:tblPr>
        <w:tblW w:w="9065" w:type="dxa"/>
        <w:tblLook w:val="04A0" w:firstRow="1" w:lastRow="0" w:firstColumn="1" w:lastColumn="0" w:noHBand="0" w:noVBand="1"/>
      </w:tblPr>
      <w:tblGrid>
        <w:gridCol w:w="517"/>
        <w:gridCol w:w="1592"/>
        <w:gridCol w:w="1422"/>
        <w:gridCol w:w="1382"/>
        <w:gridCol w:w="1384"/>
        <w:gridCol w:w="1384"/>
        <w:gridCol w:w="1384"/>
      </w:tblGrid>
      <w:tr w:rsidR="00994A6E" w:rsidRPr="00AD7E7D" w14:paraId="24E5194B" w14:textId="77777777" w:rsidTr="000D4F3F">
        <w:trPr>
          <w:trHeight w:val="716"/>
          <w:tblHeader/>
        </w:trPr>
        <w:tc>
          <w:tcPr>
            <w:tcW w:w="2109" w:type="dxa"/>
            <w:gridSpan w:val="2"/>
            <w:tcBorders>
              <w:top w:val="nil"/>
              <w:left w:val="nil"/>
              <w:bottom w:val="single" w:sz="4" w:space="0" w:color="auto"/>
              <w:right w:val="nil"/>
            </w:tcBorders>
            <w:shd w:val="clear" w:color="auto" w:fill="auto"/>
            <w:vAlign w:val="center"/>
            <w:hideMark/>
          </w:tcPr>
          <w:p w14:paraId="2F0C1F5F" w14:textId="77777777" w:rsidR="00994A6E" w:rsidRPr="00AD7E7D" w:rsidRDefault="00994A6E" w:rsidP="008C56D0">
            <w:pPr>
              <w:spacing w:after="0"/>
              <w:jc w:val="center"/>
              <w:rPr>
                <w:rFonts w:eastAsia="Times New Roman" w:cs="Times New Roman"/>
                <w:szCs w:val="24"/>
              </w:rPr>
            </w:pPr>
            <w:r>
              <w:rPr>
                <w:rFonts w:eastAsia="Times New Roman" w:cs="Times New Roman"/>
                <w:szCs w:val="24"/>
              </w:rPr>
              <w:t>Scenario</w:t>
            </w:r>
          </w:p>
        </w:tc>
        <w:tc>
          <w:tcPr>
            <w:tcW w:w="1422" w:type="dxa"/>
            <w:tcBorders>
              <w:top w:val="nil"/>
              <w:left w:val="nil"/>
              <w:bottom w:val="single" w:sz="4" w:space="0" w:color="auto"/>
              <w:right w:val="nil"/>
            </w:tcBorders>
            <w:shd w:val="clear" w:color="auto" w:fill="auto"/>
            <w:vAlign w:val="center"/>
            <w:hideMark/>
          </w:tcPr>
          <w:p w14:paraId="7F1C3B14" w14:textId="77777777" w:rsidR="00994A6E" w:rsidRPr="00AD7E7D" w:rsidRDefault="00994A6E" w:rsidP="008C56D0">
            <w:pPr>
              <w:spacing w:after="0"/>
              <w:jc w:val="right"/>
              <w:rPr>
                <w:rFonts w:eastAsia="Times New Roman" w:cs="Times New Roman"/>
                <w:szCs w:val="24"/>
              </w:rPr>
            </w:pPr>
            <w:r w:rsidRPr="00E306C7">
              <w:rPr>
                <w:rFonts w:eastAsia="Times New Roman" w:cs="Times New Roman"/>
                <w:szCs w:val="24"/>
              </w:rPr>
              <w:t>Probability of events</w:t>
            </w:r>
          </w:p>
        </w:tc>
        <w:tc>
          <w:tcPr>
            <w:tcW w:w="1382" w:type="dxa"/>
            <w:tcBorders>
              <w:top w:val="nil"/>
              <w:left w:val="nil"/>
              <w:bottom w:val="single" w:sz="4" w:space="0" w:color="auto"/>
              <w:right w:val="nil"/>
            </w:tcBorders>
            <w:shd w:val="clear" w:color="auto" w:fill="auto"/>
            <w:vAlign w:val="center"/>
            <w:hideMark/>
          </w:tcPr>
          <w:p w14:paraId="7913579D"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2024</w:t>
            </w:r>
          </w:p>
        </w:tc>
        <w:tc>
          <w:tcPr>
            <w:tcW w:w="1384" w:type="dxa"/>
            <w:tcBorders>
              <w:top w:val="nil"/>
              <w:left w:val="nil"/>
              <w:bottom w:val="single" w:sz="4" w:space="0" w:color="auto"/>
              <w:right w:val="nil"/>
            </w:tcBorders>
            <w:shd w:val="clear" w:color="auto" w:fill="auto"/>
            <w:vAlign w:val="center"/>
            <w:hideMark/>
          </w:tcPr>
          <w:p w14:paraId="76150ADB"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2025</w:t>
            </w:r>
          </w:p>
        </w:tc>
        <w:tc>
          <w:tcPr>
            <w:tcW w:w="1384" w:type="dxa"/>
            <w:tcBorders>
              <w:top w:val="nil"/>
              <w:left w:val="nil"/>
              <w:bottom w:val="single" w:sz="4" w:space="0" w:color="auto"/>
              <w:right w:val="nil"/>
            </w:tcBorders>
            <w:shd w:val="clear" w:color="auto" w:fill="auto"/>
            <w:vAlign w:val="center"/>
            <w:hideMark/>
          </w:tcPr>
          <w:p w14:paraId="204E7842"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2026</w:t>
            </w:r>
          </w:p>
        </w:tc>
        <w:tc>
          <w:tcPr>
            <w:tcW w:w="1384" w:type="dxa"/>
            <w:tcBorders>
              <w:top w:val="nil"/>
              <w:left w:val="nil"/>
              <w:bottom w:val="single" w:sz="4" w:space="0" w:color="auto"/>
              <w:right w:val="nil"/>
            </w:tcBorders>
            <w:shd w:val="clear" w:color="auto" w:fill="auto"/>
            <w:vAlign w:val="center"/>
            <w:hideMark/>
          </w:tcPr>
          <w:p w14:paraId="7D6849D3"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2027</w:t>
            </w:r>
          </w:p>
        </w:tc>
      </w:tr>
      <w:tr w:rsidR="00994A6E" w:rsidRPr="00AD7E7D" w14:paraId="1F84A140" w14:textId="77777777" w:rsidTr="008C56D0">
        <w:trPr>
          <w:trHeight w:val="238"/>
        </w:trPr>
        <w:tc>
          <w:tcPr>
            <w:tcW w:w="517" w:type="dxa"/>
            <w:vMerge w:val="restart"/>
            <w:tcBorders>
              <w:top w:val="nil"/>
              <w:left w:val="nil"/>
              <w:bottom w:val="single" w:sz="4" w:space="0" w:color="000000"/>
              <w:right w:val="nil"/>
            </w:tcBorders>
            <w:shd w:val="clear" w:color="auto" w:fill="auto"/>
            <w:noWrap/>
            <w:textDirection w:val="btLr"/>
            <w:vAlign w:val="center"/>
            <w:hideMark/>
          </w:tcPr>
          <w:p w14:paraId="04080C9F" w14:textId="77777777" w:rsidR="00994A6E" w:rsidRPr="00AD7E7D" w:rsidRDefault="00994A6E" w:rsidP="008C56D0">
            <w:pPr>
              <w:spacing w:after="0"/>
              <w:jc w:val="center"/>
              <w:rPr>
                <w:rFonts w:eastAsia="Times New Roman" w:cs="Times New Roman"/>
                <w:szCs w:val="24"/>
              </w:rPr>
            </w:pPr>
            <w:r w:rsidRPr="00E306C7">
              <w:rPr>
                <w:rFonts w:eastAsia="Times New Roman" w:cs="Times New Roman"/>
                <w:szCs w:val="24"/>
              </w:rPr>
              <w:t>EARTHQUAKES</w:t>
            </w:r>
          </w:p>
        </w:tc>
        <w:tc>
          <w:tcPr>
            <w:tcW w:w="1592" w:type="dxa"/>
            <w:vMerge w:val="restart"/>
            <w:tcBorders>
              <w:top w:val="nil"/>
              <w:left w:val="nil"/>
              <w:bottom w:val="nil"/>
              <w:right w:val="single" w:sz="4" w:space="0" w:color="auto"/>
            </w:tcBorders>
            <w:shd w:val="clear" w:color="auto" w:fill="auto"/>
            <w:vAlign w:val="center"/>
            <w:hideMark/>
          </w:tcPr>
          <w:p w14:paraId="43D8CFFB" w14:textId="77777777" w:rsidR="00994A6E" w:rsidRPr="00AD7E7D" w:rsidRDefault="00994A6E" w:rsidP="008C56D0">
            <w:pPr>
              <w:spacing w:after="0"/>
              <w:jc w:val="center"/>
              <w:rPr>
                <w:rFonts w:eastAsia="Times New Roman" w:cs="Times New Roman"/>
                <w:szCs w:val="24"/>
              </w:rPr>
            </w:pPr>
            <w:r>
              <w:rPr>
                <w:rFonts w:eastAsia="Times New Roman" w:cs="Times New Roman"/>
                <w:szCs w:val="24"/>
              </w:rPr>
              <w:t>Fiscal balance</w:t>
            </w:r>
          </w:p>
        </w:tc>
        <w:tc>
          <w:tcPr>
            <w:tcW w:w="1422" w:type="dxa"/>
            <w:tcBorders>
              <w:top w:val="nil"/>
              <w:left w:val="nil"/>
              <w:bottom w:val="nil"/>
              <w:right w:val="nil"/>
            </w:tcBorders>
            <w:shd w:val="clear" w:color="auto" w:fill="auto"/>
            <w:vAlign w:val="center"/>
            <w:hideMark/>
          </w:tcPr>
          <w:p w14:paraId="6FAFAE11"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50%</w:t>
            </w:r>
          </w:p>
        </w:tc>
        <w:tc>
          <w:tcPr>
            <w:tcW w:w="1382" w:type="dxa"/>
            <w:tcBorders>
              <w:top w:val="nil"/>
              <w:left w:val="nil"/>
              <w:bottom w:val="nil"/>
              <w:right w:val="nil"/>
            </w:tcBorders>
            <w:shd w:val="clear" w:color="auto" w:fill="auto"/>
            <w:vAlign w:val="center"/>
            <w:hideMark/>
          </w:tcPr>
          <w:p w14:paraId="41B5B2DE"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nil"/>
              <w:left w:val="nil"/>
              <w:bottom w:val="nil"/>
              <w:right w:val="nil"/>
            </w:tcBorders>
            <w:shd w:val="clear" w:color="auto" w:fill="auto"/>
            <w:vAlign w:val="center"/>
            <w:hideMark/>
          </w:tcPr>
          <w:p w14:paraId="729BCFAE"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nil"/>
              <w:left w:val="nil"/>
              <w:bottom w:val="nil"/>
              <w:right w:val="nil"/>
            </w:tcBorders>
            <w:shd w:val="clear" w:color="auto" w:fill="auto"/>
            <w:vAlign w:val="center"/>
            <w:hideMark/>
          </w:tcPr>
          <w:p w14:paraId="5E7B28AA"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nil"/>
              <w:left w:val="nil"/>
              <w:bottom w:val="nil"/>
              <w:right w:val="nil"/>
            </w:tcBorders>
            <w:shd w:val="clear" w:color="auto" w:fill="auto"/>
            <w:vAlign w:val="center"/>
            <w:hideMark/>
          </w:tcPr>
          <w:p w14:paraId="35D3F5AC"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0,00</w:t>
            </w:r>
          </w:p>
        </w:tc>
      </w:tr>
      <w:tr w:rsidR="00994A6E" w:rsidRPr="00AD7E7D" w14:paraId="33105BE7" w14:textId="77777777" w:rsidTr="008C56D0">
        <w:trPr>
          <w:trHeight w:val="238"/>
        </w:trPr>
        <w:tc>
          <w:tcPr>
            <w:tcW w:w="517" w:type="dxa"/>
            <w:vMerge/>
            <w:tcBorders>
              <w:top w:val="nil"/>
              <w:left w:val="nil"/>
              <w:bottom w:val="single" w:sz="4" w:space="0" w:color="000000"/>
              <w:right w:val="nil"/>
            </w:tcBorders>
            <w:vAlign w:val="center"/>
            <w:hideMark/>
          </w:tcPr>
          <w:p w14:paraId="3E2ADEF4"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0DB81428"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69E9EA04"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10%</w:t>
            </w:r>
          </w:p>
        </w:tc>
        <w:tc>
          <w:tcPr>
            <w:tcW w:w="1382" w:type="dxa"/>
            <w:tcBorders>
              <w:top w:val="nil"/>
              <w:left w:val="nil"/>
              <w:bottom w:val="nil"/>
              <w:right w:val="nil"/>
            </w:tcBorders>
            <w:shd w:val="clear" w:color="auto" w:fill="auto"/>
            <w:vAlign w:val="center"/>
            <w:hideMark/>
          </w:tcPr>
          <w:p w14:paraId="4DC39117"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-0,04</w:t>
            </w:r>
          </w:p>
        </w:tc>
        <w:tc>
          <w:tcPr>
            <w:tcW w:w="1384" w:type="dxa"/>
            <w:tcBorders>
              <w:top w:val="nil"/>
              <w:left w:val="nil"/>
              <w:bottom w:val="nil"/>
              <w:right w:val="nil"/>
            </w:tcBorders>
            <w:shd w:val="clear" w:color="auto" w:fill="auto"/>
            <w:vAlign w:val="center"/>
            <w:hideMark/>
          </w:tcPr>
          <w:p w14:paraId="62A1FFF0"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-0,04</w:t>
            </w:r>
          </w:p>
        </w:tc>
        <w:tc>
          <w:tcPr>
            <w:tcW w:w="1384" w:type="dxa"/>
            <w:tcBorders>
              <w:top w:val="nil"/>
              <w:left w:val="nil"/>
              <w:bottom w:val="nil"/>
              <w:right w:val="nil"/>
            </w:tcBorders>
            <w:shd w:val="clear" w:color="auto" w:fill="auto"/>
            <w:vAlign w:val="center"/>
            <w:hideMark/>
          </w:tcPr>
          <w:p w14:paraId="7BE47931"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-0,03</w:t>
            </w:r>
          </w:p>
        </w:tc>
        <w:tc>
          <w:tcPr>
            <w:tcW w:w="1384" w:type="dxa"/>
            <w:tcBorders>
              <w:top w:val="nil"/>
              <w:left w:val="nil"/>
              <w:bottom w:val="nil"/>
              <w:right w:val="nil"/>
            </w:tcBorders>
            <w:shd w:val="clear" w:color="auto" w:fill="auto"/>
            <w:vAlign w:val="center"/>
            <w:hideMark/>
          </w:tcPr>
          <w:p w14:paraId="070A594C"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-0,02</w:t>
            </w:r>
          </w:p>
        </w:tc>
      </w:tr>
      <w:tr w:rsidR="00994A6E" w:rsidRPr="00AD7E7D" w14:paraId="07682407" w14:textId="77777777" w:rsidTr="008C56D0">
        <w:trPr>
          <w:trHeight w:val="238"/>
        </w:trPr>
        <w:tc>
          <w:tcPr>
            <w:tcW w:w="517" w:type="dxa"/>
            <w:vMerge/>
            <w:tcBorders>
              <w:top w:val="nil"/>
              <w:left w:val="nil"/>
              <w:bottom w:val="single" w:sz="4" w:space="0" w:color="000000"/>
              <w:right w:val="nil"/>
            </w:tcBorders>
            <w:vAlign w:val="center"/>
            <w:hideMark/>
          </w:tcPr>
          <w:p w14:paraId="15A2759A"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14864FC4"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7FAEDC3B"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w:t>
            </w:r>
          </w:p>
        </w:tc>
        <w:tc>
          <w:tcPr>
            <w:tcW w:w="1382" w:type="dxa"/>
            <w:tcBorders>
              <w:top w:val="nil"/>
              <w:left w:val="nil"/>
              <w:bottom w:val="nil"/>
              <w:right w:val="nil"/>
            </w:tcBorders>
            <w:shd w:val="clear" w:color="auto" w:fill="auto"/>
            <w:vAlign w:val="center"/>
            <w:hideMark/>
          </w:tcPr>
          <w:p w14:paraId="7243AEF4"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-0,40</w:t>
            </w:r>
          </w:p>
        </w:tc>
        <w:tc>
          <w:tcPr>
            <w:tcW w:w="1384" w:type="dxa"/>
            <w:tcBorders>
              <w:top w:val="nil"/>
              <w:left w:val="nil"/>
              <w:bottom w:val="nil"/>
              <w:right w:val="nil"/>
            </w:tcBorders>
            <w:shd w:val="clear" w:color="auto" w:fill="auto"/>
            <w:vAlign w:val="center"/>
            <w:hideMark/>
          </w:tcPr>
          <w:p w14:paraId="299BB9A8"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-0,39</w:t>
            </w:r>
          </w:p>
        </w:tc>
        <w:tc>
          <w:tcPr>
            <w:tcW w:w="1384" w:type="dxa"/>
            <w:tcBorders>
              <w:top w:val="nil"/>
              <w:left w:val="nil"/>
              <w:bottom w:val="nil"/>
              <w:right w:val="nil"/>
            </w:tcBorders>
            <w:shd w:val="clear" w:color="auto" w:fill="auto"/>
            <w:vAlign w:val="center"/>
            <w:hideMark/>
          </w:tcPr>
          <w:p w14:paraId="562E34FA"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-0,23</w:t>
            </w:r>
          </w:p>
        </w:tc>
        <w:tc>
          <w:tcPr>
            <w:tcW w:w="1384" w:type="dxa"/>
            <w:tcBorders>
              <w:top w:val="nil"/>
              <w:left w:val="nil"/>
              <w:bottom w:val="nil"/>
              <w:right w:val="nil"/>
            </w:tcBorders>
            <w:shd w:val="clear" w:color="auto" w:fill="auto"/>
            <w:vAlign w:val="center"/>
            <w:hideMark/>
          </w:tcPr>
          <w:p w14:paraId="45B33795"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-0,15</w:t>
            </w:r>
          </w:p>
        </w:tc>
      </w:tr>
      <w:tr w:rsidR="00994A6E" w:rsidRPr="00AD7E7D" w14:paraId="776289BC" w14:textId="77777777" w:rsidTr="008C56D0">
        <w:trPr>
          <w:trHeight w:val="238"/>
        </w:trPr>
        <w:tc>
          <w:tcPr>
            <w:tcW w:w="517" w:type="dxa"/>
            <w:vMerge/>
            <w:tcBorders>
              <w:top w:val="nil"/>
              <w:left w:val="nil"/>
              <w:bottom w:val="single" w:sz="4" w:space="0" w:color="000000"/>
              <w:right w:val="nil"/>
            </w:tcBorders>
            <w:vAlign w:val="center"/>
            <w:hideMark/>
          </w:tcPr>
          <w:p w14:paraId="413ACC4D"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07BC82D0"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65F31B0F"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w:t>
            </w:r>
          </w:p>
        </w:tc>
        <w:tc>
          <w:tcPr>
            <w:tcW w:w="1382" w:type="dxa"/>
            <w:tcBorders>
              <w:top w:val="nil"/>
              <w:left w:val="nil"/>
              <w:bottom w:val="nil"/>
              <w:right w:val="nil"/>
            </w:tcBorders>
            <w:shd w:val="clear" w:color="auto" w:fill="auto"/>
            <w:vAlign w:val="center"/>
            <w:hideMark/>
          </w:tcPr>
          <w:p w14:paraId="3A6202D0"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-0,78</w:t>
            </w:r>
          </w:p>
        </w:tc>
        <w:tc>
          <w:tcPr>
            <w:tcW w:w="1384" w:type="dxa"/>
            <w:tcBorders>
              <w:top w:val="nil"/>
              <w:left w:val="nil"/>
              <w:bottom w:val="nil"/>
              <w:right w:val="nil"/>
            </w:tcBorders>
            <w:shd w:val="clear" w:color="auto" w:fill="auto"/>
            <w:vAlign w:val="center"/>
            <w:hideMark/>
          </w:tcPr>
          <w:p w14:paraId="5D12C2C6"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-0,77</w:t>
            </w:r>
          </w:p>
        </w:tc>
        <w:tc>
          <w:tcPr>
            <w:tcW w:w="1384" w:type="dxa"/>
            <w:tcBorders>
              <w:top w:val="nil"/>
              <w:left w:val="nil"/>
              <w:bottom w:val="nil"/>
              <w:right w:val="nil"/>
            </w:tcBorders>
            <w:shd w:val="clear" w:color="auto" w:fill="auto"/>
            <w:vAlign w:val="center"/>
            <w:hideMark/>
          </w:tcPr>
          <w:p w14:paraId="33C6FE45"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-0,45</w:t>
            </w:r>
          </w:p>
        </w:tc>
        <w:tc>
          <w:tcPr>
            <w:tcW w:w="1384" w:type="dxa"/>
            <w:tcBorders>
              <w:top w:val="nil"/>
              <w:left w:val="nil"/>
              <w:bottom w:val="nil"/>
              <w:right w:val="nil"/>
            </w:tcBorders>
            <w:shd w:val="clear" w:color="auto" w:fill="auto"/>
            <w:vAlign w:val="center"/>
            <w:hideMark/>
          </w:tcPr>
          <w:p w14:paraId="74157CD2"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-0,30</w:t>
            </w:r>
          </w:p>
        </w:tc>
      </w:tr>
      <w:tr w:rsidR="00994A6E" w:rsidRPr="00AD7E7D" w14:paraId="6423AA97" w14:textId="77777777" w:rsidTr="008C56D0">
        <w:trPr>
          <w:trHeight w:val="238"/>
        </w:trPr>
        <w:tc>
          <w:tcPr>
            <w:tcW w:w="517" w:type="dxa"/>
            <w:vMerge/>
            <w:tcBorders>
              <w:top w:val="nil"/>
              <w:left w:val="nil"/>
              <w:bottom w:val="single" w:sz="4" w:space="0" w:color="000000"/>
              <w:right w:val="nil"/>
            </w:tcBorders>
            <w:vAlign w:val="center"/>
            <w:hideMark/>
          </w:tcPr>
          <w:p w14:paraId="1A4ADE78"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45456E18"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single" w:sz="4" w:space="0" w:color="auto"/>
              <w:right w:val="nil"/>
            </w:tcBorders>
            <w:shd w:val="clear" w:color="auto" w:fill="auto"/>
            <w:vAlign w:val="center"/>
            <w:hideMark/>
          </w:tcPr>
          <w:p w14:paraId="139D7A05"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0,4%</w:t>
            </w:r>
          </w:p>
        </w:tc>
        <w:tc>
          <w:tcPr>
            <w:tcW w:w="1382" w:type="dxa"/>
            <w:tcBorders>
              <w:top w:val="nil"/>
              <w:left w:val="nil"/>
              <w:bottom w:val="single" w:sz="4" w:space="0" w:color="auto"/>
              <w:right w:val="nil"/>
            </w:tcBorders>
            <w:shd w:val="clear" w:color="auto" w:fill="auto"/>
            <w:vAlign w:val="center"/>
            <w:hideMark/>
          </w:tcPr>
          <w:p w14:paraId="1B5EC97E"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-2,52</w:t>
            </w:r>
          </w:p>
        </w:tc>
        <w:tc>
          <w:tcPr>
            <w:tcW w:w="1384" w:type="dxa"/>
            <w:tcBorders>
              <w:top w:val="nil"/>
              <w:left w:val="nil"/>
              <w:bottom w:val="single" w:sz="4" w:space="0" w:color="auto"/>
              <w:right w:val="nil"/>
            </w:tcBorders>
            <w:shd w:val="clear" w:color="auto" w:fill="auto"/>
            <w:vAlign w:val="center"/>
            <w:hideMark/>
          </w:tcPr>
          <w:p w14:paraId="1E6498AE"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-2,50</w:t>
            </w:r>
          </w:p>
        </w:tc>
        <w:tc>
          <w:tcPr>
            <w:tcW w:w="1384" w:type="dxa"/>
            <w:tcBorders>
              <w:top w:val="nil"/>
              <w:left w:val="nil"/>
              <w:bottom w:val="single" w:sz="4" w:space="0" w:color="auto"/>
              <w:right w:val="nil"/>
            </w:tcBorders>
            <w:shd w:val="clear" w:color="auto" w:fill="auto"/>
            <w:vAlign w:val="center"/>
            <w:hideMark/>
          </w:tcPr>
          <w:p w14:paraId="1441FDA4"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-1,47</w:t>
            </w:r>
          </w:p>
        </w:tc>
        <w:tc>
          <w:tcPr>
            <w:tcW w:w="1384" w:type="dxa"/>
            <w:tcBorders>
              <w:top w:val="nil"/>
              <w:left w:val="nil"/>
              <w:bottom w:val="single" w:sz="4" w:space="0" w:color="auto"/>
              <w:right w:val="nil"/>
            </w:tcBorders>
            <w:shd w:val="clear" w:color="auto" w:fill="auto"/>
            <w:vAlign w:val="center"/>
            <w:hideMark/>
          </w:tcPr>
          <w:p w14:paraId="42AC396C"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-0,98</w:t>
            </w:r>
          </w:p>
        </w:tc>
      </w:tr>
      <w:tr w:rsidR="00994A6E" w:rsidRPr="00AD7E7D" w14:paraId="37734324" w14:textId="77777777" w:rsidTr="008C56D0">
        <w:trPr>
          <w:trHeight w:val="238"/>
        </w:trPr>
        <w:tc>
          <w:tcPr>
            <w:tcW w:w="517" w:type="dxa"/>
            <w:vMerge/>
            <w:tcBorders>
              <w:top w:val="nil"/>
              <w:left w:val="nil"/>
              <w:bottom w:val="single" w:sz="4" w:space="0" w:color="000000"/>
              <w:right w:val="nil"/>
            </w:tcBorders>
            <w:vAlign w:val="center"/>
            <w:hideMark/>
          </w:tcPr>
          <w:p w14:paraId="47545233" w14:textId="77777777" w:rsidR="00994A6E" w:rsidRPr="00AD7E7D" w:rsidRDefault="00994A6E" w:rsidP="008C56D0">
            <w:pPr>
              <w:spacing w:after="0"/>
              <w:jc w:val="left"/>
              <w:rPr>
                <w:rFonts w:eastAsia="Times New Roman" w:cs="Times New Roman"/>
                <w:szCs w:val="24"/>
              </w:rPr>
            </w:pPr>
          </w:p>
        </w:tc>
        <w:tc>
          <w:tcPr>
            <w:tcW w:w="1592" w:type="dxa"/>
            <w:vMerge w:val="restart"/>
            <w:tcBorders>
              <w:top w:val="nil"/>
              <w:left w:val="nil"/>
              <w:bottom w:val="single" w:sz="4" w:space="0" w:color="000000"/>
              <w:right w:val="single" w:sz="4" w:space="0" w:color="auto"/>
            </w:tcBorders>
            <w:shd w:val="clear" w:color="auto" w:fill="auto"/>
            <w:vAlign w:val="center"/>
            <w:hideMark/>
          </w:tcPr>
          <w:p w14:paraId="08E24539" w14:textId="77777777" w:rsidR="00994A6E" w:rsidRPr="00AD7E7D" w:rsidRDefault="00994A6E" w:rsidP="008C56D0">
            <w:pPr>
              <w:spacing w:after="0"/>
              <w:jc w:val="center"/>
              <w:rPr>
                <w:rFonts w:eastAsia="Times New Roman" w:cs="Times New Roman"/>
                <w:szCs w:val="24"/>
              </w:rPr>
            </w:pPr>
            <w:r>
              <w:rPr>
                <w:rFonts w:eastAsia="Times New Roman" w:cs="Times New Roman"/>
                <w:szCs w:val="24"/>
              </w:rPr>
              <w:t>Public debt</w:t>
            </w:r>
          </w:p>
        </w:tc>
        <w:tc>
          <w:tcPr>
            <w:tcW w:w="1422" w:type="dxa"/>
            <w:tcBorders>
              <w:top w:val="single" w:sz="4" w:space="0" w:color="auto"/>
              <w:left w:val="nil"/>
              <w:bottom w:val="nil"/>
              <w:right w:val="nil"/>
            </w:tcBorders>
            <w:shd w:val="clear" w:color="auto" w:fill="auto"/>
            <w:vAlign w:val="center"/>
            <w:hideMark/>
          </w:tcPr>
          <w:p w14:paraId="6B865540"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50%</w:t>
            </w:r>
          </w:p>
        </w:tc>
        <w:tc>
          <w:tcPr>
            <w:tcW w:w="1382" w:type="dxa"/>
            <w:tcBorders>
              <w:top w:val="single" w:sz="4" w:space="0" w:color="auto"/>
              <w:left w:val="nil"/>
              <w:bottom w:val="nil"/>
              <w:right w:val="nil"/>
            </w:tcBorders>
            <w:shd w:val="clear" w:color="auto" w:fill="auto"/>
            <w:vAlign w:val="center"/>
            <w:hideMark/>
          </w:tcPr>
          <w:p w14:paraId="1B816546"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single" w:sz="4" w:space="0" w:color="auto"/>
              <w:left w:val="nil"/>
              <w:bottom w:val="nil"/>
              <w:right w:val="nil"/>
            </w:tcBorders>
            <w:shd w:val="clear" w:color="auto" w:fill="auto"/>
            <w:vAlign w:val="center"/>
            <w:hideMark/>
          </w:tcPr>
          <w:p w14:paraId="4E16ECFF"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single" w:sz="4" w:space="0" w:color="auto"/>
              <w:left w:val="nil"/>
              <w:bottom w:val="nil"/>
              <w:right w:val="nil"/>
            </w:tcBorders>
            <w:shd w:val="clear" w:color="auto" w:fill="auto"/>
            <w:vAlign w:val="center"/>
            <w:hideMark/>
          </w:tcPr>
          <w:p w14:paraId="608EBFD0"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single" w:sz="4" w:space="0" w:color="auto"/>
              <w:left w:val="nil"/>
              <w:bottom w:val="nil"/>
              <w:right w:val="nil"/>
            </w:tcBorders>
            <w:shd w:val="clear" w:color="auto" w:fill="auto"/>
            <w:vAlign w:val="center"/>
            <w:hideMark/>
          </w:tcPr>
          <w:p w14:paraId="5F616BD9"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0,00</w:t>
            </w:r>
          </w:p>
        </w:tc>
      </w:tr>
      <w:tr w:rsidR="00994A6E" w:rsidRPr="00AD7E7D" w14:paraId="40D734EA" w14:textId="77777777" w:rsidTr="008C56D0">
        <w:trPr>
          <w:trHeight w:val="238"/>
        </w:trPr>
        <w:tc>
          <w:tcPr>
            <w:tcW w:w="517" w:type="dxa"/>
            <w:vMerge/>
            <w:tcBorders>
              <w:top w:val="nil"/>
              <w:left w:val="nil"/>
              <w:bottom w:val="single" w:sz="4" w:space="0" w:color="000000"/>
              <w:right w:val="nil"/>
            </w:tcBorders>
            <w:vAlign w:val="center"/>
            <w:hideMark/>
          </w:tcPr>
          <w:p w14:paraId="5BE397B7"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454026F0"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4922AEC3"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10%</w:t>
            </w:r>
          </w:p>
        </w:tc>
        <w:tc>
          <w:tcPr>
            <w:tcW w:w="1382" w:type="dxa"/>
            <w:tcBorders>
              <w:top w:val="nil"/>
              <w:left w:val="nil"/>
              <w:bottom w:val="nil"/>
              <w:right w:val="nil"/>
            </w:tcBorders>
            <w:shd w:val="clear" w:color="auto" w:fill="auto"/>
            <w:vAlign w:val="center"/>
            <w:hideMark/>
          </w:tcPr>
          <w:p w14:paraId="5297460E"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0,05</w:t>
            </w:r>
          </w:p>
        </w:tc>
        <w:tc>
          <w:tcPr>
            <w:tcW w:w="1384" w:type="dxa"/>
            <w:tcBorders>
              <w:top w:val="nil"/>
              <w:left w:val="nil"/>
              <w:bottom w:val="nil"/>
              <w:right w:val="nil"/>
            </w:tcBorders>
            <w:shd w:val="clear" w:color="auto" w:fill="auto"/>
            <w:vAlign w:val="center"/>
            <w:hideMark/>
          </w:tcPr>
          <w:p w14:paraId="1067716A"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0,09</w:t>
            </w:r>
          </w:p>
        </w:tc>
        <w:tc>
          <w:tcPr>
            <w:tcW w:w="1384" w:type="dxa"/>
            <w:tcBorders>
              <w:top w:val="nil"/>
              <w:left w:val="nil"/>
              <w:bottom w:val="nil"/>
              <w:right w:val="nil"/>
            </w:tcBorders>
            <w:shd w:val="clear" w:color="auto" w:fill="auto"/>
            <w:vAlign w:val="center"/>
            <w:hideMark/>
          </w:tcPr>
          <w:p w14:paraId="6B769951"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0,11</w:t>
            </w:r>
          </w:p>
        </w:tc>
        <w:tc>
          <w:tcPr>
            <w:tcW w:w="1384" w:type="dxa"/>
            <w:tcBorders>
              <w:top w:val="nil"/>
              <w:left w:val="nil"/>
              <w:bottom w:val="nil"/>
              <w:right w:val="nil"/>
            </w:tcBorders>
            <w:shd w:val="clear" w:color="auto" w:fill="auto"/>
            <w:vAlign w:val="center"/>
            <w:hideMark/>
          </w:tcPr>
          <w:p w14:paraId="3FE49FE7"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0,11</w:t>
            </w:r>
          </w:p>
        </w:tc>
      </w:tr>
      <w:tr w:rsidR="00994A6E" w:rsidRPr="00AD7E7D" w14:paraId="4E1E645A" w14:textId="77777777" w:rsidTr="008C56D0">
        <w:trPr>
          <w:trHeight w:val="238"/>
        </w:trPr>
        <w:tc>
          <w:tcPr>
            <w:tcW w:w="517" w:type="dxa"/>
            <w:vMerge/>
            <w:tcBorders>
              <w:top w:val="nil"/>
              <w:left w:val="nil"/>
              <w:bottom w:val="single" w:sz="4" w:space="0" w:color="000000"/>
              <w:right w:val="nil"/>
            </w:tcBorders>
            <w:vAlign w:val="center"/>
            <w:hideMark/>
          </w:tcPr>
          <w:p w14:paraId="1B15C03D"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2C7CA5B9"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44EE8193"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w:t>
            </w:r>
          </w:p>
        </w:tc>
        <w:tc>
          <w:tcPr>
            <w:tcW w:w="1382" w:type="dxa"/>
            <w:tcBorders>
              <w:top w:val="nil"/>
              <w:left w:val="nil"/>
              <w:bottom w:val="nil"/>
              <w:right w:val="nil"/>
            </w:tcBorders>
            <w:shd w:val="clear" w:color="auto" w:fill="auto"/>
            <w:vAlign w:val="center"/>
            <w:hideMark/>
          </w:tcPr>
          <w:p w14:paraId="0CEDB64D"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0,50</w:t>
            </w:r>
          </w:p>
        </w:tc>
        <w:tc>
          <w:tcPr>
            <w:tcW w:w="1384" w:type="dxa"/>
            <w:tcBorders>
              <w:top w:val="nil"/>
              <w:left w:val="nil"/>
              <w:bottom w:val="nil"/>
              <w:right w:val="nil"/>
            </w:tcBorders>
            <w:shd w:val="clear" w:color="auto" w:fill="auto"/>
            <w:vAlign w:val="center"/>
            <w:hideMark/>
          </w:tcPr>
          <w:p w14:paraId="16776FE8"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0,83</w:t>
            </w:r>
          </w:p>
        </w:tc>
        <w:tc>
          <w:tcPr>
            <w:tcW w:w="1384" w:type="dxa"/>
            <w:tcBorders>
              <w:top w:val="nil"/>
              <w:left w:val="nil"/>
              <w:bottom w:val="nil"/>
              <w:right w:val="nil"/>
            </w:tcBorders>
            <w:shd w:val="clear" w:color="auto" w:fill="auto"/>
            <w:vAlign w:val="center"/>
            <w:hideMark/>
          </w:tcPr>
          <w:p w14:paraId="7F0CD924"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0,97</w:t>
            </w:r>
          </w:p>
        </w:tc>
        <w:tc>
          <w:tcPr>
            <w:tcW w:w="1384" w:type="dxa"/>
            <w:tcBorders>
              <w:top w:val="nil"/>
              <w:left w:val="nil"/>
              <w:bottom w:val="nil"/>
              <w:right w:val="nil"/>
            </w:tcBorders>
            <w:shd w:val="clear" w:color="auto" w:fill="auto"/>
            <w:vAlign w:val="center"/>
            <w:hideMark/>
          </w:tcPr>
          <w:p w14:paraId="2AF32D52"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1,02</w:t>
            </w:r>
          </w:p>
        </w:tc>
      </w:tr>
      <w:tr w:rsidR="00994A6E" w:rsidRPr="00AD7E7D" w14:paraId="0E3129D5" w14:textId="77777777" w:rsidTr="008C56D0">
        <w:trPr>
          <w:trHeight w:val="238"/>
        </w:trPr>
        <w:tc>
          <w:tcPr>
            <w:tcW w:w="517" w:type="dxa"/>
            <w:vMerge/>
            <w:tcBorders>
              <w:top w:val="nil"/>
              <w:left w:val="nil"/>
              <w:bottom w:val="single" w:sz="4" w:space="0" w:color="000000"/>
              <w:right w:val="nil"/>
            </w:tcBorders>
            <w:vAlign w:val="center"/>
            <w:hideMark/>
          </w:tcPr>
          <w:p w14:paraId="7EFCA80F"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3DC83FB6"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4640F120"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w:t>
            </w:r>
          </w:p>
        </w:tc>
        <w:tc>
          <w:tcPr>
            <w:tcW w:w="1382" w:type="dxa"/>
            <w:tcBorders>
              <w:top w:val="nil"/>
              <w:left w:val="nil"/>
              <w:bottom w:val="nil"/>
              <w:right w:val="nil"/>
            </w:tcBorders>
            <w:shd w:val="clear" w:color="auto" w:fill="auto"/>
            <w:vAlign w:val="center"/>
            <w:hideMark/>
          </w:tcPr>
          <w:p w14:paraId="446F2175"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0,97</w:t>
            </w:r>
          </w:p>
        </w:tc>
        <w:tc>
          <w:tcPr>
            <w:tcW w:w="1384" w:type="dxa"/>
            <w:tcBorders>
              <w:top w:val="nil"/>
              <w:left w:val="nil"/>
              <w:bottom w:val="nil"/>
              <w:right w:val="nil"/>
            </w:tcBorders>
            <w:shd w:val="clear" w:color="auto" w:fill="auto"/>
            <w:vAlign w:val="center"/>
            <w:hideMark/>
          </w:tcPr>
          <w:p w14:paraId="76634E42"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1,63</w:t>
            </w:r>
          </w:p>
        </w:tc>
        <w:tc>
          <w:tcPr>
            <w:tcW w:w="1384" w:type="dxa"/>
            <w:tcBorders>
              <w:top w:val="nil"/>
              <w:left w:val="nil"/>
              <w:bottom w:val="nil"/>
              <w:right w:val="nil"/>
            </w:tcBorders>
            <w:shd w:val="clear" w:color="auto" w:fill="auto"/>
            <w:vAlign w:val="center"/>
            <w:hideMark/>
          </w:tcPr>
          <w:p w14:paraId="5ABE2220"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1,90</w:t>
            </w:r>
          </w:p>
        </w:tc>
        <w:tc>
          <w:tcPr>
            <w:tcW w:w="1384" w:type="dxa"/>
            <w:tcBorders>
              <w:top w:val="nil"/>
              <w:left w:val="nil"/>
              <w:bottom w:val="nil"/>
              <w:right w:val="nil"/>
            </w:tcBorders>
            <w:shd w:val="clear" w:color="auto" w:fill="auto"/>
            <w:vAlign w:val="center"/>
            <w:hideMark/>
          </w:tcPr>
          <w:p w14:paraId="4B30120C"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1,98</w:t>
            </w:r>
          </w:p>
        </w:tc>
      </w:tr>
      <w:tr w:rsidR="00994A6E" w:rsidRPr="00AD7E7D" w14:paraId="3387CFAF" w14:textId="77777777" w:rsidTr="008C56D0">
        <w:trPr>
          <w:trHeight w:val="238"/>
        </w:trPr>
        <w:tc>
          <w:tcPr>
            <w:tcW w:w="517" w:type="dxa"/>
            <w:vMerge/>
            <w:tcBorders>
              <w:top w:val="nil"/>
              <w:left w:val="nil"/>
              <w:bottom w:val="single" w:sz="4" w:space="0" w:color="000000"/>
              <w:right w:val="nil"/>
            </w:tcBorders>
            <w:vAlign w:val="center"/>
            <w:hideMark/>
          </w:tcPr>
          <w:p w14:paraId="0F1E9132"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22B4E336"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single" w:sz="4" w:space="0" w:color="auto"/>
              <w:right w:val="nil"/>
            </w:tcBorders>
            <w:shd w:val="clear" w:color="auto" w:fill="auto"/>
            <w:vAlign w:val="center"/>
            <w:hideMark/>
          </w:tcPr>
          <w:p w14:paraId="107D635D"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0,4%</w:t>
            </w:r>
          </w:p>
        </w:tc>
        <w:tc>
          <w:tcPr>
            <w:tcW w:w="1382" w:type="dxa"/>
            <w:tcBorders>
              <w:top w:val="nil"/>
              <w:left w:val="nil"/>
              <w:bottom w:val="single" w:sz="4" w:space="0" w:color="auto"/>
              <w:right w:val="nil"/>
            </w:tcBorders>
            <w:shd w:val="clear" w:color="auto" w:fill="auto"/>
            <w:vAlign w:val="center"/>
            <w:hideMark/>
          </w:tcPr>
          <w:p w14:paraId="3559AAF9"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3,15</w:t>
            </w:r>
          </w:p>
        </w:tc>
        <w:tc>
          <w:tcPr>
            <w:tcW w:w="1384" w:type="dxa"/>
            <w:tcBorders>
              <w:top w:val="nil"/>
              <w:left w:val="nil"/>
              <w:bottom w:val="single" w:sz="4" w:space="0" w:color="auto"/>
              <w:right w:val="nil"/>
            </w:tcBorders>
            <w:shd w:val="clear" w:color="auto" w:fill="auto"/>
            <w:vAlign w:val="center"/>
            <w:hideMark/>
          </w:tcPr>
          <w:p w14:paraId="4C00D12C"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5,28</w:t>
            </w:r>
          </w:p>
        </w:tc>
        <w:tc>
          <w:tcPr>
            <w:tcW w:w="1384" w:type="dxa"/>
            <w:tcBorders>
              <w:top w:val="nil"/>
              <w:left w:val="nil"/>
              <w:bottom w:val="single" w:sz="4" w:space="0" w:color="auto"/>
              <w:right w:val="nil"/>
            </w:tcBorders>
            <w:shd w:val="clear" w:color="auto" w:fill="auto"/>
            <w:vAlign w:val="center"/>
            <w:hideMark/>
          </w:tcPr>
          <w:p w14:paraId="56656019"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6,16</w:t>
            </w:r>
          </w:p>
        </w:tc>
        <w:tc>
          <w:tcPr>
            <w:tcW w:w="1384" w:type="dxa"/>
            <w:tcBorders>
              <w:top w:val="nil"/>
              <w:left w:val="nil"/>
              <w:bottom w:val="single" w:sz="4" w:space="0" w:color="auto"/>
              <w:right w:val="nil"/>
            </w:tcBorders>
            <w:shd w:val="clear" w:color="auto" w:fill="auto"/>
            <w:vAlign w:val="center"/>
            <w:hideMark/>
          </w:tcPr>
          <w:p w14:paraId="0A247421"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6,44</w:t>
            </w:r>
          </w:p>
        </w:tc>
      </w:tr>
      <w:tr w:rsidR="00994A6E" w:rsidRPr="00AD7E7D" w14:paraId="488B38DA" w14:textId="77777777" w:rsidTr="008C56D0">
        <w:trPr>
          <w:trHeight w:val="238"/>
        </w:trPr>
        <w:tc>
          <w:tcPr>
            <w:tcW w:w="517" w:type="dxa"/>
            <w:vMerge w:val="restart"/>
            <w:tcBorders>
              <w:top w:val="nil"/>
              <w:left w:val="nil"/>
              <w:bottom w:val="single" w:sz="4" w:space="0" w:color="000000"/>
              <w:right w:val="nil"/>
            </w:tcBorders>
            <w:shd w:val="clear" w:color="auto" w:fill="auto"/>
            <w:noWrap/>
            <w:textDirection w:val="btLr"/>
            <w:vAlign w:val="center"/>
            <w:hideMark/>
          </w:tcPr>
          <w:p w14:paraId="7C37412A" w14:textId="77777777" w:rsidR="00994A6E" w:rsidRPr="00AD7E7D" w:rsidRDefault="00994A6E" w:rsidP="008C56D0">
            <w:pPr>
              <w:spacing w:after="0"/>
              <w:jc w:val="center"/>
              <w:rPr>
                <w:rFonts w:eastAsia="Times New Roman" w:cs="Times New Roman"/>
                <w:szCs w:val="24"/>
              </w:rPr>
            </w:pPr>
            <w:r w:rsidRPr="00E306C7">
              <w:rPr>
                <w:rFonts w:eastAsia="Times New Roman" w:cs="Times New Roman"/>
                <w:szCs w:val="24"/>
              </w:rPr>
              <w:t>FLOODS</w:t>
            </w:r>
          </w:p>
        </w:tc>
        <w:tc>
          <w:tcPr>
            <w:tcW w:w="1592" w:type="dxa"/>
            <w:vMerge w:val="restart"/>
            <w:tcBorders>
              <w:top w:val="nil"/>
              <w:left w:val="nil"/>
              <w:bottom w:val="nil"/>
              <w:right w:val="single" w:sz="4" w:space="0" w:color="auto"/>
            </w:tcBorders>
            <w:shd w:val="clear" w:color="auto" w:fill="auto"/>
            <w:vAlign w:val="center"/>
            <w:hideMark/>
          </w:tcPr>
          <w:p w14:paraId="6ECBEB3B" w14:textId="77777777" w:rsidR="00994A6E" w:rsidRPr="00AD7E7D" w:rsidRDefault="00994A6E" w:rsidP="008C56D0">
            <w:pPr>
              <w:spacing w:after="0"/>
              <w:jc w:val="center"/>
              <w:rPr>
                <w:rFonts w:eastAsia="Times New Roman" w:cs="Times New Roman"/>
                <w:szCs w:val="24"/>
              </w:rPr>
            </w:pPr>
            <w:r>
              <w:rPr>
                <w:rFonts w:eastAsia="Times New Roman" w:cs="Times New Roman"/>
                <w:szCs w:val="24"/>
              </w:rPr>
              <w:t>Fiscal balance</w:t>
            </w:r>
          </w:p>
        </w:tc>
        <w:tc>
          <w:tcPr>
            <w:tcW w:w="1422" w:type="dxa"/>
            <w:tcBorders>
              <w:top w:val="nil"/>
              <w:left w:val="nil"/>
              <w:bottom w:val="nil"/>
              <w:right w:val="nil"/>
            </w:tcBorders>
            <w:shd w:val="clear" w:color="auto" w:fill="auto"/>
            <w:vAlign w:val="center"/>
            <w:hideMark/>
          </w:tcPr>
          <w:p w14:paraId="200C23C2"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50%</w:t>
            </w:r>
          </w:p>
        </w:tc>
        <w:tc>
          <w:tcPr>
            <w:tcW w:w="1382" w:type="dxa"/>
            <w:tcBorders>
              <w:top w:val="nil"/>
              <w:left w:val="nil"/>
              <w:bottom w:val="nil"/>
              <w:right w:val="nil"/>
            </w:tcBorders>
            <w:shd w:val="clear" w:color="auto" w:fill="auto"/>
            <w:vAlign w:val="center"/>
            <w:hideMark/>
          </w:tcPr>
          <w:p w14:paraId="0CC47D8E"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-0,04</w:t>
            </w:r>
          </w:p>
        </w:tc>
        <w:tc>
          <w:tcPr>
            <w:tcW w:w="1384" w:type="dxa"/>
            <w:tcBorders>
              <w:top w:val="nil"/>
              <w:left w:val="nil"/>
              <w:bottom w:val="nil"/>
              <w:right w:val="nil"/>
            </w:tcBorders>
            <w:shd w:val="clear" w:color="auto" w:fill="auto"/>
            <w:vAlign w:val="center"/>
            <w:hideMark/>
          </w:tcPr>
          <w:p w14:paraId="69116D47"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-0,04</w:t>
            </w:r>
          </w:p>
        </w:tc>
        <w:tc>
          <w:tcPr>
            <w:tcW w:w="1384" w:type="dxa"/>
            <w:tcBorders>
              <w:top w:val="nil"/>
              <w:left w:val="nil"/>
              <w:bottom w:val="nil"/>
              <w:right w:val="nil"/>
            </w:tcBorders>
            <w:shd w:val="clear" w:color="auto" w:fill="auto"/>
            <w:vAlign w:val="center"/>
            <w:hideMark/>
          </w:tcPr>
          <w:p w14:paraId="5C9A1B93"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-0,03</w:t>
            </w:r>
          </w:p>
        </w:tc>
        <w:tc>
          <w:tcPr>
            <w:tcW w:w="1384" w:type="dxa"/>
            <w:tcBorders>
              <w:top w:val="nil"/>
              <w:left w:val="nil"/>
              <w:bottom w:val="nil"/>
              <w:right w:val="nil"/>
            </w:tcBorders>
            <w:shd w:val="clear" w:color="auto" w:fill="auto"/>
            <w:vAlign w:val="center"/>
            <w:hideMark/>
          </w:tcPr>
          <w:p w14:paraId="1F20CDFD"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-0,02</w:t>
            </w:r>
          </w:p>
        </w:tc>
      </w:tr>
      <w:tr w:rsidR="00994A6E" w:rsidRPr="00AD7E7D" w14:paraId="665205EE" w14:textId="77777777" w:rsidTr="008C56D0">
        <w:trPr>
          <w:trHeight w:val="238"/>
        </w:trPr>
        <w:tc>
          <w:tcPr>
            <w:tcW w:w="517" w:type="dxa"/>
            <w:vMerge/>
            <w:tcBorders>
              <w:top w:val="nil"/>
              <w:left w:val="nil"/>
              <w:bottom w:val="single" w:sz="4" w:space="0" w:color="000000"/>
              <w:right w:val="nil"/>
            </w:tcBorders>
            <w:vAlign w:val="center"/>
            <w:hideMark/>
          </w:tcPr>
          <w:p w14:paraId="2010EA26"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43F37D4F"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6F1B20CE"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10%</w:t>
            </w:r>
          </w:p>
        </w:tc>
        <w:tc>
          <w:tcPr>
            <w:tcW w:w="1382" w:type="dxa"/>
            <w:tcBorders>
              <w:top w:val="nil"/>
              <w:left w:val="nil"/>
              <w:bottom w:val="nil"/>
              <w:right w:val="nil"/>
            </w:tcBorders>
            <w:shd w:val="clear" w:color="auto" w:fill="auto"/>
            <w:vAlign w:val="center"/>
            <w:hideMark/>
          </w:tcPr>
          <w:p w14:paraId="7EC66842"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-0,22</w:t>
            </w:r>
          </w:p>
        </w:tc>
        <w:tc>
          <w:tcPr>
            <w:tcW w:w="1384" w:type="dxa"/>
            <w:tcBorders>
              <w:top w:val="nil"/>
              <w:left w:val="nil"/>
              <w:bottom w:val="nil"/>
              <w:right w:val="nil"/>
            </w:tcBorders>
            <w:shd w:val="clear" w:color="auto" w:fill="auto"/>
            <w:vAlign w:val="center"/>
            <w:hideMark/>
          </w:tcPr>
          <w:p w14:paraId="1C9A9BB2"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-0,21</w:t>
            </w:r>
          </w:p>
        </w:tc>
        <w:tc>
          <w:tcPr>
            <w:tcW w:w="1384" w:type="dxa"/>
            <w:tcBorders>
              <w:top w:val="nil"/>
              <w:left w:val="nil"/>
              <w:bottom w:val="nil"/>
              <w:right w:val="nil"/>
            </w:tcBorders>
            <w:shd w:val="clear" w:color="auto" w:fill="auto"/>
            <w:vAlign w:val="center"/>
            <w:hideMark/>
          </w:tcPr>
          <w:p w14:paraId="7253CEE8"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-0,13</w:t>
            </w:r>
          </w:p>
        </w:tc>
        <w:tc>
          <w:tcPr>
            <w:tcW w:w="1384" w:type="dxa"/>
            <w:tcBorders>
              <w:top w:val="nil"/>
              <w:left w:val="nil"/>
              <w:bottom w:val="nil"/>
              <w:right w:val="nil"/>
            </w:tcBorders>
            <w:shd w:val="clear" w:color="auto" w:fill="auto"/>
            <w:vAlign w:val="center"/>
            <w:hideMark/>
          </w:tcPr>
          <w:p w14:paraId="143592EB"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-0,08</w:t>
            </w:r>
          </w:p>
        </w:tc>
      </w:tr>
      <w:tr w:rsidR="00994A6E" w:rsidRPr="00AD7E7D" w14:paraId="4FC0C5B6" w14:textId="77777777" w:rsidTr="008C56D0">
        <w:trPr>
          <w:trHeight w:val="238"/>
        </w:trPr>
        <w:tc>
          <w:tcPr>
            <w:tcW w:w="517" w:type="dxa"/>
            <w:vMerge/>
            <w:tcBorders>
              <w:top w:val="nil"/>
              <w:left w:val="nil"/>
              <w:bottom w:val="single" w:sz="4" w:space="0" w:color="000000"/>
              <w:right w:val="nil"/>
            </w:tcBorders>
            <w:vAlign w:val="center"/>
            <w:hideMark/>
          </w:tcPr>
          <w:p w14:paraId="73BA5D04"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4F8F4F53"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47E2FA25"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w:t>
            </w:r>
          </w:p>
        </w:tc>
        <w:tc>
          <w:tcPr>
            <w:tcW w:w="1382" w:type="dxa"/>
            <w:tcBorders>
              <w:top w:val="nil"/>
              <w:left w:val="nil"/>
              <w:bottom w:val="nil"/>
              <w:right w:val="nil"/>
            </w:tcBorders>
            <w:shd w:val="clear" w:color="auto" w:fill="auto"/>
            <w:vAlign w:val="center"/>
            <w:hideMark/>
          </w:tcPr>
          <w:p w14:paraId="69A332DC"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-0,72</w:t>
            </w:r>
          </w:p>
        </w:tc>
        <w:tc>
          <w:tcPr>
            <w:tcW w:w="1384" w:type="dxa"/>
            <w:tcBorders>
              <w:top w:val="nil"/>
              <w:left w:val="nil"/>
              <w:bottom w:val="nil"/>
              <w:right w:val="nil"/>
            </w:tcBorders>
            <w:shd w:val="clear" w:color="auto" w:fill="auto"/>
            <w:vAlign w:val="center"/>
            <w:hideMark/>
          </w:tcPr>
          <w:p w14:paraId="34E2FE76"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-0,72</w:t>
            </w:r>
          </w:p>
        </w:tc>
        <w:tc>
          <w:tcPr>
            <w:tcW w:w="1384" w:type="dxa"/>
            <w:tcBorders>
              <w:top w:val="nil"/>
              <w:left w:val="nil"/>
              <w:bottom w:val="nil"/>
              <w:right w:val="nil"/>
            </w:tcBorders>
            <w:shd w:val="clear" w:color="auto" w:fill="auto"/>
            <w:vAlign w:val="center"/>
            <w:hideMark/>
          </w:tcPr>
          <w:p w14:paraId="0348B4DC"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-0,42</w:t>
            </w:r>
          </w:p>
        </w:tc>
        <w:tc>
          <w:tcPr>
            <w:tcW w:w="1384" w:type="dxa"/>
            <w:tcBorders>
              <w:top w:val="nil"/>
              <w:left w:val="nil"/>
              <w:bottom w:val="nil"/>
              <w:right w:val="nil"/>
            </w:tcBorders>
            <w:shd w:val="clear" w:color="auto" w:fill="auto"/>
            <w:vAlign w:val="center"/>
            <w:hideMark/>
          </w:tcPr>
          <w:p w14:paraId="174F140C"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-0,28</w:t>
            </w:r>
          </w:p>
        </w:tc>
      </w:tr>
      <w:tr w:rsidR="00994A6E" w:rsidRPr="00AD7E7D" w14:paraId="5496B95B" w14:textId="77777777" w:rsidTr="008C56D0">
        <w:trPr>
          <w:trHeight w:val="238"/>
        </w:trPr>
        <w:tc>
          <w:tcPr>
            <w:tcW w:w="517" w:type="dxa"/>
            <w:vMerge/>
            <w:tcBorders>
              <w:top w:val="nil"/>
              <w:left w:val="nil"/>
              <w:bottom w:val="single" w:sz="4" w:space="0" w:color="000000"/>
              <w:right w:val="nil"/>
            </w:tcBorders>
            <w:vAlign w:val="center"/>
            <w:hideMark/>
          </w:tcPr>
          <w:p w14:paraId="316DAE2F"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57C01D76"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00371049"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w:t>
            </w:r>
          </w:p>
        </w:tc>
        <w:tc>
          <w:tcPr>
            <w:tcW w:w="1382" w:type="dxa"/>
            <w:tcBorders>
              <w:top w:val="nil"/>
              <w:left w:val="nil"/>
              <w:bottom w:val="nil"/>
              <w:right w:val="nil"/>
            </w:tcBorders>
            <w:shd w:val="clear" w:color="auto" w:fill="auto"/>
            <w:vAlign w:val="center"/>
            <w:hideMark/>
          </w:tcPr>
          <w:p w14:paraId="5B7880E2"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-1,19</w:t>
            </w:r>
          </w:p>
        </w:tc>
        <w:tc>
          <w:tcPr>
            <w:tcW w:w="1384" w:type="dxa"/>
            <w:tcBorders>
              <w:top w:val="nil"/>
              <w:left w:val="nil"/>
              <w:bottom w:val="nil"/>
              <w:right w:val="nil"/>
            </w:tcBorders>
            <w:shd w:val="clear" w:color="auto" w:fill="auto"/>
            <w:vAlign w:val="center"/>
            <w:hideMark/>
          </w:tcPr>
          <w:p w14:paraId="38F53911"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-1,18</w:t>
            </w:r>
          </w:p>
        </w:tc>
        <w:tc>
          <w:tcPr>
            <w:tcW w:w="1384" w:type="dxa"/>
            <w:tcBorders>
              <w:top w:val="nil"/>
              <w:left w:val="nil"/>
              <w:bottom w:val="nil"/>
              <w:right w:val="nil"/>
            </w:tcBorders>
            <w:shd w:val="clear" w:color="auto" w:fill="auto"/>
            <w:vAlign w:val="center"/>
            <w:hideMark/>
          </w:tcPr>
          <w:p w14:paraId="329B16AC"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-0,70</w:t>
            </w:r>
          </w:p>
        </w:tc>
        <w:tc>
          <w:tcPr>
            <w:tcW w:w="1384" w:type="dxa"/>
            <w:tcBorders>
              <w:top w:val="nil"/>
              <w:left w:val="nil"/>
              <w:bottom w:val="nil"/>
              <w:right w:val="nil"/>
            </w:tcBorders>
            <w:shd w:val="clear" w:color="auto" w:fill="auto"/>
            <w:vAlign w:val="center"/>
            <w:hideMark/>
          </w:tcPr>
          <w:p w14:paraId="02C181A1"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-0,46</w:t>
            </w:r>
          </w:p>
        </w:tc>
      </w:tr>
      <w:tr w:rsidR="00994A6E" w:rsidRPr="00AD7E7D" w14:paraId="7786709C" w14:textId="77777777" w:rsidTr="008C56D0">
        <w:trPr>
          <w:trHeight w:val="238"/>
        </w:trPr>
        <w:tc>
          <w:tcPr>
            <w:tcW w:w="517" w:type="dxa"/>
            <w:vMerge/>
            <w:tcBorders>
              <w:top w:val="nil"/>
              <w:left w:val="nil"/>
              <w:bottom w:val="single" w:sz="4" w:space="0" w:color="000000"/>
              <w:right w:val="nil"/>
            </w:tcBorders>
            <w:vAlign w:val="center"/>
            <w:hideMark/>
          </w:tcPr>
          <w:p w14:paraId="3551B6EC"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1AE34491"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single" w:sz="4" w:space="0" w:color="auto"/>
              <w:right w:val="nil"/>
            </w:tcBorders>
            <w:shd w:val="clear" w:color="auto" w:fill="auto"/>
            <w:vAlign w:val="center"/>
            <w:hideMark/>
          </w:tcPr>
          <w:p w14:paraId="1BCA376F"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0,4%</w:t>
            </w:r>
          </w:p>
        </w:tc>
        <w:tc>
          <w:tcPr>
            <w:tcW w:w="1382" w:type="dxa"/>
            <w:tcBorders>
              <w:top w:val="nil"/>
              <w:left w:val="nil"/>
              <w:bottom w:val="single" w:sz="4" w:space="0" w:color="auto"/>
              <w:right w:val="nil"/>
            </w:tcBorders>
            <w:shd w:val="clear" w:color="auto" w:fill="auto"/>
            <w:vAlign w:val="center"/>
            <w:hideMark/>
          </w:tcPr>
          <w:p w14:paraId="37BD5F1D"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-1,89</w:t>
            </w:r>
          </w:p>
        </w:tc>
        <w:tc>
          <w:tcPr>
            <w:tcW w:w="1384" w:type="dxa"/>
            <w:tcBorders>
              <w:top w:val="nil"/>
              <w:left w:val="nil"/>
              <w:bottom w:val="single" w:sz="4" w:space="0" w:color="auto"/>
              <w:right w:val="nil"/>
            </w:tcBorders>
            <w:shd w:val="clear" w:color="auto" w:fill="auto"/>
            <w:vAlign w:val="center"/>
            <w:hideMark/>
          </w:tcPr>
          <w:p w14:paraId="76F6A171"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-1,88</w:t>
            </w:r>
          </w:p>
        </w:tc>
        <w:tc>
          <w:tcPr>
            <w:tcW w:w="1384" w:type="dxa"/>
            <w:tcBorders>
              <w:top w:val="nil"/>
              <w:left w:val="nil"/>
              <w:bottom w:val="single" w:sz="4" w:space="0" w:color="auto"/>
              <w:right w:val="nil"/>
            </w:tcBorders>
            <w:shd w:val="clear" w:color="auto" w:fill="auto"/>
            <w:vAlign w:val="center"/>
            <w:hideMark/>
          </w:tcPr>
          <w:p w14:paraId="6E9C57F2"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-1,11</w:t>
            </w:r>
          </w:p>
        </w:tc>
        <w:tc>
          <w:tcPr>
            <w:tcW w:w="1384" w:type="dxa"/>
            <w:tcBorders>
              <w:top w:val="nil"/>
              <w:left w:val="nil"/>
              <w:bottom w:val="single" w:sz="4" w:space="0" w:color="auto"/>
              <w:right w:val="nil"/>
            </w:tcBorders>
            <w:shd w:val="clear" w:color="auto" w:fill="auto"/>
            <w:vAlign w:val="center"/>
            <w:hideMark/>
          </w:tcPr>
          <w:p w14:paraId="7EE6CE54"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-0,74</w:t>
            </w:r>
          </w:p>
        </w:tc>
      </w:tr>
      <w:tr w:rsidR="00994A6E" w:rsidRPr="00AD7E7D" w14:paraId="1AB1C1B1" w14:textId="77777777" w:rsidTr="008C56D0">
        <w:trPr>
          <w:trHeight w:val="238"/>
        </w:trPr>
        <w:tc>
          <w:tcPr>
            <w:tcW w:w="517" w:type="dxa"/>
            <w:vMerge/>
            <w:tcBorders>
              <w:top w:val="nil"/>
              <w:left w:val="nil"/>
              <w:bottom w:val="single" w:sz="4" w:space="0" w:color="000000"/>
              <w:right w:val="nil"/>
            </w:tcBorders>
            <w:vAlign w:val="center"/>
            <w:hideMark/>
          </w:tcPr>
          <w:p w14:paraId="7B9B19DD" w14:textId="77777777" w:rsidR="00994A6E" w:rsidRPr="00AD7E7D" w:rsidRDefault="00994A6E" w:rsidP="008C56D0">
            <w:pPr>
              <w:spacing w:after="0"/>
              <w:jc w:val="left"/>
              <w:rPr>
                <w:rFonts w:eastAsia="Times New Roman" w:cs="Times New Roman"/>
                <w:szCs w:val="24"/>
              </w:rPr>
            </w:pPr>
          </w:p>
        </w:tc>
        <w:tc>
          <w:tcPr>
            <w:tcW w:w="1592" w:type="dxa"/>
            <w:vMerge w:val="restart"/>
            <w:tcBorders>
              <w:top w:val="nil"/>
              <w:left w:val="nil"/>
              <w:bottom w:val="single" w:sz="4" w:space="0" w:color="000000"/>
              <w:right w:val="single" w:sz="4" w:space="0" w:color="auto"/>
            </w:tcBorders>
            <w:shd w:val="clear" w:color="auto" w:fill="auto"/>
            <w:vAlign w:val="center"/>
            <w:hideMark/>
          </w:tcPr>
          <w:p w14:paraId="083C239B" w14:textId="77777777" w:rsidR="00994A6E" w:rsidRPr="00AD7E7D" w:rsidRDefault="00994A6E" w:rsidP="008C56D0">
            <w:pPr>
              <w:spacing w:after="0"/>
              <w:jc w:val="center"/>
              <w:rPr>
                <w:rFonts w:eastAsia="Times New Roman" w:cs="Times New Roman"/>
                <w:szCs w:val="24"/>
              </w:rPr>
            </w:pPr>
            <w:r>
              <w:rPr>
                <w:rFonts w:eastAsia="Times New Roman" w:cs="Times New Roman"/>
                <w:szCs w:val="24"/>
              </w:rPr>
              <w:t>Public debt</w:t>
            </w:r>
          </w:p>
        </w:tc>
        <w:tc>
          <w:tcPr>
            <w:tcW w:w="1422" w:type="dxa"/>
            <w:tcBorders>
              <w:top w:val="single" w:sz="4" w:space="0" w:color="auto"/>
              <w:left w:val="nil"/>
              <w:bottom w:val="nil"/>
              <w:right w:val="nil"/>
            </w:tcBorders>
            <w:shd w:val="clear" w:color="auto" w:fill="auto"/>
            <w:vAlign w:val="center"/>
            <w:hideMark/>
          </w:tcPr>
          <w:p w14:paraId="062EAF94"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50%</w:t>
            </w:r>
          </w:p>
        </w:tc>
        <w:tc>
          <w:tcPr>
            <w:tcW w:w="1382" w:type="dxa"/>
            <w:tcBorders>
              <w:top w:val="single" w:sz="4" w:space="0" w:color="auto"/>
              <w:left w:val="nil"/>
              <w:bottom w:val="nil"/>
              <w:right w:val="nil"/>
            </w:tcBorders>
            <w:shd w:val="clear" w:color="auto" w:fill="auto"/>
            <w:vAlign w:val="center"/>
            <w:hideMark/>
          </w:tcPr>
          <w:p w14:paraId="48127211"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0,06</w:t>
            </w:r>
          </w:p>
        </w:tc>
        <w:tc>
          <w:tcPr>
            <w:tcW w:w="1384" w:type="dxa"/>
            <w:tcBorders>
              <w:top w:val="single" w:sz="4" w:space="0" w:color="auto"/>
              <w:left w:val="nil"/>
              <w:bottom w:val="nil"/>
              <w:right w:val="nil"/>
            </w:tcBorders>
            <w:shd w:val="clear" w:color="auto" w:fill="auto"/>
            <w:vAlign w:val="center"/>
            <w:hideMark/>
          </w:tcPr>
          <w:p w14:paraId="06AEE3F3"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0,09</w:t>
            </w:r>
          </w:p>
        </w:tc>
        <w:tc>
          <w:tcPr>
            <w:tcW w:w="1384" w:type="dxa"/>
            <w:tcBorders>
              <w:top w:val="single" w:sz="4" w:space="0" w:color="auto"/>
              <w:left w:val="nil"/>
              <w:bottom w:val="nil"/>
              <w:right w:val="nil"/>
            </w:tcBorders>
            <w:shd w:val="clear" w:color="auto" w:fill="auto"/>
            <w:vAlign w:val="center"/>
            <w:hideMark/>
          </w:tcPr>
          <w:p w14:paraId="7E6B98B9"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0,11</w:t>
            </w:r>
          </w:p>
        </w:tc>
        <w:tc>
          <w:tcPr>
            <w:tcW w:w="1384" w:type="dxa"/>
            <w:tcBorders>
              <w:top w:val="single" w:sz="4" w:space="0" w:color="auto"/>
              <w:left w:val="nil"/>
              <w:bottom w:val="nil"/>
              <w:right w:val="nil"/>
            </w:tcBorders>
            <w:shd w:val="clear" w:color="auto" w:fill="auto"/>
            <w:vAlign w:val="center"/>
            <w:hideMark/>
          </w:tcPr>
          <w:p w14:paraId="00CEDAEF"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0,11</w:t>
            </w:r>
          </w:p>
        </w:tc>
      </w:tr>
      <w:tr w:rsidR="00994A6E" w:rsidRPr="00AD7E7D" w14:paraId="24CE7785" w14:textId="77777777" w:rsidTr="008C56D0">
        <w:trPr>
          <w:trHeight w:val="238"/>
        </w:trPr>
        <w:tc>
          <w:tcPr>
            <w:tcW w:w="517" w:type="dxa"/>
            <w:vMerge/>
            <w:tcBorders>
              <w:top w:val="nil"/>
              <w:left w:val="nil"/>
              <w:bottom w:val="single" w:sz="4" w:space="0" w:color="000000"/>
              <w:right w:val="nil"/>
            </w:tcBorders>
            <w:vAlign w:val="center"/>
            <w:hideMark/>
          </w:tcPr>
          <w:p w14:paraId="306065FD"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7D357336"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0691CE14"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10%</w:t>
            </w:r>
          </w:p>
        </w:tc>
        <w:tc>
          <w:tcPr>
            <w:tcW w:w="1382" w:type="dxa"/>
            <w:tcBorders>
              <w:top w:val="nil"/>
              <w:left w:val="nil"/>
              <w:bottom w:val="nil"/>
              <w:right w:val="nil"/>
            </w:tcBorders>
            <w:shd w:val="clear" w:color="auto" w:fill="auto"/>
            <w:vAlign w:val="center"/>
            <w:hideMark/>
          </w:tcPr>
          <w:p w14:paraId="229B7CE8"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0,27</w:t>
            </w:r>
          </w:p>
        </w:tc>
        <w:tc>
          <w:tcPr>
            <w:tcW w:w="1384" w:type="dxa"/>
            <w:tcBorders>
              <w:top w:val="nil"/>
              <w:left w:val="nil"/>
              <w:bottom w:val="nil"/>
              <w:right w:val="nil"/>
            </w:tcBorders>
            <w:shd w:val="clear" w:color="auto" w:fill="auto"/>
            <w:vAlign w:val="center"/>
            <w:hideMark/>
          </w:tcPr>
          <w:p w14:paraId="42138721"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0,45</w:t>
            </w:r>
          </w:p>
        </w:tc>
        <w:tc>
          <w:tcPr>
            <w:tcW w:w="1384" w:type="dxa"/>
            <w:tcBorders>
              <w:top w:val="nil"/>
              <w:left w:val="nil"/>
              <w:bottom w:val="nil"/>
              <w:right w:val="nil"/>
            </w:tcBorders>
            <w:shd w:val="clear" w:color="auto" w:fill="auto"/>
            <w:vAlign w:val="center"/>
            <w:hideMark/>
          </w:tcPr>
          <w:p w14:paraId="0233D555"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0,53</w:t>
            </w:r>
          </w:p>
        </w:tc>
        <w:tc>
          <w:tcPr>
            <w:tcW w:w="1384" w:type="dxa"/>
            <w:tcBorders>
              <w:top w:val="nil"/>
              <w:left w:val="nil"/>
              <w:bottom w:val="nil"/>
              <w:right w:val="nil"/>
            </w:tcBorders>
            <w:shd w:val="clear" w:color="auto" w:fill="auto"/>
            <w:vAlign w:val="center"/>
            <w:hideMark/>
          </w:tcPr>
          <w:p w14:paraId="198BD747"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0,55</w:t>
            </w:r>
          </w:p>
        </w:tc>
      </w:tr>
      <w:tr w:rsidR="00994A6E" w:rsidRPr="00AD7E7D" w14:paraId="0D1EC64D" w14:textId="77777777" w:rsidTr="008C56D0">
        <w:trPr>
          <w:trHeight w:val="238"/>
        </w:trPr>
        <w:tc>
          <w:tcPr>
            <w:tcW w:w="517" w:type="dxa"/>
            <w:vMerge/>
            <w:tcBorders>
              <w:top w:val="nil"/>
              <w:left w:val="nil"/>
              <w:bottom w:val="single" w:sz="4" w:space="0" w:color="000000"/>
              <w:right w:val="nil"/>
            </w:tcBorders>
            <w:vAlign w:val="center"/>
            <w:hideMark/>
          </w:tcPr>
          <w:p w14:paraId="1FCBE0B1"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6B77A2B1"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67A94993"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w:t>
            </w:r>
          </w:p>
        </w:tc>
        <w:tc>
          <w:tcPr>
            <w:tcW w:w="1382" w:type="dxa"/>
            <w:tcBorders>
              <w:top w:val="nil"/>
              <w:left w:val="nil"/>
              <w:bottom w:val="nil"/>
              <w:right w:val="nil"/>
            </w:tcBorders>
            <w:shd w:val="clear" w:color="auto" w:fill="auto"/>
            <w:vAlign w:val="center"/>
            <w:hideMark/>
          </w:tcPr>
          <w:p w14:paraId="64786E2F"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0,90</w:t>
            </w:r>
          </w:p>
        </w:tc>
        <w:tc>
          <w:tcPr>
            <w:tcW w:w="1384" w:type="dxa"/>
            <w:tcBorders>
              <w:top w:val="nil"/>
              <w:left w:val="nil"/>
              <w:bottom w:val="nil"/>
              <w:right w:val="nil"/>
            </w:tcBorders>
            <w:shd w:val="clear" w:color="auto" w:fill="auto"/>
            <w:vAlign w:val="center"/>
            <w:hideMark/>
          </w:tcPr>
          <w:p w14:paraId="7B27DC7C"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1,52</w:t>
            </w:r>
          </w:p>
        </w:tc>
        <w:tc>
          <w:tcPr>
            <w:tcW w:w="1384" w:type="dxa"/>
            <w:tcBorders>
              <w:top w:val="nil"/>
              <w:left w:val="nil"/>
              <w:bottom w:val="nil"/>
              <w:right w:val="nil"/>
            </w:tcBorders>
            <w:shd w:val="clear" w:color="auto" w:fill="auto"/>
            <w:vAlign w:val="center"/>
            <w:hideMark/>
          </w:tcPr>
          <w:p w14:paraId="434271F7"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1,77</w:t>
            </w:r>
          </w:p>
        </w:tc>
        <w:tc>
          <w:tcPr>
            <w:tcW w:w="1384" w:type="dxa"/>
            <w:tcBorders>
              <w:top w:val="nil"/>
              <w:left w:val="nil"/>
              <w:bottom w:val="nil"/>
              <w:right w:val="nil"/>
            </w:tcBorders>
            <w:shd w:val="clear" w:color="auto" w:fill="auto"/>
            <w:vAlign w:val="center"/>
            <w:hideMark/>
          </w:tcPr>
          <w:p w14:paraId="671AE061"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1,85</w:t>
            </w:r>
          </w:p>
        </w:tc>
      </w:tr>
      <w:tr w:rsidR="00994A6E" w:rsidRPr="00AD7E7D" w14:paraId="788AED4E" w14:textId="77777777" w:rsidTr="008C56D0">
        <w:trPr>
          <w:trHeight w:val="238"/>
        </w:trPr>
        <w:tc>
          <w:tcPr>
            <w:tcW w:w="517" w:type="dxa"/>
            <w:vMerge/>
            <w:tcBorders>
              <w:top w:val="nil"/>
              <w:left w:val="nil"/>
              <w:bottom w:val="single" w:sz="4" w:space="0" w:color="000000"/>
              <w:right w:val="nil"/>
            </w:tcBorders>
            <w:vAlign w:val="center"/>
            <w:hideMark/>
          </w:tcPr>
          <w:p w14:paraId="70AA4260"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4EC144E0"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677C23B5"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w:t>
            </w:r>
          </w:p>
        </w:tc>
        <w:tc>
          <w:tcPr>
            <w:tcW w:w="1382" w:type="dxa"/>
            <w:tcBorders>
              <w:top w:val="nil"/>
              <w:left w:val="nil"/>
              <w:bottom w:val="nil"/>
              <w:right w:val="nil"/>
            </w:tcBorders>
            <w:shd w:val="clear" w:color="auto" w:fill="auto"/>
            <w:vAlign w:val="center"/>
            <w:hideMark/>
          </w:tcPr>
          <w:p w14:paraId="2072CAE5"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1,49</w:t>
            </w:r>
          </w:p>
        </w:tc>
        <w:tc>
          <w:tcPr>
            <w:tcW w:w="1384" w:type="dxa"/>
            <w:tcBorders>
              <w:top w:val="nil"/>
              <w:left w:val="nil"/>
              <w:bottom w:val="nil"/>
              <w:right w:val="nil"/>
            </w:tcBorders>
            <w:shd w:val="clear" w:color="auto" w:fill="auto"/>
            <w:vAlign w:val="center"/>
            <w:hideMark/>
          </w:tcPr>
          <w:p w14:paraId="6EDE7B7F"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2,50</w:t>
            </w:r>
          </w:p>
        </w:tc>
        <w:tc>
          <w:tcPr>
            <w:tcW w:w="1384" w:type="dxa"/>
            <w:tcBorders>
              <w:top w:val="nil"/>
              <w:left w:val="nil"/>
              <w:bottom w:val="nil"/>
              <w:right w:val="nil"/>
            </w:tcBorders>
            <w:shd w:val="clear" w:color="auto" w:fill="auto"/>
            <w:vAlign w:val="center"/>
            <w:hideMark/>
          </w:tcPr>
          <w:p w14:paraId="68349BD7"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2,92</w:t>
            </w:r>
          </w:p>
        </w:tc>
        <w:tc>
          <w:tcPr>
            <w:tcW w:w="1384" w:type="dxa"/>
            <w:tcBorders>
              <w:top w:val="nil"/>
              <w:left w:val="nil"/>
              <w:bottom w:val="nil"/>
              <w:right w:val="nil"/>
            </w:tcBorders>
            <w:shd w:val="clear" w:color="auto" w:fill="auto"/>
            <w:vAlign w:val="center"/>
            <w:hideMark/>
          </w:tcPr>
          <w:p w14:paraId="454B65BD"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3,05</w:t>
            </w:r>
          </w:p>
        </w:tc>
      </w:tr>
      <w:tr w:rsidR="00994A6E" w:rsidRPr="00AD7E7D" w14:paraId="7CB6899F" w14:textId="77777777" w:rsidTr="008C56D0">
        <w:trPr>
          <w:trHeight w:val="238"/>
        </w:trPr>
        <w:tc>
          <w:tcPr>
            <w:tcW w:w="517" w:type="dxa"/>
            <w:vMerge/>
            <w:tcBorders>
              <w:top w:val="nil"/>
              <w:left w:val="nil"/>
              <w:bottom w:val="single" w:sz="4" w:space="0" w:color="000000"/>
              <w:right w:val="nil"/>
            </w:tcBorders>
            <w:vAlign w:val="center"/>
            <w:hideMark/>
          </w:tcPr>
          <w:p w14:paraId="04BECDE3" w14:textId="77777777" w:rsidR="00994A6E" w:rsidRPr="00AD7E7D" w:rsidRDefault="00994A6E" w:rsidP="008C56D0">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26ED3D61" w14:textId="77777777" w:rsidR="00994A6E" w:rsidRPr="00AD7E7D" w:rsidRDefault="00994A6E" w:rsidP="008C56D0">
            <w:pPr>
              <w:spacing w:after="0"/>
              <w:jc w:val="left"/>
              <w:rPr>
                <w:rFonts w:eastAsia="Times New Roman" w:cs="Times New Roman"/>
                <w:szCs w:val="24"/>
              </w:rPr>
            </w:pPr>
          </w:p>
        </w:tc>
        <w:tc>
          <w:tcPr>
            <w:tcW w:w="1422" w:type="dxa"/>
            <w:tcBorders>
              <w:top w:val="nil"/>
              <w:left w:val="nil"/>
              <w:bottom w:val="single" w:sz="4" w:space="0" w:color="auto"/>
              <w:right w:val="nil"/>
            </w:tcBorders>
            <w:shd w:val="clear" w:color="auto" w:fill="auto"/>
            <w:vAlign w:val="center"/>
            <w:hideMark/>
          </w:tcPr>
          <w:p w14:paraId="765889C0"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0,4%</w:t>
            </w:r>
          </w:p>
        </w:tc>
        <w:tc>
          <w:tcPr>
            <w:tcW w:w="1382" w:type="dxa"/>
            <w:tcBorders>
              <w:top w:val="nil"/>
              <w:left w:val="nil"/>
              <w:bottom w:val="single" w:sz="4" w:space="0" w:color="auto"/>
              <w:right w:val="nil"/>
            </w:tcBorders>
            <w:shd w:val="clear" w:color="auto" w:fill="auto"/>
            <w:vAlign w:val="center"/>
            <w:hideMark/>
          </w:tcPr>
          <w:p w14:paraId="3DA990F2"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2,37</w:t>
            </w:r>
          </w:p>
        </w:tc>
        <w:tc>
          <w:tcPr>
            <w:tcW w:w="1384" w:type="dxa"/>
            <w:tcBorders>
              <w:top w:val="nil"/>
              <w:left w:val="nil"/>
              <w:bottom w:val="single" w:sz="4" w:space="0" w:color="auto"/>
              <w:right w:val="nil"/>
            </w:tcBorders>
            <w:shd w:val="clear" w:color="auto" w:fill="auto"/>
            <w:vAlign w:val="center"/>
            <w:hideMark/>
          </w:tcPr>
          <w:p w14:paraId="2D2A7A0B"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3,97</w:t>
            </w:r>
          </w:p>
        </w:tc>
        <w:tc>
          <w:tcPr>
            <w:tcW w:w="1384" w:type="dxa"/>
            <w:tcBorders>
              <w:top w:val="nil"/>
              <w:left w:val="nil"/>
              <w:bottom w:val="single" w:sz="4" w:space="0" w:color="auto"/>
              <w:right w:val="nil"/>
            </w:tcBorders>
            <w:shd w:val="clear" w:color="auto" w:fill="auto"/>
            <w:vAlign w:val="center"/>
            <w:hideMark/>
          </w:tcPr>
          <w:p w14:paraId="5198C193"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4,63</w:t>
            </w:r>
          </w:p>
        </w:tc>
        <w:tc>
          <w:tcPr>
            <w:tcW w:w="1384" w:type="dxa"/>
            <w:tcBorders>
              <w:top w:val="nil"/>
              <w:left w:val="nil"/>
              <w:bottom w:val="single" w:sz="4" w:space="0" w:color="auto"/>
              <w:right w:val="nil"/>
            </w:tcBorders>
            <w:shd w:val="clear" w:color="auto" w:fill="auto"/>
            <w:vAlign w:val="center"/>
            <w:hideMark/>
          </w:tcPr>
          <w:p w14:paraId="6C470C7A" w14:textId="77777777" w:rsidR="00994A6E" w:rsidRPr="00AD7E7D" w:rsidRDefault="00994A6E" w:rsidP="008C56D0">
            <w:pPr>
              <w:spacing w:after="0"/>
              <w:jc w:val="right"/>
              <w:rPr>
                <w:rFonts w:eastAsia="Times New Roman" w:cs="Times New Roman"/>
                <w:szCs w:val="24"/>
              </w:rPr>
            </w:pPr>
            <w:r w:rsidRPr="00AD7E7D">
              <w:rPr>
                <w:rFonts w:eastAsia="Times New Roman" w:cs="Times New Roman"/>
                <w:szCs w:val="24"/>
              </w:rPr>
              <w:t>4,84</w:t>
            </w:r>
          </w:p>
        </w:tc>
      </w:tr>
    </w:tbl>
    <w:p w14:paraId="01CA88C9" w14:textId="77777777" w:rsidR="00994A6E" w:rsidRPr="00AD7E7D" w:rsidRDefault="00994A6E" w:rsidP="00994A6E">
      <w:pPr>
        <w:rPr>
          <w:rFonts w:eastAsia="MS PGothic" w:cs="Times New Roman"/>
          <w:szCs w:val="24"/>
          <w:lang w:eastAsia="ja-JP"/>
        </w:rPr>
      </w:pPr>
    </w:p>
    <w:p w14:paraId="51EE2969" w14:textId="77777777" w:rsidR="00994A6E" w:rsidRPr="00AD7E7D" w:rsidRDefault="00994A6E" w:rsidP="00994A6E">
      <w:pPr>
        <w:spacing w:after="180"/>
        <w:rPr>
          <w:rFonts w:cs="Times New Roman"/>
          <w:szCs w:val="24"/>
          <w:lang w:val="sr-Cyrl-RS" w:eastAsia="ja-JP"/>
        </w:rPr>
      </w:pPr>
      <w:r w:rsidRPr="00C301B7">
        <w:rPr>
          <w:rFonts w:cs="Times New Roman"/>
          <w:szCs w:val="24"/>
          <w:lang w:val="sr-Cyrl-RS" w:eastAsia="ja-JP"/>
        </w:rPr>
        <w:t>In 2019, the Republic of Serbia paid 4</w:t>
      </w:r>
      <w:r>
        <w:rPr>
          <w:rFonts w:cs="Times New Roman"/>
          <w:szCs w:val="24"/>
          <w:lang w:eastAsia="ja-JP"/>
        </w:rPr>
        <w:t>,</w:t>
      </w:r>
      <w:r w:rsidRPr="00C301B7">
        <w:rPr>
          <w:rFonts w:cs="Times New Roman"/>
          <w:szCs w:val="24"/>
          <w:lang w:val="sr-Cyrl-RS" w:eastAsia="ja-JP"/>
        </w:rPr>
        <w:t>22 billion dinars from the budget for damage compensation related to injuries or damages caused by natural disasters or other natural causes. In 2020, 2</w:t>
      </w:r>
      <w:r>
        <w:rPr>
          <w:rFonts w:cs="Times New Roman"/>
          <w:szCs w:val="24"/>
          <w:lang w:eastAsia="ja-JP"/>
        </w:rPr>
        <w:t>,</w:t>
      </w:r>
      <w:r w:rsidRPr="00C301B7">
        <w:rPr>
          <w:rFonts w:cs="Times New Roman"/>
          <w:szCs w:val="24"/>
          <w:lang w:val="sr-Cyrl-RS" w:eastAsia="ja-JP"/>
        </w:rPr>
        <w:t>8 billion dinars were allocated for this purpose, while in 2021, the amount spent for these purposes was 520</w:t>
      </w:r>
      <w:r>
        <w:rPr>
          <w:rFonts w:cs="Times New Roman"/>
          <w:szCs w:val="24"/>
          <w:lang w:eastAsia="ja-JP"/>
        </w:rPr>
        <w:t>,</w:t>
      </w:r>
      <w:r w:rsidRPr="00C301B7">
        <w:rPr>
          <w:rFonts w:cs="Times New Roman"/>
          <w:szCs w:val="24"/>
          <w:lang w:val="sr-Cyrl-RS" w:eastAsia="ja-JP"/>
        </w:rPr>
        <w:t>3 million dinars. In 2022, 263</w:t>
      </w:r>
      <w:r>
        <w:rPr>
          <w:rFonts w:cs="Times New Roman"/>
          <w:szCs w:val="24"/>
          <w:lang w:eastAsia="ja-JP"/>
        </w:rPr>
        <w:t>,</w:t>
      </w:r>
      <w:r w:rsidRPr="00C301B7">
        <w:rPr>
          <w:rFonts w:cs="Times New Roman"/>
          <w:szCs w:val="24"/>
          <w:lang w:val="sr-Cyrl-RS" w:eastAsia="ja-JP"/>
        </w:rPr>
        <w:t>9 million dinars were paid, and for the first nine months of 2023, 270</w:t>
      </w:r>
      <w:r>
        <w:rPr>
          <w:rFonts w:cs="Times New Roman"/>
          <w:szCs w:val="24"/>
          <w:lang w:eastAsia="ja-JP"/>
        </w:rPr>
        <w:t>,</w:t>
      </w:r>
      <w:r w:rsidRPr="00C301B7">
        <w:rPr>
          <w:rFonts w:cs="Times New Roman"/>
          <w:szCs w:val="24"/>
          <w:lang w:val="sr-Cyrl-RS" w:eastAsia="ja-JP"/>
        </w:rPr>
        <w:t>3 million dinars were allocated for this purpose</w:t>
      </w:r>
      <w:r w:rsidRPr="00AD7E7D">
        <w:rPr>
          <w:rFonts w:cs="Times New Roman"/>
          <w:szCs w:val="24"/>
          <w:lang w:val="sr-Cyrl-RS" w:eastAsia="ja-JP"/>
        </w:rPr>
        <w:t>.</w:t>
      </w:r>
    </w:p>
    <w:p w14:paraId="38B7894C" w14:textId="77777777" w:rsidR="00994A6E" w:rsidRDefault="00994A6E" w:rsidP="00994A6E">
      <w:pPr>
        <w:rPr>
          <w:rFonts w:eastAsia="MS PGothic" w:cs="Times New Roman"/>
          <w:b/>
          <w:szCs w:val="24"/>
          <w:lang w:val="sr-Cyrl-RS" w:eastAsia="ja-JP"/>
        </w:rPr>
      </w:pPr>
      <w:r w:rsidRPr="00706851">
        <w:rPr>
          <w:rFonts w:eastAsia="MS PGothic" w:cs="Times New Roman"/>
          <w:b/>
          <w:szCs w:val="24"/>
          <w:lang w:val="sr-Cyrl-RS" w:eastAsia="ja-JP"/>
        </w:rPr>
        <w:lastRenderedPageBreak/>
        <w:t>Alternative Scenario of Fiscal Trends in the Period 2024–2027</w:t>
      </w:r>
    </w:p>
    <w:p w14:paraId="741B0585" w14:textId="77777777" w:rsidR="00994A6E" w:rsidRPr="00AD7E7D" w:rsidRDefault="00994A6E" w:rsidP="00994A6E">
      <w:pPr>
        <w:rPr>
          <w:rFonts w:cs="Times New Roman"/>
          <w:szCs w:val="24"/>
          <w:lang w:val="sr-Cyrl-RS" w:eastAsia="ja-JP"/>
        </w:rPr>
      </w:pPr>
      <w:r w:rsidRPr="00706851">
        <w:rPr>
          <w:rFonts w:cs="Times New Roman"/>
          <w:szCs w:val="24"/>
          <w:lang w:val="sr-Cyrl-RS" w:eastAsia="ja-JP"/>
        </w:rPr>
        <w:t>The following graph shows the movement of the deficit and public debt as a percentage of GDP based on an alternative macroeconomic scenario, which assumes growth rates of 3</w:t>
      </w:r>
      <w:r>
        <w:rPr>
          <w:rFonts w:cs="Times New Roman"/>
          <w:szCs w:val="24"/>
          <w:lang w:eastAsia="ja-JP"/>
        </w:rPr>
        <w:t>,</w:t>
      </w:r>
      <w:r w:rsidRPr="00706851">
        <w:rPr>
          <w:rFonts w:cs="Times New Roman"/>
          <w:szCs w:val="24"/>
          <w:lang w:val="sr-Cyrl-RS" w:eastAsia="ja-JP"/>
        </w:rPr>
        <w:t>1%, 2</w:t>
      </w:r>
      <w:r>
        <w:rPr>
          <w:rFonts w:cs="Times New Roman"/>
          <w:szCs w:val="24"/>
          <w:lang w:eastAsia="ja-JP"/>
        </w:rPr>
        <w:t>,</w:t>
      </w:r>
      <w:r w:rsidRPr="00706851">
        <w:rPr>
          <w:rFonts w:cs="Times New Roman"/>
          <w:szCs w:val="24"/>
          <w:lang w:val="sr-Cyrl-RS" w:eastAsia="ja-JP"/>
        </w:rPr>
        <w:t>9%, and 3</w:t>
      </w:r>
      <w:r>
        <w:rPr>
          <w:rFonts w:cs="Times New Roman"/>
          <w:szCs w:val="24"/>
          <w:lang w:eastAsia="ja-JP"/>
        </w:rPr>
        <w:t>,</w:t>
      </w:r>
      <w:r w:rsidRPr="00706851">
        <w:rPr>
          <w:rFonts w:cs="Times New Roman"/>
          <w:szCs w:val="24"/>
          <w:lang w:val="sr-Cyrl-RS" w:eastAsia="ja-JP"/>
        </w:rPr>
        <w:t>2% in the next three-year period</w:t>
      </w:r>
      <w:r w:rsidRPr="00AD7E7D">
        <w:rPr>
          <w:rFonts w:cs="Times New Roman"/>
          <w:szCs w:val="24"/>
          <w:lang w:val="sr-Cyrl-RS" w:eastAsia="ja-JP"/>
        </w:rPr>
        <w:t>.</w:t>
      </w:r>
    </w:p>
    <w:p w14:paraId="4BAFA225" w14:textId="70BD563D" w:rsidR="00994A6E" w:rsidRDefault="00994A6E" w:rsidP="00994A6E">
      <w:pPr>
        <w:rPr>
          <w:rFonts w:cs="Times New Roman"/>
          <w:i/>
          <w:szCs w:val="24"/>
          <w:lang w:val="sr-Cyrl-RS" w:eastAsia="ja-JP"/>
        </w:rPr>
      </w:pPr>
      <w:r w:rsidRPr="00706851">
        <w:rPr>
          <w:rFonts w:cs="Times New Roman"/>
          <w:i/>
          <w:szCs w:val="24"/>
          <w:lang w:val="sr-Cyrl-RS" w:eastAsia="ja-JP"/>
        </w:rPr>
        <w:t>Graph 16. Basic and Alternative Fiscal Trend Sce</w:t>
      </w:r>
      <w:r>
        <w:rPr>
          <w:rFonts w:cs="Times New Roman"/>
          <w:i/>
          <w:szCs w:val="24"/>
          <w:lang w:val="sr-Cyrl-RS" w:eastAsia="ja-JP"/>
        </w:rPr>
        <w:t>narios for the Period 2024–2027</w:t>
      </w:r>
    </w:p>
    <w:p w14:paraId="2BEC55C3" w14:textId="77777777" w:rsidR="00994A6E" w:rsidRDefault="00994A6E" w:rsidP="00994A6E">
      <w:pPr>
        <w:rPr>
          <w:rFonts w:cs="Times New Roman"/>
          <w:szCs w:val="24"/>
          <w:lang w:val="sr-Cyrl-RS" w:eastAsia="ja-JP"/>
        </w:rPr>
      </w:pPr>
      <w:r>
        <w:rPr>
          <w:noProof/>
        </w:rPr>
        <w:drawing>
          <wp:inline distT="0" distB="0" distL="0" distR="0" wp14:anchorId="56601458" wp14:editId="3EF9658F">
            <wp:extent cx="5731510" cy="2918765"/>
            <wp:effectExtent l="0" t="0" r="254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3E5535" w14:textId="77777777" w:rsidR="00427E7D" w:rsidRDefault="00994A6E" w:rsidP="00994A6E">
      <w:pPr>
        <w:spacing w:before="60" w:line="276" w:lineRule="auto"/>
        <w:rPr>
          <w:rFonts w:cs="Times New Roman"/>
          <w:szCs w:val="24"/>
          <w:lang w:val="sr-Cyrl-RS" w:eastAsia="ja-JP"/>
        </w:rPr>
        <w:sectPr w:rsidR="00427E7D" w:rsidSect="00D51853">
          <w:footerReference w:type="default" r:id="rId27"/>
          <w:type w:val="continuous"/>
          <w:pgSz w:w="11906" w:h="16838" w:code="9"/>
          <w:pgMar w:top="1440" w:right="1440" w:bottom="1440" w:left="1440" w:header="720" w:footer="720" w:gutter="0"/>
          <w:cols w:space="720"/>
          <w:docGrid w:linePitch="360"/>
        </w:sectPr>
      </w:pPr>
      <w:r w:rsidRPr="00947021">
        <w:rPr>
          <w:rFonts w:cs="Times New Roman"/>
          <w:szCs w:val="24"/>
          <w:lang w:val="sr-Cyrl-RS" w:eastAsia="ja-JP"/>
        </w:rPr>
        <w:t>Slower growth would affect, through its components, the achievement of fiscal aggregates, primarily on the revenue side, with the greatest impact on labor income and consumption taxes. This GDP dynamic would lead to a higher level of deficit and public debt compared to the baseline scenario, and by the end of the period, deficit and debt levels would be higher than those in 2023. The assumption in this scenario is that the policy regarding wages and pensions, as well as the nominal amounts allocated for capital investments, would remain the same as in the baseline scenario. However, due to fiscal rules, there would have to be a change in policy, either on the revenue or expenditure side, in order to bring the fiscal result back to the level defined by fiscal rules.</w:t>
      </w:r>
    </w:p>
    <w:p w14:paraId="16467B9B" w14:textId="77777777" w:rsidR="00994A6E" w:rsidRDefault="00994A6E" w:rsidP="00994A6E">
      <w:pPr>
        <w:rPr>
          <w:rFonts w:cs="Times New Roman"/>
          <w:b/>
          <w:bCs/>
          <w:szCs w:val="24"/>
          <w:lang w:val="sr-Cyrl-RS"/>
        </w:rPr>
      </w:pPr>
      <w:r w:rsidRPr="00947021">
        <w:rPr>
          <w:rFonts w:cs="Times New Roman"/>
          <w:b/>
          <w:bCs/>
          <w:szCs w:val="24"/>
          <w:lang w:val="sr-Cyrl-RS"/>
        </w:rPr>
        <w:lastRenderedPageBreak/>
        <w:t>Comparison with the previous program</w:t>
      </w:r>
    </w:p>
    <w:p w14:paraId="2900B4D7" w14:textId="77777777" w:rsidR="00994A6E" w:rsidRPr="00AD7E7D" w:rsidRDefault="00994A6E" w:rsidP="00994A6E">
      <w:pPr>
        <w:rPr>
          <w:rFonts w:cs="Times New Roman"/>
          <w:szCs w:val="24"/>
          <w:lang w:val="sr-Cyrl-RS"/>
        </w:rPr>
      </w:pPr>
      <w:r w:rsidRPr="00947021">
        <w:rPr>
          <w:rFonts w:cs="Times New Roman"/>
          <w:bCs/>
          <w:szCs w:val="24"/>
          <w:lang w:val="sr-Cyrl-RS"/>
        </w:rPr>
        <w:t>The medium-term fiscal framework has been changed in accordance with the announced investment cycle under the "Leap into the Future – Serbia 2027" program and the Expo 2027 exhibition, as well as</w:t>
      </w:r>
      <w:r>
        <w:rPr>
          <w:rFonts w:cs="Times New Roman"/>
          <w:bCs/>
          <w:szCs w:val="24"/>
          <w:lang w:val="sr-Cyrl-RS"/>
        </w:rPr>
        <w:t xml:space="preserve"> the revision of the GDP series</w:t>
      </w:r>
      <w:r w:rsidRPr="00AD7E7D">
        <w:rPr>
          <w:rFonts w:cs="Times New Roman"/>
          <w:bCs/>
          <w:szCs w:val="24"/>
          <w:lang w:val="sr-Cyrl-RS"/>
        </w:rPr>
        <w:t>.</w:t>
      </w:r>
    </w:p>
    <w:p w14:paraId="1B26532E" w14:textId="77777777" w:rsidR="00994A6E" w:rsidRPr="00010E52" w:rsidRDefault="00994A6E" w:rsidP="00994A6E">
      <w:pPr>
        <w:keepLines/>
        <w:rPr>
          <w:rFonts w:cs="Times New Roman"/>
          <w:i/>
          <w:szCs w:val="24"/>
          <w:lang w:val="sr-Cyrl-RS" w:eastAsia="ja-JP"/>
        </w:rPr>
      </w:pPr>
      <w:r w:rsidRPr="00947021">
        <w:rPr>
          <w:rFonts w:cs="Times New Roman"/>
          <w:i/>
          <w:szCs w:val="24"/>
          <w:lang w:val="sr-Cyrl-RS" w:eastAsia="ja-JP"/>
        </w:rPr>
        <w:t>Table 16. Comparison of fiscal indicators of the two p</w:t>
      </w:r>
      <w:r>
        <w:rPr>
          <w:rFonts w:cs="Times New Roman"/>
          <w:i/>
          <w:szCs w:val="24"/>
          <w:lang w:val="sr-Cyrl-RS" w:eastAsia="ja-JP"/>
        </w:rPr>
        <w:t>rograms, as a percentage of GDP</w:t>
      </w:r>
    </w:p>
    <w:tbl>
      <w:tblPr>
        <w:tblW w:w="9099" w:type="dxa"/>
        <w:tblLook w:val="04A0" w:firstRow="1" w:lastRow="0" w:firstColumn="1" w:lastColumn="0" w:noHBand="0" w:noVBand="1"/>
      </w:tblPr>
      <w:tblGrid>
        <w:gridCol w:w="3654"/>
        <w:gridCol w:w="1089"/>
        <w:gridCol w:w="1089"/>
        <w:gridCol w:w="1089"/>
        <w:gridCol w:w="1089"/>
        <w:gridCol w:w="1089"/>
      </w:tblGrid>
      <w:tr w:rsidR="00994A6E" w:rsidRPr="00AD7E7D" w14:paraId="0F5A85D5" w14:textId="77777777" w:rsidTr="002F1276">
        <w:trPr>
          <w:trHeight w:val="293"/>
        </w:trPr>
        <w:tc>
          <w:tcPr>
            <w:tcW w:w="3654" w:type="dxa"/>
            <w:tcBorders>
              <w:top w:val="nil"/>
              <w:left w:val="nil"/>
              <w:bottom w:val="nil"/>
              <w:right w:val="nil"/>
            </w:tcBorders>
            <w:shd w:val="clear" w:color="auto" w:fill="auto"/>
            <w:noWrap/>
            <w:vAlign w:val="bottom"/>
            <w:hideMark/>
          </w:tcPr>
          <w:p w14:paraId="2851D298" w14:textId="77777777" w:rsidR="00994A6E" w:rsidRPr="00AD7E7D" w:rsidRDefault="00994A6E" w:rsidP="008C56D0">
            <w:pPr>
              <w:keepLines/>
              <w:spacing w:after="0"/>
              <w:jc w:val="left"/>
              <w:rPr>
                <w:rFonts w:eastAsia="Times New Roman" w:cs="Times New Roman"/>
                <w:szCs w:val="24"/>
              </w:rPr>
            </w:pPr>
          </w:p>
        </w:tc>
        <w:tc>
          <w:tcPr>
            <w:tcW w:w="1089" w:type="dxa"/>
            <w:tcBorders>
              <w:top w:val="nil"/>
              <w:left w:val="nil"/>
              <w:bottom w:val="single" w:sz="4" w:space="0" w:color="auto"/>
              <w:right w:val="nil"/>
            </w:tcBorders>
            <w:shd w:val="clear" w:color="auto" w:fill="auto"/>
            <w:noWrap/>
            <w:vAlign w:val="bottom"/>
            <w:hideMark/>
          </w:tcPr>
          <w:p w14:paraId="6608E49D"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2023</w:t>
            </w:r>
          </w:p>
        </w:tc>
        <w:tc>
          <w:tcPr>
            <w:tcW w:w="1089" w:type="dxa"/>
            <w:tcBorders>
              <w:top w:val="nil"/>
              <w:left w:val="nil"/>
              <w:bottom w:val="single" w:sz="4" w:space="0" w:color="auto"/>
              <w:right w:val="nil"/>
            </w:tcBorders>
            <w:shd w:val="clear" w:color="auto" w:fill="auto"/>
            <w:noWrap/>
            <w:vAlign w:val="bottom"/>
            <w:hideMark/>
          </w:tcPr>
          <w:p w14:paraId="7E373B3D"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2024</w:t>
            </w:r>
          </w:p>
        </w:tc>
        <w:tc>
          <w:tcPr>
            <w:tcW w:w="1089" w:type="dxa"/>
            <w:tcBorders>
              <w:top w:val="nil"/>
              <w:left w:val="nil"/>
              <w:bottom w:val="single" w:sz="4" w:space="0" w:color="auto"/>
              <w:right w:val="nil"/>
            </w:tcBorders>
            <w:shd w:val="clear" w:color="auto" w:fill="auto"/>
            <w:noWrap/>
            <w:vAlign w:val="bottom"/>
            <w:hideMark/>
          </w:tcPr>
          <w:p w14:paraId="27E89C0E"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2025</w:t>
            </w:r>
          </w:p>
        </w:tc>
        <w:tc>
          <w:tcPr>
            <w:tcW w:w="1089" w:type="dxa"/>
            <w:tcBorders>
              <w:top w:val="nil"/>
              <w:left w:val="nil"/>
              <w:bottom w:val="single" w:sz="4" w:space="0" w:color="auto"/>
              <w:right w:val="nil"/>
            </w:tcBorders>
            <w:shd w:val="clear" w:color="auto" w:fill="auto"/>
            <w:noWrap/>
            <w:vAlign w:val="bottom"/>
            <w:hideMark/>
          </w:tcPr>
          <w:p w14:paraId="21B79988"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2026</w:t>
            </w:r>
          </w:p>
        </w:tc>
        <w:tc>
          <w:tcPr>
            <w:tcW w:w="1089" w:type="dxa"/>
            <w:tcBorders>
              <w:top w:val="nil"/>
              <w:left w:val="nil"/>
              <w:bottom w:val="single" w:sz="4" w:space="0" w:color="auto"/>
              <w:right w:val="nil"/>
            </w:tcBorders>
            <w:shd w:val="clear" w:color="auto" w:fill="auto"/>
            <w:noWrap/>
            <w:vAlign w:val="bottom"/>
            <w:hideMark/>
          </w:tcPr>
          <w:p w14:paraId="1B89C515"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2027</w:t>
            </w:r>
          </w:p>
        </w:tc>
      </w:tr>
      <w:tr w:rsidR="00994A6E" w:rsidRPr="00AD7E7D" w14:paraId="6041242B" w14:textId="77777777" w:rsidTr="002F1276">
        <w:trPr>
          <w:trHeight w:val="293"/>
        </w:trPr>
        <w:tc>
          <w:tcPr>
            <w:tcW w:w="3654" w:type="dxa"/>
            <w:tcBorders>
              <w:top w:val="nil"/>
              <w:left w:val="nil"/>
              <w:bottom w:val="nil"/>
              <w:right w:val="nil"/>
            </w:tcBorders>
            <w:shd w:val="clear" w:color="auto" w:fill="auto"/>
            <w:noWrap/>
            <w:vAlign w:val="bottom"/>
            <w:hideMark/>
          </w:tcPr>
          <w:p w14:paraId="1ECCEFA2" w14:textId="77777777" w:rsidR="00994A6E" w:rsidRPr="00AD7E7D" w:rsidRDefault="00994A6E" w:rsidP="008C56D0">
            <w:pPr>
              <w:keepLines/>
              <w:spacing w:after="0"/>
              <w:jc w:val="left"/>
              <w:rPr>
                <w:rFonts w:eastAsia="Times New Roman" w:cs="Times New Roman"/>
                <w:b/>
                <w:color w:val="000000"/>
                <w:szCs w:val="24"/>
              </w:rPr>
            </w:pPr>
            <w:r>
              <w:rPr>
                <w:rFonts w:eastAsia="Times New Roman" w:cs="Times New Roman"/>
                <w:b/>
                <w:color w:val="000000"/>
                <w:szCs w:val="24"/>
              </w:rPr>
              <w:t>Fiscal result</w:t>
            </w:r>
            <w:r w:rsidRPr="00AD7E7D">
              <w:rPr>
                <w:rFonts w:eastAsia="Times New Roman" w:cs="Times New Roman"/>
                <w:b/>
                <w:color w:val="000000"/>
                <w:szCs w:val="24"/>
              </w:rPr>
              <w:t xml:space="preserve"> </w:t>
            </w:r>
          </w:p>
        </w:tc>
        <w:tc>
          <w:tcPr>
            <w:tcW w:w="1089" w:type="dxa"/>
            <w:tcBorders>
              <w:top w:val="nil"/>
              <w:left w:val="nil"/>
              <w:bottom w:val="nil"/>
              <w:right w:val="nil"/>
            </w:tcBorders>
            <w:shd w:val="clear" w:color="auto" w:fill="auto"/>
            <w:noWrap/>
            <w:vAlign w:val="bottom"/>
            <w:hideMark/>
          </w:tcPr>
          <w:p w14:paraId="3711D69F" w14:textId="77777777" w:rsidR="00994A6E" w:rsidRPr="00AD7E7D" w:rsidRDefault="00994A6E" w:rsidP="008C56D0">
            <w:pPr>
              <w:keepLines/>
              <w:spacing w:after="0"/>
              <w:jc w:val="left"/>
              <w:rPr>
                <w:rFonts w:eastAsia="Times New Roman" w:cs="Times New Roman"/>
                <w:color w:val="000000"/>
                <w:szCs w:val="24"/>
              </w:rPr>
            </w:pPr>
          </w:p>
        </w:tc>
        <w:tc>
          <w:tcPr>
            <w:tcW w:w="1089" w:type="dxa"/>
            <w:tcBorders>
              <w:top w:val="nil"/>
              <w:left w:val="nil"/>
              <w:bottom w:val="nil"/>
              <w:right w:val="nil"/>
            </w:tcBorders>
            <w:shd w:val="clear" w:color="auto" w:fill="auto"/>
            <w:noWrap/>
            <w:vAlign w:val="bottom"/>
            <w:hideMark/>
          </w:tcPr>
          <w:p w14:paraId="42635127" w14:textId="77777777" w:rsidR="00994A6E" w:rsidRPr="00AD7E7D" w:rsidRDefault="00994A6E" w:rsidP="008C56D0">
            <w:pPr>
              <w:keepLines/>
              <w:spacing w:after="0"/>
              <w:jc w:val="left"/>
              <w:rPr>
                <w:rFonts w:eastAsia="Times New Roman" w:cs="Times New Roman"/>
                <w:szCs w:val="24"/>
              </w:rPr>
            </w:pPr>
          </w:p>
        </w:tc>
        <w:tc>
          <w:tcPr>
            <w:tcW w:w="1089" w:type="dxa"/>
            <w:tcBorders>
              <w:top w:val="nil"/>
              <w:left w:val="nil"/>
              <w:bottom w:val="nil"/>
              <w:right w:val="nil"/>
            </w:tcBorders>
            <w:shd w:val="clear" w:color="auto" w:fill="auto"/>
            <w:noWrap/>
            <w:vAlign w:val="bottom"/>
            <w:hideMark/>
          </w:tcPr>
          <w:p w14:paraId="772D1244" w14:textId="77777777" w:rsidR="00994A6E" w:rsidRPr="00AD7E7D" w:rsidRDefault="00994A6E" w:rsidP="008C56D0">
            <w:pPr>
              <w:keepLines/>
              <w:spacing w:after="0"/>
              <w:jc w:val="left"/>
              <w:rPr>
                <w:rFonts w:eastAsia="Times New Roman" w:cs="Times New Roman"/>
                <w:szCs w:val="24"/>
              </w:rPr>
            </w:pPr>
          </w:p>
        </w:tc>
        <w:tc>
          <w:tcPr>
            <w:tcW w:w="1089" w:type="dxa"/>
            <w:tcBorders>
              <w:top w:val="nil"/>
              <w:left w:val="nil"/>
              <w:bottom w:val="nil"/>
              <w:right w:val="nil"/>
            </w:tcBorders>
            <w:shd w:val="clear" w:color="auto" w:fill="auto"/>
            <w:noWrap/>
            <w:vAlign w:val="bottom"/>
            <w:hideMark/>
          </w:tcPr>
          <w:p w14:paraId="1722B763" w14:textId="77777777" w:rsidR="00994A6E" w:rsidRPr="00AD7E7D" w:rsidRDefault="00994A6E" w:rsidP="008C56D0">
            <w:pPr>
              <w:keepLines/>
              <w:spacing w:after="0"/>
              <w:jc w:val="left"/>
              <w:rPr>
                <w:rFonts w:eastAsia="Times New Roman" w:cs="Times New Roman"/>
                <w:szCs w:val="24"/>
              </w:rPr>
            </w:pPr>
          </w:p>
        </w:tc>
        <w:tc>
          <w:tcPr>
            <w:tcW w:w="1089" w:type="dxa"/>
            <w:tcBorders>
              <w:top w:val="nil"/>
              <w:left w:val="nil"/>
              <w:bottom w:val="nil"/>
              <w:right w:val="nil"/>
            </w:tcBorders>
            <w:shd w:val="clear" w:color="auto" w:fill="auto"/>
            <w:noWrap/>
            <w:vAlign w:val="bottom"/>
            <w:hideMark/>
          </w:tcPr>
          <w:p w14:paraId="29E20E08" w14:textId="77777777" w:rsidR="00994A6E" w:rsidRPr="00AD7E7D" w:rsidRDefault="00994A6E" w:rsidP="008C56D0">
            <w:pPr>
              <w:keepLines/>
              <w:spacing w:after="0"/>
              <w:jc w:val="left"/>
              <w:rPr>
                <w:rFonts w:eastAsia="Times New Roman" w:cs="Times New Roman"/>
                <w:szCs w:val="24"/>
              </w:rPr>
            </w:pPr>
          </w:p>
        </w:tc>
      </w:tr>
      <w:tr w:rsidR="00994A6E" w:rsidRPr="00AD7E7D" w14:paraId="3E37A165" w14:textId="77777777" w:rsidTr="002F1276">
        <w:trPr>
          <w:trHeight w:val="293"/>
        </w:trPr>
        <w:tc>
          <w:tcPr>
            <w:tcW w:w="3654" w:type="dxa"/>
            <w:tcBorders>
              <w:top w:val="nil"/>
              <w:left w:val="nil"/>
              <w:bottom w:val="nil"/>
              <w:right w:val="nil"/>
            </w:tcBorders>
            <w:shd w:val="clear" w:color="auto" w:fill="auto"/>
            <w:noWrap/>
            <w:vAlign w:val="bottom"/>
            <w:hideMark/>
          </w:tcPr>
          <w:p w14:paraId="3E15689A" w14:textId="77777777" w:rsidR="00994A6E" w:rsidRPr="00AD7E7D" w:rsidRDefault="00994A6E" w:rsidP="008C56D0">
            <w:pPr>
              <w:keepLines/>
              <w:spacing w:after="0"/>
              <w:jc w:val="left"/>
              <w:rPr>
                <w:rFonts w:eastAsia="Times New Roman" w:cs="Times New Roman"/>
                <w:color w:val="000000"/>
                <w:szCs w:val="24"/>
              </w:rPr>
            </w:pPr>
            <w:r>
              <w:rPr>
                <w:rFonts w:eastAsia="Times New Roman" w:cs="Times New Roman"/>
                <w:color w:val="000000"/>
                <w:szCs w:val="24"/>
              </w:rPr>
              <w:t>previous program</w:t>
            </w:r>
            <w:r w:rsidRPr="00AD7E7D">
              <w:rPr>
                <w:rFonts w:eastAsia="Times New Roman" w:cs="Times New Roman"/>
                <w:color w:val="000000"/>
                <w:szCs w:val="24"/>
                <w:vertAlign w:val="superscript"/>
              </w:rPr>
              <w:footnoteReference w:id="10"/>
            </w:r>
          </w:p>
        </w:tc>
        <w:tc>
          <w:tcPr>
            <w:tcW w:w="1089" w:type="dxa"/>
            <w:tcBorders>
              <w:top w:val="nil"/>
              <w:left w:val="nil"/>
              <w:bottom w:val="nil"/>
              <w:right w:val="nil"/>
            </w:tcBorders>
            <w:shd w:val="clear" w:color="auto" w:fill="auto"/>
            <w:noWrap/>
            <w:vAlign w:val="bottom"/>
            <w:hideMark/>
          </w:tcPr>
          <w:p w14:paraId="565AB3C3"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-2,8</w:t>
            </w:r>
          </w:p>
        </w:tc>
        <w:tc>
          <w:tcPr>
            <w:tcW w:w="1089" w:type="dxa"/>
            <w:tcBorders>
              <w:top w:val="nil"/>
              <w:left w:val="nil"/>
              <w:bottom w:val="nil"/>
              <w:right w:val="nil"/>
            </w:tcBorders>
            <w:shd w:val="clear" w:color="auto" w:fill="auto"/>
            <w:noWrap/>
            <w:vAlign w:val="bottom"/>
            <w:hideMark/>
          </w:tcPr>
          <w:p w14:paraId="70AF152E"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-2,2</w:t>
            </w:r>
          </w:p>
        </w:tc>
        <w:tc>
          <w:tcPr>
            <w:tcW w:w="1089" w:type="dxa"/>
            <w:tcBorders>
              <w:top w:val="nil"/>
              <w:left w:val="nil"/>
              <w:bottom w:val="nil"/>
              <w:right w:val="nil"/>
            </w:tcBorders>
            <w:shd w:val="clear" w:color="auto" w:fill="auto"/>
            <w:noWrap/>
            <w:vAlign w:val="bottom"/>
            <w:hideMark/>
          </w:tcPr>
          <w:p w14:paraId="07CC81A5"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-1,5</w:t>
            </w:r>
          </w:p>
        </w:tc>
        <w:tc>
          <w:tcPr>
            <w:tcW w:w="1089" w:type="dxa"/>
            <w:tcBorders>
              <w:top w:val="nil"/>
              <w:left w:val="nil"/>
              <w:bottom w:val="nil"/>
              <w:right w:val="nil"/>
            </w:tcBorders>
            <w:shd w:val="clear" w:color="auto" w:fill="auto"/>
            <w:noWrap/>
            <w:vAlign w:val="bottom"/>
            <w:hideMark/>
          </w:tcPr>
          <w:p w14:paraId="4B965B33"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-1,5</w:t>
            </w:r>
          </w:p>
        </w:tc>
        <w:tc>
          <w:tcPr>
            <w:tcW w:w="1089" w:type="dxa"/>
            <w:tcBorders>
              <w:top w:val="nil"/>
              <w:left w:val="nil"/>
              <w:bottom w:val="nil"/>
              <w:right w:val="nil"/>
            </w:tcBorders>
            <w:shd w:val="clear" w:color="auto" w:fill="auto"/>
            <w:noWrap/>
            <w:vAlign w:val="bottom"/>
            <w:hideMark/>
          </w:tcPr>
          <w:p w14:paraId="62359F92" w14:textId="77777777" w:rsidR="00994A6E" w:rsidRPr="00AD7E7D" w:rsidRDefault="00994A6E" w:rsidP="008C56D0">
            <w:pPr>
              <w:keepLines/>
              <w:spacing w:after="0"/>
              <w:jc w:val="right"/>
              <w:rPr>
                <w:rFonts w:eastAsia="Times New Roman" w:cs="Times New Roman"/>
                <w:color w:val="000000"/>
                <w:szCs w:val="24"/>
                <w:lang w:val="sr-Cyrl-RS"/>
              </w:rPr>
            </w:pPr>
            <w:r w:rsidRPr="00AD7E7D">
              <w:rPr>
                <w:rFonts w:eastAsia="Times New Roman" w:cs="Times New Roman"/>
                <w:color w:val="000000"/>
                <w:szCs w:val="24"/>
                <w:lang w:val="sr-Cyrl-RS"/>
              </w:rPr>
              <w:t>-</w:t>
            </w:r>
          </w:p>
        </w:tc>
      </w:tr>
      <w:tr w:rsidR="00994A6E" w:rsidRPr="00AD7E7D" w14:paraId="0F7CF4C9" w14:textId="77777777" w:rsidTr="002F1276">
        <w:trPr>
          <w:trHeight w:val="293"/>
        </w:trPr>
        <w:tc>
          <w:tcPr>
            <w:tcW w:w="3654" w:type="dxa"/>
            <w:tcBorders>
              <w:top w:val="nil"/>
              <w:left w:val="nil"/>
              <w:right w:val="nil"/>
            </w:tcBorders>
            <w:shd w:val="clear" w:color="auto" w:fill="auto"/>
            <w:noWrap/>
            <w:vAlign w:val="bottom"/>
            <w:hideMark/>
          </w:tcPr>
          <w:p w14:paraId="7737751B" w14:textId="77777777" w:rsidR="00994A6E" w:rsidRPr="00AD7E7D" w:rsidRDefault="00994A6E" w:rsidP="008C56D0">
            <w:pPr>
              <w:keepLines/>
              <w:spacing w:after="0"/>
              <w:jc w:val="left"/>
              <w:rPr>
                <w:rFonts w:eastAsia="Times New Roman" w:cs="Times New Roman"/>
                <w:color w:val="000000"/>
                <w:szCs w:val="24"/>
              </w:rPr>
            </w:pPr>
            <w:r>
              <w:rPr>
                <w:rFonts w:eastAsia="Times New Roman" w:cs="Times New Roman"/>
                <w:color w:val="000000"/>
                <w:szCs w:val="24"/>
              </w:rPr>
              <w:t>c</w:t>
            </w:r>
            <w:r w:rsidRPr="00947021">
              <w:rPr>
                <w:rFonts w:eastAsia="Times New Roman" w:cs="Times New Roman"/>
                <w:color w:val="000000"/>
                <w:szCs w:val="24"/>
              </w:rPr>
              <w:t>urrent program</w:t>
            </w:r>
          </w:p>
        </w:tc>
        <w:tc>
          <w:tcPr>
            <w:tcW w:w="1089" w:type="dxa"/>
            <w:tcBorders>
              <w:top w:val="nil"/>
              <w:left w:val="nil"/>
              <w:right w:val="nil"/>
            </w:tcBorders>
            <w:shd w:val="clear" w:color="auto" w:fill="auto"/>
            <w:noWrap/>
            <w:vAlign w:val="bottom"/>
            <w:hideMark/>
          </w:tcPr>
          <w:p w14:paraId="25948FB6"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-2,1</w:t>
            </w:r>
          </w:p>
        </w:tc>
        <w:tc>
          <w:tcPr>
            <w:tcW w:w="1089" w:type="dxa"/>
            <w:tcBorders>
              <w:top w:val="nil"/>
              <w:left w:val="nil"/>
              <w:right w:val="nil"/>
            </w:tcBorders>
            <w:shd w:val="clear" w:color="auto" w:fill="auto"/>
            <w:noWrap/>
            <w:vAlign w:val="bottom"/>
            <w:hideMark/>
          </w:tcPr>
          <w:p w14:paraId="4F59F92E"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-2,7</w:t>
            </w:r>
          </w:p>
        </w:tc>
        <w:tc>
          <w:tcPr>
            <w:tcW w:w="1089" w:type="dxa"/>
            <w:tcBorders>
              <w:top w:val="nil"/>
              <w:left w:val="nil"/>
              <w:right w:val="nil"/>
            </w:tcBorders>
            <w:shd w:val="clear" w:color="auto" w:fill="auto"/>
            <w:noWrap/>
            <w:vAlign w:val="bottom"/>
            <w:hideMark/>
          </w:tcPr>
          <w:p w14:paraId="49B93F2A"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-3,0</w:t>
            </w:r>
          </w:p>
        </w:tc>
        <w:tc>
          <w:tcPr>
            <w:tcW w:w="1089" w:type="dxa"/>
            <w:tcBorders>
              <w:top w:val="nil"/>
              <w:left w:val="nil"/>
              <w:right w:val="nil"/>
            </w:tcBorders>
            <w:shd w:val="clear" w:color="auto" w:fill="auto"/>
            <w:noWrap/>
            <w:vAlign w:val="bottom"/>
            <w:hideMark/>
          </w:tcPr>
          <w:p w14:paraId="62B905D9"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-3,0</w:t>
            </w:r>
          </w:p>
        </w:tc>
        <w:tc>
          <w:tcPr>
            <w:tcW w:w="1089" w:type="dxa"/>
            <w:tcBorders>
              <w:top w:val="nil"/>
              <w:left w:val="nil"/>
              <w:right w:val="nil"/>
            </w:tcBorders>
            <w:shd w:val="clear" w:color="auto" w:fill="auto"/>
            <w:noWrap/>
            <w:vAlign w:val="bottom"/>
            <w:hideMark/>
          </w:tcPr>
          <w:p w14:paraId="6F223CA2"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-3,0</w:t>
            </w:r>
          </w:p>
        </w:tc>
      </w:tr>
      <w:tr w:rsidR="00994A6E" w:rsidRPr="00AD7E7D" w14:paraId="036BEAC7" w14:textId="77777777" w:rsidTr="002F1276">
        <w:trPr>
          <w:trHeight w:val="293"/>
        </w:trPr>
        <w:tc>
          <w:tcPr>
            <w:tcW w:w="3654" w:type="dxa"/>
            <w:tcBorders>
              <w:top w:val="nil"/>
              <w:left w:val="nil"/>
              <w:bottom w:val="single" w:sz="4" w:space="0" w:color="auto"/>
              <w:right w:val="nil"/>
            </w:tcBorders>
            <w:shd w:val="clear" w:color="auto" w:fill="auto"/>
            <w:noWrap/>
            <w:vAlign w:val="bottom"/>
            <w:hideMark/>
          </w:tcPr>
          <w:p w14:paraId="47C78615" w14:textId="77777777" w:rsidR="00994A6E" w:rsidRPr="00AD7E7D" w:rsidRDefault="00994A6E" w:rsidP="008C56D0">
            <w:pPr>
              <w:keepLines/>
              <w:spacing w:after="0"/>
              <w:jc w:val="left"/>
              <w:rPr>
                <w:rFonts w:eastAsia="Times New Roman" w:cs="Times New Roman"/>
                <w:color w:val="000000"/>
                <w:szCs w:val="24"/>
              </w:rPr>
            </w:pPr>
            <w:r>
              <w:rPr>
                <w:rFonts w:eastAsia="Times New Roman" w:cs="Times New Roman"/>
                <w:color w:val="000000"/>
                <w:szCs w:val="24"/>
              </w:rPr>
              <w:t>d</w:t>
            </w:r>
            <w:r w:rsidRPr="00947021">
              <w:rPr>
                <w:rFonts w:eastAsia="Times New Roman" w:cs="Times New Roman"/>
                <w:color w:val="000000"/>
                <w:szCs w:val="24"/>
              </w:rPr>
              <w:t>ifference</w:t>
            </w:r>
          </w:p>
        </w:tc>
        <w:tc>
          <w:tcPr>
            <w:tcW w:w="1089" w:type="dxa"/>
            <w:tcBorders>
              <w:top w:val="nil"/>
              <w:left w:val="nil"/>
              <w:bottom w:val="single" w:sz="4" w:space="0" w:color="auto"/>
              <w:right w:val="nil"/>
            </w:tcBorders>
            <w:shd w:val="clear" w:color="auto" w:fill="auto"/>
            <w:noWrap/>
            <w:vAlign w:val="bottom"/>
            <w:hideMark/>
          </w:tcPr>
          <w:p w14:paraId="4C6F9CE9"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0,7</w:t>
            </w:r>
          </w:p>
        </w:tc>
        <w:tc>
          <w:tcPr>
            <w:tcW w:w="1089" w:type="dxa"/>
            <w:tcBorders>
              <w:top w:val="nil"/>
              <w:left w:val="nil"/>
              <w:bottom w:val="single" w:sz="4" w:space="0" w:color="auto"/>
              <w:right w:val="nil"/>
            </w:tcBorders>
            <w:shd w:val="clear" w:color="auto" w:fill="auto"/>
            <w:noWrap/>
            <w:vAlign w:val="bottom"/>
            <w:hideMark/>
          </w:tcPr>
          <w:p w14:paraId="70E362D8"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-0,5</w:t>
            </w:r>
          </w:p>
        </w:tc>
        <w:tc>
          <w:tcPr>
            <w:tcW w:w="1089" w:type="dxa"/>
            <w:tcBorders>
              <w:top w:val="nil"/>
              <w:left w:val="nil"/>
              <w:bottom w:val="single" w:sz="4" w:space="0" w:color="auto"/>
              <w:right w:val="nil"/>
            </w:tcBorders>
            <w:shd w:val="clear" w:color="auto" w:fill="auto"/>
            <w:noWrap/>
            <w:vAlign w:val="bottom"/>
            <w:hideMark/>
          </w:tcPr>
          <w:p w14:paraId="5E53EE41"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-1,5</w:t>
            </w:r>
          </w:p>
        </w:tc>
        <w:tc>
          <w:tcPr>
            <w:tcW w:w="1089" w:type="dxa"/>
            <w:tcBorders>
              <w:top w:val="nil"/>
              <w:left w:val="nil"/>
              <w:bottom w:val="single" w:sz="4" w:space="0" w:color="auto"/>
              <w:right w:val="nil"/>
            </w:tcBorders>
            <w:shd w:val="clear" w:color="auto" w:fill="auto"/>
            <w:noWrap/>
            <w:vAlign w:val="bottom"/>
            <w:hideMark/>
          </w:tcPr>
          <w:p w14:paraId="54E82222"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-1,5</w:t>
            </w:r>
          </w:p>
        </w:tc>
        <w:tc>
          <w:tcPr>
            <w:tcW w:w="1089" w:type="dxa"/>
            <w:tcBorders>
              <w:top w:val="nil"/>
              <w:left w:val="nil"/>
              <w:bottom w:val="single" w:sz="4" w:space="0" w:color="auto"/>
              <w:right w:val="nil"/>
            </w:tcBorders>
            <w:shd w:val="clear" w:color="auto" w:fill="auto"/>
            <w:noWrap/>
            <w:vAlign w:val="bottom"/>
            <w:hideMark/>
          </w:tcPr>
          <w:p w14:paraId="6872491E" w14:textId="77777777" w:rsidR="00994A6E" w:rsidRPr="00AD7E7D" w:rsidRDefault="00994A6E" w:rsidP="008C56D0">
            <w:pPr>
              <w:keepLines/>
              <w:spacing w:after="0"/>
              <w:jc w:val="right"/>
              <w:rPr>
                <w:rFonts w:eastAsia="Times New Roman" w:cs="Times New Roman"/>
                <w:color w:val="000000"/>
                <w:szCs w:val="24"/>
                <w:lang w:val="sr-Cyrl-RS"/>
              </w:rPr>
            </w:pPr>
            <w:r w:rsidRPr="00AD7E7D">
              <w:rPr>
                <w:rFonts w:eastAsia="Times New Roman" w:cs="Times New Roman"/>
                <w:color w:val="000000"/>
                <w:szCs w:val="24"/>
                <w:lang w:val="sr-Cyrl-RS"/>
              </w:rPr>
              <w:t>-</w:t>
            </w:r>
          </w:p>
        </w:tc>
      </w:tr>
      <w:tr w:rsidR="00994A6E" w:rsidRPr="00AD7E7D" w14:paraId="135E3988" w14:textId="77777777" w:rsidTr="002F1276">
        <w:trPr>
          <w:trHeight w:val="293"/>
        </w:trPr>
        <w:tc>
          <w:tcPr>
            <w:tcW w:w="3654" w:type="dxa"/>
            <w:tcBorders>
              <w:top w:val="single" w:sz="4" w:space="0" w:color="auto"/>
              <w:left w:val="nil"/>
              <w:bottom w:val="nil"/>
              <w:right w:val="nil"/>
            </w:tcBorders>
            <w:shd w:val="clear" w:color="auto" w:fill="auto"/>
            <w:noWrap/>
            <w:vAlign w:val="bottom"/>
            <w:hideMark/>
          </w:tcPr>
          <w:p w14:paraId="5E1A96D4" w14:textId="77777777" w:rsidR="00994A6E" w:rsidRPr="00AD7E7D" w:rsidRDefault="00994A6E" w:rsidP="008C56D0">
            <w:pPr>
              <w:keepLines/>
              <w:spacing w:after="0"/>
              <w:jc w:val="left"/>
              <w:rPr>
                <w:rFonts w:eastAsia="Times New Roman" w:cs="Times New Roman"/>
                <w:b/>
                <w:color w:val="000000"/>
                <w:szCs w:val="24"/>
              </w:rPr>
            </w:pPr>
            <w:r w:rsidRPr="00947021">
              <w:rPr>
                <w:rFonts w:eastAsia="Times New Roman" w:cs="Times New Roman"/>
                <w:b/>
                <w:color w:val="000000"/>
                <w:szCs w:val="24"/>
              </w:rPr>
              <w:t>Government sector debt</w:t>
            </w:r>
          </w:p>
        </w:tc>
        <w:tc>
          <w:tcPr>
            <w:tcW w:w="1089" w:type="dxa"/>
            <w:tcBorders>
              <w:top w:val="single" w:sz="4" w:space="0" w:color="auto"/>
              <w:left w:val="nil"/>
              <w:bottom w:val="nil"/>
              <w:right w:val="nil"/>
            </w:tcBorders>
            <w:shd w:val="clear" w:color="auto" w:fill="auto"/>
            <w:noWrap/>
            <w:vAlign w:val="bottom"/>
            <w:hideMark/>
          </w:tcPr>
          <w:p w14:paraId="3D19283F" w14:textId="77777777" w:rsidR="00994A6E" w:rsidRPr="00AD7E7D" w:rsidRDefault="00994A6E" w:rsidP="008C56D0">
            <w:pPr>
              <w:keepLines/>
              <w:spacing w:after="0"/>
              <w:jc w:val="left"/>
              <w:rPr>
                <w:rFonts w:eastAsia="Times New Roman" w:cs="Times New Roman"/>
                <w:color w:val="000000"/>
                <w:szCs w:val="24"/>
              </w:rPr>
            </w:pPr>
          </w:p>
        </w:tc>
        <w:tc>
          <w:tcPr>
            <w:tcW w:w="1089" w:type="dxa"/>
            <w:tcBorders>
              <w:top w:val="single" w:sz="4" w:space="0" w:color="auto"/>
              <w:left w:val="nil"/>
              <w:bottom w:val="nil"/>
              <w:right w:val="nil"/>
            </w:tcBorders>
            <w:shd w:val="clear" w:color="auto" w:fill="auto"/>
            <w:noWrap/>
            <w:vAlign w:val="bottom"/>
            <w:hideMark/>
          </w:tcPr>
          <w:p w14:paraId="0929BB94" w14:textId="77777777" w:rsidR="00994A6E" w:rsidRPr="00AD7E7D" w:rsidRDefault="00994A6E" w:rsidP="008C56D0">
            <w:pPr>
              <w:keepLines/>
              <w:spacing w:after="0"/>
              <w:jc w:val="left"/>
              <w:rPr>
                <w:rFonts w:eastAsia="Times New Roman" w:cs="Times New Roman"/>
                <w:szCs w:val="24"/>
              </w:rPr>
            </w:pPr>
          </w:p>
        </w:tc>
        <w:tc>
          <w:tcPr>
            <w:tcW w:w="1089" w:type="dxa"/>
            <w:tcBorders>
              <w:top w:val="single" w:sz="4" w:space="0" w:color="auto"/>
              <w:left w:val="nil"/>
              <w:bottom w:val="nil"/>
              <w:right w:val="nil"/>
            </w:tcBorders>
            <w:shd w:val="clear" w:color="auto" w:fill="auto"/>
            <w:noWrap/>
            <w:vAlign w:val="bottom"/>
            <w:hideMark/>
          </w:tcPr>
          <w:p w14:paraId="210DC335" w14:textId="77777777" w:rsidR="00994A6E" w:rsidRPr="00AD7E7D" w:rsidRDefault="00994A6E" w:rsidP="008C56D0">
            <w:pPr>
              <w:keepLines/>
              <w:spacing w:after="0"/>
              <w:jc w:val="left"/>
              <w:rPr>
                <w:rFonts w:eastAsia="Times New Roman" w:cs="Times New Roman"/>
                <w:szCs w:val="24"/>
              </w:rPr>
            </w:pPr>
          </w:p>
        </w:tc>
        <w:tc>
          <w:tcPr>
            <w:tcW w:w="1089" w:type="dxa"/>
            <w:tcBorders>
              <w:top w:val="single" w:sz="4" w:space="0" w:color="auto"/>
              <w:left w:val="nil"/>
              <w:bottom w:val="nil"/>
              <w:right w:val="nil"/>
            </w:tcBorders>
            <w:shd w:val="clear" w:color="auto" w:fill="auto"/>
            <w:noWrap/>
            <w:vAlign w:val="bottom"/>
            <w:hideMark/>
          </w:tcPr>
          <w:p w14:paraId="280682B3" w14:textId="77777777" w:rsidR="00994A6E" w:rsidRPr="00AD7E7D" w:rsidRDefault="00994A6E" w:rsidP="008C56D0">
            <w:pPr>
              <w:keepLines/>
              <w:spacing w:after="0"/>
              <w:jc w:val="left"/>
              <w:rPr>
                <w:rFonts w:eastAsia="Times New Roman" w:cs="Times New Roman"/>
                <w:szCs w:val="24"/>
              </w:rPr>
            </w:pPr>
          </w:p>
        </w:tc>
        <w:tc>
          <w:tcPr>
            <w:tcW w:w="1089" w:type="dxa"/>
            <w:tcBorders>
              <w:top w:val="single" w:sz="4" w:space="0" w:color="auto"/>
              <w:left w:val="nil"/>
              <w:bottom w:val="nil"/>
              <w:right w:val="nil"/>
            </w:tcBorders>
            <w:shd w:val="clear" w:color="auto" w:fill="auto"/>
            <w:noWrap/>
            <w:vAlign w:val="bottom"/>
            <w:hideMark/>
          </w:tcPr>
          <w:p w14:paraId="1CD0DA95" w14:textId="77777777" w:rsidR="00994A6E" w:rsidRPr="00AD7E7D" w:rsidRDefault="00994A6E" w:rsidP="008C56D0">
            <w:pPr>
              <w:keepLines/>
              <w:spacing w:after="0"/>
              <w:jc w:val="left"/>
              <w:rPr>
                <w:rFonts w:eastAsia="Times New Roman" w:cs="Times New Roman"/>
                <w:szCs w:val="24"/>
              </w:rPr>
            </w:pPr>
          </w:p>
        </w:tc>
      </w:tr>
      <w:tr w:rsidR="00994A6E" w:rsidRPr="00AD7E7D" w14:paraId="59E20F32" w14:textId="77777777" w:rsidTr="002F1276">
        <w:trPr>
          <w:trHeight w:val="293"/>
        </w:trPr>
        <w:tc>
          <w:tcPr>
            <w:tcW w:w="3654" w:type="dxa"/>
            <w:tcBorders>
              <w:top w:val="nil"/>
              <w:left w:val="nil"/>
              <w:bottom w:val="nil"/>
              <w:right w:val="nil"/>
            </w:tcBorders>
            <w:shd w:val="clear" w:color="auto" w:fill="auto"/>
            <w:noWrap/>
            <w:vAlign w:val="bottom"/>
            <w:hideMark/>
          </w:tcPr>
          <w:p w14:paraId="20D1E11D" w14:textId="77777777" w:rsidR="00994A6E" w:rsidRPr="00AD7E7D" w:rsidRDefault="00994A6E" w:rsidP="008C56D0">
            <w:pPr>
              <w:keepLines/>
              <w:spacing w:after="0"/>
              <w:jc w:val="left"/>
              <w:rPr>
                <w:rFonts w:eastAsia="Times New Roman" w:cs="Times New Roman"/>
                <w:color w:val="000000"/>
                <w:szCs w:val="24"/>
              </w:rPr>
            </w:pPr>
            <w:r>
              <w:rPr>
                <w:rFonts w:eastAsia="Times New Roman" w:cs="Times New Roman"/>
                <w:color w:val="000000"/>
                <w:szCs w:val="24"/>
              </w:rPr>
              <w:t>p</w:t>
            </w:r>
            <w:r w:rsidRPr="00947021">
              <w:rPr>
                <w:rFonts w:eastAsia="Times New Roman" w:cs="Times New Roman"/>
                <w:color w:val="000000"/>
                <w:szCs w:val="24"/>
              </w:rPr>
              <w:t>revious program</w:t>
            </w:r>
          </w:p>
        </w:tc>
        <w:tc>
          <w:tcPr>
            <w:tcW w:w="1089" w:type="dxa"/>
            <w:tcBorders>
              <w:top w:val="nil"/>
              <w:left w:val="nil"/>
              <w:bottom w:val="nil"/>
              <w:right w:val="nil"/>
            </w:tcBorders>
            <w:shd w:val="clear" w:color="auto" w:fill="auto"/>
            <w:noWrap/>
            <w:vAlign w:val="bottom"/>
            <w:hideMark/>
          </w:tcPr>
          <w:p w14:paraId="2EB5CCAF"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53,3</w:t>
            </w:r>
          </w:p>
        </w:tc>
        <w:tc>
          <w:tcPr>
            <w:tcW w:w="1089" w:type="dxa"/>
            <w:tcBorders>
              <w:top w:val="nil"/>
              <w:left w:val="nil"/>
              <w:bottom w:val="nil"/>
              <w:right w:val="nil"/>
            </w:tcBorders>
            <w:shd w:val="clear" w:color="auto" w:fill="auto"/>
            <w:noWrap/>
            <w:vAlign w:val="bottom"/>
            <w:hideMark/>
          </w:tcPr>
          <w:p w14:paraId="0F7A236E"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51,7</w:t>
            </w:r>
          </w:p>
        </w:tc>
        <w:tc>
          <w:tcPr>
            <w:tcW w:w="1089" w:type="dxa"/>
            <w:tcBorders>
              <w:top w:val="nil"/>
              <w:left w:val="nil"/>
              <w:bottom w:val="nil"/>
              <w:right w:val="nil"/>
            </w:tcBorders>
            <w:shd w:val="clear" w:color="auto" w:fill="auto"/>
            <w:noWrap/>
            <w:vAlign w:val="bottom"/>
            <w:hideMark/>
          </w:tcPr>
          <w:p w14:paraId="5BADDBDF"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50,7</w:t>
            </w:r>
          </w:p>
        </w:tc>
        <w:tc>
          <w:tcPr>
            <w:tcW w:w="1089" w:type="dxa"/>
            <w:tcBorders>
              <w:top w:val="nil"/>
              <w:left w:val="nil"/>
              <w:bottom w:val="nil"/>
              <w:right w:val="nil"/>
            </w:tcBorders>
            <w:shd w:val="clear" w:color="auto" w:fill="auto"/>
            <w:noWrap/>
            <w:vAlign w:val="bottom"/>
            <w:hideMark/>
          </w:tcPr>
          <w:p w14:paraId="37D8DA98"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50,0</w:t>
            </w:r>
          </w:p>
        </w:tc>
        <w:tc>
          <w:tcPr>
            <w:tcW w:w="1089" w:type="dxa"/>
            <w:tcBorders>
              <w:top w:val="nil"/>
              <w:left w:val="nil"/>
              <w:bottom w:val="nil"/>
              <w:right w:val="nil"/>
            </w:tcBorders>
            <w:shd w:val="clear" w:color="auto" w:fill="auto"/>
            <w:noWrap/>
            <w:vAlign w:val="bottom"/>
            <w:hideMark/>
          </w:tcPr>
          <w:p w14:paraId="1546D83B" w14:textId="77777777" w:rsidR="00994A6E" w:rsidRPr="00AD7E7D" w:rsidRDefault="00994A6E" w:rsidP="008C56D0">
            <w:pPr>
              <w:keepLines/>
              <w:spacing w:after="0"/>
              <w:jc w:val="right"/>
              <w:rPr>
                <w:rFonts w:eastAsia="Times New Roman" w:cs="Times New Roman"/>
                <w:color w:val="000000"/>
                <w:szCs w:val="24"/>
                <w:lang w:val="sr-Cyrl-RS"/>
              </w:rPr>
            </w:pPr>
            <w:r w:rsidRPr="00AD7E7D">
              <w:rPr>
                <w:rFonts w:eastAsia="Times New Roman" w:cs="Times New Roman"/>
                <w:color w:val="000000"/>
                <w:szCs w:val="24"/>
                <w:lang w:val="sr-Cyrl-RS"/>
              </w:rPr>
              <w:t>-</w:t>
            </w:r>
          </w:p>
        </w:tc>
      </w:tr>
      <w:tr w:rsidR="00994A6E" w:rsidRPr="00AD7E7D" w14:paraId="53EB18E8" w14:textId="77777777" w:rsidTr="002F1276">
        <w:trPr>
          <w:trHeight w:val="293"/>
        </w:trPr>
        <w:tc>
          <w:tcPr>
            <w:tcW w:w="3654" w:type="dxa"/>
            <w:tcBorders>
              <w:top w:val="nil"/>
              <w:left w:val="nil"/>
              <w:right w:val="nil"/>
            </w:tcBorders>
            <w:shd w:val="clear" w:color="auto" w:fill="auto"/>
            <w:noWrap/>
            <w:vAlign w:val="bottom"/>
            <w:hideMark/>
          </w:tcPr>
          <w:p w14:paraId="506DE11B" w14:textId="77777777" w:rsidR="00994A6E" w:rsidRPr="00AD7E7D" w:rsidRDefault="00994A6E" w:rsidP="008C56D0">
            <w:pPr>
              <w:keepLines/>
              <w:spacing w:after="0"/>
              <w:jc w:val="left"/>
              <w:rPr>
                <w:rFonts w:eastAsia="Times New Roman" w:cs="Times New Roman"/>
                <w:color w:val="000000"/>
                <w:szCs w:val="24"/>
              </w:rPr>
            </w:pPr>
            <w:r w:rsidRPr="00947021">
              <w:rPr>
                <w:rFonts w:eastAsia="Times New Roman" w:cs="Times New Roman"/>
                <w:color w:val="000000"/>
                <w:szCs w:val="24"/>
              </w:rPr>
              <w:t>current program</w:t>
            </w:r>
          </w:p>
        </w:tc>
        <w:tc>
          <w:tcPr>
            <w:tcW w:w="1089" w:type="dxa"/>
            <w:tcBorders>
              <w:top w:val="nil"/>
              <w:left w:val="nil"/>
              <w:right w:val="nil"/>
            </w:tcBorders>
            <w:shd w:val="clear" w:color="auto" w:fill="auto"/>
            <w:noWrap/>
            <w:vAlign w:val="bottom"/>
            <w:hideMark/>
          </w:tcPr>
          <w:p w14:paraId="2261B0E3"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48,4</w:t>
            </w:r>
          </w:p>
        </w:tc>
        <w:tc>
          <w:tcPr>
            <w:tcW w:w="1089" w:type="dxa"/>
            <w:tcBorders>
              <w:top w:val="nil"/>
              <w:left w:val="nil"/>
              <w:right w:val="nil"/>
            </w:tcBorders>
            <w:shd w:val="clear" w:color="auto" w:fill="auto"/>
            <w:noWrap/>
            <w:vAlign w:val="bottom"/>
            <w:hideMark/>
          </w:tcPr>
          <w:p w14:paraId="18CBB368"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47,9</w:t>
            </w:r>
          </w:p>
        </w:tc>
        <w:tc>
          <w:tcPr>
            <w:tcW w:w="1089" w:type="dxa"/>
            <w:tcBorders>
              <w:top w:val="nil"/>
              <w:left w:val="nil"/>
              <w:right w:val="nil"/>
            </w:tcBorders>
            <w:shd w:val="clear" w:color="auto" w:fill="auto"/>
            <w:noWrap/>
            <w:vAlign w:val="bottom"/>
            <w:hideMark/>
          </w:tcPr>
          <w:p w14:paraId="59AE666F"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47,5</w:t>
            </w:r>
          </w:p>
        </w:tc>
        <w:tc>
          <w:tcPr>
            <w:tcW w:w="1089" w:type="dxa"/>
            <w:tcBorders>
              <w:top w:val="nil"/>
              <w:left w:val="nil"/>
              <w:right w:val="nil"/>
            </w:tcBorders>
            <w:shd w:val="clear" w:color="auto" w:fill="auto"/>
            <w:noWrap/>
            <w:vAlign w:val="bottom"/>
            <w:hideMark/>
          </w:tcPr>
          <w:p w14:paraId="129C9F5F"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47,0</w:t>
            </w:r>
          </w:p>
        </w:tc>
        <w:tc>
          <w:tcPr>
            <w:tcW w:w="1089" w:type="dxa"/>
            <w:tcBorders>
              <w:top w:val="nil"/>
              <w:left w:val="nil"/>
              <w:right w:val="nil"/>
            </w:tcBorders>
            <w:shd w:val="clear" w:color="auto" w:fill="auto"/>
            <w:noWrap/>
            <w:vAlign w:val="bottom"/>
            <w:hideMark/>
          </w:tcPr>
          <w:p w14:paraId="1D9ABA55"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46,5</w:t>
            </w:r>
          </w:p>
        </w:tc>
      </w:tr>
      <w:tr w:rsidR="00994A6E" w:rsidRPr="00AD7E7D" w14:paraId="54738468" w14:textId="77777777" w:rsidTr="002F1276">
        <w:trPr>
          <w:trHeight w:val="293"/>
        </w:trPr>
        <w:tc>
          <w:tcPr>
            <w:tcW w:w="3654" w:type="dxa"/>
            <w:tcBorders>
              <w:top w:val="nil"/>
              <w:left w:val="nil"/>
              <w:bottom w:val="single" w:sz="4" w:space="0" w:color="auto"/>
              <w:right w:val="nil"/>
            </w:tcBorders>
            <w:shd w:val="clear" w:color="auto" w:fill="auto"/>
            <w:noWrap/>
            <w:vAlign w:val="bottom"/>
            <w:hideMark/>
          </w:tcPr>
          <w:p w14:paraId="7D2767CD" w14:textId="77777777" w:rsidR="00994A6E" w:rsidRPr="00AD7E7D" w:rsidRDefault="00994A6E" w:rsidP="008C56D0">
            <w:pPr>
              <w:keepLines/>
              <w:spacing w:after="0"/>
              <w:jc w:val="left"/>
              <w:rPr>
                <w:rFonts w:eastAsia="Times New Roman" w:cs="Times New Roman"/>
                <w:color w:val="000000"/>
                <w:szCs w:val="24"/>
              </w:rPr>
            </w:pPr>
            <w:r w:rsidRPr="00947021">
              <w:rPr>
                <w:rFonts w:eastAsia="Times New Roman" w:cs="Times New Roman"/>
                <w:color w:val="000000"/>
                <w:szCs w:val="24"/>
              </w:rPr>
              <w:t>difference</w:t>
            </w:r>
          </w:p>
        </w:tc>
        <w:tc>
          <w:tcPr>
            <w:tcW w:w="1089" w:type="dxa"/>
            <w:tcBorders>
              <w:top w:val="nil"/>
              <w:left w:val="nil"/>
              <w:bottom w:val="single" w:sz="4" w:space="0" w:color="auto"/>
              <w:right w:val="nil"/>
            </w:tcBorders>
            <w:shd w:val="clear" w:color="auto" w:fill="auto"/>
            <w:noWrap/>
            <w:vAlign w:val="bottom"/>
            <w:hideMark/>
          </w:tcPr>
          <w:p w14:paraId="6BC61669"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-4,9</w:t>
            </w:r>
          </w:p>
        </w:tc>
        <w:tc>
          <w:tcPr>
            <w:tcW w:w="1089" w:type="dxa"/>
            <w:tcBorders>
              <w:top w:val="nil"/>
              <w:left w:val="nil"/>
              <w:bottom w:val="single" w:sz="4" w:space="0" w:color="auto"/>
              <w:right w:val="nil"/>
            </w:tcBorders>
            <w:shd w:val="clear" w:color="auto" w:fill="auto"/>
            <w:noWrap/>
            <w:vAlign w:val="bottom"/>
            <w:hideMark/>
          </w:tcPr>
          <w:p w14:paraId="2956AC90"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-3,8</w:t>
            </w:r>
          </w:p>
        </w:tc>
        <w:tc>
          <w:tcPr>
            <w:tcW w:w="1089" w:type="dxa"/>
            <w:tcBorders>
              <w:top w:val="nil"/>
              <w:left w:val="nil"/>
              <w:bottom w:val="single" w:sz="4" w:space="0" w:color="auto"/>
              <w:right w:val="nil"/>
            </w:tcBorders>
            <w:shd w:val="clear" w:color="auto" w:fill="auto"/>
            <w:noWrap/>
            <w:vAlign w:val="bottom"/>
            <w:hideMark/>
          </w:tcPr>
          <w:p w14:paraId="7D26D1DF"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-3,2</w:t>
            </w:r>
          </w:p>
        </w:tc>
        <w:tc>
          <w:tcPr>
            <w:tcW w:w="1089" w:type="dxa"/>
            <w:tcBorders>
              <w:top w:val="nil"/>
              <w:left w:val="nil"/>
              <w:bottom w:val="single" w:sz="4" w:space="0" w:color="auto"/>
              <w:right w:val="nil"/>
            </w:tcBorders>
            <w:shd w:val="clear" w:color="auto" w:fill="auto"/>
            <w:noWrap/>
            <w:vAlign w:val="bottom"/>
            <w:hideMark/>
          </w:tcPr>
          <w:p w14:paraId="554E55BE" w14:textId="77777777" w:rsidR="00994A6E" w:rsidRPr="00AD7E7D" w:rsidRDefault="00994A6E" w:rsidP="008C56D0">
            <w:pPr>
              <w:keepLines/>
              <w:spacing w:after="0"/>
              <w:jc w:val="right"/>
              <w:rPr>
                <w:rFonts w:eastAsia="Times New Roman" w:cs="Times New Roman"/>
                <w:color w:val="000000"/>
                <w:szCs w:val="24"/>
              </w:rPr>
            </w:pPr>
            <w:r w:rsidRPr="00AD7E7D">
              <w:rPr>
                <w:rFonts w:eastAsia="Times New Roman" w:cs="Times New Roman"/>
                <w:color w:val="000000"/>
                <w:szCs w:val="24"/>
              </w:rPr>
              <w:t>-3,0</w:t>
            </w:r>
          </w:p>
        </w:tc>
        <w:tc>
          <w:tcPr>
            <w:tcW w:w="1089" w:type="dxa"/>
            <w:tcBorders>
              <w:top w:val="nil"/>
              <w:left w:val="nil"/>
              <w:bottom w:val="single" w:sz="4" w:space="0" w:color="auto"/>
              <w:right w:val="nil"/>
            </w:tcBorders>
            <w:shd w:val="clear" w:color="auto" w:fill="auto"/>
            <w:noWrap/>
            <w:vAlign w:val="bottom"/>
            <w:hideMark/>
          </w:tcPr>
          <w:p w14:paraId="393C2C12" w14:textId="77777777" w:rsidR="00994A6E" w:rsidRPr="00AD7E7D" w:rsidRDefault="00994A6E" w:rsidP="008C56D0">
            <w:pPr>
              <w:keepLines/>
              <w:spacing w:after="0"/>
              <w:jc w:val="right"/>
              <w:rPr>
                <w:rFonts w:eastAsia="Times New Roman" w:cs="Times New Roman"/>
                <w:color w:val="000000"/>
                <w:szCs w:val="24"/>
                <w:lang w:val="sr-Cyrl-RS"/>
              </w:rPr>
            </w:pPr>
            <w:r w:rsidRPr="00AD7E7D">
              <w:rPr>
                <w:rFonts w:eastAsia="Times New Roman" w:cs="Times New Roman"/>
                <w:color w:val="000000"/>
                <w:szCs w:val="24"/>
                <w:lang w:val="sr-Cyrl-RS"/>
              </w:rPr>
              <w:t>-</w:t>
            </w:r>
          </w:p>
        </w:tc>
      </w:tr>
    </w:tbl>
    <w:p w14:paraId="7516693F" w14:textId="4ACA36BB" w:rsidR="008979E5" w:rsidRPr="008979E5" w:rsidRDefault="00994A6E" w:rsidP="00994A6E">
      <w:pPr>
        <w:keepLines/>
        <w:spacing w:before="40" w:after="0"/>
        <w:rPr>
          <w:rFonts w:eastAsia="Calibri" w:cs="Times New Roman"/>
          <w:bCs/>
          <w:sz w:val="22"/>
          <w:szCs w:val="24"/>
          <w:lang w:eastAsia="ja-JP"/>
        </w:rPr>
      </w:pPr>
      <w:r>
        <w:rPr>
          <w:rFonts w:eastAsia="Calibri" w:cs="Times New Roman"/>
          <w:bCs/>
          <w:sz w:val="22"/>
          <w:szCs w:val="24"/>
          <w:lang w:eastAsia="ja-JP"/>
        </w:rPr>
        <w:t xml:space="preserve">Source: Ministry of </w:t>
      </w:r>
      <w:r w:rsidR="003C55E0">
        <w:rPr>
          <w:rFonts w:eastAsia="Calibri" w:cs="Times New Roman"/>
          <w:bCs/>
          <w:sz w:val="22"/>
          <w:szCs w:val="24"/>
          <w:lang w:eastAsia="ja-JP"/>
        </w:rPr>
        <w:t>F</w:t>
      </w:r>
      <w:r>
        <w:rPr>
          <w:rFonts w:eastAsia="Calibri" w:cs="Times New Roman"/>
          <w:bCs/>
          <w:sz w:val="22"/>
          <w:szCs w:val="24"/>
          <w:lang w:eastAsia="ja-JP"/>
        </w:rPr>
        <w:t>inance</w:t>
      </w:r>
    </w:p>
    <w:p w14:paraId="3E10EAA2" w14:textId="3A6F324E" w:rsidR="006D0778" w:rsidRPr="00915EC2" w:rsidRDefault="00933940" w:rsidP="00E25CAC">
      <w:pPr>
        <w:pStyle w:val="Heading11"/>
        <w:spacing w:before="180" w:after="180"/>
        <w:rPr>
          <w:rFonts w:ascii="Times New Roman" w:hAnsi="Times New Roman" w:cs="Times New Roman"/>
          <w:color w:val="auto"/>
          <w:sz w:val="24"/>
          <w:szCs w:val="24"/>
          <w:lang w:val="sr-Latn-RS"/>
        </w:rPr>
      </w:pPr>
      <w:bookmarkStart w:id="40" w:name="_Toc192759983"/>
      <w:r w:rsidRPr="00915EC2">
        <w:rPr>
          <w:rFonts w:ascii="Times New Roman" w:hAnsi="Times New Roman" w:cs="Times New Roman"/>
          <w:color w:val="auto"/>
          <w:sz w:val="24"/>
          <w:szCs w:val="24"/>
          <w:lang w:val="sr-Latn-RS"/>
        </w:rPr>
        <w:t>4.</w:t>
      </w:r>
      <w:r w:rsidR="006D0778" w:rsidRPr="00915EC2">
        <w:rPr>
          <w:rFonts w:ascii="Times New Roman" w:hAnsi="Times New Roman" w:cs="Times New Roman"/>
          <w:color w:val="auto"/>
          <w:sz w:val="24"/>
          <w:szCs w:val="24"/>
          <w:lang w:val="sr-Latn-RS"/>
        </w:rPr>
        <w:t xml:space="preserve">7. </w:t>
      </w:r>
      <w:bookmarkEnd w:id="26"/>
      <w:r w:rsidR="00BA177A" w:rsidRPr="00260983">
        <w:rPr>
          <w:rFonts w:ascii="Times New Roman" w:hAnsi="Times New Roman" w:cs="Times New Roman"/>
          <w:color w:val="000000" w:themeColor="text1"/>
          <w:sz w:val="24"/>
          <w:szCs w:val="24"/>
        </w:rPr>
        <w:t>QUALITY</w:t>
      </w:r>
      <w:r w:rsidR="00BA177A" w:rsidRPr="00C26664">
        <w:rPr>
          <w:rFonts w:ascii="Times New Roman" w:hAnsi="Times New Roman" w:cs="Times New Roman"/>
          <w:color w:val="000000" w:themeColor="text1"/>
          <w:sz w:val="24"/>
          <w:szCs w:val="24"/>
        </w:rPr>
        <w:t xml:space="preserve"> OF PUBLIC FINANCES</w:t>
      </w:r>
      <w:bookmarkEnd w:id="40"/>
    </w:p>
    <w:p w14:paraId="07E9B916" w14:textId="77777777" w:rsidR="00BA177A" w:rsidRPr="00BA177A" w:rsidRDefault="00BA177A" w:rsidP="001956F9">
      <w:pPr>
        <w:rPr>
          <w:rFonts w:eastAsia="Calibri" w:cs="Times New Roman"/>
          <w:spacing w:val="-2"/>
          <w:szCs w:val="24"/>
          <w:lang w:eastAsia="ja-JP"/>
        </w:rPr>
      </w:pPr>
      <w:bookmarkStart w:id="41" w:name="_Toc91769803"/>
      <w:r w:rsidRPr="00BA177A">
        <w:t>After the turbulent year of 2022, marked by the crisis in Ukraine which introduced uncertainty into all economic flows, in 2023, the Republic of Serbia achieved macroeconomic results that turned out to be more favorable than initially expected, despite numerous challenges from the surrounding environment and the continuation and deepening of geopolitical crises. Despite all these challenges, the Republic of Serbia continues its successful path in 2024, as evidenced by the recently completed fourth and final review of the current precautionary arrangement that the Republic of Serbia has with the IMF.</w:t>
      </w:r>
    </w:p>
    <w:p w14:paraId="2C6E348B" w14:textId="77777777" w:rsidR="00BA177A" w:rsidRPr="00BA177A" w:rsidRDefault="00BA177A" w:rsidP="001956F9">
      <w:pPr>
        <w:rPr>
          <w:rFonts w:eastAsia="Calibri" w:cs="Times New Roman"/>
          <w:spacing w:val="-2"/>
          <w:szCs w:val="24"/>
          <w:lang w:eastAsia="ja-JP"/>
        </w:rPr>
      </w:pPr>
      <w:r w:rsidRPr="00BA177A">
        <w:t>It has also been agreed that by the end of the year, a new arrangement will be concluded – the Policy Coordination Instrument (PCI), which will be non-financial in nature and will last for the next three years. The objectives of the new arrangement will be: maintaining macroeconomic and financial stability, implementing a credible fiscal policy that enables the continuation of public investments and social policies while maintaining the downward trend of public debt-to-GDP ratio, further strengthening the energy sector and new investments in this area, and ensuring inclusive, sustainable growth in the medium term based on structural reforms.</w:t>
      </w:r>
    </w:p>
    <w:p w14:paraId="1AE29124" w14:textId="77777777" w:rsidR="00BA177A" w:rsidRPr="00BA177A" w:rsidRDefault="00BA177A" w:rsidP="001956F9">
      <w:pPr>
        <w:rPr>
          <w:rFonts w:cs="Times New Roman"/>
          <w:szCs w:val="24"/>
          <w:lang w:val="sr-Cyrl-CS" w:eastAsia="ja-JP"/>
        </w:rPr>
      </w:pPr>
      <w:r w:rsidRPr="00BA177A">
        <w:t>In the upcoming period, the continuation of reforms in the areas of employment, human resource management, and the salary system in the public sector is expected. The medium-term fiscal policy goal is to maintain public sector wage expenses at a sustainable level, with an adequate structure of employees, in order to ensure higher quality of public services. The existing employment system, managed by the Government's Commission for Approving New Hires and Additional Work Engagements in public institutions, will continue to operate during the transition period, i.e., until the new system becomes fully operational. At the end of 2020, amendments to the Budget System Law were adopted to allow institutions to hire new employees during the transition period up to a level of 70% of those leaving the institution or retiring. However, Commission approval is required if the number of new hires exceeds 70%. The purpose of this measure is to provide greater flexibility in hiring at the institutional level, in line with the institutions' needs for new staff. Additionally, a cap of 1% has been set for increasing the total number of permanent employees compared to the level at the end of 2020.</w:t>
      </w:r>
    </w:p>
    <w:p w14:paraId="00E6C0FD" w14:textId="6A15C52F" w:rsidR="00BA177A" w:rsidRPr="00BA177A" w:rsidRDefault="00BA177A" w:rsidP="001956F9">
      <w:pPr>
        <w:rPr>
          <w:rFonts w:eastAsia="Times New Roman" w:cs="Times New Roman"/>
          <w:szCs w:val="24"/>
        </w:rPr>
      </w:pPr>
      <w:r w:rsidRPr="00BA177A">
        <w:rPr>
          <w:rFonts w:eastAsia="Times New Roman" w:cs="Times New Roman"/>
          <w:szCs w:val="24"/>
        </w:rPr>
        <w:t>The Central Information System for the Payroll of Employe</w:t>
      </w:r>
      <w:r w:rsidR="009E7FB2">
        <w:rPr>
          <w:rFonts w:eastAsia="Times New Roman" w:cs="Times New Roman"/>
          <w:szCs w:val="24"/>
        </w:rPr>
        <w:t>es in the Public Sector, "Iskra</w:t>
      </w:r>
      <w:r w:rsidRPr="00BA177A">
        <w:rPr>
          <w:rFonts w:eastAsia="Times New Roman" w:cs="Times New Roman"/>
          <w:szCs w:val="24"/>
        </w:rPr>
        <w:t xml:space="preserve">" currently covers all direct budget users, including institutions in the fields of culture, justice, labor and social protection, and education (excluding higher education institutions). At the beginning of this year, healthcare institutions were also included in the system. Local government units, along with their indirect budget users (preschools, cultural institutions, sports facilities, and social protection institutions), will be included in the system in the last quarter of 2024. The essence of this system is better planning, execution, and control of employee wage expenditures, increased transparency, and improved human resource management in a context of growing </w:t>
      </w:r>
      <w:r w:rsidRPr="00BA177A">
        <w:rPr>
          <w:rFonts w:eastAsia="Times New Roman" w:cs="Times New Roman"/>
          <w:szCs w:val="24"/>
        </w:rPr>
        <w:lastRenderedPageBreak/>
        <w:t>competition from the private sector. This competition negatively impacts the attraction and retention of employees in the public sector, especially considering the attractiveness of salaries in the private sector, which could lead to a significant brain drain if these reforms are not implemented. At this stage, the only sectors not included in the system are defense, security, and internal affairs, as well as higher education institutions. It is planned for these institutions to be included in the system by 2027. Based on this system, a report will be created, publishing data on the number of employees and wage ranges, which will assist in shaping future employment policies in the public sector. The report will include data on the filling of systematized positions, as well as wage amounts by pay grades, specific job types, functions (public administration, education, healthcare, etc.), and other statistically significant data (median, maximum, minimum wages, wages by percentiles, historical data series), all of which will support reforms in this area.</w:t>
      </w:r>
    </w:p>
    <w:p w14:paraId="2F865226" w14:textId="77777777" w:rsidR="00BA177A" w:rsidRPr="00BA177A" w:rsidRDefault="00BA177A" w:rsidP="001956F9">
      <w:pPr>
        <w:rPr>
          <w:rFonts w:cs="Times New Roman"/>
          <w:szCs w:val="24"/>
          <w:lang w:val="sr-Cyrl-CS" w:eastAsia="ja-JP"/>
        </w:rPr>
      </w:pPr>
      <w:r w:rsidRPr="00BA177A">
        <w:t>The crisis in Ukraine has highlighted, through its negative impact on the energy markets, all the challenges and problems faced by the energy sector in Serbia. The identified issues can only be addressed through the implementation of comprehensive reforms, which are a prerequisite for ensuring energy security, as well as fiscal and external sustainability. The priority is the restructuring of large state-owned energy companies in order to increase their efficiency and reduce budgetary support and fiscal risks arising from their operations. The gradual increase in energy prices (gas and electricity) was a necessary measure to offset the high procurement costs, which were driven by external factors.</w:t>
      </w:r>
    </w:p>
    <w:p w14:paraId="4F0A4409" w14:textId="77777777" w:rsidR="00BA177A" w:rsidRPr="00BA177A" w:rsidRDefault="00BA177A" w:rsidP="001956F9">
      <w:pPr>
        <w:spacing w:after="0"/>
        <w:rPr>
          <w:rFonts w:eastAsia="Times New Roman" w:cs="Times New Roman"/>
          <w:szCs w:val="24"/>
        </w:rPr>
      </w:pPr>
      <w:r w:rsidRPr="00BA177A">
        <w:rPr>
          <w:rFonts w:eastAsia="Times New Roman" w:cs="Times New Roman"/>
          <w:szCs w:val="24"/>
        </w:rPr>
        <w:t>In the case of EPS JSC, these measures, combined with favorable circumstances that impacted the hydropower potential and increased electricity exports, resulted in a significant profit for the company in 2023. Part of these funds was used for repaying loans taken to support liquidity and investments. Since May 1 of this year, lower electricity prices have been secured for commercial customers, reducing prices by approximately 20%, in line with electricity price trends in the region. The methodology has been revised to protect customers from sudden price shocks in the electricity market, while simultaneously balancing the price levels for regulated and unregulated sectors, ensuring that total revenue can cover overall costs, including funds needed for investments in new production capacities. At the same time, the policy for protecting energy-vulnerable customers continues. During the previous heating season, by adjusting the criteria to include more individuals for this type of protection, around 170,000 users were covered. The status change of EPS to a joint-stock company, carried out in April of last year, aims to strengthen the company in the long term through professional management. The strategic restructuring plan for EPS JSC, which was agreed upon with the IMF and adopted in May 2024, outlines the steps for the company's transformation, ensuring its stabilization and specifying reform priorities in management and organizational structure. In line with the principle of transparency, financial plans for EPS JSC and JP "Srbijagas" will be published. Additionally, the practice of publishing the 20 largest debtors to these two companies on a monthly basis will continue. By March 2025, a report will be prepared to assess the adequacy of the grid fee paid to Elektrodistibucija Srbije (EDS), as well as the adequacy of the fees paid by EDS and Elektromreža (EMS) to EPS for losses.</w:t>
      </w:r>
    </w:p>
    <w:p w14:paraId="57E0F681" w14:textId="460C9417" w:rsidR="00BA177A" w:rsidRDefault="00BA177A" w:rsidP="001956F9">
      <w:pPr>
        <w:rPr>
          <w:rFonts w:eastAsia="Times New Roman" w:cs="Times New Roman"/>
          <w:szCs w:val="24"/>
        </w:rPr>
      </w:pPr>
      <w:r w:rsidRPr="00BA177A">
        <w:rPr>
          <w:rFonts w:eastAsia="Times New Roman" w:cs="Times New Roman"/>
          <w:szCs w:val="24"/>
        </w:rPr>
        <w:t>Serbia's Integrated National Energy and Climate Plan for the period up to 2030, with projections until 2050, was adopted in July this year, marking the beginning of a new phase in the development of Serbia's energy sector. This phase aims to contribute to greater supply security, an increased share of clean energy sources, and enhanced environmental protection. The Integrated National Energy and Climate Plan is a key strategic document that defines strategic goals and the timeline for their achievement in the energy transition process. The policies and measures to achieve the goals of this plan are grouped into five key dimensions: decarbonization, energy efficiency, energy security, internal energy market, and research, innovation, and competitiveness. The next step is the adoption of the Energy Development Strategy of the Republic of Serbia until 2040, with projections until 2050. Serbia's energy sector is facing fundamental structural changes driven by both global and national circumstances, including economic, technological, and environmental changes, as well as internationally and nationally accepted development goals.</w:t>
      </w:r>
    </w:p>
    <w:p w14:paraId="7DF607AD" w14:textId="77777777" w:rsidR="008979E5" w:rsidRDefault="00BA177A" w:rsidP="001956F9">
      <w:pPr>
        <w:rPr>
          <w:rFonts w:eastAsia="Times New Roman" w:cs="Times New Roman"/>
          <w:szCs w:val="24"/>
        </w:rPr>
      </w:pPr>
      <w:r w:rsidRPr="00BA177A">
        <w:rPr>
          <w:rFonts w:eastAsia="Times New Roman" w:cs="Times New Roman"/>
          <w:szCs w:val="24"/>
        </w:rPr>
        <w:t xml:space="preserve">The increase in gas prices during 2022 and 2023 contributed to stabilizing the financial situation of JP "Srbijagas." The development of a new pricing system for part of the users with unregulated prices has been completed, and it will be applied starting from the 2024–2025 heating season. A reduction in prices for the economy by about 15% has been in effect since May 1 of this year. Among other things, the new methodology introduces new types of contracts and higher margins, which will ensure funding for future investments. It is expected that, in the upcoming period, there will be no need for budgetary support for liquidity purposes for these companies. Next year, the adoption of an amended and supplemented plan for priority investments in </w:t>
      </w:r>
      <w:r w:rsidRPr="00BA177A">
        <w:rPr>
          <w:rFonts w:eastAsia="Times New Roman" w:cs="Times New Roman"/>
          <w:szCs w:val="24"/>
        </w:rPr>
        <w:lastRenderedPageBreak/>
        <w:t>the energy sector is expected, which will define investment needs in this area for all projects valued at over 20 million euros, including project evaluations, their contribution to the green transition, funding sources, internal rate of return assessments, etc.</w:t>
      </w:r>
    </w:p>
    <w:p w14:paraId="5F751E53" w14:textId="25C7D2FD" w:rsidR="00BA177A" w:rsidRPr="00BA177A" w:rsidRDefault="00BA177A" w:rsidP="001956F9">
      <w:pPr>
        <w:rPr>
          <w:rFonts w:eastAsia="Times New Roman" w:cs="Times New Roman"/>
          <w:szCs w:val="24"/>
        </w:rPr>
      </w:pPr>
      <w:r w:rsidRPr="00BA177A">
        <w:t>The government, with the support of the European Bank for Reconstruction and Development (EBRD), adopted the State Ownership and Management Strategy for Enterprises Owned by the Republic of Serbia for the period 2021–2027 as a unified document that provides a strategic vision and guidelines regarding the objectives of ownership management, financial and public policy goals, as well as principles of corporate governance and oversight in line with international standards and best practices. In April of this year, an Action Plan for the implementation of this strategy was adopted. The Law on the Management of Enterprises Owned by the Republic of Serbia began to be applied in September 2024, having entered into force in September 2023.</w:t>
      </w:r>
    </w:p>
    <w:p w14:paraId="01332ADD" w14:textId="58DC8C47" w:rsidR="00BA177A" w:rsidRDefault="00BA177A" w:rsidP="001956F9">
      <w:r w:rsidRPr="00BA177A">
        <w:t>The strict limitation on the issuance of state guarantees for liquidity support continues. In 2024, apart from one new state guarantee for a loan to EPS JSC, no state guarantees were issued for liquidity support to state-owned enterprises, nor for any company from the portfolio of the former Privatization Agency. The issuance of guarantees for project loans provided by multilateral financial organizations, in support of the investment and reform agenda, will continue.</w:t>
      </w:r>
    </w:p>
    <w:p w14:paraId="230004C7" w14:textId="01982755" w:rsidR="00BA177A" w:rsidRPr="00BA177A" w:rsidRDefault="00BA177A" w:rsidP="001956F9">
      <w:pPr>
        <w:rPr>
          <w:rFonts w:cs="Times New Roman"/>
          <w:szCs w:val="24"/>
          <w:lang w:val="sr-Cyrl-CS" w:eastAsia="ja-JP"/>
        </w:rPr>
      </w:pPr>
      <w:r w:rsidRPr="00BA177A">
        <w:t>For companies that are part of the strategic portfolio of the former Privatization Agency, the solution lies either through privatization tenders or through bankruptcy. Sufficient funds have been allocated in the budget to support JP PEU "Resavica" in a transparent manner, and it has been ensured that no further accumulation of arrears in payments to EPS JSC will occur in the future. However, the company faces the challenge of finding a solution for economically unsustainable mines that are nearing the exhaustion of their remaining coal reserves, as well as a plan for rationalizing production and operations in parts of the system where analysis shows they may be economically viable, with the possibility of privatizing some of its segments. If privatization is not acceptable, the company will be managed in accordance with the new Law on the Management of Enterprises Owned by the Republic of Serbia.</w:t>
      </w:r>
    </w:p>
    <w:p w14:paraId="52C40B61" w14:textId="77777777" w:rsidR="00BA177A" w:rsidRPr="00BA177A" w:rsidRDefault="00BA177A" w:rsidP="001956F9">
      <w:pPr>
        <w:rPr>
          <w:rFonts w:cs="Times New Roman"/>
          <w:szCs w:val="24"/>
          <w:lang w:val="sr-Cyrl-CS" w:eastAsia="ja-JP"/>
        </w:rPr>
      </w:pPr>
      <w:r w:rsidRPr="00BA177A">
        <w:t>Improving public financial management is necessary not only as support for fiscal stabilization measures and structural reforms but also as a process that enhances the quality of public administration and ensures an attractive environment for investors. The new Public Financial Management Reform Program for the period 2021–2025 was adopted in June 2021.</w:t>
      </w:r>
      <w:r w:rsidRPr="00BA177A">
        <w:rPr>
          <w:rFonts w:cs="Times New Roman"/>
          <w:szCs w:val="24"/>
          <w:lang w:eastAsia="ja-JP"/>
        </w:rPr>
        <w:t xml:space="preserve"> </w:t>
      </w:r>
      <w:r w:rsidRPr="00BA177A">
        <w:rPr>
          <w:rFonts w:eastAsia="Times New Roman" w:cs="Times New Roman"/>
          <w:szCs w:val="24"/>
        </w:rPr>
        <w:t>In order to improve the public investment management system, and particularly in light of the development plan "Leap into the Future 2027," which encompasses over 320 projects with a total value of 18 billion euros, the Ministry of Finance conducted a process in 2023 to adopt new legal regulations. These regulations comprehensively govern the content, preparation, evaluation, readiness assessment, and selection of capital projects, as well as monitoring implementation, reporting on performance, and evaluating all positive and negative effects of capital projects.</w:t>
      </w:r>
      <w:r w:rsidRPr="00BA177A">
        <w:rPr>
          <w:rFonts w:cs="Times New Roman"/>
          <w:szCs w:val="24"/>
          <w:lang w:eastAsia="ja-JP"/>
        </w:rPr>
        <w:t xml:space="preserve"> </w:t>
      </w:r>
      <w:r w:rsidRPr="00BA177A">
        <w:rPr>
          <w:rFonts w:eastAsia="Times New Roman" w:cs="Times New Roman"/>
          <w:szCs w:val="24"/>
        </w:rPr>
        <w:t>The new legal regulations include the Decree on Capital Projects, as well as four bylaws adopted under this decree, which provide further detailed rules for its application, thereby significantly facilitating the implementation of the project cycle for all stakeholders. This is another step closer to achieving the goal defined as a "single project pipeline." The adoption of the new legal framework was preceded by a comprehensive analytical process assessing the practical application of the previous legal framework, aimed at addressing identified shortcomings and inconsistencies, as well as implementing regulatory solutions that have proven effective in practice. Parallel to the work on improving the legal framework, efforts were made to upgrade the Centralized Capital Project Database (Public Investment Management Information System - PIMIS), which has been adapted to the new legal framework. An information system has been created that will enable the comprehensive implementation of the project cycle defined by the Decree on Capital Projects, with the goal of ensuring effective and efficient management of public funds.</w:t>
      </w:r>
    </w:p>
    <w:p w14:paraId="45F55959" w14:textId="77777777" w:rsidR="00BA177A" w:rsidRPr="00BA177A" w:rsidRDefault="00BA177A" w:rsidP="001956F9">
      <w:pPr>
        <w:spacing w:after="100" w:afterAutospacing="1"/>
        <w:rPr>
          <w:rFonts w:eastAsia="Times New Roman" w:cs="Times New Roman"/>
          <w:szCs w:val="24"/>
        </w:rPr>
      </w:pPr>
      <w:r w:rsidRPr="00BA177A">
        <w:rPr>
          <w:rFonts w:eastAsia="Times New Roman" w:cs="Times New Roman"/>
          <w:szCs w:val="24"/>
        </w:rPr>
        <w:t xml:space="preserve">The new Action Plan for the Transformation of the Tax Administration for the period 2021-2025, adopted in May 2021, is being successfully implemented. This plan defines strategic guidelines and timelines for activities aimed at creating a modern tax administration that, through the use of modern electronic processes, will provide better and more comprehensive services to taxpayers, improve revenue control and collection, and strengthen the fight against the informal economy, alongside the reform and modernization of inspection oversight. In May 2022, a new fiscalization model (e-fiscalization) was introduced, based on which the first round of audits was conducted. The new system contributed to reducing non-compliance among taxpayers </w:t>
      </w:r>
      <w:r w:rsidRPr="00BA177A">
        <w:rPr>
          <w:rFonts w:eastAsia="Times New Roman" w:cs="Times New Roman"/>
          <w:szCs w:val="24"/>
        </w:rPr>
        <w:lastRenderedPageBreak/>
        <w:t>and resulted in fewer negative audit opinions. The next step was the implementation of the electronic invoicing system (e-invoice) at the beginning of 2023. A tender for the procurement of a new information system was re-launched with the support of the World Bank, aiming to immediately improve efficiency, particularly in the areas of human resource management and data and documentation processing upon implementation. Ongoing work is being done to monitor and analyze the VAT gap and corporate tax gap, with current analysis focusing on data shortcomings and adjusting analytical tools. Preliminary results suggest that the VAT gap has been significantly reduced compared to 2018. The Tax Administration will publish a list of the largest tax debtors whose debt exceeds 20 million dinars at least once a year. With the adoption of the Law on the Determination of the Origin of Assets and Special Tax and the establishment of a special organizational unit within the Tax Administration, conditions have been created for cross-analysis of individuals' assets and income. The first cases of audits were completed this year. The development of a new human resources strategy for the Tax Administration and the acceleration of hiring procedures remain priorities to ensure an adequate number of employees. The number of employees in the Tax Administration has significantly decreased over recent years. With the upcoming wave of retirements and considering the transformation plan that involves shifting to higher qualification requirements, it is imperative to hire a sufficient number of highly qualified staff in a timely manner, which also necessitates adequate salaries. In this regard, a large recruitment campaign will be launched in the Tax Administration starting in January 2025, supported by significant changes in the job classification system and an eased hiring process.</w:t>
      </w:r>
    </w:p>
    <w:p w14:paraId="2544E4BB" w14:textId="4F1C25ED" w:rsidR="006D0778" w:rsidRPr="00915EC2" w:rsidRDefault="00933940" w:rsidP="00E25CAC">
      <w:pPr>
        <w:pStyle w:val="Heading11"/>
        <w:spacing w:before="180" w:after="180"/>
        <w:rPr>
          <w:rFonts w:ascii="Times New Roman" w:hAnsi="Times New Roman" w:cs="Times New Roman"/>
          <w:color w:val="auto"/>
          <w:sz w:val="24"/>
          <w:szCs w:val="24"/>
          <w:lang w:val="sr-Latn-RS"/>
        </w:rPr>
      </w:pPr>
      <w:bookmarkStart w:id="42" w:name="_Toc192759984"/>
      <w:r w:rsidRPr="00915EC2">
        <w:rPr>
          <w:rFonts w:ascii="Times New Roman" w:hAnsi="Times New Roman" w:cs="Times New Roman"/>
          <w:color w:val="auto"/>
          <w:sz w:val="24"/>
          <w:szCs w:val="24"/>
          <w:lang w:val="sr-Latn-RS"/>
        </w:rPr>
        <w:t>4.</w:t>
      </w:r>
      <w:r w:rsidR="006D0778" w:rsidRPr="00915EC2">
        <w:rPr>
          <w:rFonts w:ascii="Times New Roman" w:hAnsi="Times New Roman" w:cs="Times New Roman"/>
          <w:color w:val="auto"/>
          <w:sz w:val="24"/>
          <w:szCs w:val="24"/>
          <w:lang w:val="sr-Latn-RS"/>
        </w:rPr>
        <w:t xml:space="preserve">8. </w:t>
      </w:r>
      <w:bookmarkEnd w:id="41"/>
      <w:r w:rsidR="003866F8" w:rsidRPr="00260983">
        <w:rPr>
          <w:rFonts w:ascii="Times New Roman" w:hAnsi="Times New Roman" w:cs="Times New Roman"/>
          <w:color w:val="000000" w:themeColor="text1"/>
          <w:sz w:val="24"/>
          <w:szCs w:val="24"/>
        </w:rPr>
        <w:t xml:space="preserve">FISCAL </w:t>
      </w:r>
      <w:r w:rsidR="001956F9">
        <w:rPr>
          <w:rFonts w:ascii="Times New Roman" w:hAnsi="Times New Roman" w:cs="Times New Roman"/>
          <w:color w:val="000000" w:themeColor="text1"/>
          <w:sz w:val="24"/>
          <w:szCs w:val="24"/>
        </w:rPr>
        <w:t>GOVERNANCE</w:t>
      </w:r>
      <w:r w:rsidR="003866F8" w:rsidRPr="00260983">
        <w:rPr>
          <w:rFonts w:ascii="Times New Roman" w:hAnsi="Times New Roman" w:cs="Times New Roman"/>
          <w:color w:val="000000" w:themeColor="text1"/>
          <w:sz w:val="24"/>
          <w:szCs w:val="24"/>
        </w:rPr>
        <w:t xml:space="preserve"> AND BUDGET</w:t>
      </w:r>
      <w:r w:rsidR="001956F9">
        <w:rPr>
          <w:rFonts w:ascii="Times New Roman" w:hAnsi="Times New Roman" w:cs="Times New Roman"/>
          <w:color w:val="000000" w:themeColor="text1"/>
          <w:sz w:val="24"/>
          <w:szCs w:val="24"/>
        </w:rPr>
        <w:t>ARY</w:t>
      </w:r>
      <w:r w:rsidR="003866F8" w:rsidRPr="00260983">
        <w:rPr>
          <w:rFonts w:ascii="Times New Roman" w:hAnsi="Times New Roman" w:cs="Times New Roman"/>
          <w:color w:val="000000" w:themeColor="text1"/>
          <w:sz w:val="24"/>
          <w:szCs w:val="24"/>
        </w:rPr>
        <w:t xml:space="preserve"> FRAMEWORKS</w:t>
      </w:r>
      <w:bookmarkEnd w:id="42"/>
    </w:p>
    <w:p w14:paraId="46E8ABF0" w14:textId="77777777" w:rsidR="003866F8" w:rsidRPr="003866F8" w:rsidRDefault="003866F8" w:rsidP="00685E8A">
      <w:pPr>
        <w:rPr>
          <w:rFonts w:cs="Times New Roman"/>
          <w:szCs w:val="24"/>
          <w:lang w:val="sr-Cyrl-RS" w:eastAsia="ja-JP"/>
        </w:rPr>
      </w:pPr>
      <w:r w:rsidRPr="003866F8">
        <w:t>In order to ensure the stability and sustainability of public finances in the long term, it is necessary to have a functional system of fiscal rules. Fiscal rules were first introduced by the Budget System Law in 2010. The Republic of Serbia was one of the first countries to establish national fiscal rules by law and to create an independent institution, the Fiscal Council, which evaluates the government's economic and fiscal policies, as well as compliance with these rules. Since the rules became effective during the global economic crisis, the numerical debt rule was breached in the first year of its implementation. Meanwhile, more and more countries have introduced fiscal rules, and in addition to national fiscal rules, EU member states also apply rules defined at the EU and EMU levels. European fiscal rules have been amended and redefined several times, taking into account their application and the effects that their implementation has led to. Given that twelve years have passed since the introduction of fiscal rules in the Republic of Serbia, the conditions have now been created for their revision, considering the experiences of other countries, the directions in which EU fiscal rules have changed, the consequences and responses of fiscal policy to the major economic crisis of 2008, as well as the experience of the recent crisis caused primarily by the health emergency of the COVID-19 pandemic, followed by the crisis triggered by the conflict in Ukraine.</w:t>
      </w:r>
    </w:p>
    <w:p w14:paraId="6718EF93" w14:textId="77777777" w:rsidR="003866F8" w:rsidRPr="003866F8" w:rsidRDefault="003866F8" w:rsidP="00685E8A">
      <w:pPr>
        <w:rPr>
          <w:rFonts w:cs="Times New Roman"/>
          <w:szCs w:val="24"/>
          <w:lang w:val="sr-Cyrl-CS" w:eastAsia="ja-JP"/>
        </w:rPr>
      </w:pPr>
      <w:r w:rsidRPr="003866F8">
        <w:t>The new set of fiscal rules is an integral part of the Law on Amendments and Supplements to the Budget System Law, adopted in December 2022. The component related to deficit limits in relation to the level of public debt has been postponed until 2029, while the targets set in the Revised Fiscal Strategy for 2025, with projections for 2026 and 2027, will be applied in the meantime. This is necessary due to the new investment cycle in the upcoming medium-term period (the "Leap into the Future – Serbia 2027" program), which foresees significant new investments in transportation infrastructure, mining, energy, agriculture, healthcare, education, culture, environmental protection, regional development, security, etc. The program will implement a comprehensive modernization of the state and raise the standard of living for citizens, while also ensuring higher GDP growth rates. The medium-term plan foresees that the deficits of the state sector will amount to 3% of GDP, ensuring that the state sector’s debt remains on a downward trajectory (from 47.9% of GDP, as projected for the end of this year, to 46.5% of GDP by the end of 2027), and well below the 60% GDP threshold (including obligations related to restitution), as determined by the fiscal rule. Special fiscal rules regulating wage growth in the public sector and pensions have been in place since 2023, and based on this, salary and pension increases are planned in the 2025 budget. Since fiscal rules relate to the public sector, it was necessary to regulate the procedure and dynamics of including new entities within the public sector, in accordance with the specific sectoral classification methodology established by the Statistical Office of the Republic of Serbia (RZS), in line with the agreement between the RZS, the National Bank of Serbia (NBS), and the Ministry of Finance. Furthermore, fiscal rules for local government will continue to apply in the same manner as defined in 2010, when fiscal rules were first introduced in the Republic of Serbia.</w:t>
      </w:r>
    </w:p>
    <w:p w14:paraId="42ABCEFE" w14:textId="77777777" w:rsidR="003866F8" w:rsidRPr="003866F8" w:rsidRDefault="003866F8" w:rsidP="00685E8A">
      <w:r w:rsidRPr="003866F8">
        <w:lastRenderedPageBreak/>
        <w:t>The process of strengthening the importance of the medium-term budget framework continues in line with the Action Plan for Improving the Medium-Term Budget Framework, adopted in September 2023. The goal is to make medium-term budgeting more effective and binding, and to increase budget transparency. For the 2025 budget cycle, the medium-term limits set during the previous budget cycle were of great importance, as they served as the starting point in discussions with relevant ministries. The ministries themselves are becoming increasingly familiar with this approach to budgeting, which improves the quality of their estimates and projections, and thus the overall budget process. One of the innovations is the introduction of so-called green budgeting. The green budgeting methodology was introduced for the national budget for the first time in the budget cycle for the upcoming year.</w:t>
      </w:r>
    </w:p>
    <w:p w14:paraId="39358FAB" w14:textId="744BEAFF" w:rsidR="00056C94" w:rsidRDefault="003866F8" w:rsidP="003866F8">
      <w:pPr>
        <w:rPr>
          <w:rFonts w:cs="Times New Roman"/>
          <w:szCs w:val="24"/>
          <w:lang w:eastAsia="ja-JP"/>
        </w:rPr>
      </w:pPr>
      <w:r w:rsidRPr="003866F8">
        <w:t>The improvement of the quality and transparency of public finance statistics is being achieved through the enhancement of comprehensive, timely, and automatic data exchange between the relevant institutions – the Statistical Office of the Republic of Serbia, the National Bank of Serbia, and the Ministry of Finance, in accordance with the Cooperation Agreement in the field of national accounts of the government sector and related statistics. In April 2018, the Statistical Office of the Republic of Serbia published a list of institutions that constitute the government sector, as well as other sectors, in accordance with the European System of National and Regional Accounts (ESA 2010), the System of National Accounts (SNA 2008), and the Manual on Government Deficit and Debt, prepared in cooperation with the National Bank of Serbia and the Ministry of Finance. Since mid-2021, the Public Debt Administration has been publishing Maastricht debt data quarterly, compiled by the National Bank of Serbia in accordance with ESA 2010. A project is currently underway in cooperation with the IMF, aiming to build a system within the Treasury Administration, as the central information system and comprehensive database, which will enable the collection and consolidation of data for the government sector according to both national methodology and the GFSM 2014 methodology, including monthly reporting on public debt through the gradual inclusion of institutions within its scope</w:t>
      </w:r>
      <w:r>
        <w:t>.</w:t>
      </w:r>
      <w:r w:rsidR="00056C94">
        <w:rPr>
          <w:rFonts w:cs="Times New Roman"/>
          <w:szCs w:val="24"/>
          <w:lang w:eastAsia="ja-JP"/>
        </w:rPr>
        <w:br w:type="page"/>
      </w:r>
    </w:p>
    <w:p w14:paraId="5798BE4A" w14:textId="54D69326" w:rsidR="00FF1531" w:rsidRPr="00933940" w:rsidRDefault="00933940" w:rsidP="00FF1531">
      <w:pPr>
        <w:pStyle w:val="Heading1"/>
        <w:spacing w:after="240"/>
        <w:rPr>
          <w:rFonts w:ascii="Times New Roman" w:eastAsiaTheme="minorHAnsi" w:hAnsi="Times New Roman" w:cs="Times New Roman"/>
          <w:b/>
          <w:color w:val="auto"/>
          <w:sz w:val="24"/>
          <w:szCs w:val="24"/>
          <w:lang w:val="sr-Latn-RS"/>
        </w:rPr>
      </w:pPr>
      <w:bookmarkStart w:id="43" w:name="_Toc192759985"/>
      <w:r w:rsidRPr="00E25CAC">
        <w:rPr>
          <w:rFonts w:ascii="Times New Roman" w:eastAsiaTheme="minorHAnsi" w:hAnsi="Times New Roman" w:cs="Times New Roman"/>
          <w:b/>
          <w:color w:val="auto"/>
          <w:sz w:val="24"/>
          <w:szCs w:val="24"/>
          <w:lang w:val="sr-Latn-RS"/>
        </w:rPr>
        <w:lastRenderedPageBreak/>
        <w:t>5</w:t>
      </w:r>
      <w:r w:rsidR="00A8098E" w:rsidRPr="00933940">
        <w:rPr>
          <w:rFonts w:ascii="Times New Roman" w:eastAsiaTheme="minorHAnsi" w:hAnsi="Times New Roman" w:cs="Times New Roman"/>
          <w:b/>
          <w:color w:val="auto"/>
          <w:sz w:val="24"/>
          <w:szCs w:val="24"/>
          <w:lang w:val="sr-Latn-RS"/>
        </w:rPr>
        <w:t xml:space="preserve">A. </w:t>
      </w:r>
      <w:r w:rsidR="00FF1531" w:rsidRPr="00CB565B">
        <w:rPr>
          <w:rFonts w:ascii="Times New Roman" w:eastAsiaTheme="minorHAnsi" w:hAnsi="Times New Roman" w:cs="Times New Roman"/>
          <w:b/>
          <w:color w:val="auto"/>
          <w:sz w:val="24"/>
          <w:szCs w:val="24"/>
          <w:lang w:val="sr-Latn-RS"/>
        </w:rPr>
        <w:t>COMPLIANCE OF THE REFORM AGENDA WITH THE MACROFISCAL FRAMEWORK OF THE ERP</w:t>
      </w:r>
      <w:bookmarkEnd w:id="43"/>
    </w:p>
    <w:p w14:paraId="19C8FB72" w14:textId="77777777" w:rsidR="00FF1531" w:rsidRDefault="00FF1531" w:rsidP="00FF1531">
      <w:pPr>
        <w:spacing w:before="120" w:after="0"/>
        <w:rPr>
          <w:rFonts w:cs="Times New Roman"/>
          <w:b/>
          <w:bCs/>
          <w:szCs w:val="24"/>
          <w:lang w:val="sr-Cyrl-RS"/>
        </w:rPr>
      </w:pPr>
      <w:r w:rsidRPr="00CB565B">
        <w:rPr>
          <w:rFonts w:cs="Times New Roman"/>
          <w:szCs w:val="24"/>
          <w:lang w:val="sr-Cyrl-RS"/>
        </w:rPr>
        <w:t>The Reform Agenda of the Republic of Serbia, as a central part of the EU Growth Plan for the Western Balkans, represents a strategic framework for accelerating reforms that contribute to economic and social convergence with the European Union. It focuses on four main areas: improving the business environment and private sector development, green and digital trans</w:t>
      </w:r>
      <w:r>
        <w:rPr>
          <w:rFonts w:cs="Times New Roman"/>
          <w:szCs w:val="24"/>
          <w:lang w:val="sr-Cyrl-RS"/>
        </w:rPr>
        <w:t>itions, improving human capital</w:t>
      </w:r>
      <w:r w:rsidRPr="00CB565B">
        <w:rPr>
          <w:rFonts w:cs="Times New Roman"/>
          <w:szCs w:val="24"/>
          <w:lang w:val="sr-Cyrl-RS"/>
        </w:rPr>
        <w:t xml:space="preserve"> and fundamental reforms covering the rule of law, transparency and the fight against corruption. With the engagement of the Government and stakeholders, Serbia will work to address priority challenges, implement structural reforms, and preserve fiscal and macroeconomic stability.</w:t>
      </w:r>
    </w:p>
    <w:p w14:paraId="4E6300BB" w14:textId="77777777" w:rsidR="00FF1531" w:rsidRDefault="00FF1531" w:rsidP="00FF1531">
      <w:pPr>
        <w:spacing w:before="120" w:after="0"/>
        <w:rPr>
          <w:rFonts w:cs="Times New Roman"/>
          <w:b/>
          <w:bCs/>
          <w:szCs w:val="24"/>
          <w:lang w:val="sr-Cyrl-RS"/>
        </w:rPr>
      </w:pPr>
      <w:r w:rsidRPr="00CB565B">
        <w:rPr>
          <w:rFonts w:cs="Times New Roman"/>
          <w:b/>
          <w:bCs/>
          <w:szCs w:val="24"/>
          <w:lang w:val="sr-Cyrl-RS"/>
        </w:rPr>
        <w:t>Overview of reforms and goals:</w:t>
      </w:r>
    </w:p>
    <w:p w14:paraId="471FE83D" w14:textId="77777777" w:rsidR="00FF1531" w:rsidRPr="00AD7E7D" w:rsidRDefault="00FF1531" w:rsidP="00FF1531">
      <w:pPr>
        <w:spacing w:before="120" w:after="0"/>
        <w:rPr>
          <w:rFonts w:cs="Times New Roman"/>
          <w:b/>
          <w:bCs/>
          <w:szCs w:val="24"/>
        </w:rPr>
      </w:pPr>
      <w:r>
        <w:rPr>
          <w:rFonts w:cs="Times New Roman"/>
          <w:b/>
          <w:bCs/>
          <w:szCs w:val="24"/>
        </w:rPr>
        <w:t xml:space="preserve">1. </w:t>
      </w:r>
      <w:r w:rsidRPr="00CB565B">
        <w:rPr>
          <w:rFonts w:cs="Times New Roman"/>
          <w:b/>
          <w:bCs/>
          <w:szCs w:val="24"/>
          <w:lang w:val="sr-Cyrl-RS"/>
        </w:rPr>
        <w:t>Business environment and private sector development</w:t>
      </w:r>
    </w:p>
    <w:p w14:paraId="2E1D51FD" w14:textId="77777777" w:rsidR="00FF1531" w:rsidRPr="00AD7E7D" w:rsidRDefault="00FF1531" w:rsidP="00FF1531">
      <w:pPr>
        <w:numPr>
          <w:ilvl w:val="0"/>
          <w:numId w:val="34"/>
        </w:numPr>
        <w:spacing w:before="120" w:after="0"/>
        <w:jc w:val="left"/>
        <w:rPr>
          <w:rFonts w:eastAsia="Times New Roman" w:cs="Times New Roman"/>
          <w:szCs w:val="24"/>
        </w:rPr>
      </w:pPr>
      <w:r w:rsidRPr="00CB565B">
        <w:rPr>
          <w:rFonts w:cs="Times New Roman"/>
          <w:b/>
          <w:bCs/>
          <w:szCs w:val="24"/>
          <w:lang w:val="sr-Cyrl-RS"/>
        </w:rPr>
        <w:t>Business environment</w:t>
      </w:r>
      <w:r w:rsidRPr="00AD7E7D">
        <w:rPr>
          <w:rFonts w:eastAsia="Times New Roman" w:cs="Times New Roman"/>
          <w:b/>
          <w:bCs/>
          <w:szCs w:val="24"/>
        </w:rPr>
        <w:t>:</w:t>
      </w:r>
    </w:p>
    <w:p w14:paraId="35DF2AFB" w14:textId="77777777" w:rsidR="00FF1531" w:rsidRPr="006B6A89" w:rsidRDefault="00FF1531" w:rsidP="00FF1531">
      <w:pPr>
        <w:numPr>
          <w:ilvl w:val="1"/>
          <w:numId w:val="34"/>
        </w:numPr>
        <w:spacing w:before="120" w:after="0"/>
        <w:rPr>
          <w:rFonts w:eastAsia="Times New Roman" w:cs="Times New Roman"/>
          <w:szCs w:val="24"/>
        </w:rPr>
      </w:pPr>
      <w:r w:rsidRPr="00CB565B">
        <w:rPr>
          <w:rFonts w:eastAsia="Times New Roman" w:cs="Times New Roman"/>
          <w:szCs w:val="24"/>
        </w:rPr>
        <w:t>Improving public investment management and sustainable and efficient management of business entities owned by the Republic of Serbia.</w:t>
      </w:r>
    </w:p>
    <w:p w14:paraId="4D80B161" w14:textId="77777777" w:rsidR="00FF1531" w:rsidRPr="00AD7E7D" w:rsidRDefault="00FF1531" w:rsidP="00FF1531">
      <w:pPr>
        <w:numPr>
          <w:ilvl w:val="0"/>
          <w:numId w:val="34"/>
        </w:numPr>
        <w:spacing w:before="120" w:after="0"/>
        <w:rPr>
          <w:rFonts w:eastAsia="Times New Roman" w:cs="Times New Roman"/>
          <w:szCs w:val="24"/>
        </w:rPr>
      </w:pPr>
      <w:r>
        <w:rPr>
          <w:rFonts w:cs="Times New Roman"/>
          <w:b/>
          <w:bCs/>
          <w:szCs w:val="24"/>
          <w:lang w:val="sr-Latn-RS"/>
        </w:rPr>
        <w:t>P</w:t>
      </w:r>
      <w:r w:rsidRPr="00CB565B">
        <w:rPr>
          <w:rFonts w:cs="Times New Roman"/>
          <w:b/>
          <w:bCs/>
          <w:szCs w:val="24"/>
          <w:lang w:val="sr-Cyrl-RS"/>
        </w:rPr>
        <w:t>rivate sector development</w:t>
      </w:r>
      <w:r w:rsidRPr="00AD7E7D">
        <w:rPr>
          <w:rFonts w:eastAsia="Times New Roman" w:cs="Times New Roman"/>
          <w:b/>
          <w:bCs/>
          <w:szCs w:val="24"/>
        </w:rPr>
        <w:t>:</w:t>
      </w:r>
    </w:p>
    <w:p w14:paraId="5D21BA0B" w14:textId="77777777" w:rsidR="00FF1531" w:rsidRPr="00CB565B" w:rsidRDefault="00FF1531" w:rsidP="00FF1531">
      <w:pPr>
        <w:numPr>
          <w:ilvl w:val="1"/>
          <w:numId w:val="34"/>
        </w:numPr>
        <w:spacing w:before="120" w:after="0"/>
        <w:rPr>
          <w:rFonts w:eastAsia="Times New Roman" w:cs="Times New Roman"/>
          <w:szCs w:val="24"/>
        </w:rPr>
      </w:pPr>
      <w:r w:rsidRPr="00CB565B">
        <w:rPr>
          <w:rFonts w:eastAsia="Times New Roman" w:cs="Times New Roman"/>
          <w:szCs w:val="24"/>
          <w:lang w:val="sr-Cyrl-RS"/>
        </w:rPr>
        <w:t>Improving investment and development opportunities for entrepreneurs and the private sector.</w:t>
      </w:r>
    </w:p>
    <w:p w14:paraId="71EB0FBC" w14:textId="77777777" w:rsidR="00FF1531" w:rsidRPr="00AD7E7D" w:rsidRDefault="00FF1531" w:rsidP="00FF1531">
      <w:pPr>
        <w:numPr>
          <w:ilvl w:val="1"/>
          <w:numId w:val="34"/>
        </w:numPr>
        <w:spacing w:before="120" w:after="0"/>
        <w:rPr>
          <w:rFonts w:eastAsia="Times New Roman" w:cs="Times New Roman"/>
          <w:szCs w:val="24"/>
        </w:rPr>
      </w:pPr>
      <w:r w:rsidRPr="00CB565B">
        <w:rPr>
          <w:rFonts w:eastAsia="Times New Roman" w:cs="Times New Roman"/>
          <w:szCs w:val="24"/>
          <w:lang w:val="sr-Cyrl-RS"/>
        </w:rPr>
        <w:t>Further development of the scientific and innovation ecosyste</w:t>
      </w:r>
      <w:r>
        <w:rPr>
          <w:rFonts w:eastAsia="Times New Roman" w:cs="Times New Roman"/>
          <w:szCs w:val="24"/>
          <w:lang w:val="sr-Cyrl-RS"/>
        </w:rPr>
        <w:t>m for a knowledge-based economy.</w:t>
      </w:r>
    </w:p>
    <w:p w14:paraId="61C79409" w14:textId="77777777" w:rsidR="00FF1531" w:rsidRPr="00AD7E7D" w:rsidRDefault="00FF1531" w:rsidP="00FF1531">
      <w:pPr>
        <w:numPr>
          <w:ilvl w:val="0"/>
          <w:numId w:val="34"/>
        </w:numPr>
        <w:spacing w:before="120" w:after="0"/>
        <w:rPr>
          <w:rFonts w:eastAsia="Times New Roman" w:cs="Times New Roman"/>
          <w:szCs w:val="24"/>
        </w:rPr>
      </w:pPr>
      <w:r w:rsidRPr="00CB565B">
        <w:rPr>
          <w:rFonts w:eastAsia="Times New Roman" w:cs="Times New Roman"/>
          <w:b/>
          <w:bCs/>
          <w:szCs w:val="24"/>
        </w:rPr>
        <w:t>Business sector competitiveness</w:t>
      </w:r>
      <w:r w:rsidRPr="00AD7E7D">
        <w:rPr>
          <w:rFonts w:eastAsia="Times New Roman" w:cs="Times New Roman"/>
          <w:b/>
          <w:bCs/>
          <w:szCs w:val="24"/>
        </w:rPr>
        <w:t>:</w:t>
      </w:r>
    </w:p>
    <w:p w14:paraId="4086F71C" w14:textId="77777777" w:rsidR="00FF1531" w:rsidRPr="00A92544" w:rsidRDefault="00FF1531" w:rsidP="00FF1531">
      <w:pPr>
        <w:numPr>
          <w:ilvl w:val="1"/>
          <w:numId w:val="34"/>
        </w:numPr>
        <w:spacing w:before="120" w:after="0"/>
        <w:rPr>
          <w:rFonts w:eastAsia="Times New Roman" w:cs="Times New Roman"/>
          <w:szCs w:val="24"/>
        </w:rPr>
      </w:pPr>
      <w:r>
        <w:rPr>
          <w:rFonts w:eastAsia="Times New Roman" w:cs="Times New Roman"/>
          <w:szCs w:val="24"/>
          <w:lang w:val="sr-Latn-RS"/>
        </w:rPr>
        <w:t>Improving competitivness of agricultural sector</w:t>
      </w:r>
      <w:r>
        <w:rPr>
          <w:rFonts w:eastAsia="Times New Roman" w:cs="Times New Roman"/>
          <w:szCs w:val="24"/>
          <w:lang w:val="sr-Cyrl-RS"/>
        </w:rPr>
        <w:t>.</w:t>
      </w:r>
    </w:p>
    <w:p w14:paraId="44D4C3CF" w14:textId="77777777" w:rsidR="00FF1531" w:rsidRPr="00FF1531" w:rsidRDefault="00FF1531" w:rsidP="00FF1531">
      <w:pPr>
        <w:spacing w:before="120" w:after="0"/>
        <w:rPr>
          <w:rFonts w:cs="Times New Roman"/>
          <w:szCs w:val="24"/>
          <w:lang w:val="sr-Cyrl-RS"/>
        </w:rPr>
      </w:pPr>
      <w:r w:rsidRPr="00FF1531">
        <w:rPr>
          <w:rFonts w:cs="Times New Roman"/>
          <w:szCs w:val="24"/>
          <w:lang w:val="sr-Cyrl-RS"/>
        </w:rPr>
        <w:t>Objective: Improving the efficient management of business entities owned by the Republic of Serbia, improving the overall management of capital projects, improving investment and development opportunities for entrepreneurs and the private sector through better implementation of state aid and public procurement rules, improved identification of parafiscal levies, increasing the competitiveness of the agricultural sector and developing the scientific and innovation ecosystem necessary for the further development of a knowledge-based economy.</w:t>
      </w:r>
    </w:p>
    <w:p w14:paraId="3936C273" w14:textId="77777777" w:rsidR="00F02099" w:rsidRDefault="00F02099" w:rsidP="00A92544">
      <w:pPr>
        <w:spacing w:before="120" w:after="0"/>
        <w:rPr>
          <w:rFonts w:eastAsia="Calibri" w:cs="Times New Roman"/>
          <w:b/>
          <w:bCs/>
          <w:szCs w:val="24"/>
        </w:rPr>
      </w:pPr>
    </w:p>
    <w:p w14:paraId="397C96A4" w14:textId="77777777" w:rsidR="00FF1531" w:rsidRPr="00AD7E7D" w:rsidRDefault="00FF1531" w:rsidP="00FF1531">
      <w:pPr>
        <w:spacing w:before="120" w:after="0"/>
        <w:rPr>
          <w:rFonts w:eastAsia="Calibri" w:cs="Times New Roman"/>
          <w:b/>
          <w:bCs/>
          <w:szCs w:val="24"/>
        </w:rPr>
      </w:pPr>
      <w:r w:rsidRPr="00AD7E7D">
        <w:rPr>
          <w:rFonts w:eastAsia="Calibri" w:cs="Times New Roman"/>
          <w:b/>
          <w:bCs/>
          <w:szCs w:val="24"/>
        </w:rPr>
        <w:t xml:space="preserve">2. </w:t>
      </w:r>
      <w:r>
        <w:rPr>
          <w:rFonts w:eastAsia="Calibri" w:cs="Times New Roman"/>
          <w:b/>
          <w:bCs/>
          <w:szCs w:val="24"/>
        </w:rPr>
        <w:t>Green and digital transition</w:t>
      </w:r>
    </w:p>
    <w:p w14:paraId="7BABE38C" w14:textId="77777777" w:rsidR="00FF1531" w:rsidRPr="00AD7E7D" w:rsidRDefault="00FF1531" w:rsidP="00FF1531">
      <w:pPr>
        <w:numPr>
          <w:ilvl w:val="0"/>
          <w:numId w:val="35"/>
        </w:numPr>
        <w:spacing w:before="120" w:after="0"/>
        <w:jc w:val="left"/>
        <w:rPr>
          <w:rFonts w:eastAsia="Times New Roman" w:cs="Times New Roman"/>
          <w:szCs w:val="24"/>
        </w:rPr>
      </w:pPr>
      <w:r w:rsidRPr="00C83FE3">
        <w:rPr>
          <w:rFonts w:eastAsia="Times New Roman" w:cs="Times New Roman"/>
          <w:b/>
          <w:bCs/>
          <w:szCs w:val="24"/>
        </w:rPr>
        <w:t>Transformation of the energy sector</w:t>
      </w:r>
      <w:r w:rsidRPr="00AD7E7D">
        <w:rPr>
          <w:rFonts w:eastAsia="Times New Roman" w:cs="Times New Roman"/>
          <w:b/>
          <w:bCs/>
          <w:szCs w:val="24"/>
        </w:rPr>
        <w:t>:</w:t>
      </w:r>
    </w:p>
    <w:p w14:paraId="0C456720" w14:textId="77777777" w:rsidR="00FF1531" w:rsidRPr="00C83FE3" w:rsidRDefault="00FF1531" w:rsidP="00FF1531">
      <w:pPr>
        <w:numPr>
          <w:ilvl w:val="1"/>
          <w:numId w:val="35"/>
        </w:numPr>
        <w:spacing w:before="120" w:after="0"/>
        <w:rPr>
          <w:rFonts w:eastAsia="Times New Roman" w:cs="Times New Roman"/>
          <w:szCs w:val="24"/>
        </w:rPr>
      </w:pPr>
      <w:r w:rsidRPr="00C83FE3">
        <w:t>Implementation of the Third Energy Package for gas and transmission, as well as the implementation of the electricity integration package.</w:t>
      </w:r>
    </w:p>
    <w:p w14:paraId="5D91F470" w14:textId="77777777" w:rsidR="00FF1531" w:rsidRPr="00C83FE3" w:rsidRDefault="00FF1531" w:rsidP="00FF1531">
      <w:pPr>
        <w:numPr>
          <w:ilvl w:val="1"/>
          <w:numId w:val="35"/>
        </w:numPr>
        <w:spacing w:before="120" w:after="0"/>
        <w:rPr>
          <w:rFonts w:eastAsia="Times New Roman" w:cs="Times New Roman"/>
          <w:szCs w:val="24"/>
        </w:rPr>
      </w:pPr>
      <w:r w:rsidRPr="00C83FE3">
        <w:t xml:space="preserve">Gradual adjustment of tariffs </w:t>
      </w:r>
      <w:r>
        <w:t>until</w:t>
      </w:r>
      <w:r w:rsidRPr="00C83FE3">
        <w:t xml:space="preserve"> cost recovery levels with measures to address energy poverty if and when necessary.</w:t>
      </w:r>
    </w:p>
    <w:p w14:paraId="435B6745" w14:textId="77777777" w:rsidR="00FF1531" w:rsidRPr="00AD7E7D" w:rsidRDefault="00FF1531" w:rsidP="00FF1531">
      <w:pPr>
        <w:numPr>
          <w:ilvl w:val="1"/>
          <w:numId w:val="35"/>
        </w:numPr>
        <w:spacing w:before="120" w:after="0"/>
        <w:rPr>
          <w:rFonts w:eastAsia="Times New Roman" w:cs="Times New Roman"/>
          <w:szCs w:val="24"/>
        </w:rPr>
      </w:pPr>
      <w:r w:rsidRPr="00C83FE3">
        <w:t xml:space="preserve">Implementation of </w:t>
      </w:r>
      <w:r>
        <w:t>the Just Transition Action Plan</w:t>
      </w:r>
      <w:r>
        <w:rPr>
          <w:lang w:val="sr-Cyrl-RS"/>
        </w:rPr>
        <w:t>.</w:t>
      </w:r>
    </w:p>
    <w:p w14:paraId="2495A234" w14:textId="77777777" w:rsidR="00FF1531" w:rsidRPr="00D3192C" w:rsidRDefault="00FF1531" w:rsidP="00FF1531">
      <w:pPr>
        <w:numPr>
          <w:ilvl w:val="1"/>
          <w:numId w:val="35"/>
        </w:numPr>
        <w:spacing w:before="120" w:after="0"/>
        <w:rPr>
          <w:rFonts w:eastAsia="Times New Roman" w:cs="Times New Roman"/>
          <w:szCs w:val="24"/>
        </w:rPr>
      </w:pPr>
      <w:r w:rsidRPr="00C83FE3">
        <w:t>Ensuring transparent and competitive procedures for the i</w:t>
      </w:r>
      <w:r>
        <w:t>ntroduction of renewable energy</w:t>
      </w:r>
      <w:r>
        <w:rPr>
          <w:lang w:val="sr-Cyrl-RS"/>
        </w:rPr>
        <w:t>.</w:t>
      </w:r>
    </w:p>
    <w:p w14:paraId="1B7C5A18" w14:textId="77777777" w:rsidR="00FF1531" w:rsidRDefault="00FF1531" w:rsidP="00FF1531">
      <w:pPr>
        <w:numPr>
          <w:ilvl w:val="1"/>
          <w:numId w:val="35"/>
        </w:numPr>
        <w:spacing w:before="120" w:after="0"/>
        <w:rPr>
          <w:rFonts w:eastAsia="Times New Roman" w:cs="Times New Roman"/>
          <w:szCs w:val="24"/>
        </w:rPr>
      </w:pPr>
      <w:r w:rsidRPr="00C83FE3">
        <w:t>Implementation of the Renewable Energy Directive (permits, g</w:t>
      </w:r>
      <w:r>
        <w:t>uarantees of origin, prosumers)</w:t>
      </w:r>
      <w:r>
        <w:rPr>
          <w:lang w:val="sr-Cyrl-RS"/>
        </w:rPr>
        <w:t>.</w:t>
      </w:r>
    </w:p>
    <w:p w14:paraId="0C98FCD9" w14:textId="77777777" w:rsidR="00FF1531" w:rsidRPr="00D3192C" w:rsidRDefault="00FF1531" w:rsidP="00FF1531">
      <w:pPr>
        <w:numPr>
          <w:ilvl w:val="1"/>
          <w:numId w:val="35"/>
        </w:numPr>
        <w:spacing w:before="120" w:after="0"/>
        <w:rPr>
          <w:rFonts w:eastAsia="Times New Roman" w:cs="Times New Roman"/>
          <w:szCs w:val="24"/>
        </w:rPr>
      </w:pPr>
      <w:r>
        <w:t>Implementation of the MRVA22 package</w:t>
      </w:r>
      <w:r>
        <w:rPr>
          <w:lang w:val="sr-Cyrl-RS"/>
        </w:rPr>
        <w:t>.</w:t>
      </w:r>
    </w:p>
    <w:p w14:paraId="6428D829" w14:textId="77777777" w:rsidR="00FF1531" w:rsidRPr="00D3192C" w:rsidRDefault="00FF1531" w:rsidP="00FF1531">
      <w:pPr>
        <w:numPr>
          <w:ilvl w:val="1"/>
          <w:numId w:val="35"/>
        </w:numPr>
        <w:spacing w:before="120" w:after="0"/>
        <w:rPr>
          <w:rFonts w:eastAsia="Times New Roman" w:cs="Times New Roman"/>
          <w:szCs w:val="24"/>
        </w:rPr>
      </w:pPr>
      <w:r w:rsidRPr="00C83FE3">
        <w:t>Implementation of the Energy Efficiency Directive, the Energy Performance of Buildings Directive, eco-design and energy labelling regulations.</w:t>
      </w:r>
    </w:p>
    <w:p w14:paraId="0DF99A1A" w14:textId="77777777" w:rsidR="00FF1531" w:rsidRPr="00AD7E7D" w:rsidRDefault="00FF1531" w:rsidP="00FF1531">
      <w:pPr>
        <w:numPr>
          <w:ilvl w:val="0"/>
          <w:numId w:val="35"/>
        </w:numPr>
        <w:spacing w:before="120" w:after="0"/>
        <w:jc w:val="left"/>
        <w:rPr>
          <w:rFonts w:eastAsia="Times New Roman" w:cs="Times New Roman"/>
          <w:szCs w:val="24"/>
        </w:rPr>
      </w:pPr>
      <w:r>
        <w:rPr>
          <w:rFonts w:eastAsia="Times New Roman" w:cs="Times New Roman"/>
          <w:b/>
          <w:bCs/>
          <w:szCs w:val="24"/>
        </w:rPr>
        <w:t>Digitalisation</w:t>
      </w:r>
      <w:r w:rsidRPr="00AD7E7D">
        <w:rPr>
          <w:rFonts w:eastAsia="Times New Roman" w:cs="Times New Roman"/>
          <w:b/>
          <w:bCs/>
          <w:szCs w:val="24"/>
        </w:rPr>
        <w:t>:</w:t>
      </w:r>
    </w:p>
    <w:p w14:paraId="3B999EED" w14:textId="77777777" w:rsidR="00FF1531" w:rsidRPr="009D7952" w:rsidRDefault="00FF1531" w:rsidP="00FF1531">
      <w:pPr>
        <w:numPr>
          <w:ilvl w:val="1"/>
          <w:numId w:val="35"/>
        </w:numPr>
        <w:spacing w:before="120" w:after="0"/>
        <w:jc w:val="left"/>
        <w:rPr>
          <w:rFonts w:eastAsia="Times New Roman" w:cs="Times New Roman"/>
          <w:szCs w:val="24"/>
        </w:rPr>
      </w:pPr>
      <w:r w:rsidRPr="009D7952">
        <w:t>Development of secure and sustainable digital infrastructure, including the development of broadband access in rural areas and 5G networks.</w:t>
      </w:r>
    </w:p>
    <w:p w14:paraId="0F72CEE1" w14:textId="77777777" w:rsidR="00FF1531" w:rsidRPr="009D7952" w:rsidRDefault="00FF1531" w:rsidP="00FF1531">
      <w:pPr>
        <w:numPr>
          <w:ilvl w:val="1"/>
          <w:numId w:val="35"/>
        </w:numPr>
        <w:spacing w:before="120" w:after="0"/>
        <w:rPr>
          <w:rStyle w:val="rynqvb"/>
          <w:rFonts w:eastAsia="Times New Roman" w:cs="Times New Roman"/>
          <w:szCs w:val="24"/>
        </w:rPr>
      </w:pPr>
      <w:r>
        <w:rPr>
          <w:rStyle w:val="rynqvb"/>
          <w:lang w:val="en"/>
        </w:rPr>
        <w:t xml:space="preserve">Further digitalisation of public services and administrative procedures for businesses and citizens. </w:t>
      </w:r>
    </w:p>
    <w:p w14:paraId="42774CFA" w14:textId="77777777" w:rsidR="00FF1531" w:rsidRPr="009D7952" w:rsidRDefault="00FF1531" w:rsidP="00FF1531">
      <w:pPr>
        <w:numPr>
          <w:ilvl w:val="1"/>
          <w:numId w:val="35"/>
        </w:numPr>
        <w:spacing w:before="120" w:after="0"/>
        <w:rPr>
          <w:rStyle w:val="rynqvb"/>
          <w:rFonts w:eastAsia="Times New Roman" w:cs="Times New Roman"/>
          <w:szCs w:val="24"/>
        </w:rPr>
      </w:pPr>
      <w:r>
        <w:rPr>
          <w:rStyle w:val="rynqvb"/>
          <w:lang w:val="en"/>
        </w:rPr>
        <w:lastRenderedPageBreak/>
        <w:t xml:space="preserve">Strengthening adult education, training and relevant opportunities for improving digital skills and literacy. </w:t>
      </w:r>
    </w:p>
    <w:p w14:paraId="75D0F858" w14:textId="77777777" w:rsidR="00FF1531" w:rsidRPr="009D7952" w:rsidRDefault="00FF1531" w:rsidP="00FF1531">
      <w:pPr>
        <w:numPr>
          <w:ilvl w:val="1"/>
          <w:numId w:val="35"/>
        </w:numPr>
        <w:spacing w:before="120" w:after="0"/>
        <w:rPr>
          <w:rStyle w:val="rynqvb"/>
          <w:rFonts w:eastAsia="Times New Roman" w:cs="Times New Roman"/>
          <w:szCs w:val="24"/>
        </w:rPr>
      </w:pPr>
      <w:r>
        <w:rPr>
          <w:rStyle w:val="rynqvb"/>
          <w:lang w:val="en"/>
        </w:rPr>
        <w:t>Establishing a comprehensive framework for information security and artificial intelligence.</w:t>
      </w:r>
    </w:p>
    <w:p w14:paraId="6CD44CE4" w14:textId="77777777" w:rsidR="00FF1531" w:rsidRPr="00AD7E7D" w:rsidRDefault="00FF1531" w:rsidP="00FF1531">
      <w:pPr>
        <w:numPr>
          <w:ilvl w:val="1"/>
          <w:numId w:val="35"/>
        </w:numPr>
        <w:spacing w:before="120" w:after="0"/>
        <w:rPr>
          <w:rFonts w:eastAsia="Times New Roman" w:cs="Times New Roman"/>
          <w:szCs w:val="24"/>
        </w:rPr>
      </w:pPr>
      <w:r w:rsidRPr="009D7952">
        <w:t>Introducing an intelligent transport system and an electronic freight transport system</w:t>
      </w:r>
      <w:r>
        <w:t>.</w:t>
      </w:r>
    </w:p>
    <w:p w14:paraId="06006F4A" w14:textId="03BFD9C7" w:rsidR="00264D12" w:rsidRPr="00FF1531" w:rsidRDefault="00FF1531" w:rsidP="00A92544">
      <w:pPr>
        <w:spacing w:before="120" w:after="0"/>
        <w:rPr>
          <w:rFonts w:cs="Times New Roman"/>
          <w:szCs w:val="24"/>
          <w:lang w:val="sr-Cyrl-RS"/>
        </w:rPr>
      </w:pPr>
      <w:r w:rsidRPr="009D7952">
        <w:rPr>
          <w:rFonts w:cs="Times New Roman"/>
          <w:szCs w:val="24"/>
          <w:lang w:val="sr-Cyrl-RS"/>
        </w:rPr>
        <w:t>Objective: In the energy sector, the objectives are to ensure the transformation of the energy sector in accordance with European rules governing the energy sector and to ensure the decarbonization process, while ensuring energy security, integrating the energy market of the Republic of Serbia with the single European market, and ensuring affordable electricity prices. In the field of digitalization, the objectives are to develop a secure and sustainable digital infrastructure, including the introduction of rural broadband and 5G networks, further digitalization of public services and administrative procedures for citizens and businesses, strengthen</w:t>
      </w:r>
      <w:r>
        <w:rPr>
          <w:rFonts w:cs="Times New Roman"/>
          <w:szCs w:val="24"/>
          <w:lang w:val="sr-Cyrl-RS"/>
        </w:rPr>
        <w:t>ing digital skills and literacy</w:t>
      </w:r>
      <w:r w:rsidRPr="009D7952">
        <w:rPr>
          <w:rFonts w:cs="Times New Roman"/>
          <w:szCs w:val="24"/>
          <w:lang w:val="sr-Cyrl-RS"/>
        </w:rPr>
        <w:t xml:space="preserve"> and establishing a comprehensive framework for information security and the development of an intelligent transport system and eFreight.</w:t>
      </w:r>
    </w:p>
    <w:p w14:paraId="59BA272C" w14:textId="77777777" w:rsidR="003B73BE" w:rsidRDefault="003B73BE" w:rsidP="00A92544">
      <w:pPr>
        <w:spacing w:before="120" w:after="0"/>
        <w:rPr>
          <w:rFonts w:eastAsia="Calibri" w:cs="Times New Roman"/>
          <w:b/>
          <w:bCs/>
          <w:szCs w:val="24"/>
        </w:rPr>
      </w:pPr>
    </w:p>
    <w:p w14:paraId="0AA6903E" w14:textId="77777777" w:rsidR="00FF1531" w:rsidRPr="00AD7E7D" w:rsidRDefault="00FF1531" w:rsidP="00FF1531">
      <w:pPr>
        <w:spacing w:before="120" w:after="0"/>
        <w:rPr>
          <w:rFonts w:eastAsia="Calibri" w:cs="Times New Roman"/>
          <w:b/>
          <w:bCs/>
          <w:szCs w:val="24"/>
        </w:rPr>
      </w:pPr>
      <w:r w:rsidRPr="00AD7E7D">
        <w:rPr>
          <w:rFonts w:eastAsia="Calibri" w:cs="Times New Roman"/>
          <w:b/>
          <w:bCs/>
          <w:szCs w:val="24"/>
        </w:rPr>
        <w:t xml:space="preserve">3. </w:t>
      </w:r>
      <w:r>
        <w:rPr>
          <w:rFonts w:eastAsia="Calibri" w:cs="Times New Roman"/>
          <w:b/>
          <w:bCs/>
          <w:szCs w:val="24"/>
        </w:rPr>
        <w:t>Human capital</w:t>
      </w:r>
    </w:p>
    <w:p w14:paraId="32F8635B" w14:textId="77777777" w:rsidR="00FF1531" w:rsidRPr="007661B3" w:rsidRDefault="00FF1531" w:rsidP="00FF1531">
      <w:pPr>
        <w:numPr>
          <w:ilvl w:val="0"/>
          <w:numId w:val="36"/>
        </w:numPr>
        <w:spacing w:before="120" w:after="0"/>
        <w:rPr>
          <w:rFonts w:eastAsia="Times New Roman" w:cs="Times New Roman"/>
          <w:b/>
          <w:szCs w:val="24"/>
        </w:rPr>
      </w:pPr>
      <w:r>
        <w:rPr>
          <w:rFonts w:eastAsia="Times New Roman" w:cs="Times New Roman"/>
          <w:b/>
          <w:szCs w:val="24"/>
          <w:lang w:val="sr-Latn-RS"/>
        </w:rPr>
        <w:t>Labour market</w:t>
      </w:r>
    </w:p>
    <w:p w14:paraId="7E086E50" w14:textId="77777777" w:rsidR="00FF1531" w:rsidRPr="00AD7E7D" w:rsidRDefault="00FF1531" w:rsidP="00FF1531">
      <w:pPr>
        <w:numPr>
          <w:ilvl w:val="1"/>
          <w:numId w:val="36"/>
        </w:numPr>
        <w:spacing w:before="120" w:after="0"/>
        <w:rPr>
          <w:rFonts w:eastAsia="Times New Roman" w:cs="Times New Roman"/>
          <w:szCs w:val="24"/>
        </w:rPr>
      </w:pPr>
      <w:r w:rsidRPr="009D7952">
        <w:t>Improving labour market conditions, including ensuring adequate financial and institutional resources and capacity for activation in the field of employment and</w:t>
      </w:r>
      <w:r>
        <w:t xml:space="preserve"> social policies</w:t>
      </w:r>
      <w:r w:rsidRPr="00AD7E7D">
        <w:rPr>
          <w:rFonts w:eastAsia="Times New Roman" w:cs="Times New Roman"/>
          <w:szCs w:val="24"/>
        </w:rPr>
        <w:t>.</w:t>
      </w:r>
    </w:p>
    <w:p w14:paraId="247CE9DD" w14:textId="77777777" w:rsidR="00FF1531" w:rsidRDefault="00FF1531" w:rsidP="00FF1531">
      <w:pPr>
        <w:numPr>
          <w:ilvl w:val="1"/>
          <w:numId w:val="36"/>
        </w:numPr>
        <w:spacing w:before="120" w:after="0"/>
        <w:rPr>
          <w:rFonts w:eastAsia="Times New Roman" w:cs="Times New Roman"/>
          <w:szCs w:val="24"/>
        </w:rPr>
      </w:pPr>
      <w:r w:rsidRPr="009D7952">
        <w:t xml:space="preserve">Implementing training and skills development programmes in critical sectors such as teacher education, to proactively address key factors affecting the skills and retention </w:t>
      </w:r>
      <w:r>
        <w:t>of the workforce in these areas</w:t>
      </w:r>
      <w:r w:rsidRPr="00AD7E7D">
        <w:rPr>
          <w:rFonts w:eastAsia="Times New Roman" w:cs="Times New Roman"/>
          <w:szCs w:val="24"/>
        </w:rPr>
        <w:t>.</w:t>
      </w:r>
    </w:p>
    <w:p w14:paraId="672489A4" w14:textId="77777777" w:rsidR="00FF1531" w:rsidRPr="007661B3" w:rsidRDefault="00FF1531" w:rsidP="00FF1531">
      <w:pPr>
        <w:pStyle w:val="ListParagraph"/>
        <w:numPr>
          <w:ilvl w:val="0"/>
          <w:numId w:val="36"/>
        </w:numPr>
        <w:spacing w:before="120" w:after="0" w:line="240" w:lineRule="auto"/>
        <w:rPr>
          <w:rFonts w:eastAsia="Times New Roman" w:cs="Times New Roman"/>
          <w:b/>
          <w:sz w:val="24"/>
          <w:szCs w:val="24"/>
          <w:lang w:val="sr-Cyrl-RS"/>
        </w:rPr>
      </w:pPr>
      <w:r w:rsidRPr="009D7952">
        <w:rPr>
          <w:rFonts w:eastAsia="Times New Roman" w:cs="Times New Roman"/>
          <w:b/>
          <w:sz w:val="24"/>
          <w:szCs w:val="24"/>
          <w:lang w:val="sr-Cyrl-RS"/>
        </w:rPr>
        <w:t>Education and skills</w:t>
      </w:r>
    </w:p>
    <w:p w14:paraId="7FC147EB" w14:textId="77777777" w:rsidR="00FF1531" w:rsidRPr="009D7952" w:rsidRDefault="00FF1531" w:rsidP="00FF1531">
      <w:pPr>
        <w:numPr>
          <w:ilvl w:val="1"/>
          <w:numId w:val="36"/>
        </w:numPr>
        <w:spacing w:before="120" w:after="0"/>
        <w:rPr>
          <w:rFonts w:eastAsia="Times New Roman" w:cs="Times New Roman"/>
          <w:szCs w:val="24"/>
        </w:rPr>
      </w:pPr>
      <w:r w:rsidRPr="009D7952">
        <w:t>Improving the quality of teaching and learning, equity and accessibility at all levels of education.</w:t>
      </w:r>
    </w:p>
    <w:p w14:paraId="34F0FF6D" w14:textId="77777777" w:rsidR="00FF1531" w:rsidRPr="00A92544" w:rsidRDefault="00FF1531" w:rsidP="00FF1531">
      <w:pPr>
        <w:numPr>
          <w:ilvl w:val="1"/>
          <w:numId w:val="36"/>
        </w:numPr>
        <w:spacing w:before="120" w:after="0"/>
        <w:rPr>
          <w:rFonts w:eastAsia="Times New Roman" w:cs="Times New Roman"/>
          <w:szCs w:val="24"/>
        </w:rPr>
      </w:pPr>
      <w:r w:rsidRPr="009D7952">
        <w:t>Reducing skills mismatches in the labour market and facilitating the transition f</w:t>
      </w:r>
      <w:r>
        <w:t>rom school to work, including improvement of</w:t>
      </w:r>
      <w:r w:rsidRPr="009D7952">
        <w:t xml:space="preserve"> further </w:t>
      </w:r>
      <w:r>
        <w:t>primary and secondary education</w:t>
      </w:r>
      <w:r w:rsidRPr="009D7952">
        <w:t xml:space="preserve">, including dual </w:t>
      </w:r>
      <w:r>
        <w:t>primary and secondary education</w:t>
      </w:r>
      <w:r w:rsidRPr="009D7952">
        <w:t>, strengthening education, training and</w:t>
      </w:r>
      <w:r>
        <w:t xml:space="preserve"> relevant upskilling for adults</w:t>
      </w:r>
      <w:r>
        <w:rPr>
          <w:lang w:val="sr-Cyrl-RS"/>
        </w:rPr>
        <w:t>.</w:t>
      </w:r>
    </w:p>
    <w:p w14:paraId="1C83D895" w14:textId="77777777" w:rsidR="00FF1531" w:rsidRDefault="00FF1531" w:rsidP="00FF1531">
      <w:pPr>
        <w:spacing w:before="120" w:after="0"/>
        <w:rPr>
          <w:rFonts w:cs="Times New Roman"/>
          <w:szCs w:val="24"/>
          <w:lang w:val="sr-Cyrl-RS"/>
        </w:rPr>
      </w:pPr>
      <w:r>
        <w:rPr>
          <w:rFonts w:cs="Times New Roman"/>
          <w:szCs w:val="24"/>
          <w:lang w:val="sr-Latn-RS"/>
        </w:rPr>
        <w:t>Objective</w:t>
      </w:r>
      <w:r w:rsidRPr="00A764A4">
        <w:rPr>
          <w:rFonts w:cs="Times New Roman"/>
          <w:szCs w:val="24"/>
          <w:lang w:val="sr-Cyrl-RS"/>
        </w:rPr>
        <w:t>: Comprehensive support for the youth of the Republic of Serbia in formal and non-formal education and career paths to enable them to live fulfilled and independent lives with meaningful engagement in their local communities and the contemporary world.</w:t>
      </w:r>
    </w:p>
    <w:p w14:paraId="091899C2" w14:textId="77777777" w:rsidR="00FF1531" w:rsidRDefault="00FF1531" w:rsidP="00FF1531">
      <w:pPr>
        <w:spacing w:before="120" w:after="0"/>
      </w:pPr>
    </w:p>
    <w:p w14:paraId="0FCF61D9" w14:textId="77777777" w:rsidR="00FF1531" w:rsidRPr="00AD7E7D" w:rsidRDefault="00FF1531" w:rsidP="00FF1531">
      <w:pPr>
        <w:spacing w:before="120" w:after="0"/>
        <w:rPr>
          <w:rFonts w:cs="Times New Roman"/>
          <w:b/>
          <w:bCs/>
          <w:szCs w:val="24"/>
        </w:rPr>
      </w:pPr>
      <w:r w:rsidRPr="00AD7E7D">
        <w:rPr>
          <w:rFonts w:cs="Times New Roman"/>
          <w:b/>
          <w:bCs/>
          <w:szCs w:val="24"/>
        </w:rPr>
        <w:t xml:space="preserve">4. </w:t>
      </w:r>
      <w:r>
        <w:rPr>
          <w:rFonts w:cs="Times New Roman"/>
          <w:b/>
          <w:bCs/>
          <w:szCs w:val="24"/>
        </w:rPr>
        <w:t>Basics</w:t>
      </w:r>
    </w:p>
    <w:p w14:paraId="21E9886B" w14:textId="77777777" w:rsidR="00FF1531" w:rsidRPr="00F657FD" w:rsidRDefault="00FF1531" w:rsidP="00FF1531">
      <w:pPr>
        <w:numPr>
          <w:ilvl w:val="0"/>
          <w:numId w:val="33"/>
        </w:numPr>
        <w:spacing w:before="120" w:after="0"/>
        <w:rPr>
          <w:rFonts w:eastAsia="Times New Roman" w:cs="Times New Roman"/>
          <w:szCs w:val="24"/>
        </w:rPr>
      </w:pPr>
      <w:r>
        <w:rPr>
          <w:rFonts w:eastAsia="Times New Roman" w:cs="Times New Roman"/>
          <w:b/>
          <w:bCs/>
          <w:szCs w:val="24"/>
        </w:rPr>
        <w:t>Democracy</w:t>
      </w:r>
    </w:p>
    <w:p w14:paraId="17232865" w14:textId="77777777" w:rsidR="00FF1531" w:rsidRPr="00AD7E7D" w:rsidRDefault="00FF1531" w:rsidP="00FF1531">
      <w:pPr>
        <w:numPr>
          <w:ilvl w:val="1"/>
          <w:numId w:val="33"/>
        </w:numPr>
        <w:spacing w:before="120" w:after="0"/>
        <w:rPr>
          <w:rFonts w:eastAsia="Times New Roman" w:cs="Times New Roman"/>
          <w:szCs w:val="24"/>
        </w:rPr>
      </w:pPr>
      <w:r w:rsidRPr="00B405BD">
        <w:t>Preparation of a roadmap/plan and implementation of the recommendations of the OSCE/ODIHR and Council of Europe bo</w:t>
      </w:r>
      <w:r>
        <w:t>dies on the electoral framework</w:t>
      </w:r>
      <w:r>
        <w:rPr>
          <w:lang w:val="sr-Cyrl-RS"/>
        </w:rPr>
        <w:t>.</w:t>
      </w:r>
    </w:p>
    <w:p w14:paraId="3AD17505" w14:textId="77777777" w:rsidR="00FF1531" w:rsidRDefault="00FF1531" w:rsidP="00FF1531">
      <w:pPr>
        <w:numPr>
          <w:ilvl w:val="0"/>
          <w:numId w:val="33"/>
        </w:numPr>
        <w:spacing w:before="120" w:after="0"/>
        <w:rPr>
          <w:rFonts w:eastAsia="Times New Roman" w:cs="Times New Roman"/>
          <w:szCs w:val="24"/>
        </w:rPr>
      </w:pPr>
      <w:r>
        <w:rPr>
          <w:rFonts w:eastAsia="Times New Roman" w:cs="Times New Roman"/>
          <w:b/>
          <w:bCs/>
          <w:szCs w:val="24"/>
          <w:lang w:val="sr-Latn-RS"/>
        </w:rPr>
        <w:t>Basic rights</w:t>
      </w:r>
    </w:p>
    <w:p w14:paraId="108321DA" w14:textId="77777777" w:rsidR="00FF1531" w:rsidRDefault="00FF1531" w:rsidP="00FF1531">
      <w:pPr>
        <w:numPr>
          <w:ilvl w:val="1"/>
          <w:numId w:val="33"/>
        </w:numPr>
        <w:spacing w:before="120" w:after="0"/>
        <w:rPr>
          <w:rFonts w:eastAsia="Times New Roman" w:cs="Times New Roman"/>
          <w:szCs w:val="24"/>
        </w:rPr>
      </w:pPr>
      <w:r w:rsidRPr="00B405BD">
        <w:t>Improving the protection of fundamental rights for vulnerable individuals and</w:t>
      </w:r>
      <w:r>
        <w:t xml:space="preserve"> members of national minorities</w:t>
      </w:r>
      <w:r w:rsidRPr="00F657FD">
        <w:rPr>
          <w:rFonts w:eastAsia="Times New Roman" w:cs="Times New Roman"/>
          <w:szCs w:val="24"/>
        </w:rPr>
        <w:t>.</w:t>
      </w:r>
    </w:p>
    <w:p w14:paraId="11B6644A" w14:textId="77777777" w:rsidR="00FF1531" w:rsidRPr="00F657FD" w:rsidRDefault="00FF1531" w:rsidP="00FF1531">
      <w:pPr>
        <w:numPr>
          <w:ilvl w:val="1"/>
          <w:numId w:val="33"/>
        </w:numPr>
        <w:spacing w:before="120" w:after="0"/>
        <w:rPr>
          <w:rFonts w:eastAsia="Times New Roman" w:cs="Times New Roman"/>
          <w:szCs w:val="24"/>
        </w:rPr>
      </w:pPr>
      <w:r w:rsidRPr="00B405BD">
        <w:t xml:space="preserve">Improving freedom of </w:t>
      </w:r>
      <w:r>
        <w:t>speech</w:t>
      </w:r>
      <w:r w:rsidRPr="00B405BD">
        <w:t xml:space="preserve"> by amending the law on electronic media and public information and media to align it with the E</w:t>
      </w:r>
      <w:r>
        <w:t>U acquis and European standards</w:t>
      </w:r>
      <w:r w:rsidRPr="00B405BD">
        <w:t xml:space="preserve"> and by adopting the law on public media services an</w:t>
      </w:r>
      <w:r>
        <w:t>d ensuring their implementation.</w:t>
      </w:r>
    </w:p>
    <w:p w14:paraId="1D323849" w14:textId="77777777" w:rsidR="00FF1531" w:rsidRPr="00897ED1" w:rsidRDefault="00FF1531" w:rsidP="00FF1531">
      <w:pPr>
        <w:numPr>
          <w:ilvl w:val="0"/>
          <w:numId w:val="33"/>
        </w:numPr>
        <w:spacing w:before="120" w:after="0"/>
        <w:rPr>
          <w:rFonts w:cs="Times New Roman"/>
          <w:szCs w:val="24"/>
          <w:lang w:val="sr-Cyrl-RS"/>
        </w:rPr>
      </w:pPr>
      <w:r>
        <w:rPr>
          <w:rFonts w:eastAsia="Times New Roman" w:cs="Times New Roman"/>
          <w:b/>
          <w:bCs/>
          <w:szCs w:val="24"/>
          <w:lang w:val="sr-Latn-RS"/>
        </w:rPr>
        <w:t>Fight against organized crime</w:t>
      </w:r>
    </w:p>
    <w:p w14:paraId="2AA61459" w14:textId="77777777" w:rsidR="00FF1531" w:rsidRPr="00897ED1" w:rsidRDefault="00FF1531" w:rsidP="00FF1531">
      <w:pPr>
        <w:numPr>
          <w:ilvl w:val="1"/>
          <w:numId w:val="33"/>
        </w:numPr>
        <w:spacing w:before="120" w:after="0"/>
        <w:rPr>
          <w:rFonts w:cs="Times New Roman"/>
          <w:szCs w:val="24"/>
          <w:lang w:val="sr-Cyrl-RS"/>
        </w:rPr>
      </w:pPr>
      <w:r w:rsidRPr="00B405BD">
        <w:t>Fight against organized and serious crime</w:t>
      </w:r>
      <w:r w:rsidRPr="00897ED1">
        <w:rPr>
          <w:rFonts w:eastAsia="Times New Roman" w:cs="Times New Roman"/>
          <w:szCs w:val="24"/>
          <w:lang w:val="sr-Cyrl-RS"/>
        </w:rPr>
        <w:t>.</w:t>
      </w:r>
    </w:p>
    <w:p w14:paraId="40676D47" w14:textId="77777777" w:rsidR="00FF1531" w:rsidRDefault="00FF1531" w:rsidP="00FF1531">
      <w:pPr>
        <w:pStyle w:val="ListParagraph"/>
        <w:numPr>
          <w:ilvl w:val="0"/>
          <w:numId w:val="33"/>
        </w:numPr>
        <w:spacing w:before="120" w:after="0" w:line="240" w:lineRule="auto"/>
        <w:rPr>
          <w:rFonts w:cs="Times New Roman"/>
          <w:b/>
          <w:sz w:val="24"/>
          <w:szCs w:val="24"/>
          <w:lang w:val="sr-Cyrl-RS"/>
        </w:rPr>
      </w:pPr>
      <w:r>
        <w:rPr>
          <w:rFonts w:cs="Times New Roman"/>
          <w:b/>
          <w:sz w:val="24"/>
          <w:szCs w:val="24"/>
          <w:lang w:val="sr-Latn-RS"/>
        </w:rPr>
        <w:t>Security and migrations</w:t>
      </w:r>
    </w:p>
    <w:p w14:paraId="5AD8198E" w14:textId="77777777" w:rsidR="00FF1531" w:rsidRDefault="00FF1531" w:rsidP="00FF1531">
      <w:pPr>
        <w:pStyle w:val="ListParagraph"/>
        <w:numPr>
          <w:ilvl w:val="1"/>
          <w:numId w:val="33"/>
        </w:numPr>
        <w:spacing w:before="120" w:after="0" w:line="240" w:lineRule="auto"/>
        <w:rPr>
          <w:rFonts w:cs="Times New Roman"/>
          <w:sz w:val="24"/>
          <w:szCs w:val="24"/>
          <w:lang w:val="sr-Cyrl-RS"/>
        </w:rPr>
      </w:pPr>
      <w:r w:rsidRPr="00B405BD">
        <w:rPr>
          <w:rFonts w:cs="Times New Roman"/>
          <w:sz w:val="24"/>
          <w:szCs w:val="24"/>
          <w:lang w:val="sr-Cyrl-RS"/>
        </w:rPr>
        <w:t>Addressing se</w:t>
      </w:r>
      <w:r>
        <w:rPr>
          <w:rFonts w:cs="Times New Roman"/>
          <w:sz w:val="24"/>
          <w:szCs w:val="24"/>
          <w:lang w:val="sr-Cyrl-RS"/>
        </w:rPr>
        <w:t>curity and migration challenges.</w:t>
      </w:r>
    </w:p>
    <w:p w14:paraId="2F59317B" w14:textId="77777777" w:rsidR="00FF1531" w:rsidRDefault="00FF1531" w:rsidP="00FF1531">
      <w:pPr>
        <w:pStyle w:val="ListParagraph"/>
        <w:numPr>
          <w:ilvl w:val="1"/>
          <w:numId w:val="33"/>
        </w:numPr>
        <w:spacing w:before="120" w:after="0" w:line="240" w:lineRule="auto"/>
        <w:rPr>
          <w:rFonts w:cs="Times New Roman"/>
          <w:sz w:val="24"/>
          <w:szCs w:val="24"/>
          <w:lang w:val="sr-Cyrl-RS"/>
        </w:rPr>
      </w:pPr>
      <w:r w:rsidRPr="00B405BD">
        <w:rPr>
          <w:rFonts w:cs="Times New Roman"/>
          <w:sz w:val="24"/>
          <w:szCs w:val="24"/>
          <w:lang w:val="sr-Cyrl-RS"/>
        </w:rPr>
        <w:lastRenderedPageBreak/>
        <w:t>Addressing (potential) security risks across the EU related to visa-free travel rights for citizens of countries that</w:t>
      </w:r>
      <w:r>
        <w:rPr>
          <w:rFonts w:cs="Times New Roman"/>
          <w:sz w:val="24"/>
          <w:szCs w:val="24"/>
          <w:lang w:val="sr-Cyrl-RS"/>
        </w:rPr>
        <w:t xml:space="preserve"> would otherwise require a visa.</w:t>
      </w:r>
    </w:p>
    <w:p w14:paraId="0BCC0DCF" w14:textId="77777777" w:rsidR="00FF1531" w:rsidRDefault="00FF1531" w:rsidP="00FF1531">
      <w:pPr>
        <w:pStyle w:val="ListParagraph"/>
        <w:numPr>
          <w:ilvl w:val="0"/>
          <w:numId w:val="33"/>
        </w:numPr>
        <w:spacing w:before="120" w:after="0" w:line="240" w:lineRule="auto"/>
        <w:rPr>
          <w:rFonts w:cs="Times New Roman"/>
          <w:b/>
          <w:sz w:val="24"/>
          <w:szCs w:val="24"/>
          <w:lang w:val="sr-Cyrl-RS"/>
        </w:rPr>
      </w:pPr>
      <w:r>
        <w:rPr>
          <w:rFonts w:cs="Times New Roman"/>
          <w:b/>
          <w:sz w:val="24"/>
          <w:szCs w:val="24"/>
          <w:lang w:val="sr-Latn-RS"/>
        </w:rPr>
        <w:t>Fight against coruption</w:t>
      </w:r>
    </w:p>
    <w:p w14:paraId="2E3A74AC" w14:textId="77777777" w:rsidR="00FF1531" w:rsidRPr="006701F4" w:rsidRDefault="00FF1531" w:rsidP="00FF1531">
      <w:pPr>
        <w:pStyle w:val="ListParagraph"/>
        <w:numPr>
          <w:ilvl w:val="1"/>
          <w:numId w:val="33"/>
        </w:numPr>
        <w:spacing w:before="120" w:after="0" w:line="240" w:lineRule="auto"/>
        <w:rPr>
          <w:rFonts w:cs="Times New Roman"/>
          <w:b/>
          <w:sz w:val="24"/>
          <w:szCs w:val="24"/>
          <w:lang w:val="sr-Cyrl-RS"/>
        </w:rPr>
      </w:pPr>
      <w:r w:rsidRPr="00B405BD">
        <w:rPr>
          <w:sz w:val="24"/>
          <w:szCs w:val="24"/>
        </w:rPr>
        <w:t>Improved prevention and fight against corruption</w:t>
      </w:r>
      <w:r>
        <w:rPr>
          <w:sz w:val="24"/>
          <w:szCs w:val="24"/>
          <w:lang w:val="sr-Cyrl-RS"/>
        </w:rPr>
        <w:t>.</w:t>
      </w:r>
    </w:p>
    <w:p w14:paraId="139AC659" w14:textId="77777777" w:rsidR="00FF1531" w:rsidRDefault="00FF1531" w:rsidP="00FF1531">
      <w:pPr>
        <w:pStyle w:val="ListParagraph"/>
        <w:numPr>
          <w:ilvl w:val="0"/>
          <w:numId w:val="33"/>
        </w:numPr>
        <w:spacing w:before="120" w:after="0" w:line="240" w:lineRule="auto"/>
        <w:rPr>
          <w:rFonts w:cs="Times New Roman"/>
          <w:b/>
          <w:sz w:val="24"/>
          <w:szCs w:val="24"/>
          <w:lang w:val="sr-Cyrl-RS"/>
        </w:rPr>
      </w:pPr>
      <w:r>
        <w:rPr>
          <w:rFonts w:cs="Times New Roman"/>
          <w:b/>
          <w:sz w:val="24"/>
          <w:szCs w:val="24"/>
          <w:lang w:val="sr-Latn-RS"/>
        </w:rPr>
        <w:t>Judiciary</w:t>
      </w:r>
    </w:p>
    <w:p w14:paraId="33B81255" w14:textId="77777777" w:rsidR="00FF1531" w:rsidRPr="00EF58A7" w:rsidRDefault="00FF1531" w:rsidP="00FF1531">
      <w:pPr>
        <w:pStyle w:val="ListParagraph"/>
        <w:numPr>
          <w:ilvl w:val="1"/>
          <w:numId w:val="33"/>
        </w:numPr>
        <w:spacing w:before="120" w:after="0" w:line="240" w:lineRule="auto"/>
        <w:rPr>
          <w:rFonts w:cs="Times New Roman"/>
          <w:b/>
          <w:sz w:val="24"/>
          <w:szCs w:val="24"/>
          <w:lang w:val="sr-Cyrl-RS"/>
        </w:rPr>
      </w:pPr>
      <w:r>
        <w:rPr>
          <w:sz w:val="24"/>
          <w:szCs w:val="24"/>
        </w:rPr>
        <w:t>Reform of the judicial system</w:t>
      </w:r>
      <w:r>
        <w:rPr>
          <w:sz w:val="24"/>
          <w:szCs w:val="24"/>
          <w:lang w:val="sr-Cyrl-RS"/>
        </w:rPr>
        <w:t>.</w:t>
      </w:r>
    </w:p>
    <w:p w14:paraId="37A42417" w14:textId="77777777" w:rsidR="00FF1531" w:rsidRPr="00AF26DB" w:rsidRDefault="00FF1531" w:rsidP="00FF1531">
      <w:pPr>
        <w:spacing w:after="160" w:line="259" w:lineRule="auto"/>
        <w:rPr>
          <w:rFonts w:eastAsia="Calibri" w:cs="Times New Roman"/>
          <w:szCs w:val="24"/>
          <w:lang w:val="sr-Cyrl-RS"/>
        </w:rPr>
      </w:pPr>
      <w:r w:rsidRPr="0038669D">
        <w:rPr>
          <w:rFonts w:cs="Times New Roman"/>
          <w:szCs w:val="24"/>
          <w:lang w:val="sr-Cyrl-RS"/>
        </w:rPr>
        <w:t>Objective: Imp</w:t>
      </w:r>
      <w:r>
        <w:rPr>
          <w:rFonts w:cs="Times New Roman"/>
          <w:szCs w:val="24"/>
          <w:lang w:val="sr-Cyrl-RS"/>
        </w:rPr>
        <w:t>rovement the electoral system, improvement</w:t>
      </w:r>
      <w:r w:rsidRPr="0038669D">
        <w:rPr>
          <w:rFonts w:cs="Times New Roman"/>
          <w:szCs w:val="24"/>
          <w:lang w:val="sr-Cyrl-RS"/>
        </w:rPr>
        <w:t xml:space="preserve"> and making significant progress in the area of ​​fundamental rights, </w:t>
      </w:r>
      <w:r>
        <w:rPr>
          <w:rFonts w:cs="Times New Roman"/>
          <w:szCs w:val="24"/>
          <w:lang w:val="sr-Cyrl-RS"/>
        </w:rPr>
        <w:t>improvement</w:t>
      </w:r>
      <w:r w:rsidRPr="0038669D">
        <w:rPr>
          <w:rFonts w:cs="Times New Roman"/>
          <w:szCs w:val="24"/>
          <w:lang w:val="sr-Cyrl-RS"/>
        </w:rPr>
        <w:t xml:space="preserve"> </w:t>
      </w:r>
      <w:r>
        <w:rPr>
          <w:rFonts w:cs="Times New Roman"/>
          <w:szCs w:val="24"/>
          <w:lang w:val="sr-Latn-RS"/>
        </w:rPr>
        <w:t xml:space="preserve">of </w:t>
      </w:r>
      <w:r w:rsidRPr="0038669D">
        <w:rPr>
          <w:rFonts w:cs="Times New Roman"/>
          <w:szCs w:val="24"/>
          <w:lang w:val="sr-Cyrl-RS"/>
        </w:rPr>
        <w:t>the normative framework in the area of ​​</w:t>
      </w:r>
      <w:r>
        <w:rPr>
          <w:rFonts w:cs="Times New Roman"/>
          <w:szCs w:val="24"/>
          <w:lang w:val="sr-Latn-RS"/>
        </w:rPr>
        <w:t>fighting against the</w:t>
      </w:r>
      <w:r w:rsidRPr="0038669D">
        <w:rPr>
          <w:rFonts w:cs="Times New Roman"/>
          <w:szCs w:val="24"/>
          <w:lang w:val="sr-Cyrl-RS"/>
        </w:rPr>
        <w:t xml:space="preserve"> organized crime, </w:t>
      </w:r>
      <w:r>
        <w:rPr>
          <w:rFonts w:cs="Times New Roman"/>
          <w:szCs w:val="24"/>
          <w:lang w:val="sr-Cyrl-RS"/>
        </w:rPr>
        <w:t>improvement</w:t>
      </w:r>
      <w:r w:rsidRPr="0038669D">
        <w:rPr>
          <w:rFonts w:cs="Times New Roman"/>
          <w:szCs w:val="24"/>
          <w:lang w:val="sr-Cyrl-RS"/>
        </w:rPr>
        <w:t xml:space="preserve"> </w:t>
      </w:r>
      <w:r>
        <w:rPr>
          <w:rFonts w:cs="Times New Roman"/>
          <w:szCs w:val="24"/>
          <w:lang w:val="sr-Latn-RS"/>
        </w:rPr>
        <w:t xml:space="preserve">of </w:t>
      </w:r>
      <w:r w:rsidRPr="0038669D">
        <w:rPr>
          <w:rFonts w:cs="Times New Roman"/>
          <w:szCs w:val="24"/>
          <w:lang w:val="sr-Cyrl-RS"/>
        </w:rPr>
        <w:t xml:space="preserve">the strategic framework in order to confront all forms of violent extremism, radicalization and terrorist threats, </w:t>
      </w:r>
      <w:r>
        <w:rPr>
          <w:rFonts w:cs="Times New Roman"/>
          <w:szCs w:val="24"/>
          <w:lang w:val="sr-Cyrl-RS"/>
        </w:rPr>
        <w:t>improvement</w:t>
      </w:r>
      <w:r w:rsidRPr="0038669D">
        <w:rPr>
          <w:rFonts w:cs="Times New Roman"/>
          <w:szCs w:val="24"/>
          <w:lang w:val="sr-Cyrl-RS"/>
        </w:rPr>
        <w:t xml:space="preserve"> </w:t>
      </w:r>
      <w:r>
        <w:rPr>
          <w:rFonts w:cs="Times New Roman"/>
          <w:szCs w:val="24"/>
          <w:lang w:val="sr-Latn-RS"/>
        </w:rPr>
        <w:t xml:space="preserve">of </w:t>
      </w:r>
      <w:r w:rsidRPr="0038669D">
        <w:rPr>
          <w:rFonts w:cs="Times New Roman"/>
          <w:szCs w:val="24"/>
          <w:lang w:val="sr-Cyrl-RS"/>
        </w:rPr>
        <w:t>the strategic approach in the most important areas of the fight against corruption, increasing the efficiency of the judiciary by reducing the backlog of cases and shortening the time for resolving cases.</w:t>
      </w:r>
    </w:p>
    <w:p w14:paraId="0EC0F1A4" w14:textId="4C7DFEC3" w:rsidR="00A8098E" w:rsidRPr="00FE3A69" w:rsidRDefault="00FE3A69" w:rsidP="00A92544">
      <w:pPr>
        <w:spacing w:before="120" w:after="0"/>
        <w:rPr>
          <w:rFonts w:cs="Times New Roman"/>
          <w:szCs w:val="24"/>
          <w:lang w:val="sr-Cyrl-RS"/>
        </w:rPr>
      </w:pPr>
      <w:r>
        <w:rPr>
          <w:lang w:val="sr-Cyrl-RS"/>
        </w:rPr>
        <w:t xml:space="preserve"> </w:t>
      </w:r>
    </w:p>
    <w:p w14:paraId="1B02E178" w14:textId="6C517444" w:rsidR="00A8098E" w:rsidRPr="00AD7E7D" w:rsidRDefault="009366BF" w:rsidP="00427E7D">
      <w:pPr>
        <w:jc w:val="left"/>
        <w:rPr>
          <w:rFonts w:cs="Times New Roman"/>
          <w:b/>
          <w:bCs/>
          <w:szCs w:val="24"/>
        </w:rPr>
      </w:pPr>
      <w:r>
        <w:rPr>
          <w:rFonts w:cs="Times New Roman"/>
          <w:b/>
          <w:bCs/>
          <w:noProof/>
          <w:szCs w:val="24"/>
        </w:rPr>
        <w:lastRenderedPageBreak/>
        <w:drawing>
          <wp:inline distT="0" distB="0" distL="0" distR="0" wp14:anchorId="208C540F" wp14:editId="3B4B3A0D">
            <wp:extent cx="5907195" cy="8324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6525" cy="8337998"/>
                    </a:xfrm>
                    <a:prstGeom prst="rect">
                      <a:avLst/>
                    </a:prstGeom>
                    <a:noFill/>
                  </pic:spPr>
                </pic:pic>
              </a:graphicData>
            </a:graphic>
          </wp:inline>
        </w:drawing>
      </w:r>
    </w:p>
    <w:p w14:paraId="0F4D1D18" w14:textId="74E26F1A" w:rsidR="00427E7D" w:rsidRDefault="00427E7D" w:rsidP="00A8098E">
      <w:pPr>
        <w:rPr>
          <w:rFonts w:cs="Times New Roman"/>
          <w:b/>
          <w:bCs/>
          <w:szCs w:val="24"/>
          <w:lang w:val="sr-Cyrl-RS"/>
        </w:rPr>
      </w:pPr>
    </w:p>
    <w:p w14:paraId="2DCD1E59" w14:textId="4EE8AE2F" w:rsidR="005A2FC0" w:rsidRDefault="005A2FC0" w:rsidP="00A8098E">
      <w:pPr>
        <w:rPr>
          <w:rFonts w:cs="Times New Roman"/>
          <w:b/>
          <w:bCs/>
          <w:szCs w:val="24"/>
          <w:lang w:val="sr-Cyrl-RS"/>
        </w:rPr>
      </w:pPr>
    </w:p>
    <w:p w14:paraId="4F6F29D3" w14:textId="036EB940" w:rsidR="005A2FC0" w:rsidRDefault="005A2FC0" w:rsidP="00A8098E">
      <w:pPr>
        <w:rPr>
          <w:rFonts w:cs="Times New Roman"/>
          <w:b/>
          <w:bCs/>
          <w:szCs w:val="24"/>
          <w:lang w:val="sr-Cyrl-RS"/>
        </w:rPr>
      </w:pPr>
    </w:p>
    <w:p w14:paraId="49C58319" w14:textId="77777777" w:rsidR="005A2FC0" w:rsidRDefault="005A2FC0" w:rsidP="00A8098E">
      <w:pPr>
        <w:rPr>
          <w:rFonts w:cs="Times New Roman"/>
          <w:b/>
          <w:bCs/>
          <w:szCs w:val="24"/>
          <w:lang w:val="sr-Cyrl-RS"/>
        </w:rPr>
      </w:pPr>
    </w:p>
    <w:p w14:paraId="6074FD05" w14:textId="77777777" w:rsidR="00427E7D" w:rsidRDefault="00427E7D" w:rsidP="00A8098E">
      <w:pPr>
        <w:rPr>
          <w:rFonts w:cs="Times New Roman"/>
          <w:b/>
          <w:bCs/>
          <w:szCs w:val="24"/>
          <w:lang w:val="sr-Cyrl-RS"/>
        </w:rPr>
      </w:pPr>
    </w:p>
    <w:p w14:paraId="7E2D7942" w14:textId="2180ACE1" w:rsidR="00A8098E" w:rsidRPr="00AD7E7D" w:rsidRDefault="00263BAD" w:rsidP="00A8098E">
      <w:pPr>
        <w:rPr>
          <w:rFonts w:cs="Times New Roman"/>
          <w:b/>
          <w:bCs/>
          <w:szCs w:val="24"/>
          <w:lang w:val="sr-Cyrl-RS"/>
        </w:rPr>
      </w:pPr>
      <w:r w:rsidRPr="00263BAD">
        <w:rPr>
          <w:rFonts w:cs="Times New Roman"/>
          <w:b/>
          <w:bCs/>
          <w:szCs w:val="24"/>
          <w:lang w:val="sr-Cyrl-RS"/>
        </w:rPr>
        <w:lastRenderedPageBreak/>
        <w:t>Expected effects:</w:t>
      </w:r>
    </w:p>
    <w:p w14:paraId="3191CDCA" w14:textId="0FF04F42" w:rsidR="00A8098E" w:rsidRPr="00AD7E7D" w:rsidRDefault="00263BAD" w:rsidP="00A8098E">
      <w:pPr>
        <w:rPr>
          <w:rFonts w:cs="Times New Roman"/>
          <w:szCs w:val="24"/>
          <w:lang w:val="sr-Cyrl-RS"/>
        </w:rPr>
      </w:pPr>
      <w:r w:rsidRPr="00263BAD">
        <w:rPr>
          <w:rFonts w:cs="Times New Roman"/>
          <w:szCs w:val="24"/>
          <w:lang w:val="sr-Cyrl-RS"/>
        </w:rPr>
        <w:t>All planned reforms have the potential to significantly contribute to long-term potential GDP growth. However, precisely quantifying the specific effects of each reform is a challenge, given that many reforms are aimed at amending legislation, improving the business environment and general conditions, the effects of which cannot be immediately expressed in numerical indicators. In the initial stages of the analysis, only the effects of reform measures for which it was possible to conduct a detailed analysis were quantified, using available data and clear indications of upcoming changes. Although these quantifications are not comprehensive, they represent useful guidelines in assessing the possible long-term effects on the Serbian economy. Despite the limitations in precise prediction, initial assessments provide a more comprehensive insight into the expected outcomes of the reform process, their impact on economic development and the improvement of citizens' living standards.</w:t>
      </w:r>
    </w:p>
    <w:p w14:paraId="41909F1E" w14:textId="189C9743" w:rsidR="00A8098E" w:rsidRDefault="00263BAD" w:rsidP="00A8098E">
      <w:pPr>
        <w:rPr>
          <w:rFonts w:cs="Times New Roman"/>
          <w:szCs w:val="24"/>
          <w:lang w:val="sr-Cyrl-RS"/>
        </w:rPr>
      </w:pPr>
      <w:r w:rsidRPr="00263BAD">
        <w:rPr>
          <w:rFonts w:cs="Times New Roman"/>
          <w:b/>
          <w:szCs w:val="24"/>
          <w:lang w:val="sr-Cyrl-RS"/>
        </w:rPr>
        <w:t xml:space="preserve">As part of improving the business environment, </w:t>
      </w:r>
      <w:r w:rsidRPr="00263BAD">
        <w:rPr>
          <w:rFonts w:cs="Times New Roman"/>
          <w:szCs w:val="24"/>
          <w:lang w:val="sr-Cyrl-RS"/>
        </w:rPr>
        <w:t xml:space="preserve">one of the key reforms includes the development of an advanced scientific and innovation ecosystem for a knowledge-based economy, which is crucial for long-term economic success. The goal of this reform is to foster an efficient knowledge-based economy, with the potential to develop and market innovative products and services competitive on the global market. The reform to improve the scientific and innovation ecosystem aims to raise Serbia from the status of an “Early Innovator” to the level of a “Moderate Innovator” through infrastructure development, support for startups and increased private investment in research and development. By mid-2025, it is planned to finance 3,400 researchers and 600 innovative companies, with an increase in the private sector’s share in total </w:t>
      </w:r>
      <w:r w:rsidR="00E22D7A" w:rsidRPr="00E22D7A">
        <w:rPr>
          <w:rFonts w:cs="Times New Roman"/>
          <w:szCs w:val="24"/>
          <w:lang w:val="sr-Cyrl-RS"/>
        </w:rPr>
        <w:t>research and development</w:t>
      </w:r>
      <w:r w:rsidR="00E22D7A">
        <w:rPr>
          <w:rFonts w:cs="Times New Roman"/>
          <w:szCs w:val="24"/>
          <w:lang w:val="sr-Latn-RS"/>
        </w:rPr>
        <w:t xml:space="preserve"> </w:t>
      </w:r>
      <w:r w:rsidRPr="00263BAD">
        <w:rPr>
          <w:rFonts w:cs="Times New Roman"/>
          <w:szCs w:val="24"/>
          <w:lang w:val="sr-Cyrl-RS"/>
        </w:rPr>
        <w:t xml:space="preserve">spending to 50% by the end of 2026. The economic literature widely confirms that innovation and </w:t>
      </w:r>
      <w:r w:rsidR="00E22D7A" w:rsidRPr="00E22D7A">
        <w:rPr>
          <w:rFonts w:cs="Times New Roman"/>
          <w:szCs w:val="24"/>
          <w:lang w:val="sr-Cyrl-RS"/>
        </w:rPr>
        <w:t>research and development</w:t>
      </w:r>
      <w:r w:rsidR="00E22D7A">
        <w:rPr>
          <w:rFonts w:cs="Times New Roman"/>
          <w:szCs w:val="24"/>
          <w:lang w:val="sr-Latn-RS"/>
        </w:rPr>
        <w:t xml:space="preserve"> </w:t>
      </w:r>
      <w:r w:rsidRPr="00263BAD">
        <w:rPr>
          <w:rFonts w:cs="Times New Roman"/>
          <w:szCs w:val="24"/>
          <w:lang w:val="sr-Cyrl-RS"/>
        </w:rPr>
        <w:t xml:space="preserve">spending are key to economic growth and competitiveness. Empirical studies show a positive correlation between </w:t>
      </w:r>
      <w:r w:rsidR="00E22D7A" w:rsidRPr="00E22D7A">
        <w:rPr>
          <w:rFonts w:cs="Times New Roman"/>
          <w:szCs w:val="24"/>
          <w:lang w:val="sr-Cyrl-RS"/>
        </w:rPr>
        <w:t>research and development</w:t>
      </w:r>
      <w:r w:rsidR="00E22D7A">
        <w:rPr>
          <w:rFonts w:cs="Times New Roman"/>
          <w:szCs w:val="24"/>
          <w:lang w:val="sr-Latn-RS"/>
        </w:rPr>
        <w:t xml:space="preserve"> </w:t>
      </w:r>
      <w:r w:rsidRPr="00263BAD">
        <w:rPr>
          <w:rFonts w:cs="Times New Roman"/>
          <w:szCs w:val="24"/>
          <w:lang w:val="sr-Cyrl-RS"/>
        </w:rPr>
        <w:t xml:space="preserve">investment and GDP growth, with the impact of private spending being stronger than public spending. The planned increase in </w:t>
      </w:r>
      <w:r w:rsidR="00E22D7A" w:rsidRPr="00E22D7A">
        <w:rPr>
          <w:rFonts w:cs="Times New Roman"/>
          <w:szCs w:val="24"/>
          <w:lang w:val="sr-Cyrl-RS"/>
        </w:rPr>
        <w:t>research and development</w:t>
      </w:r>
      <w:r w:rsidR="00E22D7A">
        <w:rPr>
          <w:rFonts w:cs="Times New Roman"/>
          <w:szCs w:val="24"/>
          <w:lang w:val="sr-Latn-RS"/>
        </w:rPr>
        <w:t xml:space="preserve"> </w:t>
      </w:r>
      <w:r w:rsidRPr="00263BAD">
        <w:rPr>
          <w:rFonts w:cs="Times New Roman"/>
          <w:szCs w:val="24"/>
          <w:lang w:val="sr-Cyrl-RS"/>
        </w:rPr>
        <w:t xml:space="preserve">investment is expected to boost technological progress, productivity growth and global competitiveness. As the private sector’s share of total </w:t>
      </w:r>
      <w:r w:rsidR="00E22D7A" w:rsidRPr="00E22D7A">
        <w:rPr>
          <w:rFonts w:cs="Times New Roman"/>
          <w:szCs w:val="24"/>
          <w:lang w:val="sr-Cyrl-RS"/>
        </w:rPr>
        <w:t>research and development</w:t>
      </w:r>
      <w:r w:rsidR="00E22D7A">
        <w:rPr>
          <w:rFonts w:cs="Times New Roman"/>
          <w:szCs w:val="24"/>
          <w:lang w:val="sr-Latn-RS"/>
        </w:rPr>
        <w:t xml:space="preserve"> </w:t>
      </w:r>
      <w:r w:rsidRPr="00263BAD">
        <w:rPr>
          <w:rFonts w:cs="Times New Roman"/>
          <w:szCs w:val="24"/>
          <w:lang w:val="sr-Cyrl-RS"/>
        </w:rPr>
        <w:t>investment is projected to increase from 43.7% in 2022 to 50% by the end of 2026, the estimated effect of this measure on long-term GDP growth will be between 0.067 p.p. and 0.137 p.p.</w:t>
      </w:r>
    </w:p>
    <w:p w14:paraId="61933491" w14:textId="2B0020DC" w:rsidR="00A8098E" w:rsidRPr="00AD7E7D" w:rsidRDefault="00025932" w:rsidP="00025932">
      <w:pPr>
        <w:jc w:val="left"/>
        <w:rPr>
          <w:rFonts w:cs="Times New Roman"/>
          <w:color w:val="FF0000"/>
          <w:szCs w:val="24"/>
        </w:rPr>
      </w:pPr>
      <w:r w:rsidRPr="00025932">
        <w:rPr>
          <w:rFonts w:cs="Times New Roman"/>
          <w:i/>
          <w:szCs w:val="24"/>
          <w:lang w:val="sr-Cyrl-RS" w:eastAsia="ja-JP"/>
        </w:rPr>
        <w:t>Chart 17. Macroeconomic impact of the planned increase in investments in research and development</w:t>
      </w:r>
      <w:r w:rsidR="00161B7E">
        <w:rPr>
          <w:noProof/>
        </w:rPr>
        <w:drawing>
          <wp:inline distT="0" distB="0" distL="0" distR="0" wp14:anchorId="3A2C86DE" wp14:editId="4061E850">
            <wp:extent cx="5600700" cy="26003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548F5E" w14:textId="577F42FB" w:rsidR="00A8098E" w:rsidRPr="00AD7E7D" w:rsidRDefault="00263BAD" w:rsidP="00A8098E">
      <w:pPr>
        <w:rPr>
          <w:rFonts w:cs="Times New Roman"/>
          <w:szCs w:val="24"/>
          <w:lang w:val="sr-Cyrl-RS"/>
        </w:rPr>
      </w:pPr>
      <w:r w:rsidRPr="00263BAD">
        <w:rPr>
          <w:rFonts w:cs="Times New Roman"/>
          <w:b/>
          <w:szCs w:val="24"/>
          <w:lang w:val="sr-Cyrl-RS"/>
        </w:rPr>
        <w:t>Creation of new jobs in various sectors, including significant potential for new capacities for the production of "green" energy</w:t>
      </w:r>
      <w:r w:rsidRPr="00263BAD">
        <w:rPr>
          <w:rFonts w:cs="Times New Roman"/>
          <w:szCs w:val="24"/>
          <w:lang w:val="sr-Cyrl-RS"/>
        </w:rPr>
        <w:t>. As part of the green and digital transition, one of the priority reforms involves ensuring transparent and competitive procedures for the introduction of renewable energy sources and the installation of at least 1.5 GW of renewable energy capacity (solar energy and wind energy) by December 2026. Based on the estimated investment value of around 230 billion dinars in this period and the estimated investment multiplier of 1.12 to 1.73, it is estimated that this reform will contribute to potential GDP growth in the range of 2.4 p.p. to 3.6 p.p. and the creation of around 15 thousand new jobs</w:t>
      </w:r>
      <w:r>
        <w:rPr>
          <w:rFonts w:cs="Times New Roman"/>
          <w:szCs w:val="24"/>
          <w:lang w:val="sr-Latn-RS"/>
        </w:rPr>
        <w:t>.</w:t>
      </w:r>
      <w:r w:rsidR="00A8098E" w:rsidRPr="00263BAD">
        <w:rPr>
          <w:rFonts w:cs="Times New Roman"/>
          <w:szCs w:val="24"/>
          <w:lang w:val="sr-Cyrl-RS"/>
        </w:rPr>
        <w:t xml:space="preserve"> </w:t>
      </w:r>
    </w:p>
    <w:p w14:paraId="320CEA2F" w14:textId="489FB750" w:rsidR="00A8098E" w:rsidRPr="00AD7E7D" w:rsidRDefault="00263BAD" w:rsidP="00A8098E">
      <w:pPr>
        <w:rPr>
          <w:rFonts w:cs="Times New Roman"/>
          <w:szCs w:val="24"/>
          <w:lang w:val="sr-Cyrl-RS"/>
        </w:rPr>
      </w:pPr>
      <w:r w:rsidRPr="00263BAD">
        <w:rPr>
          <w:rFonts w:cs="Times New Roman"/>
          <w:szCs w:val="24"/>
        </w:rPr>
        <w:t xml:space="preserve">The development of secure and sustainable digital infrastructure, including broadband in rural areas and the introduction of 5G technology, is an important element of the digital transformation. This reform aims to </w:t>
      </w:r>
      <w:r w:rsidRPr="00263BAD">
        <w:rPr>
          <w:rFonts w:cs="Times New Roman"/>
          <w:szCs w:val="24"/>
        </w:rPr>
        <w:lastRenderedPageBreak/>
        <w:t>improve the legal framework for the faster and more cost-effective introduction of very high capacity electronic communication networks, including optical networks and 5G, as well as the establishment of sustainable and secure 5G networks. It is planned that by December 2027, 40% of households in Serbia will be covered by the 5G network, which will enable time savings, better access to e-services and more flexible employment opportunities. According to empirical studies</w:t>
      </w:r>
      <w:r w:rsidR="00AD19EF">
        <w:rPr>
          <w:rStyle w:val="FootnoteReference"/>
          <w:rFonts w:cs="Times New Roman"/>
          <w:szCs w:val="24"/>
        </w:rPr>
        <w:footnoteReference w:id="11"/>
      </w:r>
      <w:r w:rsidRPr="00263BAD">
        <w:rPr>
          <w:rFonts w:cs="Times New Roman"/>
          <w:szCs w:val="24"/>
        </w:rPr>
        <w:t>, investments of EUR 100 million in broadband infrastructure can increase gross value added (GVA) by 0.3% and generate between 3,000 and 10,000 new jobs. With an estimated investment value in 5G infrastructure of around 15 billion dinars, this reform could contribute to GDP growth of 0.35 pp and the creation of around 12 thousand jobs.</w:t>
      </w:r>
    </w:p>
    <w:p w14:paraId="3480C92B" w14:textId="12693796" w:rsidR="00056C94" w:rsidRDefault="00263BAD" w:rsidP="00A8098E">
      <w:pPr>
        <w:rPr>
          <w:rFonts w:cs="Times New Roman"/>
          <w:szCs w:val="24"/>
          <w:lang w:val="sr-Cyrl-RS"/>
        </w:rPr>
      </w:pPr>
      <w:r w:rsidRPr="00263BAD">
        <w:rPr>
          <w:rFonts w:cs="Times New Roman"/>
          <w:b/>
          <w:szCs w:val="24"/>
          <w:lang w:val="sr-Cyrl-RS"/>
        </w:rPr>
        <w:t xml:space="preserve">Improving living standards and reducing poverty through economic growth and supporting vulnerable groups. </w:t>
      </w:r>
      <w:r w:rsidRPr="00263BAD">
        <w:rPr>
          <w:rFonts w:cs="Times New Roman"/>
          <w:szCs w:val="24"/>
          <w:lang w:val="sr-Cyrl-RS"/>
        </w:rPr>
        <w:t>The reform of improving labo</w:t>
      </w:r>
      <w:r w:rsidR="004E34DB">
        <w:rPr>
          <w:rFonts w:cs="Times New Roman"/>
          <w:szCs w:val="24"/>
          <w:lang w:val="sr-Latn-RS"/>
        </w:rPr>
        <w:t>u</w:t>
      </w:r>
      <w:r w:rsidRPr="00263BAD">
        <w:rPr>
          <w:rFonts w:cs="Times New Roman"/>
          <w:szCs w:val="24"/>
          <w:lang w:val="sr-Cyrl-RS"/>
        </w:rPr>
        <w:t xml:space="preserve">r market conditions is aimed at improving the employability of young people by providing adequate financial and institutional resources, as well as strengthening the capacity for activation in the field of employment and social policy. The main objectives of the reform include improving the legal framework for internship programs, which will facilitate the smooth transition of young people from education to employment, as well as strengthening the </w:t>
      </w:r>
      <w:r w:rsidR="00AD19EF" w:rsidRPr="00AD19EF">
        <w:rPr>
          <w:rFonts w:cs="Times New Roman"/>
          <w:szCs w:val="24"/>
          <w:lang w:val="sr-Cyrl-RS"/>
        </w:rPr>
        <w:t>“</w:t>
      </w:r>
      <w:r w:rsidRPr="00AD19EF">
        <w:rPr>
          <w:rFonts w:cs="Times New Roman"/>
          <w:szCs w:val="24"/>
          <w:lang w:val="sr-Cyrl-RS"/>
        </w:rPr>
        <w:t>Youth Guarantee</w:t>
      </w:r>
      <w:r w:rsidR="00AD19EF" w:rsidRPr="00263BAD">
        <w:rPr>
          <w:rFonts w:cs="Times New Roman"/>
          <w:szCs w:val="24"/>
          <w:lang w:val="sr-Cyrl-RS"/>
        </w:rPr>
        <w:t>”</w:t>
      </w:r>
      <w:r w:rsidRPr="00263BAD">
        <w:rPr>
          <w:rFonts w:cs="Times New Roman"/>
          <w:szCs w:val="24"/>
          <w:lang w:val="sr-Cyrl-RS"/>
        </w:rPr>
        <w:t xml:space="preserve"> program to increase the availability of subsidized offers of employment, training and internships within four months of formal registration. By the end of 2027, the reform aims to reach 30% of young people with NEET status (young people who are not in employment, education or training), of which at least 50% are women, and to have 30% of program participants continue in employment, education, training or internship within four months. The reform, together with the reduction of skills mismatches in the labo</w:t>
      </w:r>
      <w:r w:rsidR="004E34DB">
        <w:rPr>
          <w:rFonts w:cs="Times New Roman"/>
          <w:szCs w:val="24"/>
          <w:lang w:val="sr-Latn-RS"/>
        </w:rPr>
        <w:t>u</w:t>
      </w:r>
      <w:r w:rsidRPr="00263BAD">
        <w:rPr>
          <w:rFonts w:cs="Times New Roman"/>
          <w:szCs w:val="24"/>
          <w:lang w:val="sr-Cyrl-RS"/>
        </w:rPr>
        <w:t>r market, is expected to contribute to the creation of around 17 thousand new jobs and an increase in total employment by 0.6%. Through this reform, Serbia aims to strengthen human capital, better integrate young people into the labo</w:t>
      </w:r>
      <w:r w:rsidR="004E34DB">
        <w:rPr>
          <w:rFonts w:cs="Times New Roman"/>
          <w:szCs w:val="24"/>
          <w:lang w:val="sr-Latn-RS"/>
        </w:rPr>
        <w:t>u</w:t>
      </w:r>
      <w:r w:rsidRPr="00263BAD">
        <w:rPr>
          <w:rFonts w:cs="Times New Roman"/>
          <w:szCs w:val="24"/>
          <w:lang w:val="sr-Cyrl-RS"/>
        </w:rPr>
        <w:t>r market. The impact assessment of the reform includes the verification of data on the NEET population, the projection of new employment and the calculation of the effects on GDP, which will allow for a more precise measurement of the success of the program and its contribution to social and economic progress.</w:t>
      </w:r>
      <w:r w:rsidR="00056C94">
        <w:rPr>
          <w:rFonts w:cs="Times New Roman"/>
          <w:szCs w:val="24"/>
          <w:lang w:val="sr-Cyrl-RS"/>
        </w:rPr>
        <w:br w:type="page"/>
      </w:r>
    </w:p>
    <w:p w14:paraId="4BB24406" w14:textId="33DC1B08" w:rsidR="00A8098E" w:rsidRPr="00E25CAC" w:rsidRDefault="00711974" w:rsidP="00E25CAC">
      <w:pPr>
        <w:pStyle w:val="Heading1"/>
        <w:spacing w:after="240"/>
        <w:rPr>
          <w:rFonts w:ascii="Times New Roman" w:eastAsiaTheme="minorHAnsi" w:hAnsi="Times New Roman" w:cs="Times New Roman"/>
          <w:b/>
          <w:color w:val="auto"/>
          <w:sz w:val="24"/>
          <w:szCs w:val="24"/>
          <w:lang w:val="sr-Latn-RS"/>
        </w:rPr>
      </w:pPr>
      <w:bookmarkStart w:id="44" w:name="_Toc192759986"/>
      <w:r>
        <w:rPr>
          <w:rFonts w:ascii="Times New Roman" w:eastAsiaTheme="minorHAnsi" w:hAnsi="Times New Roman" w:cs="Times New Roman"/>
          <w:b/>
          <w:color w:val="auto"/>
          <w:sz w:val="24"/>
          <w:szCs w:val="24"/>
          <w:lang w:val="sr-Latn-RS"/>
        </w:rPr>
        <w:lastRenderedPageBreak/>
        <w:t>6</w:t>
      </w:r>
      <w:r w:rsidR="00A8098E" w:rsidRPr="00E25CAC">
        <w:rPr>
          <w:rFonts w:ascii="Times New Roman" w:eastAsiaTheme="minorHAnsi" w:hAnsi="Times New Roman" w:cs="Times New Roman"/>
          <w:b/>
          <w:color w:val="auto"/>
          <w:sz w:val="24"/>
          <w:szCs w:val="24"/>
          <w:lang w:val="sr-Latn-RS"/>
        </w:rPr>
        <w:t xml:space="preserve">. </w:t>
      </w:r>
      <w:r w:rsidRPr="00711974">
        <w:rPr>
          <w:rFonts w:ascii="Times New Roman" w:eastAsiaTheme="minorHAnsi" w:hAnsi="Times New Roman" w:cs="Times New Roman"/>
          <w:b/>
          <w:color w:val="auto"/>
          <w:sz w:val="24"/>
          <w:szCs w:val="24"/>
        </w:rPr>
        <w:t>INSTITUTIONAL ISSUES AND INVOLVEMENT OF STAKEHOLDERS</w:t>
      </w:r>
      <w:bookmarkEnd w:id="44"/>
    </w:p>
    <w:p w14:paraId="56274E1F" w14:textId="322B898D" w:rsidR="00711974" w:rsidRPr="00711974" w:rsidRDefault="00711974" w:rsidP="00711974">
      <w:pPr>
        <w:rPr>
          <w:rFonts w:eastAsia="Calibri" w:cs="Times New Roman"/>
          <w:szCs w:val="24"/>
        </w:rPr>
      </w:pPr>
      <w:r w:rsidRPr="00711974">
        <w:rPr>
          <w:rFonts w:eastAsia="Calibri" w:cs="Times New Roman"/>
          <w:szCs w:val="24"/>
        </w:rPr>
        <w:t xml:space="preserve">The Republic of Serbia has a developed structure of interdepartmental coordination for the preparation of the Economic Reform Programme. Deputy Prime Minister and Minister of Finance Siniša Mali was appointed as the national coordinator and head of the Working Group for the development and monitoring of ERP implementation by the decision of the Government of the Republic of Serbia from 28 August 2018, and then by the decision of the Government from 22 December, 2022. By the decision of the Minister of Finance from 13 December 2024, the membership of the </w:t>
      </w:r>
      <w:r w:rsidRPr="00711974">
        <w:rPr>
          <w:rFonts w:eastAsia="Calibri" w:cs="Times New Roman"/>
          <w:b/>
          <w:szCs w:val="24"/>
        </w:rPr>
        <w:t>Working Group for the preparation and monitoring of the ERP implementation</w:t>
      </w:r>
      <w:r w:rsidRPr="00711974">
        <w:rPr>
          <w:rFonts w:eastAsia="Calibri" w:cs="Times New Roman"/>
          <w:szCs w:val="24"/>
        </w:rPr>
        <w:t xml:space="preserve"> was renewed, to which representatives of the following institutions were appointed:</w:t>
      </w:r>
    </w:p>
    <w:p w14:paraId="3CECEE0D" w14:textId="77777777" w:rsidR="00711974" w:rsidRPr="00711974" w:rsidRDefault="00711974" w:rsidP="00711974">
      <w:pPr>
        <w:numPr>
          <w:ilvl w:val="0"/>
          <w:numId w:val="32"/>
        </w:numPr>
        <w:rPr>
          <w:rFonts w:eastAsia="Calibri" w:cs="Times New Roman"/>
          <w:szCs w:val="24"/>
        </w:rPr>
      </w:pPr>
      <w:r w:rsidRPr="00711974">
        <w:rPr>
          <w:rFonts w:eastAsia="Calibri" w:cs="Times New Roman"/>
          <w:szCs w:val="24"/>
        </w:rPr>
        <w:t>Ministry of Finance,</w:t>
      </w:r>
    </w:p>
    <w:p w14:paraId="68754D0D" w14:textId="77777777" w:rsidR="00711974" w:rsidRPr="00711974" w:rsidRDefault="00711974" w:rsidP="00711974">
      <w:pPr>
        <w:numPr>
          <w:ilvl w:val="0"/>
          <w:numId w:val="32"/>
        </w:numPr>
        <w:rPr>
          <w:rFonts w:eastAsia="Calibri" w:cs="Times New Roman"/>
          <w:szCs w:val="24"/>
        </w:rPr>
      </w:pPr>
      <w:r w:rsidRPr="00711974">
        <w:rPr>
          <w:rFonts w:eastAsia="Calibri" w:cs="Times New Roman"/>
          <w:szCs w:val="24"/>
        </w:rPr>
        <w:t>National Bank of Serbia,</w:t>
      </w:r>
    </w:p>
    <w:p w14:paraId="7719CDE0" w14:textId="77777777" w:rsidR="00711974" w:rsidRPr="00711974" w:rsidRDefault="00711974" w:rsidP="00711974">
      <w:pPr>
        <w:numPr>
          <w:ilvl w:val="0"/>
          <w:numId w:val="32"/>
        </w:numPr>
        <w:rPr>
          <w:rFonts w:eastAsia="Calibri" w:cs="Times New Roman"/>
          <w:szCs w:val="24"/>
        </w:rPr>
      </w:pPr>
      <w:r w:rsidRPr="00711974">
        <w:rPr>
          <w:rFonts w:eastAsia="Calibri" w:cs="Times New Roman"/>
          <w:szCs w:val="24"/>
        </w:rPr>
        <w:t>Ministry of Economy,</w:t>
      </w:r>
    </w:p>
    <w:p w14:paraId="66E3E4DF" w14:textId="41247996" w:rsidR="00711974" w:rsidRPr="00522B8F" w:rsidRDefault="00711974" w:rsidP="00711974">
      <w:pPr>
        <w:numPr>
          <w:ilvl w:val="0"/>
          <w:numId w:val="32"/>
        </w:numPr>
        <w:rPr>
          <w:rFonts w:eastAsia="Calibri" w:cs="Times New Roman"/>
          <w:szCs w:val="24"/>
        </w:rPr>
      </w:pPr>
      <w:r w:rsidRPr="00711974">
        <w:rPr>
          <w:rFonts w:eastAsia="Calibri" w:cs="Times New Roman"/>
          <w:szCs w:val="24"/>
        </w:rPr>
        <w:t>Statistical Office of the Republic of Serbia.</w:t>
      </w:r>
    </w:p>
    <w:p w14:paraId="4FD03DCA" w14:textId="77777777" w:rsidR="00711974" w:rsidRPr="00711974" w:rsidRDefault="00711974" w:rsidP="00711974">
      <w:pPr>
        <w:rPr>
          <w:rFonts w:eastAsia="Calibri" w:cs="Times New Roman"/>
          <w:szCs w:val="24"/>
          <w:lang w:val="sr-Cyrl-RS"/>
        </w:rPr>
      </w:pPr>
      <w:r w:rsidRPr="00711974">
        <w:rPr>
          <w:rFonts w:eastAsia="Calibri" w:cs="Times New Roman"/>
          <w:szCs w:val="24"/>
        </w:rPr>
        <w:t>In accordance with already established practice, the core of the document is based on the macro-fiscal framework and relies to the greatest extent on the Fiscal Strategy for 2025 with projections for 2026 and 2027. The ERP 2025-2027, in line with the Guidelines of the European Commission, starting from 2024, is focused on a more concise format compared to previous cycles, with the primary focus on the implementation of the defined priorities. Specifically, the Guidelines of the European Commission have been updated in such a way that the document no longer includes planned structural reforms, as these are presented within the "Reform Agenda of the Republic of Serbia 2024-2027 in line with the Growth Plan for the Western Balkans," which was adopted by the Government of the Republic of Serbia on 3 October 2024.</w:t>
      </w:r>
    </w:p>
    <w:p w14:paraId="02DF551D" w14:textId="77777777" w:rsidR="00711974" w:rsidRPr="00711974" w:rsidRDefault="00711974" w:rsidP="00711974">
      <w:pPr>
        <w:rPr>
          <w:rFonts w:eastAsia="Calibri" w:cs="Times New Roman"/>
          <w:szCs w:val="24"/>
          <w:lang w:val="sr-Cyrl-RS"/>
        </w:rPr>
      </w:pPr>
      <w:r w:rsidRPr="00711974">
        <w:rPr>
          <w:rFonts w:eastAsia="Calibri" w:cs="Times New Roman"/>
          <w:szCs w:val="24"/>
          <w:lang w:val="sr-Cyrl-RS"/>
        </w:rPr>
        <w:t xml:space="preserve">The eleventh cycle of </w:t>
      </w:r>
      <w:r w:rsidRPr="00711974">
        <w:rPr>
          <w:rFonts w:eastAsia="Calibri" w:cs="Times New Roman"/>
          <w:szCs w:val="24"/>
        </w:rPr>
        <w:t xml:space="preserve">drafting </w:t>
      </w:r>
      <w:r w:rsidRPr="00711974">
        <w:rPr>
          <w:rFonts w:eastAsia="Calibri" w:cs="Times New Roman"/>
          <w:szCs w:val="24"/>
          <w:lang w:val="sr-Cyrl-RS"/>
        </w:rPr>
        <w:t xml:space="preserve">the ERP for the period 2025-2027 </w:t>
      </w:r>
      <w:r w:rsidRPr="00711974">
        <w:rPr>
          <w:rFonts w:eastAsia="Calibri" w:cs="Times New Roman"/>
          <w:szCs w:val="24"/>
          <w:lang w:val="sr-Latn-RS"/>
        </w:rPr>
        <w:t>started</w:t>
      </w:r>
      <w:r w:rsidRPr="00711974">
        <w:rPr>
          <w:rFonts w:eastAsia="Calibri" w:cs="Times New Roman"/>
          <w:szCs w:val="24"/>
          <w:lang w:val="sr-Cyrl-RS"/>
        </w:rPr>
        <w:t xml:space="preserve"> with the holding of an introductory </w:t>
      </w:r>
      <w:r w:rsidRPr="00711974">
        <w:rPr>
          <w:rFonts w:eastAsia="Calibri" w:cs="Times New Roman"/>
          <w:b/>
          <w:szCs w:val="24"/>
          <w:lang w:val="sr-Cyrl-RS"/>
        </w:rPr>
        <w:t>online regional meeting in July 2024, organized by the European Commission</w:t>
      </w:r>
      <w:r w:rsidRPr="00711974">
        <w:rPr>
          <w:rFonts w:eastAsia="Calibri" w:cs="Times New Roman"/>
          <w:szCs w:val="24"/>
          <w:lang w:val="sr-Cyrl-RS"/>
        </w:rPr>
        <w:t xml:space="preserve"> and supported by the Center of Excellence in Finance (CEF, Ljubljana, Slovenia). The meeting presented the new, revised Guidelines of the European Commission for the preparation of the ERP 2025-2027 and analyzed the previous ERP document in order to primarily address any potential challenges in the upcoming cycle. The Republic of Serbia submitted a request to the EC for additional clarifications on the Guidelines.</w:t>
      </w:r>
    </w:p>
    <w:p w14:paraId="4CD0EE22" w14:textId="77777777" w:rsidR="00711974" w:rsidRPr="00711974" w:rsidRDefault="00711974" w:rsidP="00711974">
      <w:pPr>
        <w:rPr>
          <w:rFonts w:eastAsia="Calibri" w:cs="Times New Roman"/>
          <w:szCs w:val="24"/>
        </w:rPr>
      </w:pPr>
      <w:r w:rsidRPr="00711974">
        <w:rPr>
          <w:rFonts w:eastAsia="Calibri" w:cs="Times New Roman"/>
          <w:szCs w:val="24"/>
        </w:rPr>
        <w:t xml:space="preserve">Along with these activities, work continued on the development of the </w:t>
      </w:r>
      <w:r w:rsidRPr="00711974">
        <w:rPr>
          <w:rFonts w:eastAsia="Calibri" w:cs="Times New Roman"/>
          <w:b/>
          <w:bCs/>
          <w:szCs w:val="24"/>
        </w:rPr>
        <w:t xml:space="preserve">Fiscal Strategy for </w:t>
      </w:r>
      <w:r w:rsidRPr="00711974">
        <w:rPr>
          <w:rFonts w:eastAsia="Calibri" w:cs="Times New Roman"/>
          <w:b/>
          <w:szCs w:val="24"/>
          <w:lang w:val="sr-Cyrl-RS"/>
        </w:rPr>
        <w:t>2025</w:t>
      </w:r>
      <w:r w:rsidRPr="00711974">
        <w:rPr>
          <w:rFonts w:eastAsia="Calibri" w:cs="Times New Roman"/>
          <w:szCs w:val="24"/>
          <w:lang w:val="sr-Cyrl-RS"/>
        </w:rPr>
        <w:t xml:space="preserve"> with projections for 2026 and 2027, which was adopted on 4 July, while the Revised Fiscal Strategy with projections for 2026 and 2027 was adopted on 31 October 2024, and serves as the </w:t>
      </w:r>
      <w:r w:rsidRPr="00711974">
        <w:rPr>
          <w:rFonts w:eastAsia="Calibri" w:cs="Times New Roman"/>
          <w:szCs w:val="24"/>
        </w:rPr>
        <w:t>basis for the preparation of the corresponding chapters of the ERP.</w:t>
      </w:r>
    </w:p>
    <w:p w14:paraId="064C7BD4" w14:textId="77777777" w:rsidR="00711974" w:rsidRPr="00711974" w:rsidRDefault="00711974" w:rsidP="00711974">
      <w:pPr>
        <w:rPr>
          <w:rFonts w:eastAsia="Calibri" w:cs="Times New Roman"/>
          <w:szCs w:val="24"/>
          <w:lang w:val="sr-Latn-RS"/>
        </w:rPr>
      </w:pPr>
      <w:r w:rsidRPr="00711974">
        <w:rPr>
          <w:rFonts w:eastAsia="Calibri" w:cs="Times New Roman"/>
          <w:b/>
          <w:szCs w:val="24"/>
          <w:lang w:val="sr-Cyrl-RS"/>
        </w:rPr>
        <w:t>The draft ERP document</w:t>
      </w:r>
      <w:r w:rsidRPr="00711974">
        <w:rPr>
          <w:rFonts w:eastAsia="Calibri" w:cs="Times New Roman"/>
          <w:szCs w:val="24"/>
          <w:lang w:val="sr-Cyrl-RS"/>
        </w:rPr>
        <w:t xml:space="preserve"> was made available for public review via the Ministry of Finance’s website and e-consultations from 29 November to 13 December 2024, with an invitation to interested parties to provide their comments and suggestions. Comments on the Draft Economic Reform Programme 2025-2027 were submitted by representatives of Transparency Serbia.</w:t>
      </w:r>
      <w:r w:rsidRPr="00711974">
        <w:rPr>
          <w:rFonts w:eastAsia="Calibri" w:cs="Times New Roman"/>
          <w:szCs w:val="24"/>
          <w:lang w:val="sr-Latn-RS"/>
        </w:rPr>
        <w:t xml:space="preserve"> </w:t>
      </w:r>
    </w:p>
    <w:p w14:paraId="3F372698" w14:textId="77777777" w:rsidR="00711974" w:rsidRPr="00711974" w:rsidRDefault="00711974" w:rsidP="00711974">
      <w:pPr>
        <w:rPr>
          <w:rFonts w:eastAsia="Calibri" w:cs="Times New Roman"/>
          <w:szCs w:val="24"/>
        </w:rPr>
      </w:pPr>
      <w:r w:rsidRPr="00711974">
        <w:rPr>
          <w:rFonts w:eastAsia="Calibri" w:cs="Times New Roman"/>
          <w:szCs w:val="24"/>
        </w:rPr>
        <w:t>Bearing in mind that the ERP is a portable document, and that the preparation is a continuous process, a large number of suggestions and comments of interested parties from the previous cycle are taken into account in the current cycle of drafting the ERP.</w:t>
      </w:r>
    </w:p>
    <w:p w14:paraId="41D05FFF" w14:textId="77777777" w:rsidR="00711974" w:rsidRPr="00711974" w:rsidRDefault="00711974" w:rsidP="00711974">
      <w:pPr>
        <w:rPr>
          <w:rFonts w:eastAsia="Calibri" w:cs="Times New Roman"/>
          <w:szCs w:val="24"/>
        </w:rPr>
      </w:pPr>
      <w:r w:rsidRPr="00711974">
        <w:rPr>
          <w:rFonts w:eastAsia="Calibri" w:cs="Times New Roman"/>
          <w:szCs w:val="24"/>
          <w:lang w:val="sr-Cyrl-RS"/>
        </w:rPr>
        <w:t xml:space="preserve">After the consultation with the stakeholders and after the completion of the internal procedure, the document is to be adopted by the Government of the Republic of Serbia and submitted to the European Commission within the stipulated time, i.e. </w:t>
      </w:r>
      <w:r w:rsidRPr="00711974">
        <w:rPr>
          <w:rFonts w:eastAsia="Calibri" w:cs="Times New Roman"/>
          <w:b/>
          <w:szCs w:val="24"/>
          <w:lang w:val="sr-Cyrl-RS"/>
        </w:rPr>
        <w:t>by 15 January 202</w:t>
      </w:r>
      <w:r w:rsidRPr="00711974">
        <w:rPr>
          <w:rFonts w:eastAsia="Calibri" w:cs="Times New Roman"/>
          <w:b/>
          <w:szCs w:val="24"/>
          <w:lang w:val="sr-Latn-RS"/>
        </w:rPr>
        <w:t>5</w:t>
      </w:r>
      <w:r w:rsidRPr="00711974">
        <w:rPr>
          <w:rFonts w:eastAsia="Calibri" w:cs="Times New Roman"/>
          <w:b/>
          <w:szCs w:val="24"/>
          <w:lang w:val="sr-Cyrl-RS"/>
        </w:rPr>
        <w:t>.</w:t>
      </w:r>
      <w:r w:rsidRPr="00711974">
        <w:rPr>
          <w:rFonts w:eastAsia="Calibri" w:cs="Times New Roman"/>
          <w:szCs w:val="24"/>
          <w:lang w:val="sr-Cyrl-RS"/>
        </w:rPr>
        <w:t xml:space="preserve"> The ERP shall then be further discussed with the representatives of the EU institutions and member states in the European Semester Light process for the Western Balkans and Turkey, and in the mid 202</w:t>
      </w:r>
      <w:r w:rsidRPr="00711974">
        <w:rPr>
          <w:rFonts w:eastAsia="Calibri" w:cs="Times New Roman"/>
          <w:szCs w:val="24"/>
          <w:lang w:val="sr-Latn-RS"/>
        </w:rPr>
        <w:t>5</w:t>
      </w:r>
      <w:r w:rsidRPr="00711974">
        <w:rPr>
          <w:rFonts w:eastAsia="Calibri" w:cs="Times New Roman"/>
          <w:szCs w:val="24"/>
          <w:lang w:val="sr-Cyrl-RS"/>
        </w:rPr>
        <w:t>, the preparation of the next document for the period 202</w:t>
      </w:r>
      <w:r w:rsidRPr="00711974">
        <w:rPr>
          <w:rFonts w:eastAsia="Calibri" w:cs="Times New Roman"/>
          <w:szCs w:val="24"/>
          <w:lang w:val="sr-Latn-RS"/>
        </w:rPr>
        <w:t>6</w:t>
      </w:r>
      <w:r w:rsidRPr="00711974">
        <w:rPr>
          <w:rFonts w:eastAsia="Calibri" w:cs="Times New Roman"/>
          <w:szCs w:val="24"/>
          <w:lang w:val="sr-Cyrl-RS"/>
        </w:rPr>
        <w:t>-202</w:t>
      </w:r>
      <w:r w:rsidRPr="00711974">
        <w:rPr>
          <w:rFonts w:eastAsia="Calibri" w:cs="Times New Roman"/>
          <w:szCs w:val="24"/>
          <w:lang w:val="sr-Latn-RS"/>
        </w:rPr>
        <w:t>8</w:t>
      </w:r>
      <w:r w:rsidRPr="00711974">
        <w:rPr>
          <w:rFonts w:eastAsia="Calibri" w:cs="Times New Roman"/>
          <w:szCs w:val="24"/>
          <w:lang w:val="sr-Cyrl-RS"/>
        </w:rPr>
        <w:t xml:space="preserve"> is scheduled to begin.</w:t>
      </w:r>
    </w:p>
    <w:p w14:paraId="71FF9E1D" w14:textId="30AF276F" w:rsidR="00711974" w:rsidRDefault="00711974" w:rsidP="00711974">
      <w:pPr>
        <w:rPr>
          <w:rFonts w:eastAsia="Calibri" w:cs="Times New Roman"/>
          <w:szCs w:val="24"/>
        </w:rPr>
      </w:pPr>
    </w:p>
    <w:p w14:paraId="4A88AB95" w14:textId="72F8D35A" w:rsidR="00522B8F" w:rsidRDefault="00522B8F" w:rsidP="00711974">
      <w:pPr>
        <w:rPr>
          <w:rFonts w:eastAsia="Calibri" w:cs="Times New Roman"/>
          <w:szCs w:val="24"/>
        </w:rPr>
      </w:pPr>
    </w:p>
    <w:p w14:paraId="4ED128FE" w14:textId="77777777" w:rsidR="00522B8F" w:rsidRPr="00711974" w:rsidRDefault="00522B8F" w:rsidP="00711974">
      <w:pPr>
        <w:rPr>
          <w:rFonts w:eastAsia="Calibri" w:cs="Times New Roman"/>
          <w:szCs w:val="24"/>
        </w:rPr>
      </w:pPr>
    </w:p>
    <w:p w14:paraId="7431D726" w14:textId="77777777" w:rsidR="00461019" w:rsidRDefault="00461019">
      <w:pPr>
        <w:spacing w:after="160" w:line="259" w:lineRule="auto"/>
        <w:jc w:val="left"/>
        <w:rPr>
          <w:lang w:val="sr-Cyrl-RS" w:eastAsia="ja-JP"/>
        </w:rPr>
        <w:sectPr w:rsidR="00461019" w:rsidSect="00461019">
          <w:pgSz w:w="11906" w:h="16838" w:code="9"/>
          <w:pgMar w:top="720" w:right="720" w:bottom="720" w:left="720" w:header="720" w:footer="720" w:gutter="0"/>
          <w:cols w:space="720"/>
          <w:docGrid w:linePitch="360"/>
        </w:sectPr>
      </w:pPr>
    </w:p>
    <w:p w14:paraId="1C7EBD87" w14:textId="400C0104" w:rsidR="00461019" w:rsidRDefault="00461019" w:rsidP="00461019">
      <w:pPr>
        <w:pStyle w:val="Heading1"/>
        <w:rPr>
          <w:rFonts w:ascii="Times New Roman" w:hAnsi="Times New Roman" w:cs="Times New Roman"/>
          <w:b/>
          <w:color w:val="auto"/>
          <w:sz w:val="24"/>
          <w:szCs w:val="24"/>
        </w:rPr>
      </w:pPr>
      <w:bookmarkStart w:id="45" w:name="_Toc192759987"/>
      <w:r>
        <w:rPr>
          <w:rFonts w:ascii="Times New Roman" w:hAnsi="Times New Roman" w:cs="Times New Roman"/>
          <w:b/>
          <w:color w:val="auto"/>
          <w:sz w:val="24"/>
          <w:szCs w:val="24"/>
        </w:rPr>
        <w:lastRenderedPageBreak/>
        <w:t>ANNEX 1</w:t>
      </w:r>
      <w:r w:rsidRPr="005755FD">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TABLES 1 - 8</w:t>
      </w:r>
      <w:bookmarkEnd w:id="45"/>
    </w:p>
    <w:p w14:paraId="54BB8121" w14:textId="251CAA32" w:rsidR="00461019" w:rsidRDefault="00461019">
      <w:pPr>
        <w:spacing w:after="160" w:line="259" w:lineRule="auto"/>
        <w:jc w:val="left"/>
        <w:rPr>
          <w:lang w:val="sr-Cyrl-RS" w:eastAsia="ja-JP"/>
        </w:rPr>
      </w:pPr>
    </w:p>
    <w:p w14:paraId="750CCDD4" w14:textId="017297A6" w:rsidR="00461019" w:rsidRPr="00F27773" w:rsidRDefault="00461019">
      <w:pPr>
        <w:spacing w:after="160" w:line="259" w:lineRule="auto"/>
        <w:jc w:val="left"/>
        <w:rPr>
          <w:lang w:val="sr-Latn-RS" w:eastAsia="ja-JP"/>
        </w:rPr>
      </w:pPr>
      <w:r>
        <w:rPr>
          <w:lang w:val="sr-Latn-RS" w:eastAsia="ja-JP"/>
        </w:rPr>
        <w:t>Table 1: Macroeconomic framework</w:t>
      </w:r>
    </w:p>
    <w:p w14:paraId="1C708659" w14:textId="334C0681" w:rsidR="00335E75" w:rsidRDefault="00335E75">
      <w:pPr>
        <w:spacing w:after="160" w:line="259" w:lineRule="auto"/>
        <w:jc w:val="left"/>
        <w:rPr>
          <w:lang w:val="sr-Cyrl-RS" w:eastAsia="ja-JP"/>
        </w:rPr>
      </w:pPr>
      <w:r w:rsidRPr="00335E75">
        <w:rPr>
          <w:noProof/>
        </w:rPr>
        <w:drawing>
          <wp:inline distT="0" distB="0" distL="0" distR="0" wp14:anchorId="2894EFA1" wp14:editId="4537CEC9">
            <wp:extent cx="9777730" cy="365155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77730" cy="3651554"/>
                    </a:xfrm>
                    <a:prstGeom prst="rect">
                      <a:avLst/>
                    </a:prstGeom>
                    <a:noFill/>
                    <a:ln>
                      <a:noFill/>
                    </a:ln>
                  </pic:spPr>
                </pic:pic>
              </a:graphicData>
            </a:graphic>
          </wp:inline>
        </w:drawing>
      </w:r>
    </w:p>
    <w:tbl>
      <w:tblPr>
        <w:tblW w:w="5800" w:type="dxa"/>
        <w:tblLook w:val="04A0" w:firstRow="1" w:lastRow="0" w:firstColumn="1" w:lastColumn="0" w:noHBand="0" w:noVBand="1"/>
      </w:tblPr>
      <w:tblGrid>
        <w:gridCol w:w="5800"/>
      </w:tblGrid>
      <w:tr w:rsidR="00335E75" w:rsidRPr="00335E75" w14:paraId="24ADA0DC" w14:textId="77777777" w:rsidTr="00046DD1">
        <w:trPr>
          <w:trHeight w:val="223"/>
        </w:trPr>
        <w:tc>
          <w:tcPr>
            <w:tcW w:w="5800" w:type="dxa"/>
            <w:tcBorders>
              <w:top w:val="nil"/>
              <w:left w:val="nil"/>
              <w:bottom w:val="nil"/>
              <w:right w:val="nil"/>
            </w:tcBorders>
            <w:shd w:val="clear" w:color="auto" w:fill="auto"/>
            <w:noWrap/>
            <w:hideMark/>
          </w:tcPr>
          <w:p w14:paraId="7296F7CE" w14:textId="6B7AD9AF" w:rsidR="00335E75" w:rsidRPr="00335E75" w:rsidRDefault="00335E75" w:rsidP="00335E75">
            <w:pPr>
              <w:spacing w:after="0"/>
              <w:jc w:val="left"/>
              <w:rPr>
                <w:rFonts w:eastAsia="Times New Roman" w:cs="Times New Roman"/>
                <w:sz w:val="16"/>
                <w:szCs w:val="16"/>
              </w:rPr>
            </w:pPr>
            <w:r w:rsidRPr="00335E75">
              <w:rPr>
                <w:rFonts w:eastAsia="Times New Roman" w:cs="Times New Roman"/>
                <w:sz w:val="16"/>
                <w:szCs w:val="16"/>
              </w:rPr>
              <w:t xml:space="preserve">[1] </w:t>
            </w:r>
            <w:r>
              <w:rPr>
                <w:rFonts w:eastAsia="Times New Roman" w:cs="Times New Roman"/>
                <w:sz w:val="16"/>
                <w:szCs w:val="16"/>
              </w:rPr>
              <w:t>average January – October 2024</w:t>
            </w:r>
          </w:p>
        </w:tc>
      </w:tr>
      <w:tr w:rsidR="00335E75" w:rsidRPr="00335E75" w14:paraId="1F5F4485" w14:textId="77777777" w:rsidTr="00046DD1">
        <w:trPr>
          <w:trHeight w:val="215"/>
        </w:trPr>
        <w:tc>
          <w:tcPr>
            <w:tcW w:w="5800" w:type="dxa"/>
            <w:tcBorders>
              <w:top w:val="nil"/>
              <w:left w:val="nil"/>
              <w:bottom w:val="nil"/>
              <w:right w:val="nil"/>
            </w:tcBorders>
            <w:shd w:val="clear" w:color="auto" w:fill="auto"/>
            <w:noWrap/>
            <w:hideMark/>
          </w:tcPr>
          <w:p w14:paraId="3400D7B0" w14:textId="6C737B50" w:rsidR="00335E75" w:rsidRPr="00335E75" w:rsidRDefault="00335E75" w:rsidP="00335E75">
            <w:pPr>
              <w:spacing w:after="0"/>
              <w:jc w:val="left"/>
              <w:rPr>
                <w:rFonts w:eastAsia="Times New Roman" w:cs="Times New Roman"/>
                <w:sz w:val="16"/>
                <w:szCs w:val="16"/>
              </w:rPr>
            </w:pPr>
            <w:r w:rsidRPr="00335E75">
              <w:rPr>
                <w:rFonts w:eastAsia="Times New Roman" w:cs="Times New Roman"/>
                <w:sz w:val="16"/>
                <w:szCs w:val="16"/>
              </w:rPr>
              <w:t xml:space="preserve">[2] </w:t>
            </w:r>
            <w:r>
              <w:rPr>
                <w:rFonts w:eastAsia="Times New Roman" w:cs="Times New Roman"/>
                <w:sz w:val="16"/>
                <w:szCs w:val="16"/>
              </w:rPr>
              <w:t>end October 2024</w:t>
            </w:r>
          </w:p>
        </w:tc>
      </w:tr>
    </w:tbl>
    <w:p w14:paraId="00295444" w14:textId="77777777" w:rsidR="00335E75" w:rsidRDefault="00335E75">
      <w:pPr>
        <w:spacing w:after="160" w:line="259" w:lineRule="auto"/>
        <w:jc w:val="left"/>
        <w:rPr>
          <w:lang w:val="sr-Cyrl-RS" w:eastAsia="ja-JP"/>
        </w:rPr>
        <w:sectPr w:rsidR="00335E75" w:rsidSect="00461019">
          <w:pgSz w:w="16838" w:h="11906" w:orient="landscape" w:code="9"/>
          <w:pgMar w:top="720" w:right="720" w:bottom="720" w:left="720" w:header="720" w:footer="720" w:gutter="0"/>
          <w:cols w:space="720"/>
          <w:docGrid w:linePitch="360"/>
        </w:sectPr>
      </w:pPr>
    </w:p>
    <w:p w14:paraId="0290BD51" w14:textId="351D671F" w:rsidR="00461019" w:rsidRDefault="00335E75">
      <w:pPr>
        <w:spacing w:after="160" w:line="259" w:lineRule="auto"/>
        <w:jc w:val="left"/>
        <w:rPr>
          <w:lang w:val="sr-Cyrl-RS" w:eastAsia="ja-JP"/>
        </w:rPr>
      </w:pPr>
      <w:r w:rsidRPr="00335E75">
        <w:rPr>
          <w:noProof/>
        </w:rPr>
        <w:lastRenderedPageBreak/>
        <w:drawing>
          <wp:inline distT="0" distB="0" distL="0" distR="0" wp14:anchorId="6FBA0ED5" wp14:editId="7109E3C8">
            <wp:extent cx="9777730" cy="500747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77730" cy="5007478"/>
                    </a:xfrm>
                    <a:prstGeom prst="rect">
                      <a:avLst/>
                    </a:prstGeom>
                    <a:noFill/>
                    <a:ln>
                      <a:noFill/>
                    </a:ln>
                  </pic:spPr>
                </pic:pic>
              </a:graphicData>
            </a:graphic>
          </wp:inline>
        </w:drawing>
      </w:r>
      <w:r w:rsidR="00461019">
        <w:rPr>
          <w:lang w:val="sr-Cyrl-RS" w:eastAsia="ja-JP"/>
        </w:rPr>
        <w:br w:type="page"/>
      </w:r>
    </w:p>
    <w:p w14:paraId="1DA48FBC" w14:textId="77777777" w:rsidR="006D0778" w:rsidRDefault="006D0778" w:rsidP="00063F83">
      <w:pPr>
        <w:rPr>
          <w:lang w:val="sr-Cyrl-RS" w:eastAsia="ja-JP"/>
        </w:rPr>
      </w:pPr>
    </w:p>
    <w:p w14:paraId="199FE498" w14:textId="31100AD9" w:rsidR="00461019" w:rsidRDefault="00335E75" w:rsidP="005755FD">
      <w:pPr>
        <w:pStyle w:val="Heading1"/>
        <w:rPr>
          <w:rFonts w:ascii="Times New Roman" w:hAnsi="Times New Roman" w:cs="Times New Roman"/>
          <w:b/>
          <w:color w:val="auto"/>
          <w:sz w:val="24"/>
          <w:szCs w:val="24"/>
        </w:rPr>
      </w:pPr>
      <w:r w:rsidRPr="00335E75">
        <w:rPr>
          <w:noProof/>
        </w:rPr>
        <w:drawing>
          <wp:inline distT="0" distB="0" distL="0" distR="0" wp14:anchorId="3EDE4BD9" wp14:editId="018475D6">
            <wp:extent cx="9777730" cy="44239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77730" cy="4423916"/>
                    </a:xfrm>
                    <a:prstGeom prst="rect">
                      <a:avLst/>
                    </a:prstGeom>
                    <a:noFill/>
                    <a:ln>
                      <a:noFill/>
                    </a:ln>
                  </pic:spPr>
                </pic:pic>
              </a:graphicData>
            </a:graphic>
          </wp:inline>
        </w:drawing>
      </w:r>
    </w:p>
    <w:p w14:paraId="468A13D5" w14:textId="1A76BF45" w:rsidR="00335E75" w:rsidRDefault="00335E75" w:rsidP="00335E75"/>
    <w:tbl>
      <w:tblPr>
        <w:tblW w:w="5800" w:type="dxa"/>
        <w:tblLook w:val="04A0" w:firstRow="1" w:lastRow="0" w:firstColumn="1" w:lastColumn="0" w:noHBand="0" w:noVBand="1"/>
      </w:tblPr>
      <w:tblGrid>
        <w:gridCol w:w="5800"/>
      </w:tblGrid>
      <w:tr w:rsidR="00335E75" w:rsidRPr="00335E75" w14:paraId="1B9E03BD" w14:textId="77777777" w:rsidTr="00335E75">
        <w:trPr>
          <w:trHeight w:val="223"/>
        </w:trPr>
        <w:tc>
          <w:tcPr>
            <w:tcW w:w="5800" w:type="dxa"/>
            <w:tcBorders>
              <w:top w:val="nil"/>
              <w:left w:val="nil"/>
              <w:bottom w:val="nil"/>
              <w:right w:val="nil"/>
            </w:tcBorders>
            <w:shd w:val="clear" w:color="auto" w:fill="auto"/>
            <w:noWrap/>
            <w:hideMark/>
          </w:tcPr>
          <w:p w14:paraId="3C18B9D5" w14:textId="77777777" w:rsidR="00335E75" w:rsidRPr="00335E75" w:rsidRDefault="00335E75" w:rsidP="00335E75">
            <w:pPr>
              <w:spacing w:after="0"/>
              <w:jc w:val="left"/>
              <w:rPr>
                <w:rFonts w:eastAsia="Times New Roman" w:cs="Times New Roman"/>
                <w:sz w:val="16"/>
                <w:szCs w:val="16"/>
              </w:rPr>
            </w:pPr>
            <w:r w:rsidRPr="00335E75">
              <w:rPr>
                <w:rFonts w:eastAsia="Times New Roman" w:cs="Times New Roman"/>
                <w:sz w:val="16"/>
                <w:szCs w:val="16"/>
              </w:rPr>
              <w:t>[1] Age group of 15-64 years</w:t>
            </w:r>
          </w:p>
        </w:tc>
      </w:tr>
      <w:tr w:rsidR="00335E75" w:rsidRPr="00335E75" w14:paraId="234FE2F5" w14:textId="77777777" w:rsidTr="00335E75">
        <w:trPr>
          <w:trHeight w:val="215"/>
        </w:trPr>
        <w:tc>
          <w:tcPr>
            <w:tcW w:w="5800" w:type="dxa"/>
            <w:tcBorders>
              <w:top w:val="nil"/>
              <w:left w:val="nil"/>
              <w:bottom w:val="nil"/>
              <w:right w:val="nil"/>
            </w:tcBorders>
            <w:shd w:val="clear" w:color="auto" w:fill="auto"/>
            <w:noWrap/>
            <w:hideMark/>
          </w:tcPr>
          <w:p w14:paraId="18021798" w14:textId="77777777" w:rsidR="00335E75" w:rsidRPr="00335E75" w:rsidRDefault="00335E75" w:rsidP="00335E75">
            <w:pPr>
              <w:spacing w:after="0"/>
              <w:jc w:val="left"/>
              <w:rPr>
                <w:rFonts w:eastAsia="Times New Roman" w:cs="Times New Roman"/>
                <w:sz w:val="16"/>
                <w:szCs w:val="16"/>
              </w:rPr>
            </w:pPr>
            <w:r w:rsidRPr="00335E75">
              <w:rPr>
                <w:rFonts w:eastAsia="Times New Roman" w:cs="Times New Roman"/>
                <w:sz w:val="16"/>
                <w:szCs w:val="16"/>
              </w:rPr>
              <w:t>[2] Occupied population, domestic concept national accounts definition</w:t>
            </w:r>
          </w:p>
        </w:tc>
      </w:tr>
      <w:tr w:rsidR="00335E75" w:rsidRPr="00335E75" w14:paraId="28C4F648" w14:textId="77777777" w:rsidTr="00335E75">
        <w:trPr>
          <w:trHeight w:val="215"/>
        </w:trPr>
        <w:tc>
          <w:tcPr>
            <w:tcW w:w="5800" w:type="dxa"/>
            <w:tcBorders>
              <w:top w:val="nil"/>
              <w:left w:val="nil"/>
              <w:bottom w:val="nil"/>
              <w:right w:val="nil"/>
            </w:tcBorders>
            <w:shd w:val="clear" w:color="auto" w:fill="auto"/>
            <w:hideMark/>
          </w:tcPr>
          <w:p w14:paraId="4AC2A872" w14:textId="77777777" w:rsidR="00335E75" w:rsidRPr="00335E75" w:rsidRDefault="00335E75" w:rsidP="00335E75">
            <w:pPr>
              <w:spacing w:after="0"/>
              <w:jc w:val="left"/>
              <w:rPr>
                <w:rFonts w:eastAsia="Times New Roman" w:cs="Times New Roman"/>
                <w:sz w:val="16"/>
                <w:szCs w:val="16"/>
              </w:rPr>
            </w:pPr>
            <w:r w:rsidRPr="00335E75">
              <w:rPr>
                <w:rFonts w:eastAsia="Times New Roman" w:cs="Times New Roman"/>
                <w:sz w:val="16"/>
                <w:szCs w:val="16"/>
              </w:rPr>
              <w:t>[3] National accounts definition</w:t>
            </w:r>
          </w:p>
        </w:tc>
      </w:tr>
    </w:tbl>
    <w:p w14:paraId="1D4D3000" w14:textId="393BC883" w:rsidR="00F27773" w:rsidRDefault="00F27773" w:rsidP="00335E75"/>
    <w:p w14:paraId="12DE623A" w14:textId="77777777" w:rsidR="00F27773" w:rsidRPr="00F27773" w:rsidRDefault="00F27773" w:rsidP="00F27773"/>
    <w:p w14:paraId="45881DF6" w14:textId="5B1E8BD3" w:rsidR="00F27773" w:rsidRDefault="00F27773" w:rsidP="00F27773"/>
    <w:p w14:paraId="3DE6F5C5" w14:textId="47DD5F14" w:rsidR="00F27773" w:rsidRDefault="00F27773" w:rsidP="00F27773"/>
    <w:p w14:paraId="00D6F75D" w14:textId="03981174" w:rsidR="00F27773" w:rsidRDefault="00F27773" w:rsidP="00F27773">
      <w:pPr>
        <w:rPr>
          <w:rFonts w:asciiTheme="minorHAnsi" w:hAnsiTheme="minorHAnsi"/>
          <w:sz w:val="22"/>
        </w:rPr>
      </w:pPr>
      <w:r>
        <w:lastRenderedPageBreak/>
        <w:fldChar w:fldCharType="begin"/>
      </w:r>
      <w:r>
        <w:instrText xml:space="preserve"> LINK </w:instrText>
      </w:r>
      <w:r w:rsidR="002E5F43">
        <w:instrText xml:space="preserve">Excel.Sheet.12 "C:\\Users\\ognjen.jancic\\Documents\\kopija\\Ognjen\\memorandum\\ERP 2025-2027\\engleska verzija-ubacivanje tabela\\2025_ERP_Annex_tables_RS.xlsx" data!R101C2:R111C9 </w:instrText>
      </w:r>
      <w:r>
        <w:instrText xml:space="preserve">\a \f 4 \h  \* MERGEFORMAT </w:instrText>
      </w:r>
      <w:r>
        <w:fldChar w:fldCharType="separate"/>
      </w:r>
    </w:p>
    <w:tbl>
      <w:tblPr>
        <w:tblW w:w="15395" w:type="dxa"/>
        <w:tblLook w:val="04A0" w:firstRow="1" w:lastRow="0" w:firstColumn="1" w:lastColumn="0" w:noHBand="0" w:noVBand="1"/>
      </w:tblPr>
      <w:tblGrid>
        <w:gridCol w:w="5574"/>
        <w:gridCol w:w="1395"/>
        <w:gridCol w:w="1452"/>
        <w:gridCol w:w="1337"/>
        <w:gridCol w:w="1395"/>
        <w:gridCol w:w="1414"/>
        <w:gridCol w:w="1414"/>
        <w:gridCol w:w="1414"/>
      </w:tblGrid>
      <w:tr w:rsidR="00F27773" w:rsidRPr="00F27773" w14:paraId="078838FC" w14:textId="77777777" w:rsidTr="00F27773">
        <w:trPr>
          <w:trHeight w:val="280"/>
        </w:trPr>
        <w:tc>
          <w:tcPr>
            <w:tcW w:w="5574" w:type="dxa"/>
            <w:tcBorders>
              <w:top w:val="double" w:sz="6" w:space="0" w:color="auto"/>
              <w:left w:val="double" w:sz="6" w:space="0" w:color="auto"/>
              <w:bottom w:val="double" w:sz="6" w:space="0" w:color="auto"/>
              <w:right w:val="nil"/>
            </w:tcBorders>
            <w:shd w:val="clear" w:color="auto" w:fill="auto"/>
            <w:noWrap/>
            <w:vAlign w:val="bottom"/>
            <w:hideMark/>
          </w:tcPr>
          <w:p w14:paraId="122F6374" w14:textId="04E92FAF" w:rsidR="00F27773" w:rsidRPr="00F27773" w:rsidRDefault="00F27773" w:rsidP="00F27773">
            <w:pPr>
              <w:spacing w:after="0"/>
              <w:jc w:val="center"/>
              <w:rPr>
                <w:rFonts w:eastAsia="Times New Roman" w:cs="Times New Roman"/>
                <w:b/>
                <w:bCs/>
                <w:sz w:val="16"/>
                <w:szCs w:val="16"/>
              </w:rPr>
            </w:pPr>
            <w:r w:rsidRPr="00F27773">
              <w:rPr>
                <w:rFonts w:eastAsia="Times New Roman" w:cs="Times New Roman"/>
                <w:b/>
                <w:bCs/>
                <w:sz w:val="16"/>
                <w:szCs w:val="16"/>
              </w:rPr>
              <w:t>1g: Sustainability indicators</w:t>
            </w:r>
          </w:p>
        </w:tc>
        <w:tc>
          <w:tcPr>
            <w:tcW w:w="1395" w:type="dxa"/>
            <w:tcBorders>
              <w:top w:val="double" w:sz="6" w:space="0" w:color="auto"/>
              <w:left w:val="single" w:sz="8" w:space="0" w:color="auto"/>
              <w:bottom w:val="double" w:sz="6" w:space="0" w:color="auto"/>
              <w:right w:val="single" w:sz="8" w:space="0" w:color="auto"/>
            </w:tcBorders>
            <w:shd w:val="clear" w:color="auto" w:fill="auto"/>
            <w:noWrap/>
            <w:vAlign w:val="bottom"/>
            <w:hideMark/>
          </w:tcPr>
          <w:p w14:paraId="3F070918" w14:textId="77777777" w:rsidR="00F27773" w:rsidRPr="00F27773" w:rsidRDefault="00F27773" w:rsidP="00F27773">
            <w:pPr>
              <w:spacing w:after="0"/>
              <w:jc w:val="center"/>
              <w:rPr>
                <w:rFonts w:eastAsia="Times New Roman" w:cs="Times New Roman"/>
                <w:sz w:val="20"/>
                <w:szCs w:val="20"/>
              </w:rPr>
            </w:pPr>
            <w:r w:rsidRPr="00F27773">
              <w:rPr>
                <w:rFonts w:eastAsia="Times New Roman" w:cs="Times New Roman"/>
                <w:sz w:val="20"/>
                <w:szCs w:val="20"/>
              </w:rPr>
              <w:t>Dimension</w:t>
            </w:r>
          </w:p>
        </w:tc>
        <w:tc>
          <w:tcPr>
            <w:tcW w:w="1452" w:type="dxa"/>
            <w:tcBorders>
              <w:top w:val="double" w:sz="6" w:space="0" w:color="auto"/>
              <w:left w:val="nil"/>
              <w:bottom w:val="double" w:sz="6" w:space="0" w:color="auto"/>
              <w:right w:val="nil"/>
            </w:tcBorders>
            <w:shd w:val="clear" w:color="auto" w:fill="auto"/>
            <w:noWrap/>
            <w:vAlign w:val="bottom"/>
            <w:hideMark/>
          </w:tcPr>
          <w:p w14:paraId="0BF4C127" w14:textId="77777777" w:rsidR="00F27773" w:rsidRPr="00F27773" w:rsidRDefault="00F27773" w:rsidP="00F27773">
            <w:pPr>
              <w:spacing w:after="0"/>
              <w:jc w:val="right"/>
              <w:rPr>
                <w:rFonts w:eastAsia="Times New Roman" w:cs="Times New Roman"/>
                <w:b/>
                <w:bCs/>
                <w:sz w:val="20"/>
                <w:szCs w:val="20"/>
              </w:rPr>
            </w:pPr>
            <w:r w:rsidRPr="00F27773">
              <w:rPr>
                <w:rFonts w:eastAsia="Times New Roman" w:cs="Times New Roman"/>
                <w:b/>
                <w:bCs/>
                <w:sz w:val="20"/>
                <w:szCs w:val="20"/>
              </w:rPr>
              <w:t>2019</w:t>
            </w:r>
          </w:p>
        </w:tc>
        <w:tc>
          <w:tcPr>
            <w:tcW w:w="1337" w:type="dxa"/>
            <w:tcBorders>
              <w:top w:val="double" w:sz="6" w:space="0" w:color="auto"/>
              <w:left w:val="nil"/>
              <w:bottom w:val="double" w:sz="6" w:space="0" w:color="auto"/>
              <w:right w:val="nil"/>
            </w:tcBorders>
            <w:shd w:val="clear" w:color="auto" w:fill="auto"/>
            <w:noWrap/>
            <w:vAlign w:val="bottom"/>
            <w:hideMark/>
          </w:tcPr>
          <w:p w14:paraId="47A2AA11" w14:textId="77777777" w:rsidR="00F27773" w:rsidRPr="00F27773" w:rsidRDefault="00F27773" w:rsidP="00F27773">
            <w:pPr>
              <w:spacing w:after="0"/>
              <w:jc w:val="right"/>
              <w:rPr>
                <w:rFonts w:eastAsia="Times New Roman" w:cs="Times New Roman"/>
                <w:b/>
                <w:bCs/>
                <w:sz w:val="20"/>
                <w:szCs w:val="20"/>
              </w:rPr>
            </w:pPr>
            <w:r w:rsidRPr="00F27773">
              <w:rPr>
                <w:rFonts w:eastAsia="Times New Roman" w:cs="Times New Roman"/>
                <w:b/>
                <w:bCs/>
                <w:sz w:val="20"/>
                <w:szCs w:val="20"/>
              </w:rPr>
              <w:t>2020</w:t>
            </w:r>
          </w:p>
        </w:tc>
        <w:tc>
          <w:tcPr>
            <w:tcW w:w="1395" w:type="dxa"/>
            <w:tcBorders>
              <w:top w:val="double" w:sz="6" w:space="0" w:color="auto"/>
              <w:left w:val="nil"/>
              <w:bottom w:val="double" w:sz="6" w:space="0" w:color="auto"/>
              <w:right w:val="nil"/>
            </w:tcBorders>
            <w:shd w:val="clear" w:color="auto" w:fill="auto"/>
            <w:noWrap/>
            <w:vAlign w:val="bottom"/>
            <w:hideMark/>
          </w:tcPr>
          <w:p w14:paraId="46633128" w14:textId="77777777" w:rsidR="00F27773" w:rsidRPr="00F27773" w:rsidRDefault="00F27773" w:rsidP="00F27773">
            <w:pPr>
              <w:spacing w:after="0"/>
              <w:jc w:val="right"/>
              <w:rPr>
                <w:rFonts w:eastAsia="Times New Roman" w:cs="Times New Roman"/>
                <w:b/>
                <w:bCs/>
                <w:sz w:val="20"/>
                <w:szCs w:val="20"/>
              </w:rPr>
            </w:pPr>
            <w:r w:rsidRPr="00F27773">
              <w:rPr>
                <w:rFonts w:eastAsia="Times New Roman" w:cs="Times New Roman"/>
                <w:b/>
                <w:bCs/>
                <w:sz w:val="20"/>
                <w:szCs w:val="20"/>
              </w:rPr>
              <w:t>2021</w:t>
            </w:r>
          </w:p>
        </w:tc>
        <w:tc>
          <w:tcPr>
            <w:tcW w:w="1414" w:type="dxa"/>
            <w:tcBorders>
              <w:top w:val="double" w:sz="6" w:space="0" w:color="auto"/>
              <w:left w:val="nil"/>
              <w:bottom w:val="double" w:sz="6" w:space="0" w:color="auto"/>
              <w:right w:val="nil"/>
            </w:tcBorders>
            <w:shd w:val="clear" w:color="auto" w:fill="auto"/>
            <w:noWrap/>
            <w:vAlign w:val="bottom"/>
            <w:hideMark/>
          </w:tcPr>
          <w:p w14:paraId="6661A358" w14:textId="77777777" w:rsidR="00F27773" w:rsidRPr="00F27773" w:rsidRDefault="00F27773" w:rsidP="00F27773">
            <w:pPr>
              <w:spacing w:after="0"/>
              <w:jc w:val="right"/>
              <w:rPr>
                <w:rFonts w:eastAsia="Times New Roman" w:cs="Times New Roman"/>
                <w:b/>
                <w:bCs/>
                <w:sz w:val="20"/>
                <w:szCs w:val="20"/>
              </w:rPr>
            </w:pPr>
            <w:r w:rsidRPr="00F27773">
              <w:rPr>
                <w:rFonts w:eastAsia="Times New Roman" w:cs="Times New Roman"/>
                <w:b/>
                <w:bCs/>
                <w:sz w:val="20"/>
                <w:szCs w:val="20"/>
              </w:rPr>
              <w:t>2022</w:t>
            </w:r>
          </w:p>
        </w:tc>
        <w:tc>
          <w:tcPr>
            <w:tcW w:w="1414" w:type="dxa"/>
            <w:tcBorders>
              <w:top w:val="double" w:sz="6" w:space="0" w:color="auto"/>
              <w:left w:val="nil"/>
              <w:bottom w:val="double" w:sz="6" w:space="0" w:color="auto"/>
              <w:right w:val="nil"/>
            </w:tcBorders>
            <w:shd w:val="clear" w:color="auto" w:fill="auto"/>
            <w:noWrap/>
            <w:vAlign w:val="bottom"/>
            <w:hideMark/>
          </w:tcPr>
          <w:p w14:paraId="4AC462AD" w14:textId="77777777" w:rsidR="00F27773" w:rsidRPr="00F27773" w:rsidRDefault="00F27773" w:rsidP="00F27773">
            <w:pPr>
              <w:spacing w:after="0"/>
              <w:jc w:val="right"/>
              <w:rPr>
                <w:rFonts w:eastAsia="Times New Roman" w:cs="Times New Roman"/>
                <w:b/>
                <w:bCs/>
                <w:sz w:val="20"/>
                <w:szCs w:val="20"/>
              </w:rPr>
            </w:pPr>
            <w:r w:rsidRPr="00F27773">
              <w:rPr>
                <w:rFonts w:eastAsia="Times New Roman" w:cs="Times New Roman"/>
                <w:b/>
                <w:bCs/>
                <w:sz w:val="20"/>
                <w:szCs w:val="20"/>
              </w:rPr>
              <w:t>2023</w:t>
            </w:r>
          </w:p>
        </w:tc>
        <w:tc>
          <w:tcPr>
            <w:tcW w:w="1414" w:type="dxa"/>
            <w:tcBorders>
              <w:top w:val="double" w:sz="6" w:space="0" w:color="auto"/>
              <w:left w:val="nil"/>
              <w:bottom w:val="double" w:sz="6" w:space="0" w:color="auto"/>
              <w:right w:val="double" w:sz="6" w:space="0" w:color="auto"/>
            </w:tcBorders>
            <w:shd w:val="clear" w:color="auto" w:fill="auto"/>
            <w:noWrap/>
            <w:vAlign w:val="bottom"/>
            <w:hideMark/>
          </w:tcPr>
          <w:p w14:paraId="6B0A5C6A" w14:textId="77777777" w:rsidR="00F27773" w:rsidRPr="00F27773" w:rsidRDefault="00F27773" w:rsidP="00F27773">
            <w:pPr>
              <w:spacing w:after="0"/>
              <w:jc w:val="right"/>
              <w:rPr>
                <w:rFonts w:eastAsia="Times New Roman" w:cs="Times New Roman"/>
                <w:b/>
                <w:bCs/>
                <w:sz w:val="20"/>
                <w:szCs w:val="20"/>
              </w:rPr>
            </w:pPr>
            <w:r w:rsidRPr="00F27773">
              <w:rPr>
                <w:rFonts w:eastAsia="Times New Roman" w:cs="Times New Roman"/>
                <w:b/>
                <w:bCs/>
                <w:sz w:val="20"/>
                <w:szCs w:val="20"/>
              </w:rPr>
              <w:t>2024</w:t>
            </w:r>
          </w:p>
        </w:tc>
      </w:tr>
      <w:tr w:rsidR="00F27773" w:rsidRPr="00F27773" w14:paraId="341CF76B" w14:textId="77777777" w:rsidTr="00F27773">
        <w:trPr>
          <w:trHeight w:val="321"/>
        </w:trPr>
        <w:tc>
          <w:tcPr>
            <w:tcW w:w="5574" w:type="dxa"/>
            <w:tcBorders>
              <w:top w:val="nil"/>
              <w:left w:val="double" w:sz="6" w:space="0" w:color="auto"/>
              <w:bottom w:val="dotted" w:sz="4" w:space="0" w:color="auto"/>
              <w:right w:val="single" w:sz="8" w:space="0" w:color="auto"/>
            </w:tcBorders>
            <w:shd w:val="clear" w:color="auto" w:fill="auto"/>
            <w:hideMark/>
          </w:tcPr>
          <w:p w14:paraId="0FFED35F" w14:textId="77777777" w:rsidR="00F27773" w:rsidRPr="00F27773" w:rsidRDefault="00F27773" w:rsidP="00F27773">
            <w:pPr>
              <w:spacing w:after="0"/>
              <w:ind w:firstLineChars="100" w:firstLine="200"/>
              <w:jc w:val="left"/>
              <w:rPr>
                <w:rFonts w:eastAsia="Times New Roman" w:cs="Times New Roman"/>
                <w:sz w:val="20"/>
                <w:szCs w:val="20"/>
              </w:rPr>
            </w:pPr>
            <w:r w:rsidRPr="00F27773">
              <w:rPr>
                <w:rFonts w:eastAsia="Times New Roman" w:cs="Times New Roman"/>
                <w:sz w:val="20"/>
                <w:szCs w:val="20"/>
              </w:rPr>
              <w:t xml:space="preserve">1. Current Account Balance </w:t>
            </w:r>
          </w:p>
        </w:tc>
        <w:tc>
          <w:tcPr>
            <w:tcW w:w="1395" w:type="dxa"/>
            <w:tcBorders>
              <w:top w:val="nil"/>
              <w:left w:val="nil"/>
              <w:bottom w:val="dotted" w:sz="4" w:space="0" w:color="auto"/>
              <w:right w:val="single" w:sz="8" w:space="0" w:color="auto"/>
            </w:tcBorders>
            <w:shd w:val="clear" w:color="auto" w:fill="auto"/>
            <w:hideMark/>
          </w:tcPr>
          <w:p w14:paraId="3DFFA35A" w14:textId="77777777" w:rsidR="00F27773" w:rsidRPr="00F27773" w:rsidRDefault="00F27773" w:rsidP="00F27773">
            <w:pPr>
              <w:spacing w:after="0"/>
              <w:jc w:val="center"/>
              <w:rPr>
                <w:rFonts w:eastAsia="Times New Roman" w:cs="Times New Roman"/>
                <w:sz w:val="16"/>
                <w:szCs w:val="16"/>
              </w:rPr>
            </w:pPr>
            <w:r w:rsidRPr="00F27773">
              <w:rPr>
                <w:rFonts w:eastAsia="Times New Roman" w:cs="Times New Roman"/>
                <w:sz w:val="16"/>
                <w:szCs w:val="16"/>
              </w:rPr>
              <w:t>Bn NCU or EUR</w:t>
            </w:r>
          </w:p>
        </w:tc>
        <w:tc>
          <w:tcPr>
            <w:tcW w:w="1452" w:type="dxa"/>
            <w:tcBorders>
              <w:top w:val="nil"/>
              <w:left w:val="nil"/>
              <w:bottom w:val="dashed" w:sz="4" w:space="0" w:color="auto"/>
              <w:right w:val="dashed" w:sz="4" w:space="0" w:color="auto"/>
            </w:tcBorders>
            <w:shd w:val="clear" w:color="auto" w:fill="auto"/>
            <w:noWrap/>
            <w:vAlign w:val="bottom"/>
            <w:hideMark/>
          </w:tcPr>
          <w:p w14:paraId="132A843F"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-3,2</w:t>
            </w:r>
          </w:p>
        </w:tc>
        <w:tc>
          <w:tcPr>
            <w:tcW w:w="1337" w:type="dxa"/>
            <w:tcBorders>
              <w:top w:val="nil"/>
              <w:left w:val="nil"/>
              <w:bottom w:val="dashed" w:sz="4" w:space="0" w:color="auto"/>
              <w:right w:val="dashed" w:sz="4" w:space="0" w:color="auto"/>
            </w:tcBorders>
            <w:shd w:val="clear" w:color="auto" w:fill="auto"/>
            <w:noWrap/>
            <w:vAlign w:val="bottom"/>
            <w:hideMark/>
          </w:tcPr>
          <w:p w14:paraId="6120227A"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-1,9</w:t>
            </w:r>
          </w:p>
        </w:tc>
        <w:tc>
          <w:tcPr>
            <w:tcW w:w="1395" w:type="dxa"/>
            <w:tcBorders>
              <w:top w:val="nil"/>
              <w:left w:val="nil"/>
              <w:bottom w:val="dashed" w:sz="4" w:space="0" w:color="auto"/>
              <w:right w:val="dashed" w:sz="4" w:space="0" w:color="auto"/>
            </w:tcBorders>
            <w:shd w:val="clear" w:color="auto" w:fill="auto"/>
            <w:noWrap/>
            <w:vAlign w:val="bottom"/>
            <w:hideMark/>
          </w:tcPr>
          <w:p w14:paraId="28D78800"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-2,3</w:t>
            </w:r>
          </w:p>
        </w:tc>
        <w:tc>
          <w:tcPr>
            <w:tcW w:w="1414" w:type="dxa"/>
            <w:tcBorders>
              <w:top w:val="nil"/>
              <w:left w:val="nil"/>
              <w:bottom w:val="dashed" w:sz="4" w:space="0" w:color="auto"/>
              <w:right w:val="dashed" w:sz="4" w:space="0" w:color="auto"/>
            </w:tcBorders>
            <w:shd w:val="clear" w:color="auto" w:fill="auto"/>
            <w:noWrap/>
            <w:vAlign w:val="bottom"/>
            <w:hideMark/>
          </w:tcPr>
          <w:p w14:paraId="6F892E21"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-4,2</w:t>
            </w:r>
          </w:p>
        </w:tc>
        <w:tc>
          <w:tcPr>
            <w:tcW w:w="1414" w:type="dxa"/>
            <w:tcBorders>
              <w:top w:val="nil"/>
              <w:left w:val="nil"/>
              <w:bottom w:val="dashed" w:sz="4" w:space="0" w:color="auto"/>
              <w:right w:val="dashed" w:sz="4" w:space="0" w:color="auto"/>
            </w:tcBorders>
            <w:shd w:val="clear" w:color="auto" w:fill="auto"/>
            <w:noWrap/>
            <w:vAlign w:val="bottom"/>
            <w:hideMark/>
          </w:tcPr>
          <w:p w14:paraId="7CBBA8C9"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-1,8</w:t>
            </w:r>
          </w:p>
        </w:tc>
        <w:tc>
          <w:tcPr>
            <w:tcW w:w="1414" w:type="dxa"/>
            <w:tcBorders>
              <w:top w:val="nil"/>
              <w:left w:val="nil"/>
              <w:bottom w:val="dashed" w:sz="4" w:space="0" w:color="auto"/>
              <w:right w:val="double" w:sz="6" w:space="0" w:color="auto"/>
            </w:tcBorders>
            <w:shd w:val="clear" w:color="auto" w:fill="auto"/>
            <w:noWrap/>
            <w:vAlign w:val="bottom"/>
            <w:hideMark/>
          </w:tcPr>
          <w:p w14:paraId="46473083"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-3,9</w:t>
            </w:r>
          </w:p>
        </w:tc>
      </w:tr>
      <w:tr w:rsidR="00F27773" w:rsidRPr="00F27773" w14:paraId="63A06573" w14:textId="77777777" w:rsidTr="00F27773">
        <w:trPr>
          <w:trHeight w:val="321"/>
        </w:trPr>
        <w:tc>
          <w:tcPr>
            <w:tcW w:w="5574" w:type="dxa"/>
            <w:tcBorders>
              <w:top w:val="nil"/>
              <w:left w:val="double" w:sz="6" w:space="0" w:color="auto"/>
              <w:bottom w:val="dotted" w:sz="4" w:space="0" w:color="auto"/>
              <w:right w:val="single" w:sz="8" w:space="0" w:color="auto"/>
            </w:tcBorders>
            <w:shd w:val="clear" w:color="auto" w:fill="auto"/>
            <w:hideMark/>
          </w:tcPr>
          <w:p w14:paraId="564C97F1" w14:textId="77777777" w:rsidR="00F27773" w:rsidRPr="00F27773" w:rsidRDefault="00F27773" w:rsidP="00F27773">
            <w:pPr>
              <w:spacing w:after="0"/>
              <w:ind w:firstLineChars="100" w:firstLine="200"/>
              <w:jc w:val="left"/>
              <w:rPr>
                <w:rFonts w:eastAsia="Times New Roman" w:cs="Times New Roman"/>
                <w:sz w:val="20"/>
                <w:szCs w:val="20"/>
              </w:rPr>
            </w:pPr>
            <w:r w:rsidRPr="00F27773">
              <w:rPr>
                <w:rFonts w:eastAsia="Times New Roman" w:cs="Times New Roman"/>
                <w:sz w:val="20"/>
                <w:szCs w:val="20"/>
              </w:rPr>
              <w:t>2. Net International Investment Position</w:t>
            </w:r>
          </w:p>
        </w:tc>
        <w:tc>
          <w:tcPr>
            <w:tcW w:w="1395" w:type="dxa"/>
            <w:tcBorders>
              <w:top w:val="nil"/>
              <w:left w:val="nil"/>
              <w:bottom w:val="dotted" w:sz="4" w:space="0" w:color="auto"/>
              <w:right w:val="single" w:sz="8" w:space="0" w:color="auto"/>
            </w:tcBorders>
            <w:shd w:val="clear" w:color="auto" w:fill="auto"/>
            <w:hideMark/>
          </w:tcPr>
          <w:p w14:paraId="536DCABF" w14:textId="77777777" w:rsidR="00F27773" w:rsidRPr="00F27773" w:rsidRDefault="00F27773" w:rsidP="00F27773">
            <w:pPr>
              <w:spacing w:after="0"/>
              <w:jc w:val="center"/>
              <w:rPr>
                <w:rFonts w:eastAsia="Times New Roman" w:cs="Times New Roman"/>
                <w:sz w:val="16"/>
                <w:szCs w:val="16"/>
              </w:rPr>
            </w:pPr>
            <w:r w:rsidRPr="00F27773">
              <w:rPr>
                <w:rFonts w:eastAsia="Times New Roman" w:cs="Times New Roman"/>
                <w:sz w:val="16"/>
                <w:szCs w:val="16"/>
              </w:rPr>
              <w:t>Bn NCU or EUR</w:t>
            </w:r>
          </w:p>
        </w:tc>
        <w:tc>
          <w:tcPr>
            <w:tcW w:w="1452" w:type="dxa"/>
            <w:tcBorders>
              <w:top w:val="nil"/>
              <w:left w:val="nil"/>
              <w:bottom w:val="dashed" w:sz="4" w:space="0" w:color="auto"/>
              <w:right w:val="dashed" w:sz="4" w:space="0" w:color="auto"/>
            </w:tcBorders>
            <w:shd w:val="clear" w:color="auto" w:fill="auto"/>
            <w:noWrap/>
            <w:vAlign w:val="bottom"/>
            <w:hideMark/>
          </w:tcPr>
          <w:p w14:paraId="3607E531"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-40,5</w:t>
            </w:r>
          </w:p>
        </w:tc>
        <w:tc>
          <w:tcPr>
            <w:tcW w:w="1337" w:type="dxa"/>
            <w:tcBorders>
              <w:top w:val="nil"/>
              <w:left w:val="nil"/>
              <w:bottom w:val="dashed" w:sz="4" w:space="0" w:color="auto"/>
              <w:right w:val="dashed" w:sz="4" w:space="0" w:color="auto"/>
            </w:tcBorders>
            <w:shd w:val="clear" w:color="auto" w:fill="auto"/>
            <w:noWrap/>
            <w:vAlign w:val="bottom"/>
            <w:hideMark/>
          </w:tcPr>
          <w:p w14:paraId="67F0608A"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-42,3</w:t>
            </w:r>
          </w:p>
        </w:tc>
        <w:tc>
          <w:tcPr>
            <w:tcW w:w="1395" w:type="dxa"/>
            <w:tcBorders>
              <w:top w:val="nil"/>
              <w:left w:val="nil"/>
              <w:bottom w:val="dashed" w:sz="4" w:space="0" w:color="auto"/>
              <w:right w:val="dashed" w:sz="4" w:space="0" w:color="auto"/>
            </w:tcBorders>
            <w:shd w:val="clear" w:color="auto" w:fill="auto"/>
            <w:noWrap/>
            <w:vAlign w:val="bottom"/>
            <w:hideMark/>
          </w:tcPr>
          <w:p w14:paraId="0BB482E0"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-44,3</w:t>
            </w:r>
          </w:p>
        </w:tc>
        <w:tc>
          <w:tcPr>
            <w:tcW w:w="1414" w:type="dxa"/>
            <w:tcBorders>
              <w:top w:val="nil"/>
              <w:left w:val="nil"/>
              <w:bottom w:val="dashed" w:sz="4" w:space="0" w:color="auto"/>
              <w:right w:val="dashed" w:sz="4" w:space="0" w:color="auto"/>
            </w:tcBorders>
            <w:shd w:val="clear" w:color="auto" w:fill="auto"/>
            <w:noWrap/>
            <w:vAlign w:val="bottom"/>
            <w:hideMark/>
          </w:tcPr>
          <w:p w14:paraId="270D7EB4"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-49,4</w:t>
            </w:r>
          </w:p>
        </w:tc>
        <w:tc>
          <w:tcPr>
            <w:tcW w:w="1414" w:type="dxa"/>
            <w:tcBorders>
              <w:top w:val="nil"/>
              <w:left w:val="nil"/>
              <w:bottom w:val="dashed" w:sz="4" w:space="0" w:color="auto"/>
              <w:right w:val="dashed" w:sz="4" w:space="0" w:color="auto"/>
            </w:tcBorders>
            <w:shd w:val="clear" w:color="auto" w:fill="auto"/>
            <w:noWrap/>
            <w:vAlign w:val="bottom"/>
            <w:hideMark/>
          </w:tcPr>
          <w:p w14:paraId="4BC28320"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-50,1</w:t>
            </w:r>
          </w:p>
        </w:tc>
        <w:tc>
          <w:tcPr>
            <w:tcW w:w="1414" w:type="dxa"/>
            <w:tcBorders>
              <w:top w:val="nil"/>
              <w:left w:val="nil"/>
              <w:bottom w:val="dashed" w:sz="4" w:space="0" w:color="auto"/>
              <w:right w:val="double" w:sz="6" w:space="0" w:color="auto"/>
            </w:tcBorders>
            <w:shd w:val="clear" w:color="auto" w:fill="auto"/>
            <w:noWrap/>
            <w:vAlign w:val="bottom"/>
            <w:hideMark/>
          </w:tcPr>
          <w:p w14:paraId="002D4443"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r>
      <w:tr w:rsidR="00F27773" w:rsidRPr="00F27773" w14:paraId="5842406E" w14:textId="77777777" w:rsidTr="00F27773">
        <w:trPr>
          <w:trHeight w:val="504"/>
        </w:trPr>
        <w:tc>
          <w:tcPr>
            <w:tcW w:w="5574" w:type="dxa"/>
            <w:tcBorders>
              <w:top w:val="nil"/>
              <w:left w:val="double" w:sz="6" w:space="0" w:color="auto"/>
              <w:bottom w:val="dotted" w:sz="4" w:space="0" w:color="auto"/>
              <w:right w:val="single" w:sz="8" w:space="0" w:color="auto"/>
            </w:tcBorders>
            <w:shd w:val="clear" w:color="auto" w:fill="auto"/>
            <w:hideMark/>
          </w:tcPr>
          <w:p w14:paraId="1B60E5F1" w14:textId="77777777" w:rsidR="00F27773" w:rsidRPr="00F27773" w:rsidRDefault="00F27773" w:rsidP="00F27773">
            <w:pPr>
              <w:spacing w:after="0"/>
              <w:ind w:firstLineChars="100" w:firstLine="200"/>
              <w:jc w:val="left"/>
              <w:rPr>
                <w:rFonts w:eastAsia="Times New Roman" w:cs="Times New Roman"/>
                <w:sz w:val="20"/>
                <w:szCs w:val="20"/>
              </w:rPr>
            </w:pPr>
            <w:r w:rsidRPr="00F27773">
              <w:rPr>
                <w:rFonts w:eastAsia="Times New Roman" w:cs="Times New Roman"/>
                <w:sz w:val="20"/>
                <w:szCs w:val="20"/>
              </w:rPr>
              <w:t>3. Export market shares</w:t>
            </w:r>
          </w:p>
        </w:tc>
        <w:tc>
          <w:tcPr>
            <w:tcW w:w="1395" w:type="dxa"/>
            <w:tcBorders>
              <w:top w:val="nil"/>
              <w:left w:val="nil"/>
              <w:bottom w:val="dotted" w:sz="4" w:space="0" w:color="auto"/>
              <w:right w:val="single" w:sz="8" w:space="0" w:color="auto"/>
            </w:tcBorders>
            <w:shd w:val="clear" w:color="auto" w:fill="auto"/>
            <w:hideMark/>
          </w:tcPr>
          <w:p w14:paraId="6F620565" w14:textId="77777777" w:rsidR="00F27773" w:rsidRPr="00F27773" w:rsidRDefault="00F27773" w:rsidP="00F27773">
            <w:pPr>
              <w:spacing w:after="0"/>
              <w:jc w:val="center"/>
              <w:rPr>
                <w:rFonts w:eastAsia="Times New Roman" w:cs="Times New Roman"/>
                <w:sz w:val="18"/>
                <w:szCs w:val="18"/>
              </w:rPr>
            </w:pPr>
            <w:r w:rsidRPr="00F27773">
              <w:rPr>
                <w:rFonts w:eastAsia="Times New Roman" w:cs="Times New Roman"/>
                <w:sz w:val="18"/>
                <w:szCs w:val="18"/>
              </w:rPr>
              <w:t xml:space="preserve">% of total export market </w:t>
            </w:r>
          </w:p>
        </w:tc>
        <w:tc>
          <w:tcPr>
            <w:tcW w:w="1452" w:type="dxa"/>
            <w:tcBorders>
              <w:top w:val="nil"/>
              <w:left w:val="nil"/>
              <w:bottom w:val="dashed" w:sz="4" w:space="0" w:color="auto"/>
              <w:right w:val="dashed" w:sz="4" w:space="0" w:color="auto"/>
            </w:tcBorders>
            <w:shd w:val="clear" w:color="auto" w:fill="auto"/>
            <w:noWrap/>
            <w:vAlign w:val="bottom"/>
            <w:hideMark/>
          </w:tcPr>
          <w:p w14:paraId="1E75F266"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c>
          <w:tcPr>
            <w:tcW w:w="1337" w:type="dxa"/>
            <w:tcBorders>
              <w:top w:val="nil"/>
              <w:left w:val="nil"/>
              <w:bottom w:val="dashed" w:sz="4" w:space="0" w:color="auto"/>
              <w:right w:val="dashed" w:sz="4" w:space="0" w:color="auto"/>
            </w:tcBorders>
            <w:shd w:val="clear" w:color="auto" w:fill="auto"/>
            <w:noWrap/>
            <w:vAlign w:val="bottom"/>
            <w:hideMark/>
          </w:tcPr>
          <w:p w14:paraId="2DE0EC87"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c>
          <w:tcPr>
            <w:tcW w:w="1395" w:type="dxa"/>
            <w:tcBorders>
              <w:top w:val="nil"/>
              <w:left w:val="nil"/>
              <w:bottom w:val="dashed" w:sz="4" w:space="0" w:color="auto"/>
              <w:right w:val="dashed" w:sz="4" w:space="0" w:color="auto"/>
            </w:tcBorders>
            <w:shd w:val="clear" w:color="auto" w:fill="auto"/>
            <w:noWrap/>
            <w:vAlign w:val="bottom"/>
            <w:hideMark/>
          </w:tcPr>
          <w:p w14:paraId="28DEB6BC"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c>
          <w:tcPr>
            <w:tcW w:w="1414" w:type="dxa"/>
            <w:tcBorders>
              <w:top w:val="nil"/>
              <w:left w:val="nil"/>
              <w:bottom w:val="dashed" w:sz="4" w:space="0" w:color="auto"/>
              <w:right w:val="dashed" w:sz="4" w:space="0" w:color="auto"/>
            </w:tcBorders>
            <w:shd w:val="clear" w:color="auto" w:fill="auto"/>
            <w:noWrap/>
            <w:vAlign w:val="bottom"/>
            <w:hideMark/>
          </w:tcPr>
          <w:p w14:paraId="03150CEA"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c>
          <w:tcPr>
            <w:tcW w:w="1414" w:type="dxa"/>
            <w:tcBorders>
              <w:top w:val="nil"/>
              <w:left w:val="nil"/>
              <w:bottom w:val="dashed" w:sz="4" w:space="0" w:color="auto"/>
              <w:right w:val="dashed" w:sz="4" w:space="0" w:color="auto"/>
            </w:tcBorders>
            <w:shd w:val="clear" w:color="auto" w:fill="auto"/>
            <w:noWrap/>
            <w:vAlign w:val="bottom"/>
            <w:hideMark/>
          </w:tcPr>
          <w:p w14:paraId="599D0C7A"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c>
          <w:tcPr>
            <w:tcW w:w="1414" w:type="dxa"/>
            <w:tcBorders>
              <w:top w:val="nil"/>
              <w:left w:val="nil"/>
              <w:bottom w:val="dashed" w:sz="4" w:space="0" w:color="auto"/>
              <w:right w:val="double" w:sz="6" w:space="0" w:color="auto"/>
            </w:tcBorders>
            <w:shd w:val="clear" w:color="auto" w:fill="auto"/>
            <w:noWrap/>
            <w:vAlign w:val="bottom"/>
            <w:hideMark/>
          </w:tcPr>
          <w:p w14:paraId="78F4893F"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r>
      <w:tr w:rsidR="00F27773" w:rsidRPr="00F27773" w14:paraId="4BC481FF" w14:textId="77777777" w:rsidTr="00F27773">
        <w:trPr>
          <w:trHeight w:val="263"/>
        </w:trPr>
        <w:tc>
          <w:tcPr>
            <w:tcW w:w="5574" w:type="dxa"/>
            <w:tcBorders>
              <w:top w:val="nil"/>
              <w:left w:val="double" w:sz="6" w:space="0" w:color="auto"/>
              <w:bottom w:val="dotted" w:sz="4" w:space="0" w:color="auto"/>
              <w:right w:val="single" w:sz="8" w:space="0" w:color="auto"/>
            </w:tcBorders>
            <w:shd w:val="clear" w:color="auto" w:fill="auto"/>
            <w:hideMark/>
          </w:tcPr>
          <w:p w14:paraId="00AE9042" w14:textId="023EDF49" w:rsidR="00F27773" w:rsidRPr="00F27773" w:rsidRDefault="00F27773" w:rsidP="00F27773">
            <w:pPr>
              <w:spacing w:after="0"/>
              <w:ind w:firstLineChars="100" w:firstLine="200"/>
              <w:jc w:val="left"/>
              <w:rPr>
                <w:rFonts w:eastAsia="Times New Roman" w:cs="Times New Roman"/>
                <w:sz w:val="20"/>
                <w:szCs w:val="20"/>
              </w:rPr>
            </w:pPr>
            <w:r w:rsidRPr="00F27773">
              <w:rPr>
                <w:rFonts w:eastAsia="Times New Roman" w:cs="Times New Roman"/>
                <w:sz w:val="20"/>
                <w:szCs w:val="20"/>
              </w:rPr>
              <w:t>4. Real Effective Exchange Rate</w:t>
            </w:r>
            <w:r>
              <w:rPr>
                <w:rFonts w:eastAsia="Times New Roman" w:cs="Times New Roman"/>
                <w:sz w:val="20"/>
                <w:szCs w:val="20"/>
              </w:rPr>
              <w:t xml:space="preserve"> </w:t>
            </w:r>
            <w:r w:rsidRPr="00335E75">
              <w:rPr>
                <w:rFonts w:eastAsia="Times New Roman" w:cs="Times New Roman"/>
                <w:sz w:val="16"/>
                <w:szCs w:val="16"/>
              </w:rPr>
              <w:t>[1]</w:t>
            </w:r>
          </w:p>
        </w:tc>
        <w:tc>
          <w:tcPr>
            <w:tcW w:w="1395" w:type="dxa"/>
            <w:tcBorders>
              <w:top w:val="nil"/>
              <w:left w:val="nil"/>
              <w:bottom w:val="dotted" w:sz="4" w:space="0" w:color="auto"/>
              <w:right w:val="single" w:sz="8" w:space="0" w:color="auto"/>
            </w:tcBorders>
            <w:shd w:val="clear" w:color="auto" w:fill="auto"/>
            <w:hideMark/>
          </w:tcPr>
          <w:p w14:paraId="43E0F4B7" w14:textId="77777777" w:rsidR="00F27773" w:rsidRPr="00F27773" w:rsidRDefault="00F27773" w:rsidP="00F27773">
            <w:pPr>
              <w:spacing w:after="0"/>
              <w:jc w:val="center"/>
              <w:rPr>
                <w:rFonts w:eastAsia="Times New Roman" w:cs="Times New Roman"/>
                <w:sz w:val="18"/>
                <w:szCs w:val="18"/>
              </w:rPr>
            </w:pPr>
            <w:r w:rsidRPr="00F27773">
              <w:rPr>
                <w:rFonts w:eastAsia="Times New Roman" w:cs="Times New Roman"/>
                <w:sz w:val="18"/>
                <w:szCs w:val="18"/>
              </w:rPr>
              <w:t>Index</w:t>
            </w:r>
          </w:p>
        </w:tc>
        <w:tc>
          <w:tcPr>
            <w:tcW w:w="1452" w:type="dxa"/>
            <w:tcBorders>
              <w:top w:val="nil"/>
              <w:left w:val="nil"/>
              <w:bottom w:val="dashed" w:sz="4" w:space="0" w:color="auto"/>
              <w:right w:val="dashed" w:sz="4" w:space="0" w:color="auto"/>
            </w:tcBorders>
            <w:shd w:val="clear" w:color="auto" w:fill="auto"/>
            <w:noWrap/>
            <w:vAlign w:val="bottom"/>
            <w:hideMark/>
          </w:tcPr>
          <w:p w14:paraId="2818E7ED"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122,7</w:t>
            </w:r>
          </w:p>
        </w:tc>
        <w:tc>
          <w:tcPr>
            <w:tcW w:w="1337" w:type="dxa"/>
            <w:tcBorders>
              <w:top w:val="nil"/>
              <w:left w:val="nil"/>
              <w:bottom w:val="dashed" w:sz="4" w:space="0" w:color="auto"/>
              <w:right w:val="dashed" w:sz="4" w:space="0" w:color="auto"/>
            </w:tcBorders>
            <w:shd w:val="clear" w:color="auto" w:fill="auto"/>
            <w:noWrap/>
            <w:vAlign w:val="bottom"/>
            <w:hideMark/>
          </w:tcPr>
          <w:p w14:paraId="5E862D10"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124,8</w:t>
            </w:r>
          </w:p>
        </w:tc>
        <w:tc>
          <w:tcPr>
            <w:tcW w:w="1395" w:type="dxa"/>
            <w:tcBorders>
              <w:top w:val="nil"/>
              <w:left w:val="nil"/>
              <w:bottom w:val="dashed" w:sz="4" w:space="0" w:color="auto"/>
              <w:right w:val="dashed" w:sz="4" w:space="0" w:color="auto"/>
            </w:tcBorders>
            <w:shd w:val="clear" w:color="auto" w:fill="auto"/>
            <w:noWrap/>
            <w:vAlign w:val="bottom"/>
            <w:hideMark/>
          </w:tcPr>
          <w:p w14:paraId="5C7BA0F8"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127,1</w:t>
            </w:r>
          </w:p>
        </w:tc>
        <w:tc>
          <w:tcPr>
            <w:tcW w:w="1414" w:type="dxa"/>
            <w:tcBorders>
              <w:top w:val="nil"/>
              <w:left w:val="nil"/>
              <w:bottom w:val="dashed" w:sz="4" w:space="0" w:color="auto"/>
              <w:right w:val="dashed" w:sz="4" w:space="0" w:color="auto"/>
            </w:tcBorders>
            <w:shd w:val="clear" w:color="auto" w:fill="auto"/>
            <w:noWrap/>
            <w:vAlign w:val="bottom"/>
            <w:hideMark/>
          </w:tcPr>
          <w:p w14:paraId="0DDB21FD"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128,4</w:t>
            </w:r>
          </w:p>
        </w:tc>
        <w:tc>
          <w:tcPr>
            <w:tcW w:w="1414" w:type="dxa"/>
            <w:tcBorders>
              <w:top w:val="nil"/>
              <w:left w:val="nil"/>
              <w:bottom w:val="dashed" w:sz="4" w:space="0" w:color="auto"/>
              <w:right w:val="dashed" w:sz="4" w:space="0" w:color="auto"/>
            </w:tcBorders>
            <w:shd w:val="clear" w:color="auto" w:fill="auto"/>
            <w:noWrap/>
            <w:vAlign w:val="bottom"/>
            <w:hideMark/>
          </w:tcPr>
          <w:p w14:paraId="2AB39CDC"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138,2</w:t>
            </w:r>
          </w:p>
        </w:tc>
        <w:tc>
          <w:tcPr>
            <w:tcW w:w="1414" w:type="dxa"/>
            <w:tcBorders>
              <w:top w:val="nil"/>
              <w:left w:val="nil"/>
              <w:bottom w:val="dashed" w:sz="4" w:space="0" w:color="auto"/>
              <w:right w:val="double" w:sz="6" w:space="0" w:color="auto"/>
            </w:tcBorders>
            <w:shd w:val="clear" w:color="auto" w:fill="auto"/>
            <w:noWrap/>
            <w:vAlign w:val="bottom"/>
            <w:hideMark/>
          </w:tcPr>
          <w:p w14:paraId="4795755E"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141,1</w:t>
            </w:r>
          </w:p>
        </w:tc>
      </w:tr>
      <w:tr w:rsidR="00F27773" w:rsidRPr="00F27773" w14:paraId="0B5E443E" w14:textId="77777777" w:rsidTr="00F27773">
        <w:trPr>
          <w:trHeight w:val="263"/>
        </w:trPr>
        <w:tc>
          <w:tcPr>
            <w:tcW w:w="5574" w:type="dxa"/>
            <w:tcBorders>
              <w:top w:val="nil"/>
              <w:left w:val="double" w:sz="6" w:space="0" w:color="auto"/>
              <w:bottom w:val="dotted" w:sz="4" w:space="0" w:color="auto"/>
              <w:right w:val="single" w:sz="8" w:space="0" w:color="auto"/>
            </w:tcBorders>
            <w:shd w:val="clear" w:color="auto" w:fill="auto"/>
            <w:hideMark/>
          </w:tcPr>
          <w:p w14:paraId="4CBBEE39" w14:textId="77777777" w:rsidR="00F27773" w:rsidRPr="00F27773" w:rsidRDefault="00F27773" w:rsidP="00F27773">
            <w:pPr>
              <w:spacing w:after="0"/>
              <w:ind w:firstLineChars="100" w:firstLine="200"/>
              <w:jc w:val="left"/>
              <w:rPr>
                <w:rFonts w:eastAsia="Times New Roman" w:cs="Times New Roman"/>
                <w:sz w:val="20"/>
                <w:szCs w:val="20"/>
              </w:rPr>
            </w:pPr>
            <w:r w:rsidRPr="00F27773">
              <w:rPr>
                <w:rFonts w:eastAsia="Times New Roman" w:cs="Times New Roman"/>
                <w:sz w:val="20"/>
                <w:szCs w:val="20"/>
              </w:rPr>
              <w:t>5. Nominal Unit Labour Costs</w:t>
            </w:r>
          </w:p>
        </w:tc>
        <w:tc>
          <w:tcPr>
            <w:tcW w:w="1395" w:type="dxa"/>
            <w:tcBorders>
              <w:top w:val="nil"/>
              <w:left w:val="nil"/>
              <w:bottom w:val="dotted" w:sz="4" w:space="0" w:color="auto"/>
              <w:right w:val="single" w:sz="8" w:space="0" w:color="auto"/>
            </w:tcBorders>
            <w:shd w:val="clear" w:color="auto" w:fill="auto"/>
            <w:hideMark/>
          </w:tcPr>
          <w:p w14:paraId="60AEF1B2" w14:textId="77777777" w:rsidR="00F27773" w:rsidRPr="00F27773" w:rsidRDefault="00F27773" w:rsidP="00F27773">
            <w:pPr>
              <w:spacing w:after="0"/>
              <w:jc w:val="center"/>
              <w:rPr>
                <w:rFonts w:eastAsia="Times New Roman" w:cs="Times New Roman"/>
                <w:sz w:val="18"/>
                <w:szCs w:val="18"/>
              </w:rPr>
            </w:pPr>
            <w:r w:rsidRPr="00F27773">
              <w:rPr>
                <w:rFonts w:eastAsia="Times New Roman" w:cs="Times New Roman"/>
                <w:sz w:val="18"/>
                <w:szCs w:val="18"/>
              </w:rPr>
              <w:t>Index</w:t>
            </w:r>
          </w:p>
        </w:tc>
        <w:tc>
          <w:tcPr>
            <w:tcW w:w="1452" w:type="dxa"/>
            <w:tcBorders>
              <w:top w:val="nil"/>
              <w:left w:val="nil"/>
              <w:bottom w:val="dashed" w:sz="4" w:space="0" w:color="auto"/>
              <w:right w:val="dashed" w:sz="4" w:space="0" w:color="auto"/>
            </w:tcBorders>
            <w:shd w:val="clear" w:color="auto" w:fill="auto"/>
            <w:noWrap/>
            <w:vAlign w:val="bottom"/>
            <w:hideMark/>
          </w:tcPr>
          <w:p w14:paraId="327B3692"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c>
          <w:tcPr>
            <w:tcW w:w="1337" w:type="dxa"/>
            <w:tcBorders>
              <w:top w:val="nil"/>
              <w:left w:val="nil"/>
              <w:bottom w:val="dashed" w:sz="4" w:space="0" w:color="auto"/>
              <w:right w:val="dashed" w:sz="4" w:space="0" w:color="auto"/>
            </w:tcBorders>
            <w:shd w:val="clear" w:color="auto" w:fill="auto"/>
            <w:noWrap/>
            <w:vAlign w:val="bottom"/>
            <w:hideMark/>
          </w:tcPr>
          <w:p w14:paraId="3BE95103"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c>
          <w:tcPr>
            <w:tcW w:w="1395" w:type="dxa"/>
            <w:tcBorders>
              <w:top w:val="nil"/>
              <w:left w:val="nil"/>
              <w:bottom w:val="dashed" w:sz="4" w:space="0" w:color="auto"/>
              <w:right w:val="dashed" w:sz="4" w:space="0" w:color="auto"/>
            </w:tcBorders>
            <w:shd w:val="clear" w:color="auto" w:fill="auto"/>
            <w:noWrap/>
            <w:vAlign w:val="bottom"/>
            <w:hideMark/>
          </w:tcPr>
          <w:p w14:paraId="00D5AEFE"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c>
          <w:tcPr>
            <w:tcW w:w="1414" w:type="dxa"/>
            <w:tcBorders>
              <w:top w:val="nil"/>
              <w:left w:val="nil"/>
              <w:bottom w:val="dashed" w:sz="4" w:space="0" w:color="auto"/>
              <w:right w:val="dashed" w:sz="4" w:space="0" w:color="auto"/>
            </w:tcBorders>
            <w:shd w:val="clear" w:color="auto" w:fill="auto"/>
            <w:noWrap/>
            <w:vAlign w:val="bottom"/>
            <w:hideMark/>
          </w:tcPr>
          <w:p w14:paraId="20A70404"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c>
          <w:tcPr>
            <w:tcW w:w="1414" w:type="dxa"/>
            <w:tcBorders>
              <w:top w:val="nil"/>
              <w:left w:val="nil"/>
              <w:bottom w:val="dashed" w:sz="4" w:space="0" w:color="auto"/>
              <w:right w:val="dashed" w:sz="4" w:space="0" w:color="auto"/>
            </w:tcBorders>
            <w:shd w:val="clear" w:color="auto" w:fill="auto"/>
            <w:noWrap/>
            <w:vAlign w:val="bottom"/>
            <w:hideMark/>
          </w:tcPr>
          <w:p w14:paraId="4251DAB5"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c>
          <w:tcPr>
            <w:tcW w:w="1414" w:type="dxa"/>
            <w:tcBorders>
              <w:top w:val="nil"/>
              <w:left w:val="nil"/>
              <w:bottom w:val="dashed" w:sz="4" w:space="0" w:color="auto"/>
              <w:right w:val="double" w:sz="6" w:space="0" w:color="auto"/>
            </w:tcBorders>
            <w:shd w:val="clear" w:color="auto" w:fill="auto"/>
            <w:noWrap/>
            <w:vAlign w:val="bottom"/>
            <w:hideMark/>
          </w:tcPr>
          <w:p w14:paraId="59401B25"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 </w:t>
            </w:r>
          </w:p>
        </w:tc>
      </w:tr>
      <w:tr w:rsidR="00F27773" w:rsidRPr="00F27773" w14:paraId="45880013" w14:textId="77777777" w:rsidTr="00F27773">
        <w:trPr>
          <w:trHeight w:val="263"/>
        </w:trPr>
        <w:tc>
          <w:tcPr>
            <w:tcW w:w="5574" w:type="dxa"/>
            <w:tcBorders>
              <w:top w:val="nil"/>
              <w:left w:val="double" w:sz="6" w:space="0" w:color="auto"/>
              <w:bottom w:val="dotted" w:sz="4" w:space="0" w:color="auto"/>
              <w:right w:val="single" w:sz="8" w:space="0" w:color="auto"/>
            </w:tcBorders>
            <w:shd w:val="clear" w:color="auto" w:fill="auto"/>
            <w:hideMark/>
          </w:tcPr>
          <w:p w14:paraId="3A6CC448" w14:textId="27A0A914" w:rsidR="00F27773" w:rsidRPr="00F27773" w:rsidRDefault="00F27773" w:rsidP="00F27773">
            <w:pPr>
              <w:spacing w:after="0"/>
              <w:ind w:firstLineChars="100" w:firstLine="200"/>
              <w:jc w:val="left"/>
              <w:rPr>
                <w:rFonts w:eastAsia="Times New Roman" w:cs="Times New Roman"/>
                <w:sz w:val="20"/>
                <w:szCs w:val="20"/>
              </w:rPr>
            </w:pPr>
            <w:r w:rsidRPr="00F27773">
              <w:rPr>
                <w:rFonts w:eastAsia="Times New Roman" w:cs="Times New Roman"/>
                <w:sz w:val="20"/>
                <w:szCs w:val="20"/>
              </w:rPr>
              <w:t>6. Private sector credit flow</w:t>
            </w:r>
            <w:r>
              <w:rPr>
                <w:rFonts w:eastAsia="Times New Roman" w:cs="Times New Roman"/>
                <w:sz w:val="20"/>
                <w:szCs w:val="20"/>
              </w:rPr>
              <w:t xml:space="preserve"> </w:t>
            </w:r>
            <w:r w:rsidRPr="00335E75">
              <w:rPr>
                <w:rFonts w:eastAsia="Times New Roman" w:cs="Times New Roman"/>
                <w:sz w:val="16"/>
                <w:szCs w:val="16"/>
              </w:rPr>
              <w:t>[1]</w:t>
            </w:r>
          </w:p>
        </w:tc>
        <w:tc>
          <w:tcPr>
            <w:tcW w:w="1395" w:type="dxa"/>
            <w:tcBorders>
              <w:top w:val="nil"/>
              <w:left w:val="nil"/>
              <w:bottom w:val="dotted" w:sz="4" w:space="0" w:color="auto"/>
              <w:right w:val="single" w:sz="8" w:space="0" w:color="auto"/>
            </w:tcBorders>
            <w:shd w:val="clear" w:color="auto" w:fill="auto"/>
            <w:hideMark/>
          </w:tcPr>
          <w:p w14:paraId="79B2DC1D" w14:textId="77777777" w:rsidR="00F27773" w:rsidRPr="00F27773" w:rsidRDefault="00F27773" w:rsidP="00F27773">
            <w:pPr>
              <w:spacing w:after="0"/>
              <w:jc w:val="center"/>
              <w:rPr>
                <w:rFonts w:eastAsia="Times New Roman" w:cs="Times New Roman"/>
                <w:sz w:val="18"/>
                <w:szCs w:val="18"/>
              </w:rPr>
            </w:pPr>
            <w:r w:rsidRPr="00F27773">
              <w:rPr>
                <w:rFonts w:eastAsia="Times New Roman" w:cs="Times New Roman"/>
                <w:sz w:val="18"/>
                <w:szCs w:val="18"/>
              </w:rPr>
              <w:t>bn NCU</w:t>
            </w:r>
          </w:p>
        </w:tc>
        <w:tc>
          <w:tcPr>
            <w:tcW w:w="1452" w:type="dxa"/>
            <w:tcBorders>
              <w:top w:val="nil"/>
              <w:left w:val="nil"/>
              <w:bottom w:val="dashed" w:sz="4" w:space="0" w:color="auto"/>
              <w:right w:val="dashed" w:sz="4" w:space="0" w:color="auto"/>
            </w:tcBorders>
            <w:shd w:val="clear" w:color="auto" w:fill="auto"/>
            <w:noWrap/>
            <w:vAlign w:val="bottom"/>
            <w:hideMark/>
          </w:tcPr>
          <w:p w14:paraId="5DB33C32"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178,4</w:t>
            </w:r>
          </w:p>
        </w:tc>
        <w:tc>
          <w:tcPr>
            <w:tcW w:w="1337" w:type="dxa"/>
            <w:tcBorders>
              <w:top w:val="nil"/>
              <w:left w:val="nil"/>
              <w:bottom w:val="dashed" w:sz="4" w:space="0" w:color="auto"/>
              <w:right w:val="dashed" w:sz="4" w:space="0" w:color="auto"/>
            </w:tcBorders>
            <w:shd w:val="clear" w:color="auto" w:fill="auto"/>
            <w:noWrap/>
            <w:vAlign w:val="bottom"/>
            <w:hideMark/>
          </w:tcPr>
          <w:p w14:paraId="40192727"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219,4</w:t>
            </w:r>
          </w:p>
        </w:tc>
        <w:tc>
          <w:tcPr>
            <w:tcW w:w="1395" w:type="dxa"/>
            <w:tcBorders>
              <w:top w:val="nil"/>
              <w:left w:val="nil"/>
              <w:bottom w:val="dashed" w:sz="4" w:space="0" w:color="auto"/>
              <w:right w:val="dashed" w:sz="4" w:space="0" w:color="auto"/>
            </w:tcBorders>
            <w:shd w:val="clear" w:color="auto" w:fill="auto"/>
            <w:noWrap/>
            <w:vAlign w:val="bottom"/>
            <w:hideMark/>
          </w:tcPr>
          <w:p w14:paraId="1FFFC69B"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222,9</w:t>
            </w:r>
          </w:p>
        </w:tc>
        <w:tc>
          <w:tcPr>
            <w:tcW w:w="1414" w:type="dxa"/>
            <w:tcBorders>
              <w:top w:val="nil"/>
              <w:left w:val="nil"/>
              <w:bottom w:val="dashed" w:sz="4" w:space="0" w:color="auto"/>
              <w:right w:val="dashed" w:sz="4" w:space="0" w:color="auto"/>
            </w:tcBorders>
            <w:shd w:val="clear" w:color="auto" w:fill="auto"/>
            <w:noWrap/>
            <w:vAlign w:val="bottom"/>
            <w:hideMark/>
          </w:tcPr>
          <w:p w14:paraId="3272EE11"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139,6</w:t>
            </w:r>
          </w:p>
        </w:tc>
        <w:tc>
          <w:tcPr>
            <w:tcW w:w="1414" w:type="dxa"/>
            <w:tcBorders>
              <w:top w:val="nil"/>
              <w:left w:val="nil"/>
              <w:bottom w:val="dashed" w:sz="4" w:space="0" w:color="auto"/>
              <w:right w:val="dashed" w:sz="4" w:space="0" w:color="auto"/>
            </w:tcBorders>
            <w:shd w:val="clear" w:color="auto" w:fill="auto"/>
            <w:noWrap/>
            <w:vAlign w:val="bottom"/>
            <w:hideMark/>
          </w:tcPr>
          <w:p w14:paraId="7E23E022"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49,0</w:t>
            </w:r>
          </w:p>
        </w:tc>
        <w:tc>
          <w:tcPr>
            <w:tcW w:w="1414" w:type="dxa"/>
            <w:tcBorders>
              <w:top w:val="nil"/>
              <w:left w:val="nil"/>
              <w:bottom w:val="dashed" w:sz="4" w:space="0" w:color="auto"/>
              <w:right w:val="double" w:sz="6" w:space="0" w:color="auto"/>
            </w:tcBorders>
            <w:shd w:val="clear" w:color="auto" w:fill="auto"/>
            <w:noWrap/>
            <w:vAlign w:val="bottom"/>
            <w:hideMark/>
          </w:tcPr>
          <w:p w14:paraId="415A7003"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193,6</w:t>
            </w:r>
          </w:p>
        </w:tc>
      </w:tr>
      <w:tr w:rsidR="00F27773" w:rsidRPr="00F27773" w14:paraId="507BB0DA" w14:textId="77777777" w:rsidTr="00F27773">
        <w:trPr>
          <w:trHeight w:val="263"/>
        </w:trPr>
        <w:tc>
          <w:tcPr>
            <w:tcW w:w="5574" w:type="dxa"/>
            <w:tcBorders>
              <w:top w:val="nil"/>
              <w:left w:val="double" w:sz="6" w:space="0" w:color="auto"/>
              <w:bottom w:val="dotted" w:sz="4" w:space="0" w:color="auto"/>
              <w:right w:val="single" w:sz="8" w:space="0" w:color="auto"/>
            </w:tcBorders>
            <w:shd w:val="clear" w:color="auto" w:fill="auto"/>
            <w:hideMark/>
          </w:tcPr>
          <w:p w14:paraId="0D77C2B4" w14:textId="7C254341" w:rsidR="00F27773" w:rsidRPr="00F27773" w:rsidRDefault="00F27773" w:rsidP="00F27773">
            <w:pPr>
              <w:spacing w:after="0"/>
              <w:ind w:firstLineChars="100" w:firstLine="200"/>
              <w:jc w:val="left"/>
              <w:rPr>
                <w:rFonts w:eastAsia="Times New Roman" w:cs="Times New Roman"/>
                <w:sz w:val="20"/>
                <w:szCs w:val="20"/>
              </w:rPr>
            </w:pPr>
            <w:r w:rsidRPr="00F27773">
              <w:rPr>
                <w:rFonts w:eastAsia="Times New Roman" w:cs="Times New Roman"/>
                <w:sz w:val="20"/>
                <w:szCs w:val="20"/>
              </w:rPr>
              <w:t>7. Private sector debt</w:t>
            </w:r>
            <w:r>
              <w:rPr>
                <w:rFonts w:eastAsia="Times New Roman" w:cs="Times New Roman"/>
                <w:sz w:val="20"/>
                <w:szCs w:val="20"/>
              </w:rPr>
              <w:t xml:space="preserve"> </w:t>
            </w:r>
            <w:r>
              <w:rPr>
                <w:rFonts w:eastAsia="Times New Roman" w:cs="Times New Roman"/>
                <w:sz w:val="16"/>
                <w:szCs w:val="16"/>
              </w:rPr>
              <w:t>[2</w:t>
            </w:r>
            <w:r w:rsidRPr="00335E75">
              <w:rPr>
                <w:rFonts w:eastAsia="Times New Roman" w:cs="Times New Roman"/>
                <w:sz w:val="16"/>
                <w:szCs w:val="16"/>
              </w:rPr>
              <w:t>]</w:t>
            </w:r>
          </w:p>
        </w:tc>
        <w:tc>
          <w:tcPr>
            <w:tcW w:w="1395" w:type="dxa"/>
            <w:tcBorders>
              <w:top w:val="nil"/>
              <w:left w:val="nil"/>
              <w:bottom w:val="dotted" w:sz="4" w:space="0" w:color="auto"/>
              <w:right w:val="single" w:sz="8" w:space="0" w:color="auto"/>
            </w:tcBorders>
            <w:shd w:val="clear" w:color="auto" w:fill="auto"/>
            <w:hideMark/>
          </w:tcPr>
          <w:p w14:paraId="46753926" w14:textId="77777777" w:rsidR="00F27773" w:rsidRPr="00F27773" w:rsidRDefault="00F27773" w:rsidP="00F27773">
            <w:pPr>
              <w:spacing w:after="0"/>
              <w:jc w:val="center"/>
              <w:rPr>
                <w:rFonts w:eastAsia="Times New Roman" w:cs="Times New Roman"/>
                <w:sz w:val="18"/>
                <w:szCs w:val="18"/>
              </w:rPr>
            </w:pPr>
            <w:r w:rsidRPr="00F27773">
              <w:rPr>
                <w:rFonts w:eastAsia="Times New Roman" w:cs="Times New Roman"/>
                <w:sz w:val="18"/>
                <w:szCs w:val="18"/>
              </w:rPr>
              <w:t>bn NCU</w:t>
            </w:r>
          </w:p>
        </w:tc>
        <w:tc>
          <w:tcPr>
            <w:tcW w:w="1452" w:type="dxa"/>
            <w:tcBorders>
              <w:top w:val="nil"/>
              <w:left w:val="nil"/>
              <w:bottom w:val="dashed" w:sz="4" w:space="0" w:color="auto"/>
              <w:right w:val="dashed" w:sz="4" w:space="0" w:color="auto"/>
            </w:tcBorders>
            <w:shd w:val="clear" w:color="auto" w:fill="auto"/>
            <w:noWrap/>
            <w:vAlign w:val="bottom"/>
            <w:hideMark/>
          </w:tcPr>
          <w:p w14:paraId="1A1E44C4"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2.268,1</w:t>
            </w:r>
          </w:p>
        </w:tc>
        <w:tc>
          <w:tcPr>
            <w:tcW w:w="1337" w:type="dxa"/>
            <w:tcBorders>
              <w:top w:val="nil"/>
              <w:left w:val="nil"/>
              <w:bottom w:val="dashed" w:sz="4" w:space="0" w:color="auto"/>
              <w:right w:val="dashed" w:sz="4" w:space="0" w:color="auto"/>
            </w:tcBorders>
            <w:shd w:val="clear" w:color="auto" w:fill="auto"/>
            <w:noWrap/>
            <w:vAlign w:val="bottom"/>
            <w:hideMark/>
          </w:tcPr>
          <w:p w14:paraId="1640E481"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2.487,4</w:t>
            </w:r>
          </w:p>
        </w:tc>
        <w:tc>
          <w:tcPr>
            <w:tcW w:w="1395" w:type="dxa"/>
            <w:tcBorders>
              <w:top w:val="nil"/>
              <w:left w:val="nil"/>
              <w:bottom w:val="dashed" w:sz="4" w:space="0" w:color="auto"/>
              <w:right w:val="dashed" w:sz="4" w:space="0" w:color="auto"/>
            </w:tcBorders>
            <w:shd w:val="clear" w:color="auto" w:fill="auto"/>
            <w:noWrap/>
            <w:vAlign w:val="bottom"/>
            <w:hideMark/>
          </w:tcPr>
          <w:p w14:paraId="528ADF69"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2.710,4</w:t>
            </w:r>
          </w:p>
        </w:tc>
        <w:tc>
          <w:tcPr>
            <w:tcW w:w="1414" w:type="dxa"/>
            <w:tcBorders>
              <w:top w:val="nil"/>
              <w:left w:val="nil"/>
              <w:bottom w:val="dashed" w:sz="4" w:space="0" w:color="auto"/>
              <w:right w:val="dashed" w:sz="4" w:space="0" w:color="auto"/>
            </w:tcBorders>
            <w:shd w:val="clear" w:color="auto" w:fill="auto"/>
            <w:noWrap/>
            <w:vAlign w:val="bottom"/>
            <w:hideMark/>
          </w:tcPr>
          <w:p w14:paraId="34A9A1FA"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2.850,0</w:t>
            </w:r>
          </w:p>
        </w:tc>
        <w:tc>
          <w:tcPr>
            <w:tcW w:w="1414" w:type="dxa"/>
            <w:tcBorders>
              <w:top w:val="nil"/>
              <w:left w:val="nil"/>
              <w:bottom w:val="dashed" w:sz="4" w:space="0" w:color="auto"/>
              <w:right w:val="dashed" w:sz="4" w:space="0" w:color="auto"/>
            </w:tcBorders>
            <w:shd w:val="clear" w:color="auto" w:fill="auto"/>
            <w:noWrap/>
            <w:vAlign w:val="bottom"/>
            <w:hideMark/>
          </w:tcPr>
          <w:p w14:paraId="6AB7BDB3"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2.898,9</w:t>
            </w:r>
          </w:p>
        </w:tc>
        <w:tc>
          <w:tcPr>
            <w:tcW w:w="1414" w:type="dxa"/>
            <w:tcBorders>
              <w:top w:val="nil"/>
              <w:left w:val="nil"/>
              <w:bottom w:val="dashed" w:sz="4" w:space="0" w:color="auto"/>
              <w:right w:val="double" w:sz="6" w:space="0" w:color="auto"/>
            </w:tcBorders>
            <w:shd w:val="clear" w:color="auto" w:fill="auto"/>
            <w:noWrap/>
            <w:vAlign w:val="bottom"/>
            <w:hideMark/>
          </w:tcPr>
          <w:p w14:paraId="25F5599D" w14:textId="77777777" w:rsidR="00F27773" w:rsidRPr="00F27773" w:rsidRDefault="00F27773" w:rsidP="00F27773">
            <w:pPr>
              <w:spacing w:after="0"/>
              <w:jc w:val="right"/>
              <w:rPr>
                <w:rFonts w:eastAsia="Times New Roman" w:cs="Times New Roman"/>
                <w:sz w:val="18"/>
                <w:szCs w:val="18"/>
              </w:rPr>
            </w:pPr>
            <w:r w:rsidRPr="00F27773">
              <w:rPr>
                <w:rFonts w:eastAsia="Times New Roman" w:cs="Times New Roman"/>
                <w:sz w:val="18"/>
                <w:szCs w:val="18"/>
              </w:rPr>
              <w:t>3.092,6</w:t>
            </w:r>
          </w:p>
        </w:tc>
      </w:tr>
      <w:tr w:rsidR="00F27773" w:rsidRPr="00F27773" w14:paraId="249C9F33" w14:textId="77777777" w:rsidTr="00F27773">
        <w:trPr>
          <w:trHeight w:val="271"/>
        </w:trPr>
        <w:tc>
          <w:tcPr>
            <w:tcW w:w="5574" w:type="dxa"/>
            <w:tcBorders>
              <w:top w:val="nil"/>
              <w:left w:val="double" w:sz="6" w:space="0" w:color="auto"/>
              <w:bottom w:val="double" w:sz="6" w:space="0" w:color="auto"/>
              <w:right w:val="single" w:sz="8" w:space="0" w:color="auto"/>
            </w:tcBorders>
            <w:shd w:val="clear" w:color="auto" w:fill="auto"/>
            <w:hideMark/>
          </w:tcPr>
          <w:p w14:paraId="343C8CB6" w14:textId="77777777" w:rsidR="00F27773" w:rsidRPr="00F27773" w:rsidRDefault="00F27773" w:rsidP="00F27773">
            <w:pPr>
              <w:spacing w:after="0"/>
              <w:ind w:firstLineChars="100" w:firstLine="200"/>
              <w:jc w:val="left"/>
              <w:rPr>
                <w:rFonts w:eastAsia="Times New Roman" w:cs="Times New Roman"/>
                <w:sz w:val="20"/>
                <w:szCs w:val="20"/>
              </w:rPr>
            </w:pPr>
            <w:r w:rsidRPr="00F27773">
              <w:rPr>
                <w:rFonts w:eastAsia="Times New Roman" w:cs="Times New Roman"/>
                <w:sz w:val="20"/>
                <w:szCs w:val="20"/>
              </w:rPr>
              <w:t>8. General Government Debt</w:t>
            </w:r>
          </w:p>
        </w:tc>
        <w:tc>
          <w:tcPr>
            <w:tcW w:w="1395" w:type="dxa"/>
            <w:tcBorders>
              <w:top w:val="dashed" w:sz="4" w:space="0" w:color="auto"/>
              <w:left w:val="nil"/>
              <w:bottom w:val="double" w:sz="6" w:space="0" w:color="auto"/>
              <w:right w:val="single" w:sz="8" w:space="0" w:color="auto"/>
            </w:tcBorders>
            <w:shd w:val="clear" w:color="auto" w:fill="auto"/>
            <w:noWrap/>
            <w:vAlign w:val="bottom"/>
            <w:hideMark/>
          </w:tcPr>
          <w:p w14:paraId="11EF0314" w14:textId="77777777" w:rsidR="00F27773" w:rsidRPr="00F27773" w:rsidRDefault="00F27773" w:rsidP="00F27773">
            <w:pPr>
              <w:spacing w:after="0"/>
              <w:jc w:val="center"/>
              <w:rPr>
                <w:rFonts w:eastAsia="Times New Roman" w:cs="Times New Roman"/>
                <w:sz w:val="20"/>
                <w:szCs w:val="20"/>
              </w:rPr>
            </w:pPr>
            <w:r w:rsidRPr="00F27773">
              <w:rPr>
                <w:rFonts w:eastAsia="Times New Roman" w:cs="Times New Roman"/>
                <w:sz w:val="20"/>
                <w:szCs w:val="20"/>
              </w:rPr>
              <w:t>bn NCU</w:t>
            </w:r>
          </w:p>
        </w:tc>
        <w:tc>
          <w:tcPr>
            <w:tcW w:w="1452" w:type="dxa"/>
            <w:tcBorders>
              <w:top w:val="nil"/>
              <w:left w:val="nil"/>
              <w:bottom w:val="double" w:sz="6" w:space="0" w:color="auto"/>
              <w:right w:val="dashed" w:sz="4" w:space="0" w:color="auto"/>
            </w:tcBorders>
            <w:shd w:val="clear" w:color="auto" w:fill="auto"/>
            <w:noWrap/>
            <w:vAlign w:val="bottom"/>
            <w:hideMark/>
          </w:tcPr>
          <w:p w14:paraId="1955CB64"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2.864,0</w:t>
            </w:r>
          </w:p>
        </w:tc>
        <w:tc>
          <w:tcPr>
            <w:tcW w:w="1337" w:type="dxa"/>
            <w:tcBorders>
              <w:top w:val="nil"/>
              <w:left w:val="nil"/>
              <w:bottom w:val="double" w:sz="6" w:space="0" w:color="auto"/>
              <w:right w:val="dashed" w:sz="4" w:space="0" w:color="auto"/>
            </w:tcBorders>
            <w:shd w:val="clear" w:color="auto" w:fill="auto"/>
            <w:noWrap/>
            <w:vAlign w:val="bottom"/>
            <w:hideMark/>
          </w:tcPr>
          <w:p w14:paraId="0B688CDB"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3.181,2</w:t>
            </w:r>
          </w:p>
        </w:tc>
        <w:tc>
          <w:tcPr>
            <w:tcW w:w="1395" w:type="dxa"/>
            <w:tcBorders>
              <w:top w:val="nil"/>
              <w:left w:val="nil"/>
              <w:bottom w:val="double" w:sz="6" w:space="0" w:color="auto"/>
              <w:right w:val="dashed" w:sz="4" w:space="0" w:color="auto"/>
            </w:tcBorders>
            <w:shd w:val="clear" w:color="auto" w:fill="auto"/>
            <w:noWrap/>
            <w:vAlign w:val="bottom"/>
            <w:hideMark/>
          </w:tcPr>
          <w:p w14:paraId="44F052A6"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3.581,8</w:t>
            </w:r>
          </w:p>
        </w:tc>
        <w:tc>
          <w:tcPr>
            <w:tcW w:w="1414" w:type="dxa"/>
            <w:tcBorders>
              <w:top w:val="nil"/>
              <w:left w:val="nil"/>
              <w:bottom w:val="double" w:sz="6" w:space="0" w:color="auto"/>
              <w:right w:val="dashed" w:sz="4" w:space="0" w:color="auto"/>
            </w:tcBorders>
            <w:shd w:val="clear" w:color="auto" w:fill="auto"/>
            <w:noWrap/>
            <w:vAlign w:val="bottom"/>
            <w:hideMark/>
          </w:tcPr>
          <w:p w14:paraId="529F80C5"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3.945,8</w:t>
            </w:r>
          </w:p>
        </w:tc>
        <w:tc>
          <w:tcPr>
            <w:tcW w:w="1414" w:type="dxa"/>
            <w:tcBorders>
              <w:top w:val="nil"/>
              <w:left w:val="nil"/>
              <w:bottom w:val="double" w:sz="6" w:space="0" w:color="auto"/>
              <w:right w:val="dashed" w:sz="4" w:space="0" w:color="auto"/>
            </w:tcBorders>
            <w:shd w:val="clear" w:color="auto" w:fill="auto"/>
            <w:noWrap/>
            <w:vAlign w:val="bottom"/>
            <w:hideMark/>
          </w:tcPr>
          <w:p w14:paraId="4C1BF6EF"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4.266,6</w:t>
            </w:r>
          </w:p>
        </w:tc>
        <w:tc>
          <w:tcPr>
            <w:tcW w:w="1414" w:type="dxa"/>
            <w:tcBorders>
              <w:top w:val="nil"/>
              <w:left w:val="nil"/>
              <w:bottom w:val="double" w:sz="6" w:space="0" w:color="auto"/>
              <w:right w:val="double" w:sz="6" w:space="0" w:color="auto"/>
            </w:tcBorders>
            <w:shd w:val="clear" w:color="auto" w:fill="auto"/>
            <w:noWrap/>
            <w:vAlign w:val="bottom"/>
            <w:hideMark/>
          </w:tcPr>
          <w:p w14:paraId="67DD01D8"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4.596,8</w:t>
            </w:r>
          </w:p>
        </w:tc>
      </w:tr>
      <w:tr w:rsidR="00F27773" w:rsidRPr="00F27773" w14:paraId="01349302" w14:textId="77777777" w:rsidTr="00F27773">
        <w:trPr>
          <w:trHeight w:val="271"/>
        </w:trPr>
        <w:tc>
          <w:tcPr>
            <w:tcW w:w="5574" w:type="dxa"/>
            <w:tcBorders>
              <w:top w:val="nil"/>
              <w:left w:val="double" w:sz="6" w:space="0" w:color="auto"/>
              <w:bottom w:val="dotted" w:sz="4" w:space="0" w:color="auto"/>
              <w:right w:val="single" w:sz="8" w:space="0" w:color="auto"/>
            </w:tcBorders>
            <w:shd w:val="clear" w:color="auto" w:fill="auto"/>
            <w:hideMark/>
          </w:tcPr>
          <w:p w14:paraId="2794384D" w14:textId="77777777" w:rsidR="00F27773" w:rsidRPr="00F27773" w:rsidRDefault="00F27773" w:rsidP="00F27773">
            <w:pPr>
              <w:spacing w:after="0"/>
              <w:ind w:firstLineChars="100" w:firstLine="200"/>
              <w:jc w:val="left"/>
              <w:rPr>
                <w:rFonts w:eastAsia="Times New Roman" w:cs="Times New Roman"/>
                <w:sz w:val="20"/>
                <w:szCs w:val="20"/>
              </w:rPr>
            </w:pPr>
            <w:r w:rsidRPr="00F27773">
              <w:rPr>
                <w:rFonts w:eastAsia="Times New Roman" w:cs="Times New Roman"/>
                <w:sz w:val="20"/>
                <w:szCs w:val="20"/>
              </w:rPr>
              <w:t>p.m. GDP at current market prices</w:t>
            </w:r>
          </w:p>
        </w:tc>
        <w:tc>
          <w:tcPr>
            <w:tcW w:w="1395" w:type="dxa"/>
            <w:tcBorders>
              <w:top w:val="nil"/>
              <w:left w:val="nil"/>
              <w:bottom w:val="dotted" w:sz="4" w:space="0" w:color="auto"/>
              <w:right w:val="single" w:sz="8" w:space="0" w:color="auto"/>
            </w:tcBorders>
            <w:shd w:val="clear" w:color="auto" w:fill="auto"/>
            <w:hideMark/>
          </w:tcPr>
          <w:p w14:paraId="7C40B477" w14:textId="77777777" w:rsidR="00F27773" w:rsidRPr="00F27773" w:rsidRDefault="00F27773" w:rsidP="00F27773">
            <w:pPr>
              <w:spacing w:after="0"/>
              <w:jc w:val="center"/>
              <w:rPr>
                <w:rFonts w:eastAsia="Times New Roman" w:cs="Times New Roman"/>
                <w:sz w:val="18"/>
                <w:szCs w:val="18"/>
              </w:rPr>
            </w:pPr>
            <w:r w:rsidRPr="00F27773">
              <w:rPr>
                <w:rFonts w:eastAsia="Times New Roman" w:cs="Times New Roman"/>
                <w:sz w:val="18"/>
                <w:szCs w:val="18"/>
              </w:rPr>
              <w:t>bn NCU</w:t>
            </w:r>
          </w:p>
        </w:tc>
        <w:tc>
          <w:tcPr>
            <w:tcW w:w="1452" w:type="dxa"/>
            <w:tcBorders>
              <w:top w:val="dashed" w:sz="4" w:space="0" w:color="auto"/>
              <w:left w:val="nil"/>
              <w:bottom w:val="dashed" w:sz="4" w:space="0" w:color="auto"/>
              <w:right w:val="dashed" w:sz="4" w:space="0" w:color="auto"/>
            </w:tcBorders>
            <w:shd w:val="clear" w:color="auto" w:fill="auto"/>
            <w:noWrap/>
            <w:vAlign w:val="bottom"/>
            <w:hideMark/>
          </w:tcPr>
          <w:p w14:paraId="595838E8"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5.669,2</w:t>
            </w:r>
          </w:p>
        </w:tc>
        <w:tc>
          <w:tcPr>
            <w:tcW w:w="1337" w:type="dxa"/>
            <w:tcBorders>
              <w:top w:val="dashed" w:sz="4" w:space="0" w:color="auto"/>
              <w:left w:val="nil"/>
              <w:bottom w:val="dashed" w:sz="4" w:space="0" w:color="auto"/>
              <w:right w:val="dashed" w:sz="4" w:space="0" w:color="auto"/>
            </w:tcBorders>
            <w:shd w:val="clear" w:color="auto" w:fill="auto"/>
            <w:noWrap/>
            <w:vAlign w:val="bottom"/>
            <w:hideMark/>
          </w:tcPr>
          <w:p w14:paraId="288C09E7"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5.764,1</w:t>
            </w:r>
          </w:p>
        </w:tc>
        <w:tc>
          <w:tcPr>
            <w:tcW w:w="1395" w:type="dxa"/>
            <w:tcBorders>
              <w:top w:val="dashed" w:sz="4" w:space="0" w:color="auto"/>
              <w:left w:val="nil"/>
              <w:bottom w:val="dashed" w:sz="4" w:space="0" w:color="auto"/>
              <w:right w:val="dashed" w:sz="4" w:space="0" w:color="auto"/>
            </w:tcBorders>
            <w:shd w:val="clear" w:color="auto" w:fill="auto"/>
            <w:noWrap/>
            <w:vAlign w:val="bottom"/>
            <w:hideMark/>
          </w:tcPr>
          <w:p w14:paraId="1F64B2CB"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6.576,0</w:t>
            </w:r>
          </w:p>
        </w:tc>
        <w:tc>
          <w:tcPr>
            <w:tcW w:w="1414" w:type="dxa"/>
            <w:tcBorders>
              <w:top w:val="dashed" w:sz="4" w:space="0" w:color="auto"/>
              <w:left w:val="nil"/>
              <w:bottom w:val="dashed" w:sz="4" w:space="0" w:color="auto"/>
              <w:right w:val="dashed" w:sz="4" w:space="0" w:color="auto"/>
            </w:tcBorders>
            <w:shd w:val="clear" w:color="auto" w:fill="auto"/>
            <w:noWrap/>
            <w:vAlign w:val="bottom"/>
            <w:hideMark/>
          </w:tcPr>
          <w:p w14:paraId="752BE159"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7.458,8</w:t>
            </w:r>
          </w:p>
        </w:tc>
        <w:tc>
          <w:tcPr>
            <w:tcW w:w="1414" w:type="dxa"/>
            <w:tcBorders>
              <w:top w:val="dashed" w:sz="4" w:space="0" w:color="auto"/>
              <w:left w:val="nil"/>
              <w:bottom w:val="dashed" w:sz="4" w:space="0" w:color="auto"/>
              <w:right w:val="dashed" w:sz="4" w:space="0" w:color="auto"/>
            </w:tcBorders>
            <w:shd w:val="clear" w:color="auto" w:fill="auto"/>
            <w:noWrap/>
            <w:vAlign w:val="bottom"/>
            <w:hideMark/>
          </w:tcPr>
          <w:p w14:paraId="2F70F7BD"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8.817,8</w:t>
            </w:r>
          </w:p>
        </w:tc>
        <w:tc>
          <w:tcPr>
            <w:tcW w:w="1414" w:type="dxa"/>
            <w:tcBorders>
              <w:top w:val="dashed" w:sz="4" w:space="0" w:color="auto"/>
              <w:left w:val="nil"/>
              <w:bottom w:val="dashed" w:sz="4" w:space="0" w:color="auto"/>
              <w:right w:val="double" w:sz="6" w:space="0" w:color="auto"/>
            </w:tcBorders>
            <w:shd w:val="clear" w:color="auto" w:fill="auto"/>
            <w:noWrap/>
            <w:vAlign w:val="bottom"/>
            <w:hideMark/>
          </w:tcPr>
          <w:p w14:paraId="1BDCD06C"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9.604,8</w:t>
            </w:r>
          </w:p>
        </w:tc>
      </w:tr>
      <w:tr w:rsidR="00F27773" w:rsidRPr="00F27773" w14:paraId="36CA2B3A" w14:textId="77777777" w:rsidTr="00F27773">
        <w:trPr>
          <w:trHeight w:val="271"/>
        </w:trPr>
        <w:tc>
          <w:tcPr>
            <w:tcW w:w="5574" w:type="dxa"/>
            <w:tcBorders>
              <w:top w:val="nil"/>
              <w:left w:val="double" w:sz="6" w:space="0" w:color="auto"/>
              <w:bottom w:val="double" w:sz="6" w:space="0" w:color="auto"/>
              <w:right w:val="single" w:sz="8" w:space="0" w:color="auto"/>
            </w:tcBorders>
            <w:shd w:val="clear" w:color="auto" w:fill="auto"/>
            <w:hideMark/>
          </w:tcPr>
          <w:p w14:paraId="58F86A0C" w14:textId="624A7CAB" w:rsidR="00F27773" w:rsidRPr="00F27773" w:rsidRDefault="00F27773" w:rsidP="00F27773">
            <w:pPr>
              <w:spacing w:after="0"/>
              <w:ind w:firstLineChars="100" w:firstLine="200"/>
              <w:jc w:val="left"/>
              <w:rPr>
                <w:rFonts w:eastAsia="Times New Roman" w:cs="Times New Roman"/>
                <w:sz w:val="20"/>
                <w:szCs w:val="20"/>
              </w:rPr>
            </w:pPr>
            <w:r w:rsidRPr="00F27773">
              <w:rPr>
                <w:rFonts w:eastAsia="Times New Roman" w:cs="Times New Roman"/>
                <w:sz w:val="20"/>
                <w:szCs w:val="20"/>
              </w:rPr>
              <w:t>p.m. Exchange rate (Annual average)</w:t>
            </w:r>
            <w:r>
              <w:rPr>
                <w:rFonts w:eastAsia="Times New Roman" w:cs="Times New Roman"/>
                <w:sz w:val="20"/>
                <w:szCs w:val="20"/>
              </w:rPr>
              <w:t xml:space="preserve"> </w:t>
            </w:r>
            <w:r>
              <w:rPr>
                <w:rFonts w:eastAsia="Times New Roman" w:cs="Times New Roman"/>
                <w:sz w:val="16"/>
                <w:szCs w:val="16"/>
              </w:rPr>
              <w:t>[3</w:t>
            </w:r>
            <w:r w:rsidRPr="00335E75">
              <w:rPr>
                <w:rFonts w:eastAsia="Times New Roman" w:cs="Times New Roman"/>
                <w:sz w:val="16"/>
                <w:szCs w:val="16"/>
              </w:rPr>
              <w:t>]</w:t>
            </w:r>
          </w:p>
        </w:tc>
        <w:tc>
          <w:tcPr>
            <w:tcW w:w="1395" w:type="dxa"/>
            <w:tcBorders>
              <w:top w:val="dashed" w:sz="4" w:space="0" w:color="auto"/>
              <w:left w:val="nil"/>
              <w:bottom w:val="double" w:sz="6" w:space="0" w:color="auto"/>
              <w:right w:val="single" w:sz="8" w:space="0" w:color="auto"/>
            </w:tcBorders>
            <w:shd w:val="clear" w:color="auto" w:fill="auto"/>
            <w:noWrap/>
            <w:vAlign w:val="bottom"/>
            <w:hideMark/>
          </w:tcPr>
          <w:p w14:paraId="4D0942A6" w14:textId="77777777" w:rsidR="00F27773" w:rsidRPr="00F27773" w:rsidRDefault="00F27773" w:rsidP="00F27773">
            <w:pPr>
              <w:spacing w:after="0"/>
              <w:jc w:val="center"/>
              <w:rPr>
                <w:rFonts w:eastAsia="Times New Roman" w:cs="Times New Roman"/>
                <w:sz w:val="20"/>
                <w:szCs w:val="20"/>
              </w:rPr>
            </w:pPr>
            <w:r w:rsidRPr="00F27773">
              <w:rPr>
                <w:rFonts w:eastAsia="Times New Roman" w:cs="Times New Roman"/>
                <w:sz w:val="20"/>
                <w:szCs w:val="20"/>
              </w:rPr>
              <w:t>NCU/EUR</w:t>
            </w:r>
          </w:p>
        </w:tc>
        <w:tc>
          <w:tcPr>
            <w:tcW w:w="1452" w:type="dxa"/>
            <w:tcBorders>
              <w:top w:val="nil"/>
              <w:left w:val="nil"/>
              <w:bottom w:val="double" w:sz="6" w:space="0" w:color="auto"/>
              <w:right w:val="dashed" w:sz="4" w:space="0" w:color="auto"/>
            </w:tcBorders>
            <w:shd w:val="clear" w:color="auto" w:fill="auto"/>
            <w:noWrap/>
            <w:vAlign w:val="bottom"/>
            <w:hideMark/>
          </w:tcPr>
          <w:p w14:paraId="774EBC02"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117,85</w:t>
            </w:r>
          </w:p>
        </w:tc>
        <w:tc>
          <w:tcPr>
            <w:tcW w:w="1337" w:type="dxa"/>
            <w:tcBorders>
              <w:top w:val="nil"/>
              <w:left w:val="nil"/>
              <w:bottom w:val="double" w:sz="6" w:space="0" w:color="auto"/>
              <w:right w:val="dashed" w:sz="4" w:space="0" w:color="auto"/>
            </w:tcBorders>
            <w:shd w:val="clear" w:color="auto" w:fill="auto"/>
            <w:noWrap/>
            <w:vAlign w:val="bottom"/>
            <w:hideMark/>
          </w:tcPr>
          <w:p w14:paraId="228F9389"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117,58</w:t>
            </w:r>
          </w:p>
        </w:tc>
        <w:tc>
          <w:tcPr>
            <w:tcW w:w="1395" w:type="dxa"/>
            <w:tcBorders>
              <w:top w:val="nil"/>
              <w:left w:val="nil"/>
              <w:bottom w:val="double" w:sz="6" w:space="0" w:color="auto"/>
              <w:right w:val="dashed" w:sz="4" w:space="0" w:color="auto"/>
            </w:tcBorders>
            <w:shd w:val="clear" w:color="auto" w:fill="auto"/>
            <w:noWrap/>
            <w:vAlign w:val="bottom"/>
            <w:hideMark/>
          </w:tcPr>
          <w:p w14:paraId="791BBD84"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117,57</w:t>
            </w:r>
          </w:p>
        </w:tc>
        <w:tc>
          <w:tcPr>
            <w:tcW w:w="1414" w:type="dxa"/>
            <w:tcBorders>
              <w:top w:val="nil"/>
              <w:left w:val="nil"/>
              <w:bottom w:val="double" w:sz="6" w:space="0" w:color="auto"/>
              <w:right w:val="dashed" w:sz="4" w:space="0" w:color="auto"/>
            </w:tcBorders>
            <w:shd w:val="clear" w:color="auto" w:fill="auto"/>
            <w:noWrap/>
            <w:vAlign w:val="bottom"/>
            <w:hideMark/>
          </w:tcPr>
          <w:p w14:paraId="38426D7C"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117,5</w:t>
            </w:r>
          </w:p>
        </w:tc>
        <w:tc>
          <w:tcPr>
            <w:tcW w:w="1414" w:type="dxa"/>
            <w:tcBorders>
              <w:top w:val="nil"/>
              <w:left w:val="nil"/>
              <w:bottom w:val="double" w:sz="6" w:space="0" w:color="auto"/>
              <w:right w:val="dashed" w:sz="4" w:space="0" w:color="auto"/>
            </w:tcBorders>
            <w:shd w:val="clear" w:color="auto" w:fill="auto"/>
            <w:noWrap/>
            <w:vAlign w:val="bottom"/>
            <w:hideMark/>
          </w:tcPr>
          <w:p w14:paraId="676F03B0"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117,3</w:t>
            </w:r>
          </w:p>
        </w:tc>
        <w:tc>
          <w:tcPr>
            <w:tcW w:w="1414" w:type="dxa"/>
            <w:tcBorders>
              <w:top w:val="nil"/>
              <w:left w:val="nil"/>
              <w:bottom w:val="double" w:sz="6" w:space="0" w:color="auto"/>
              <w:right w:val="double" w:sz="6" w:space="0" w:color="auto"/>
            </w:tcBorders>
            <w:shd w:val="clear" w:color="auto" w:fill="auto"/>
            <w:noWrap/>
            <w:vAlign w:val="bottom"/>
            <w:hideMark/>
          </w:tcPr>
          <w:p w14:paraId="28ED6861" w14:textId="77777777" w:rsidR="00F27773" w:rsidRPr="00F27773" w:rsidRDefault="00F27773" w:rsidP="00F27773">
            <w:pPr>
              <w:spacing w:after="0"/>
              <w:jc w:val="right"/>
              <w:rPr>
                <w:rFonts w:eastAsia="Times New Roman" w:cs="Times New Roman"/>
                <w:sz w:val="20"/>
                <w:szCs w:val="20"/>
              </w:rPr>
            </w:pPr>
            <w:r w:rsidRPr="00F27773">
              <w:rPr>
                <w:rFonts w:eastAsia="Times New Roman" w:cs="Times New Roman"/>
                <w:sz w:val="20"/>
                <w:szCs w:val="20"/>
              </w:rPr>
              <w:t>117,1</w:t>
            </w:r>
          </w:p>
        </w:tc>
      </w:tr>
    </w:tbl>
    <w:p w14:paraId="01D83D76" w14:textId="5B2F677D" w:rsidR="00335E75" w:rsidRDefault="00F27773" w:rsidP="00F27773">
      <w:r>
        <w:fldChar w:fldCharType="end"/>
      </w:r>
    </w:p>
    <w:tbl>
      <w:tblPr>
        <w:tblW w:w="5800" w:type="dxa"/>
        <w:tblLook w:val="04A0" w:firstRow="1" w:lastRow="0" w:firstColumn="1" w:lastColumn="0" w:noHBand="0" w:noVBand="1"/>
      </w:tblPr>
      <w:tblGrid>
        <w:gridCol w:w="5800"/>
      </w:tblGrid>
      <w:tr w:rsidR="00F27773" w:rsidRPr="00335E75" w14:paraId="11E4CDC0" w14:textId="77777777" w:rsidTr="00046DD1">
        <w:trPr>
          <w:trHeight w:val="223"/>
        </w:trPr>
        <w:tc>
          <w:tcPr>
            <w:tcW w:w="5800" w:type="dxa"/>
            <w:tcBorders>
              <w:top w:val="nil"/>
              <w:left w:val="nil"/>
              <w:bottom w:val="nil"/>
              <w:right w:val="nil"/>
            </w:tcBorders>
            <w:shd w:val="clear" w:color="auto" w:fill="auto"/>
            <w:noWrap/>
            <w:hideMark/>
          </w:tcPr>
          <w:p w14:paraId="316885E1" w14:textId="616BCF14" w:rsidR="00F27773" w:rsidRPr="00335E75" w:rsidRDefault="00F27773" w:rsidP="00F27773">
            <w:pPr>
              <w:spacing w:after="0"/>
              <w:jc w:val="left"/>
              <w:rPr>
                <w:rFonts w:eastAsia="Times New Roman" w:cs="Times New Roman"/>
                <w:sz w:val="16"/>
                <w:szCs w:val="16"/>
              </w:rPr>
            </w:pPr>
            <w:r w:rsidRPr="00335E75">
              <w:rPr>
                <w:rFonts w:eastAsia="Times New Roman" w:cs="Times New Roman"/>
                <w:sz w:val="16"/>
                <w:szCs w:val="16"/>
              </w:rPr>
              <w:t xml:space="preserve">[1] </w:t>
            </w:r>
            <w:r>
              <w:rPr>
                <w:rFonts w:eastAsia="Times New Roman" w:cs="Times New Roman"/>
                <w:sz w:val="16"/>
                <w:szCs w:val="16"/>
              </w:rPr>
              <w:t>January – September 2024</w:t>
            </w:r>
          </w:p>
        </w:tc>
      </w:tr>
      <w:tr w:rsidR="00F27773" w:rsidRPr="00335E75" w14:paraId="0DC6B97A" w14:textId="77777777" w:rsidTr="00046DD1">
        <w:trPr>
          <w:trHeight w:val="215"/>
        </w:trPr>
        <w:tc>
          <w:tcPr>
            <w:tcW w:w="5800" w:type="dxa"/>
            <w:tcBorders>
              <w:top w:val="nil"/>
              <w:left w:val="nil"/>
              <w:bottom w:val="nil"/>
              <w:right w:val="nil"/>
            </w:tcBorders>
            <w:shd w:val="clear" w:color="auto" w:fill="auto"/>
            <w:noWrap/>
            <w:hideMark/>
          </w:tcPr>
          <w:p w14:paraId="11B5FD65" w14:textId="207D4D4A" w:rsidR="00F27773" w:rsidRPr="00335E75" w:rsidRDefault="00F27773" w:rsidP="00F27773">
            <w:pPr>
              <w:spacing w:after="0"/>
              <w:jc w:val="left"/>
              <w:rPr>
                <w:rFonts w:eastAsia="Times New Roman" w:cs="Times New Roman"/>
                <w:sz w:val="16"/>
                <w:szCs w:val="16"/>
              </w:rPr>
            </w:pPr>
            <w:r w:rsidRPr="00335E75">
              <w:rPr>
                <w:rFonts w:eastAsia="Times New Roman" w:cs="Times New Roman"/>
                <w:sz w:val="16"/>
                <w:szCs w:val="16"/>
              </w:rPr>
              <w:t xml:space="preserve">[2] </w:t>
            </w:r>
            <w:r>
              <w:rPr>
                <w:rFonts w:eastAsia="Times New Roman" w:cs="Times New Roman"/>
                <w:sz w:val="16"/>
                <w:szCs w:val="16"/>
              </w:rPr>
              <w:t>end September 2024</w:t>
            </w:r>
          </w:p>
        </w:tc>
      </w:tr>
      <w:tr w:rsidR="00F27773" w:rsidRPr="00335E75" w14:paraId="1D30F4F3" w14:textId="77777777" w:rsidTr="00046DD1">
        <w:trPr>
          <w:trHeight w:val="215"/>
        </w:trPr>
        <w:tc>
          <w:tcPr>
            <w:tcW w:w="5800" w:type="dxa"/>
            <w:tcBorders>
              <w:top w:val="nil"/>
              <w:left w:val="nil"/>
              <w:bottom w:val="nil"/>
              <w:right w:val="nil"/>
            </w:tcBorders>
            <w:shd w:val="clear" w:color="auto" w:fill="auto"/>
            <w:hideMark/>
          </w:tcPr>
          <w:p w14:paraId="1BC63020" w14:textId="4C48289A" w:rsidR="00F27773" w:rsidRPr="00335E75" w:rsidRDefault="00F27773" w:rsidP="00F27773">
            <w:pPr>
              <w:spacing w:after="0"/>
              <w:jc w:val="left"/>
              <w:rPr>
                <w:rFonts w:eastAsia="Times New Roman" w:cs="Times New Roman"/>
                <w:sz w:val="16"/>
                <w:szCs w:val="16"/>
              </w:rPr>
            </w:pPr>
            <w:r w:rsidRPr="00335E75">
              <w:rPr>
                <w:rFonts w:eastAsia="Times New Roman" w:cs="Times New Roman"/>
                <w:sz w:val="16"/>
                <w:szCs w:val="16"/>
              </w:rPr>
              <w:t xml:space="preserve">[3] </w:t>
            </w:r>
            <w:r>
              <w:rPr>
                <w:rFonts w:eastAsia="Times New Roman" w:cs="Times New Roman"/>
                <w:sz w:val="16"/>
                <w:szCs w:val="16"/>
              </w:rPr>
              <w:t>average January - September</w:t>
            </w:r>
          </w:p>
        </w:tc>
      </w:tr>
    </w:tbl>
    <w:p w14:paraId="003DBCA7" w14:textId="5EE58C8C" w:rsidR="001773C9" w:rsidRDefault="001773C9" w:rsidP="00F27773"/>
    <w:p w14:paraId="597F3185" w14:textId="77777777" w:rsidR="001773C9" w:rsidRPr="001773C9" w:rsidRDefault="001773C9" w:rsidP="001773C9"/>
    <w:p w14:paraId="0F4B6A7B" w14:textId="77777777" w:rsidR="001773C9" w:rsidRPr="001773C9" w:rsidRDefault="001773C9" w:rsidP="001773C9"/>
    <w:p w14:paraId="5C3C6FAA" w14:textId="77777777" w:rsidR="001773C9" w:rsidRPr="001773C9" w:rsidRDefault="001773C9" w:rsidP="001773C9"/>
    <w:p w14:paraId="067CA295" w14:textId="77777777" w:rsidR="001773C9" w:rsidRPr="001773C9" w:rsidRDefault="001773C9" w:rsidP="001773C9"/>
    <w:p w14:paraId="20B66781" w14:textId="77777777" w:rsidR="001773C9" w:rsidRPr="001773C9" w:rsidRDefault="001773C9" w:rsidP="001773C9"/>
    <w:p w14:paraId="6B288B83" w14:textId="77777777" w:rsidR="001773C9" w:rsidRPr="001773C9" w:rsidRDefault="001773C9" w:rsidP="001773C9"/>
    <w:p w14:paraId="14D89810" w14:textId="77777777" w:rsidR="001773C9" w:rsidRPr="001773C9" w:rsidRDefault="001773C9" w:rsidP="001773C9"/>
    <w:p w14:paraId="5F5A09F8" w14:textId="77777777" w:rsidR="001773C9" w:rsidRPr="001773C9" w:rsidRDefault="001773C9" w:rsidP="001773C9"/>
    <w:p w14:paraId="7AAA3660" w14:textId="77777777" w:rsidR="001773C9" w:rsidRPr="001773C9" w:rsidRDefault="001773C9" w:rsidP="001773C9"/>
    <w:p w14:paraId="274DC322" w14:textId="412D3FB9" w:rsidR="001773C9" w:rsidRDefault="001773C9" w:rsidP="001773C9"/>
    <w:p w14:paraId="7FF27239" w14:textId="1B2C6AA4" w:rsidR="001773C9" w:rsidRDefault="001773C9" w:rsidP="001773C9"/>
    <w:p w14:paraId="1203E096" w14:textId="5D4BDCA1" w:rsidR="001773C9" w:rsidRDefault="001773C9" w:rsidP="001773C9"/>
    <w:p w14:paraId="425BF40A" w14:textId="799E992E" w:rsidR="001773C9" w:rsidRDefault="001773C9" w:rsidP="001773C9">
      <w:r>
        <w:lastRenderedPageBreak/>
        <w:t>Table 1a: Macroeconomic prospects</w:t>
      </w:r>
    </w:p>
    <w:p w14:paraId="2D70CF57" w14:textId="24723071" w:rsidR="001773C9" w:rsidRDefault="001773C9" w:rsidP="001773C9">
      <w:pPr>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Tab1a-GDP!R4C2:R19C9 </w:instrText>
      </w:r>
      <w:r>
        <w:instrText xml:space="preserve">\a \f 4 \h  \* MERGEFORMAT </w:instrText>
      </w:r>
      <w:r>
        <w:fldChar w:fldCharType="separate"/>
      </w:r>
    </w:p>
    <w:tbl>
      <w:tblPr>
        <w:tblW w:w="15432" w:type="dxa"/>
        <w:tblLook w:val="04A0" w:firstRow="1" w:lastRow="0" w:firstColumn="1" w:lastColumn="0" w:noHBand="0" w:noVBand="1"/>
      </w:tblPr>
      <w:tblGrid>
        <w:gridCol w:w="5188"/>
        <w:gridCol w:w="1399"/>
        <w:gridCol w:w="1426"/>
        <w:gridCol w:w="1482"/>
        <w:gridCol w:w="1482"/>
        <w:gridCol w:w="1482"/>
        <w:gridCol w:w="1482"/>
        <w:gridCol w:w="1491"/>
      </w:tblGrid>
      <w:tr w:rsidR="001773C9" w:rsidRPr="001773C9" w14:paraId="6D5961F5" w14:textId="77777777" w:rsidTr="001773C9">
        <w:trPr>
          <w:trHeight w:val="427"/>
        </w:trPr>
        <w:tc>
          <w:tcPr>
            <w:tcW w:w="5188" w:type="dxa"/>
            <w:vMerge w:val="restart"/>
            <w:tcBorders>
              <w:top w:val="double" w:sz="6" w:space="0" w:color="auto"/>
              <w:left w:val="double" w:sz="6" w:space="0" w:color="auto"/>
              <w:bottom w:val="dotted" w:sz="4" w:space="0" w:color="000000"/>
              <w:right w:val="dotted" w:sz="4" w:space="0" w:color="auto"/>
            </w:tcBorders>
            <w:shd w:val="clear" w:color="000000" w:fill="FFFFFF"/>
            <w:vAlign w:val="bottom"/>
            <w:hideMark/>
          </w:tcPr>
          <w:p w14:paraId="3C32174A" w14:textId="3CB957F9"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Percentages unless otherwise indicated</w:t>
            </w:r>
          </w:p>
        </w:tc>
        <w:tc>
          <w:tcPr>
            <w:tcW w:w="1399" w:type="dxa"/>
            <w:vMerge w:val="restart"/>
            <w:tcBorders>
              <w:top w:val="double" w:sz="6" w:space="0" w:color="auto"/>
              <w:left w:val="dotted" w:sz="4" w:space="0" w:color="auto"/>
              <w:bottom w:val="dotted" w:sz="4" w:space="0" w:color="000000"/>
              <w:right w:val="single" w:sz="8" w:space="0" w:color="auto"/>
            </w:tcBorders>
            <w:shd w:val="clear" w:color="000000" w:fill="FFFFFF"/>
            <w:vAlign w:val="bottom"/>
            <w:hideMark/>
          </w:tcPr>
          <w:p w14:paraId="68B43CBC"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ESA Code</w:t>
            </w:r>
          </w:p>
        </w:tc>
        <w:tc>
          <w:tcPr>
            <w:tcW w:w="1426" w:type="dxa"/>
            <w:tcBorders>
              <w:top w:val="double" w:sz="6" w:space="0" w:color="auto"/>
              <w:left w:val="nil"/>
              <w:bottom w:val="nil"/>
              <w:right w:val="single" w:sz="8" w:space="0" w:color="auto"/>
            </w:tcBorders>
            <w:shd w:val="clear" w:color="000000" w:fill="FFFFFF"/>
            <w:vAlign w:val="bottom"/>
            <w:hideMark/>
          </w:tcPr>
          <w:p w14:paraId="658AE3BE"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Year</w:t>
            </w:r>
          </w:p>
        </w:tc>
        <w:tc>
          <w:tcPr>
            <w:tcW w:w="1482" w:type="dxa"/>
            <w:tcBorders>
              <w:top w:val="double" w:sz="6" w:space="0" w:color="auto"/>
              <w:left w:val="nil"/>
              <w:bottom w:val="nil"/>
              <w:right w:val="dotted" w:sz="4" w:space="0" w:color="auto"/>
            </w:tcBorders>
            <w:shd w:val="clear" w:color="000000" w:fill="FFFFFF"/>
            <w:vAlign w:val="bottom"/>
            <w:hideMark/>
          </w:tcPr>
          <w:p w14:paraId="1C4FDBFF"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Year</w:t>
            </w:r>
          </w:p>
        </w:tc>
        <w:tc>
          <w:tcPr>
            <w:tcW w:w="1482" w:type="dxa"/>
            <w:tcBorders>
              <w:top w:val="double" w:sz="6" w:space="0" w:color="auto"/>
              <w:left w:val="nil"/>
              <w:bottom w:val="nil"/>
              <w:right w:val="dotted" w:sz="4" w:space="0" w:color="auto"/>
            </w:tcBorders>
            <w:shd w:val="clear" w:color="000000" w:fill="FFFFFF"/>
            <w:vAlign w:val="bottom"/>
            <w:hideMark/>
          </w:tcPr>
          <w:p w14:paraId="3EB795A9"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Year</w:t>
            </w:r>
          </w:p>
        </w:tc>
        <w:tc>
          <w:tcPr>
            <w:tcW w:w="1482" w:type="dxa"/>
            <w:tcBorders>
              <w:top w:val="double" w:sz="6" w:space="0" w:color="auto"/>
              <w:left w:val="nil"/>
              <w:bottom w:val="nil"/>
              <w:right w:val="dotted" w:sz="4" w:space="0" w:color="auto"/>
            </w:tcBorders>
            <w:shd w:val="clear" w:color="000000" w:fill="FFFFFF"/>
            <w:vAlign w:val="bottom"/>
            <w:hideMark/>
          </w:tcPr>
          <w:p w14:paraId="23F54DF0"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Year</w:t>
            </w:r>
          </w:p>
        </w:tc>
        <w:tc>
          <w:tcPr>
            <w:tcW w:w="1482" w:type="dxa"/>
            <w:tcBorders>
              <w:top w:val="double" w:sz="6" w:space="0" w:color="auto"/>
              <w:left w:val="nil"/>
              <w:bottom w:val="nil"/>
              <w:right w:val="dotted" w:sz="4" w:space="0" w:color="auto"/>
            </w:tcBorders>
            <w:shd w:val="clear" w:color="000000" w:fill="FFFFFF"/>
            <w:vAlign w:val="bottom"/>
            <w:hideMark/>
          </w:tcPr>
          <w:p w14:paraId="14BBA5FD"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Year</w:t>
            </w:r>
          </w:p>
        </w:tc>
        <w:tc>
          <w:tcPr>
            <w:tcW w:w="1488" w:type="dxa"/>
            <w:tcBorders>
              <w:top w:val="double" w:sz="6" w:space="0" w:color="auto"/>
              <w:left w:val="nil"/>
              <w:bottom w:val="nil"/>
              <w:right w:val="double" w:sz="6" w:space="0" w:color="auto"/>
            </w:tcBorders>
            <w:shd w:val="clear" w:color="000000" w:fill="FFFFFF"/>
            <w:vAlign w:val="bottom"/>
            <w:hideMark/>
          </w:tcPr>
          <w:p w14:paraId="7DDB9E6B"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Year</w:t>
            </w:r>
          </w:p>
        </w:tc>
      </w:tr>
      <w:tr w:rsidR="001773C9" w:rsidRPr="001773C9" w14:paraId="439CBEC1" w14:textId="77777777" w:rsidTr="001773C9">
        <w:trPr>
          <w:trHeight w:val="427"/>
        </w:trPr>
        <w:tc>
          <w:tcPr>
            <w:tcW w:w="5188" w:type="dxa"/>
            <w:vMerge/>
            <w:tcBorders>
              <w:top w:val="double" w:sz="6" w:space="0" w:color="auto"/>
              <w:left w:val="double" w:sz="6" w:space="0" w:color="auto"/>
              <w:bottom w:val="dotted" w:sz="4" w:space="0" w:color="000000"/>
              <w:right w:val="dotted" w:sz="4" w:space="0" w:color="auto"/>
            </w:tcBorders>
            <w:vAlign w:val="center"/>
            <w:hideMark/>
          </w:tcPr>
          <w:p w14:paraId="190FF435" w14:textId="77777777" w:rsidR="001773C9" w:rsidRPr="001773C9" w:rsidRDefault="001773C9" w:rsidP="001773C9">
            <w:pPr>
              <w:spacing w:after="0"/>
              <w:jc w:val="left"/>
              <w:rPr>
                <w:rFonts w:eastAsia="Times New Roman" w:cs="Times New Roman"/>
                <w:sz w:val="20"/>
                <w:szCs w:val="20"/>
              </w:rPr>
            </w:pPr>
          </w:p>
        </w:tc>
        <w:tc>
          <w:tcPr>
            <w:tcW w:w="1399" w:type="dxa"/>
            <w:vMerge/>
            <w:tcBorders>
              <w:top w:val="double" w:sz="6" w:space="0" w:color="auto"/>
              <w:left w:val="dotted" w:sz="4" w:space="0" w:color="auto"/>
              <w:bottom w:val="dotted" w:sz="4" w:space="0" w:color="000000"/>
              <w:right w:val="single" w:sz="8" w:space="0" w:color="auto"/>
            </w:tcBorders>
            <w:vAlign w:val="center"/>
            <w:hideMark/>
          </w:tcPr>
          <w:p w14:paraId="14186701" w14:textId="77777777" w:rsidR="001773C9" w:rsidRPr="001773C9" w:rsidRDefault="001773C9" w:rsidP="001773C9">
            <w:pPr>
              <w:spacing w:after="0"/>
              <w:jc w:val="left"/>
              <w:rPr>
                <w:rFonts w:eastAsia="Times New Roman" w:cs="Times New Roman"/>
                <w:sz w:val="20"/>
                <w:szCs w:val="20"/>
              </w:rPr>
            </w:pPr>
          </w:p>
        </w:tc>
        <w:tc>
          <w:tcPr>
            <w:tcW w:w="1426" w:type="dxa"/>
            <w:tcBorders>
              <w:top w:val="nil"/>
              <w:left w:val="nil"/>
              <w:bottom w:val="double" w:sz="6" w:space="0" w:color="auto"/>
              <w:right w:val="single" w:sz="8" w:space="0" w:color="auto"/>
            </w:tcBorders>
            <w:shd w:val="clear" w:color="000000" w:fill="FFFFFF"/>
            <w:vAlign w:val="bottom"/>
            <w:hideMark/>
          </w:tcPr>
          <w:p w14:paraId="07344B5D"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2023</w:t>
            </w:r>
          </w:p>
        </w:tc>
        <w:tc>
          <w:tcPr>
            <w:tcW w:w="1482" w:type="dxa"/>
            <w:tcBorders>
              <w:top w:val="nil"/>
              <w:left w:val="nil"/>
              <w:bottom w:val="double" w:sz="6" w:space="0" w:color="auto"/>
              <w:right w:val="dotted" w:sz="4" w:space="0" w:color="auto"/>
            </w:tcBorders>
            <w:shd w:val="clear" w:color="000000" w:fill="FFFFFF"/>
            <w:hideMark/>
          </w:tcPr>
          <w:p w14:paraId="7C3BD286"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2023</w:t>
            </w:r>
          </w:p>
        </w:tc>
        <w:tc>
          <w:tcPr>
            <w:tcW w:w="1482" w:type="dxa"/>
            <w:tcBorders>
              <w:top w:val="nil"/>
              <w:left w:val="nil"/>
              <w:bottom w:val="double" w:sz="6" w:space="0" w:color="auto"/>
              <w:right w:val="dotted" w:sz="4" w:space="0" w:color="auto"/>
            </w:tcBorders>
            <w:shd w:val="clear" w:color="000000" w:fill="FFFFFF"/>
            <w:hideMark/>
          </w:tcPr>
          <w:p w14:paraId="1E08512C"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2024</w:t>
            </w:r>
          </w:p>
        </w:tc>
        <w:tc>
          <w:tcPr>
            <w:tcW w:w="1482" w:type="dxa"/>
            <w:tcBorders>
              <w:top w:val="nil"/>
              <w:left w:val="nil"/>
              <w:bottom w:val="double" w:sz="6" w:space="0" w:color="auto"/>
              <w:right w:val="dotted" w:sz="4" w:space="0" w:color="auto"/>
            </w:tcBorders>
            <w:shd w:val="clear" w:color="000000" w:fill="FFFFFF"/>
            <w:hideMark/>
          </w:tcPr>
          <w:p w14:paraId="401ECD71"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2025</w:t>
            </w:r>
          </w:p>
        </w:tc>
        <w:tc>
          <w:tcPr>
            <w:tcW w:w="1482" w:type="dxa"/>
            <w:tcBorders>
              <w:top w:val="nil"/>
              <w:left w:val="nil"/>
              <w:bottom w:val="double" w:sz="6" w:space="0" w:color="auto"/>
              <w:right w:val="dotted" w:sz="4" w:space="0" w:color="auto"/>
            </w:tcBorders>
            <w:shd w:val="clear" w:color="000000" w:fill="FFFFFF"/>
            <w:hideMark/>
          </w:tcPr>
          <w:p w14:paraId="78BC3453"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2026</w:t>
            </w:r>
          </w:p>
        </w:tc>
        <w:tc>
          <w:tcPr>
            <w:tcW w:w="1488" w:type="dxa"/>
            <w:tcBorders>
              <w:top w:val="nil"/>
              <w:left w:val="nil"/>
              <w:bottom w:val="double" w:sz="6" w:space="0" w:color="auto"/>
              <w:right w:val="double" w:sz="6" w:space="0" w:color="auto"/>
            </w:tcBorders>
            <w:shd w:val="clear" w:color="000000" w:fill="FFFFFF"/>
            <w:hideMark/>
          </w:tcPr>
          <w:p w14:paraId="673050E8"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2027</w:t>
            </w:r>
          </w:p>
        </w:tc>
      </w:tr>
      <w:tr w:rsidR="001773C9" w:rsidRPr="001773C9" w14:paraId="744E5AD2" w14:textId="77777777" w:rsidTr="001773C9">
        <w:trPr>
          <w:trHeight w:val="688"/>
        </w:trPr>
        <w:tc>
          <w:tcPr>
            <w:tcW w:w="5188" w:type="dxa"/>
            <w:tcBorders>
              <w:top w:val="nil"/>
              <w:left w:val="double" w:sz="6" w:space="0" w:color="auto"/>
              <w:bottom w:val="single" w:sz="8" w:space="0" w:color="auto"/>
              <w:right w:val="dotted" w:sz="4" w:space="0" w:color="auto"/>
            </w:tcBorders>
            <w:shd w:val="clear" w:color="000000" w:fill="FFFFFF"/>
            <w:vAlign w:val="bottom"/>
            <w:hideMark/>
          </w:tcPr>
          <w:p w14:paraId="6F4ED038" w14:textId="77777777" w:rsidR="001773C9" w:rsidRPr="001773C9" w:rsidRDefault="001773C9" w:rsidP="001773C9">
            <w:pPr>
              <w:spacing w:after="0"/>
              <w:ind w:firstLineChars="100" w:firstLine="160"/>
              <w:jc w:val="left"/>
              <w:rPr>
                <w:rFonts w:eastAsia="Times New Roman" w:cs="Times New Roman"/>
                <w:sz w:val="16"/>
                <w:szCs w:val="16"/>
              </w:rPr>
            </w:pPr>
            <w:r w:rsidRPr="001773C9">
              <w:rPr>
                <w:rFonts w:eastAsia="Times New Roman" w:cs="Times New Roman"/>
                <w:sz w:val="16"/>
                <w:szCs w:val="16"/>
              </w:rPr>
              <w:t> </w:t>
            </w:r>
          </w:p>
        </w:tc>
        <w:tc>
          <w:tcPr>
            <w:tcW w:w="1399" w:type="dxa"/>
            <w:tcBorders>
              <w:top w:val="nil"/>
              <w:left w:val="nil"/>
              <w:bottom w:val="single" w:sz="8" w:space="0" w:color="auto"/>
              <w:right w:val="single" w:sz="8" w:space="0" w:color="auto"/>
            </w:tcBorders>
            <w:shd w:val="clear" w:color="000000" w:fill="FFFFFF"/>
            <w:vAlign w:val="bottom"/>
            <w:hideMark/>
          </w:tcPr>
          <w:p w14:paraId="3D96F9F1" w14:textId="77777777" w:rsidR="001773C9" w:rsidRPr="001773C9" w:rsidRDefault="001773C9" w:rsidP="001773C9">
            <w:pPr>
              <w:spacing w:after="0"/>
              <w:jc w:val="center"/>
              <w:rPr>
                <w:rFonts w:eastAsia="Times New Roman" w:cs="Times New Roman"/>
                <w:sz w:val="16"/>
                <w:szCs w:val="16"/>
              </w:rPr>
            </w:pPr>
            <w:r w:rsidRPr="001773C9">
              <w:rPr>
                <w:rFonts w:eastAsia="Times New Roman" w:cs="Times New Roman"/>
                <w:sz w:val="16"/>
                <w:szCs w:val="16"/>
              </w:rPr>
              <w:t> </w:t>
            </w:r>
          </w:p>
        </w:tc>
        <w:tc>
          <w:tcPr>
            <w:tcW w:w="1426" w:type="dxa"/>
            <w:tcBorders>
              <w:top w:val="nil"/>
              <w:left w:val="nil"/>
              <w:bottom w:val="single" w:sz="8" w:space="0" w:color="auto"/>
              <w:right w:val="single" w:sz="8" w:space="0" w:color="auto"/>
            </w:tcBorders>
            <w:shd w:val="clear" w:color="000000" w:fill="FFFFFF"/>
            <w:vAlign w:val="bottom"/>
            <w:hideMark/>
          </w:tcPr>
          <w:p w14:paraId="63FF674B" w14:textId="77777777" w:rsidR="001773C9" w:rsidRPr="001773C9" w:rsidRDefault="001773C9" w:rsidP="001773C9">
            <w:pPr>
              <w:spacing w:after="0"/>
              <w:jc w:val="center"/>
              <w:rPr>
                <w:rFonts w:eastAsia="Times New Roman" w:cs="Times New Roman"/>
                <w:b/>
                <w:bCs/>
                <w:sz w:val="20"/>
                <w:szCs w:val="20"/>
              </w:rPr>
            </w:pPr>
            <w:r w:rsidRPr="001773C9">
              <w:rPr>
                <w:rFonts w:eastAsia="Times New Roman" w:cs="Times New Roman"/>
                <w:b/>
                <w:bCs/>
                <w:sz w:val="20"/>
                <w:szCs w:val="20"/>
              </w:rPr>
              <w:t>Level  (bn EUR)</w:t>
            </w:r>
          </w:p>
        </w:tc>
        <w:tc>
          <w:tcPr>
            <w:tcW w:w="7416" w:type="dxa"/>
            <w:gridSpan w:val="5"/>
            <w:tcBorders>
              <w:top w:val="double" w:sz="6" w:space="0" w:color="auto"/>
              <w:left w:val="nil"/>
              <w:bottom w:val="single" w:sz="8" w:space="0" w:color="auto"/>
              <w:right w:val="double" w:sz="6" w:space="0" w:color="000000"/>
            </w:tcBorders>
            <w:shd w:val="clear" w:color="000000" w:fill="FFFFFF"/>
            <w:vAlign w:val="center"/>
            <w:hideMark/>
          </w:tcPr>
          <w:p w14:paraId="582A92CB" w14:textId="77777777" w:rsidR="001773C9" w:rsidRPr="001773C9" w:rsidRDefault="001773C9" w:rsidP="001773C9">
            <w:pPr>
              <w:spacing w:after="0"/>
              <w:jc w:val="center"/>
              <w:rPr>
                <w:rFonts w:eastAsia="Times New Roman" w:cs="Times New Roman"/>
                <w:b/>
                <w:bCs/>
                <w:sz w:val="20"/>
                <w:szCs w:val="20"/>
              </w:rPr>
            </w:pPr>
            <w:r w:rsidRPr="001773C9">
              <w:rPr>
                <w:rFonts w:eastAsia="Times New Roman" w:cs="Times New Roman"/>
                <w:b/>
                <w:bCs/>
                <w:sz w:val="20"/>
                <w:szCs w:val="20"/>
              </w:rPr>
              <w:t xml:space="preserve">Rate of change </w:t>
            </w:r>
          </w:p>
        </w:tc>
      </w:tr>
      <w:tr w:rsidR="001773C9" w:rsidRPr="001773C9" w14:paraId="776CD062" w14:textId="77777777" w:rsidTr="001773C9">
        <w:trPr>
          <w:trHeight w:val="427"/>
        </w:trPr>
        <w:tc>
          <w:tcPr>
            <w:tcW w:w="5188" w:type="dxa"/>
            <w:tcBorders>
              <w:top w:val="nil"/>
              <w:left w:val="double" w:sz="6" w:space="0" w:color="auto"/>
              <w:bottom w:val="dotted" w:sz="4" w:space="0" w:color="auto"/>
              <w:right w:val="dotted" w:sz="4" w:space="0" w:color="auto"/>
            </w:tcBorders>
            <w:shd w:val="clear" w:color="000000" w:fill="FFFFFF"/>
            <w:vAlign w:val="bottom"/>
            <w:hideMark/>
          </w:tcPr>
          <w:p w14:paraId="7CFF2BC3" w14:textId="77777777"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1. Real GDP at market prices</w:t>
            </w:r>
            <w:r w:rsidRPr="001773C9">
              <w:rPr>
                <w:rFonts w:eastAsia="Times New Roman" w:cs="Times New Roman"/>
                <w:b/>
                <w:bCs/>
                <w:sz w:val="20"/>
                <w:szCs w:val="20"/>
              </w:rPr>
              <w:t xml:space="preserve"> </w:t>
            </w:r>
          </w:p>
        </w:tc>
        <w:tc>
          <w:tcPr>
            <w:tcW w:w="1399" w:type="dxa"/>
            <w:tcBorders>
              <w:top w:val="nil"/>
              <w:left w:val="nil"/>
              <w:bottom w:val="dotted" w:sz="4" w:space="0" w:color="auto"/>
              <w:right w:val="single" w:sz="8" w:space="0" w:color="auto"/>
            </w:tcBorders>
            <w:shd w:val="clear" w:color="000000" w:fill="FFFFFF"/>
            <w:vAlign w:val="bottom"/>
            <w:hideMark/>
          </w:tcPr>
          <w:p w14:paraId="643ED33F"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B1*g</w:t>
            </w:r>
          </w:p>
        </w:tc>
        <w:tc>
          <w:tcPr>
            <w:tcW w:w="1426" w:type="dxa"/>
            <w:tcBorders>
              <w:top w:val="nil"/>
              <w:left w:val="nil"/>
              <w:bottom w:val="dotted" w:sz="4" w:space="0" w:color="auto"/>
              <w:right w:val="single" w:sz="8" w:space="0" w:color="auto"/>
            </w:tcBorders>
            <w:shd w:val="clear" w:color="000000" w:fill="FFFFFF"/>
            <w:vAlign w:val="bottom"/>
            <w:hideMark/>
          </w:tcPr>
          <w:p w14:paraId="593AF805"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59,8</w:t>
            </w:r>
          </w:p>
        </w:tc>
        <w:tc>
          <w:tcPr>
            <w:tcW w:w="1482" w:type="dxa"/>
            <w:tcBorders>
              <w:top w:val="nil"/>
              <w:left w:val="nil"/>
              <w:bottom w:val="dotted" w:sz="4" w:space="0" w:color="auto"/>
              <w:right w:val="dotted" w:sz="4" w:space="0" w:color="auto"/>
            </w:tcBorders>
            <w:shd w:val="clear" w:color="000000" w:fill="FFFFFF"/>
            <w:vAlign w:val="bottom"/>
            <w:hideMark/>
          </w:tcPr>
          <w:p w14:paraId="4649B361"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3,8</w:t>
            </w:r>
          </w:p>
        </w:tc>
        <w:tc>
          <w:tcPr>
            <w:tcW w:w="1482" w:type="dxa"/>
            <w:tcBorders>
              <w:top w:val="nil"/>
              <w:left w:val="nil"/>
              <w:bottom w:val="dotted" w:sz="4" w:space="0" w:color="auto"/>
              <w:right w:val="dotted" w:sz="4" w:space="0" w:color="auto"/>
            </w:tcBorders>
            <w:shd w:val="clear" w:color="000000" w:fill="FFFFFF"/>
            <w:vAlign w:val="bottom"/>
            <w:hideMark/>
          </w:tcPr>
          <w:p w14:paraId="147368BB"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3,8</w:t>
            </w:r>
          </w:p>
        </w:tc>
        <w:tc>
          <w:tcPr>
            <w:tcW w:w="1482" w:type="dxa"/>
            <w:tcBorders>
              <w:top w:val="nil"/>
              <w:left w:val="nil"/>
              <w:bottom w:val="dotted" w:sz="4" w:space="0" w:color="auto"/>
              <w:right w:val="dotted" w:sz="4" w:space="0" w:color="auto"/>
            </w:tcBorders>
            <w:shd w:val="clear" w:color="000000" w:fill="FFFFFF"/>
            <w:vAlign w:val="bottom"/>
            <w:hideMark/>
          </w:tcPr>
          <w:p w14:paraId="2A859544"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4,2</w:t>
            </w:r>
          </w:p>
        </w:tc>
        <w:tc>
          <w:tcPr>
            <w:tcW w:w="1482" w:type="dxa"/>
            <w:tcBorders>
              <w:top w:val="nil"/>
              <w:left w:val="nil"/>
              <w:bottom w:val="dotted" w:sz="4" w:space="0" w:color="auto"/>
              <w:right w:val="dotted" w:sz="4" w:space="0" w:color="auto"/>
            </w:tcBorders>
            <w:shd w:val="clear" w:color="000000" w:fill="FFFFFF"/>
            <w:vAlign w:val="bottom"/>
            <w:hideMark/>
          </w:tcPr>
          <w:p w14:paraId="61BC288B"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4,0</w:t>
            </w:r>
          </w:p>
        </w:tc>
        <w:tc>
          <w:tcPr>
            <w:tcW w:w="1488" w:type="dxa"/>
            <w:tcBorders>
              <w:top w:val="nil"/>
              <w:left w:val="nil"/>
              <w:bottom w:val="dotted" w:sz="4" w:space="0" w:color="auto"/>
              <w:right w:val="double" w:sz="6" w:space="0" w:color="auto"/>
            </w:tcBorders>
            <w:shd w:val="clear" w:color="000000" w:fill="FFFFFF"/>
            <w:vAlign w:val="bottom"/>
            <w:hideMark/>
          </w:tcPr>
          <w:p w14:paraId="0A6C4A58"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5,0</w:t>
            </w:r>
          </w:p>
        </w:tc>
      </w:tr>
      <w:tr w:rsidR="001773C9" w:rsidRPr="001773C9" w14:paraId="7A370ABF" w14:textId="77777777" w:rsidTr="001773C9">
        <w:trPr>
          <w:trHeight w:val="427"/>
        </w:trPr>
        <w:tc>
          <w:tcPr>
            <w:tcW w:w="5188" w:type="dxa"/>
            <w:tcBorders>
              <w:top w:val="nil"/>
              <w:left w:val="double" w:sz="6" w:space="0" w:color="auto"/>
              <w:bottom w:val="single" w:sz="8" w:space="0" w:color="auto"/>
              <w:right w:val="dotted" w:sz="4" w:space="0" w:color="auto"/>
            </w:tcBorders>
            <w:shd w:val="clear" w:color="000000" w:fill="FFFFFF"/>
            <w:vAlign w:val="bottom"/>
            <w:hideMark/>
          </w:tcPr>
          <w:p w14:paraId="24832535" w14:textId="77777777"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2. Current GDP at</w:t>
            </w:r>
            <w:r w:rsidRPr="001773C9">
              <w:rPr>
                <w:rFonts w:eastAsia="Times New Roman" w:cs="Times New Roman"/>
                <w:i/>
                <w:iCs/>
                <w:sz w:val="20"/>
                <w:szCs w:val="20"/>
              </w:rPr>
              <w:t xml:space="preserve"> </w:t>
            </w:r>
            <w:r w:rsidRPr="001773C9">
              <w:rPr>
                <w:rFonts w:eastAsia="Times New Roman" w:cs="Times New Roman"/>
                <w:sz w:val="20"/>
                <w:szCs w:val="20"/>
              </w:rPr>
              <w:t>market prices</w:t>
            </w:r>
          </w:p>
        </w:tc>
        <w:tc>
          <w:tcPr>
            <w:tcW w:w="1399" w:type="dxa"/>
            <w:tcBorders>
              <w:top w:val="nil"/>
              <w:left w:val="nil"/>
              <w:bottom w:val="single" w:sz="8" w:space="0" w:color="auto"/>
              <w:right w:val="single" w:sz="8" w:space="0" w:color="auto"/>
            </w:tcBorders>
            <w:shd w:val="clear" w:color="000000" w:fill="FFFFFF"/>
            <w:vAlign w:val="bottom"/>
            <w:hideMark/>
          </w:tcPr>
          <w:p w14:paraId="5637216B"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B1*g</w:t>
            </w:r>
          </w:p>
        </w:tc>
        <w:tc>
          <w:tcPr>
            <w:tcW w:w="1426" w:type="dxa"/>
            <w:tcBorders>
              <w:top w:val="nil"/>
              <w:left w:val="nil"/>
              <w:bottom w:val="single" w:sz="8" w:space="0" w:color="auto"/>
              <w:right w:val="single" w:sz="8" w:space="0" w:color="auto"/>
            </w:tcBorders>
            <w:shd w:val="clear" w:color="000000" w:fill="FFFFFF"/>
            <w:vAlign w:val="bottom"/>
            <w:hideMark/>
          </w:tcPr>
          <w:p w14:paraId="1C09E46F"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75,2</w:t>
            </w:r>
          </w:p>
        </w:tc>
        <w:tc>
          <w:tcPr>
            <w:tcW w:w="1482" w:type="dxa"/>
            <w:tcBorders>
              <w:top w:val="nil"/>
              <w:left w:val="nil"/>
              <w:bottom w:val="single" w:sz="8" w:space="0" w:color="auto"/>
              <w:right w:val="dotted" w:sz="4" w:space="0" w:color="auto"/>
            </w:tcBorders>
            <w:shd w:val="clear" w:color="000000" w:fill="FFFFFF"/>
            <w:vAlign w:val="bottom"/>
            <w:hideMark/>
          </w:tcPr>
          <w:p w14:paraId="428D32A4"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18,2</w:t>
            </w:r>
          </w:p>
        </w:tc>
        <w:tc>
          <w:tcPr>
            <w:tcW w:w="1482" w:type="dxa"/>
            <w:tcBorders>
              <w:top w:val="nil"/>
              <w:left w:val="nil"/>
              <w:bottom w:val="single" w:sz="8" w:space="0" w:color="auto"/>
              <w:right w:val="dotted" w:sz="4" w:space="0" w:color="auto"/>
            </w:tcBorders>
            <w:shd w:val="clear" w:color="000000" w:fill="FFFFFF"/>
            <w:vAlign w:val="bottom"/>
            <w:hideMark/>
          </w:tcPr>
          <w:p w14:paraId="3DDC9FE2"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8,9</w:t>
            </w:r>
          </w:p>
        </w:tc>
        <w:tc>
          <w:tcPr>
            <w:tcW w:w="1482" w:type="dxa"/>
            <w:tcBorders>
              <w:top w:val="nil"/>
              <w:left w:val="nil"/>
              <w:bottom w:val="single" w:sz="8" w:space="0" w:color="auto"/>
              <w:right w:val="dotted" w:sz="4" w:space="0" w:color="auto"/>
            </w:tcBorders>
            <w:shd w:val="clear" w:color="000000" w:fill="FFFFFF"/>
            <w:vAlign w:val="bottom"/>
            <w:hideMark/>
          </w:tcPr>
          <w:p w14:paraId="53EE86EE"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7,5</w:t>
            </w:r>
          </w:p>
        </w:tc>
        <w:tc>
          <w:tcPr>
            <w:tcW w:w="1482" w:type="dxa"/>
            <w:tcBorders>
              <w:top w:val="nil"/>
              <w:left w:val="nil"/>
              <w:bottom w:val="single" w:sz="8" w:space="0" w:color="auto"/>
              <w:right w:val="dotted" w:sz="4" w:space="0" w:color="auto"/>
            </w:tcBorders>
            <w:shd w:val="clear" w:color="000000" w:fill="FFFFFF"/>
            <w:vAlign w:val="bottom"/>
            <w:hideMark/>
          </w:tcPr>
          <w:p w14:paraId="00BB2C89"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7,3</w:t>
            </w:r>
          </w:p>
        </w:tc>
        <w:tc>
          <w:tcPr>
            <w:tcW w:w="1488" w:type="dxa"/>
            <w:tcBorders>
              <w:top w:val="nil"/>
              <w:left w:val="nil"/>
              <w:bottom w:val="single" w:sz="8" w:space="0" w:color="auto"/>
              <w:right w:val="double" w:sz="6" w:space="0" w:color="auto"/>
            </w:tcBorders>
            <w:shd w:val="clear" w:color="000000" w:fill="FFFFFF"/>
            <w:vAlign w:val="bottom"/>
            <w:hideMark/>
          </w:tcPr>
          <w:p w14:paraId="27A82F9B"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8,2</w:t>
            </w:r>
          </w:p>
        </w:tc>
      </w:tr>
      <w:tr w:rsidR="001773C9" w:rsidRPr="001773C9" w14:paraId="35DDCF69" w14:textId="77777777" w:rsidTr="001773C9">
        <w:trPr>
          <w:trHeight w:val="427"/>
        </w:trPr>
        <w:tc>
          <w:tcPr>
            <w:tcW w:w="15432" w:type="dxa"/>
            <w:gridSpan w:val="8"/>
            <w:tcBorders>
              <w:top w:val="single" w:sz="8" w:space="0" w:color="auto"/>
              <w:left w:val="double" w:sz="6" w:space="0" w:color="auto"/>
              <w:bottom w:val="single" w:sz="8" w:space="0" w:color="auto"/>
              <w:right w:val="double" w:sz="6" w:space="0" w:color="000000"/>
            </w:tcBorders>
            <w:shd w:val="clear" w:color="000000" w:fill="FFFFFF"/>
            <w:vAlign w:val="bottom"/>
            <w:hideMark/>
          </w:tcPr>
          <w:p w14:paraId="2CA44AFE" w14:textId="77777777" w:rsidR="001773C9" w:rsidRPr="001773C9" w:rsidRDefault="001773C9" w:rsidP="001773C9">
            <w:pPr>
              <w:spacing w:after="0"/>
              <w:jc w:val="center"/>
              <w:rPr>
                <w:rFonts w:eastAsia="Times New Roman" w:cs="Times New Roman"/>
                <w:b/>
                <w:bCs/>
                <w:sz w:val="20"/>
                <w:szCs w:val="20"/>
              </w:rPr>
            </w:pPr>
            <w:r w:rsidRPr="001773C9">
              <w:rPr>
                <w:rFonts w:eastAsia="Times New Roman" w:cs="Times New Roman"/>
                <w:b/>
                <w:bCs/>
                <w:sz w:val="20"/>
                <w:szCs w:val="20"/>
              </w:rPr>
              <w:t>Components of real GDP</w:t>
            </w:r>
          </w:p>
        </w:tc>
      </w:tr>
      <w:tr w:rsidR="001773C9" w:rsidRPr="001773C9" w14:paraId="26625BC2" w14:textId="77777777" w:rsidTr="001773C9">
        <w:trPr>
          <w:trHeight w:val="427"/>
        </w:trPr>
        <w:tc>
          <w:tcPr>
            <w:tcW w:w="5188" w:type="dxa"/>
            <w:tcBorders>
              <w:top w:val="nil"/>
              <w:left w:val="double" w:sz="6" w:space="0" w:color="auto"/>
              <w:bottom w:val="dotted" w:sz="4" w:space="0" w:color="auto"/>
              <w:right w:val="dotted" w:sz="4" w:space="0" w:color="auto"/>
            </w:tcBorders>
            <w:shd w:val="clear" w:color="000000" w:fill="FFFFFF"/>
            <w:vAlign w:val="bottom"/>
            <w:hideMark/>
          </w:tcPr>
          <w:p w14:paraId="196AC085" w14:textId="77777777"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3. Private consumption expenditure</w:t>
            </w:r>
          </w:p>
        </w:tc>
        <w:tc>
          <w:tcPr>
            <w:tcW w:w="1399" w:type="dxa"/>
            <w:tcBorders>
              <w:top w:val="nil"/>
              <w:left w:val="nil"/>
              <w:bottom w:val="dotted" w:sz="4" w:space="0" w:color="auto"/>
              <w:right w:val="single" w:sz="8" w:space="0" w:color="auto"/>
            </w:tcBorders>
            <w:shd w:val="clear" w:color="000000" w:fill="FFFFFF"/>
            <w:vAlign w:val="bottom"/>
            <w:hideMark/>
          </w:tcPr>
          <w:p w14:paraId="2F686BD5"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P3</w:t>
            </w:r>
          </w:p>
        </w:tc>
        <w:tc>
          <w:tcPr>
            <w:tcW w:w="1426" w:type="dxa"/>
            <w:tcBorders>
              <w:top w:val="nil"/>
              <w:left w:val="nil"/>
              <w:bottom w:val="dotted" w:sz="4" w:space="0" w:color="auto"/>
              <w:right w:val="single" w:sz="8" w:space="0" w:color="auto"/>
            </w:tcBorders>
            <w:shd w:val="clear" w:color="000000" w:fill="FFFFFF"/>
            <w:vAlign w:val="bottom"/>
            <w:hideMark/>
          </w:tcPr>
          <w:p w14:paraId="53FDA916"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37</w:t>
            </w:r>
          </w:p>
        </w:tc>
        <w:tc>
          <w:tcPr>
            <w:tcW w:w="1482" w:type="dxa"/>
            <w:tcBorders>
              <w:top w:val="nil"/>
              <w:left w:val="nil"/>
              <w:bottom w:val="dotted" w:sz="4" w:space="0" w:color="auto"/>
              <w:right w:val="dotted" w:sz="4" w:space="0" w:color="auto"/>
            </w:tcBorders>
            <w:shd w:val="clear" w:color="000000" w:fill="FFFFFF"/>
            <w:vAlign w:val="bottom"/>
            <w:hideMark/>
          </w:tcPr>
          <w:p w14:paraId="454CA19C"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0,5</w:t>
            </w:r>
          </w:p>
        </w:tc>
        <w:tc>
          <w:tcPr>
            <w:tcW w:w="1482" w:type="dxa"/>
            <w:tcBorders>
              <w:top w:val="nil"/>
              <w:left w:val="nil"/>
              <w:bottom w:val="dotted" w:sz="4" w:space="0" w:color="auto"/>
              <w:right w:val="dotted" w:sz="4" w:space="0" w:color="auto"/>
            </w:tcBorders>
            <w:shd w:val="clear" w:color="000000" w:fill="FFFFFF"/>
            <w:vAlign w:val="bottom"/>
            <w:hideMark/>
          </w:tcPr>
          <w:p w14:paraId="27E0B7BD"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4,5</w:t>
            </w:r>
          </w:p>
        </w:tc>
        <w:tc>
          <w:tcPr>
            <w:tcW w:w="1482" w:type="dxa"/>
            <w:tcBorders>
              <w:top w:val="nil"/>
              <w:left w:val="nil"/>
              <w:bottom w:val="dotted" w:sz="4" w:space="0" w:color="auto"/>
              <w:right w:val="dotted" w:sz="4" w:space="0" w:color="auto"/>
            </w:tcBorders>
            <w:shd w:val="clear" w:color="000000" w:fill="FFFFFF"/>
            <w:vAlign w:val="bottom"/>
            <w:hideMark/>
          </w:tcPr>
          <w:p w14:paraId="72F58DDF"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4,1</w:t>
            </w:r>
          </w:p>
        </w:tc>
        <w:tc>
          <w:tcPr>
            <w:tcW w:w="1482" w:type="dxa"/>
            <w:tcBorders>
              <w:top w:val="nil"/>
              <w:left w:val="nil"/>
              <w:bottom w:val="dotted" w:sz="4" w:space="0" w:color="auto"/>
              <w:right w:val="dotted" w:sz="4" w:space="0" w:color="auto"/>
            </w:tcBorders>
            <w:shd w:val="clear" w:color="000000" w:fill="FFFFFF"/>
            <w:vAlign w:val="bottom"/>
            <w:hideMark/>
          </w:tcPr>
          <w:p w14:paraId="51509767"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3,2</w:t>
            </w:r>
          </w:p>
        </w:tc>
        <w:tc>
          <w:tcPr>
            <w:tcW w:w="1488" w:type="dxa"/>
            <w:tcBorders>
              <w:top w:val="nil"/>
              <w:left w:val="nil"/>
              <w:bottom w:val="dotted" w:sz="4" w:space="0" w:color="auto"/>
              <w:right w:val="double" w:sz="6" w:space="0" w:color="auto"/>
            </w:tcBorders>
            <w:shd w:val="clear" w:color="000000" w:fill="FFFFFF"/>
            <w:vAlign w:val="bottom"/>
            <w:hideMark/>
          </w:tcPr>
          <w:p w14:paraId="1BCD19C5"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2,9</w:t>
            </w:r>
          </w:p>
        </w:tc>
      </w:tr>
      <w:tr w:rsidR="001773C9" w:rsidRPr="001773C9" w14:paraId="424D230C" w14:textId="77777777" w:rsidTr="001773C9">
        <w:trPr>
          <w:trHeight w:val="427"/>
        </w:trPr>
        <w:tc>
          <w:tcPr>
            <w:tcW w:w="5188" w:type="dxa"/>
            <w:tcBorders>
              <w:top w:val="nil"/>
              <w:left w:val="double" w:sz="6" w:space="0" w:color="auto"/>
              <w:bottom w:val="dotted" w:sz="4" w:space="0" w:color="auto"/>
              <w:right w:val="dotted" w:sz="4" w:space="0" w:color="auto"/>
            </w:tcBorders>
            <w:shd w:val="clear" w:color="000000" w:fill="FFFFFF"/>
            <w:vAlign w:val="bottom"/>
            <w:hideMark/>
          </w:tcPr>
          <w:p w14:paraId="2666D601" w14:textId="77777777"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4. Government consumption expenditure</w:t>
            </w:r>
          </w:p>
        </w:tc>
        <w:tc>
          <w:tcPr>
            <w:tcW w:w="1399" w:type="dxa"/>
            <w:tcBorders>
              <w:top w:val="nil"/>
              <w:left w:val="nil"/>
              <w:bottom w:val="dotted" w:sz="4" w:space="0" w:color="auto"/>
              <w:right w:val="single" w:sz="8" w:space="0" w:color="auto"/>
            </w:tcBorders>
            <w:shd w:val="clear" w:color="000000" w:fill="FFFFFF"/>
            <w:vAlign w:val="bottom"/>
            <w:hideMark/>
          </w:tcPr>
          <w:p w14:paraId="522CA480"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P3</w:t>
            </w:r>
          </w:p>
        </w:tc>
        <w:tc>
          <w:tcPr>
            <w:tcW w:w="1426" w:type="dxa"/>
            <w:tcBorders>
              <w:top w:val="nil"/>
              <w:left w:val="nil"/>
              <w:bottom w:val="dotted" w:sz="4" w:space="0" w:color="auto"/>
              <w:right w:val="single" w:sz="8" w:space="0" w:color="auto"/>
            </w:tcBorders>
            <w:shd w:val="clear" w:color="000000" w:fill="FFFFFF"/>
            <w:vAlign w:val="bottom"/>
            <w:hideMark/>
          </w:tcPr>
          <w:p w14:paraId="15AFAEED"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10</w:t>
            </w:r>
          </w:p>
        </w:tc>
        <w:tc>
          <w:tcPr>
            <w:tcW w:w="1482" w:type="dxa"/>
            <w:tcBorders>
              <w:top w:val="nil"/>
              <w:left w:val="nil"/>
              <w:bottom w:val="dotted" w:sz="4" w:space="0" w:color="auto"/>
              <w:right w:val="dotted" w:sz="4" w:space="0" w:color="auto"/>
            </w:tcBorders>
            <w:shd w:val="clear" w:color="000000" w:fill="FFFFFF"/>
            <w:vAlign w:val="bottom"/>
            <w:hideMark/>
          </w:tcPr>
          <w:p w14:paraId="0FD66735"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-2,4</w:t>
            </w:r>
          </w:p>
        </w:tc>
        <w:tc>
          <w:tcPr>
            <w:tcW w:w="1482" w:type="dxa"/>
            <w:tcBorders>
              <w:top w:val="nil"/>
              <w:left w:val="nil"/>
              <w:bottom w:val="dotted" w:sz="4" w:space="0" w:color="auto"/>
              <w:right w:val="dotted" w:sz="4" w:space="0" w:color="auto"/>
            </w:tcBorders>
            <w:shd w:val="clear" w:color="000000" w:fill="FFFFFF"/>
            <w:vAlign w:val="bottom"/>
            <w:hideMark/>
          </w:tcPr>
          <w:p w14:paraId="2F421D11"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3,1</w:t>
            </w:r>
          </w:p>
        </w:tc>
        <w:tc>
          <w:tcPr>
            <w:tcW w:w="1482" w:type="dxa"/>
            <w:tcBorders>
              <w:top w:val="nil"/>
              <w:left w:val="nil"/>
              <w:bottom w:val="dotted" w:sz="4" w:space="0" w:color="auto"/>
              <w:right w:val="dotted" w:sz="4" w:space="0" w:color="auto"/>
            </w:tcBorders>
            <w:shd w:val="clear" w:color="000000" w:fill="FFFFFF"/>
            <w:vAlign w:val="bottom"/>
            <w:hideMark/>
          </w:tcPr>
          <w:p w14:paraId="1661F397"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2,2</w:t>
            </w:r>
          </w:p>
        </w:tc>
        <w:tc>
          <w:tcPr>
            <w:tcW w:w="1482" w:type="dxa"/>
            <w:tcBorders>
              <w:top w:val="nil"/>
              <w:left w:val="nil"/>
              <w:bottom w:val="dotted" w:sz="4" w:space="0" w:color="auto"/>
              <w:right w:val="dotted" w:sz="4" w:space="0" w:color="auto"/>
            </w:tcBorders>
            <w:shd w:val="clear" w:color="000000" w:fill="FFFFFF"/>
            <w:vAlign w:val="bottom"/>
            <w:hideMark/>
          </w:tcPr>
          <w:p w14:paraId="46CA963C"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2,2</w:t>
            </w:r>
          </w:p>
        </w:tc>
        <w:tc>
          <w:tcPr>
            <w:tcW w:w="1488" w:type="dxa"/>
            <w:tcBorders>
              <w:top w:val="nil"/>
              <w:left w:val="nil"/>
              <w:bottom w:val="dotted" w:sz="4" w:space="0" w:color="auto"/>
              <w:right w:val="double" w:sz="6" w:space="0" w:color="auto"/>
            </w:tcBorders>
            <w:shd w:val="clear" w:color="000000" w:fill="FFFFFF"/>
            <w:vAlign w:val="bottom"/>
            <w:hideMark/>
          </w:tcPr>
          <w:p w14:paraId="64F26658"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2,0</w:t>
            </w:r>
          </w:p>
        </w:tc>
      </w:tr>
      <w:tr w:rsidR="001773C9" w:rsidRPr="001773C9" w14:paraId="4ED4AC10" w14:textId="77777777" w:rsidTr="001773C9">
        <w:trPr>
          <w:trHeight w:val="427"/>
        </w:trPr>
        <w:tc>
          <w:tcPr>
            <w:tcW w:w="5188" w:type="dxa"/>
            <w:tcBorders>
              <w:top w:val="nil"/>
              <w:left w:val="double" w:sz="6" w:space="0" w:color="auto"/>
              <w:bottom w:val="dotted" w:sz="4" w:space="0" w:color="auto"/>
              <w:right w:val="dotted" w:sz="4" w:space="0" w:color="auto"/>
            </w:tcBorders>
            <w:shd w:val="clear" w:color="000000" w:fill="FFFFFF"/>
            <w:vAlign w:val="bottom"/>
            <w:hideMark/>
          </w:tcPr>
          <w:p w14:paraId="24465E79" w14:textId="77777777"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5. Gross fixed capital formation</w:t>
            </w:r>
          </w:p>
        </w:tc>
        <w:tc>
          <w:tcPr>
            <w:tcW w:w="1399" w:type="dxa"/>
            <w:tcBorders>
              <w:top w:val="nil"/>
              <w:left w:val="nil"/>
              <w:bottom w:val="dotted" w:sz="4" w:space="0" w:color="auto"/>
              <w:right w:val="single" w:sz="8" w:space="0" w:color="auto"/>
            </w:tcBorders>
            <w:shd w:val="clear" w:color="000000" w:fill="FFFFFF"/>
            <w:vAlign w:val="bottom"/>
            <w:hideMark/>
          </w:tcPr>
          <w:p w14:paraId="3AA31D00"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P51</w:t>
            </w:r>
          </w:p>
        </w:tc>
        <w:tc>
          <w:tcPr>
            <w:tcW w:w="1426" w:type="dxa"/>
            <w:tcBorders>
              <w:top w:val="nil"/>
              <w:left w:val="nil"/>
              <w:bottom w:val="dotted" w:sz="4" w:space="0" w:color="auto"/>
              <w:right w:val="single" w:sz="8" w:space="0" w:color="auto"/>
            </w:tcBorders>
            <w:shd w:val="clear" w:color="000000" w:fill="FFFFFF"/>
            <w:vAlign w:val="bottom"/>
            <w:hideMark/>
          </w:tcPr>
          <w:p w14:paraId="1E9C690F"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14</w:t>
            </w:r>
          </w:p>
        </w:tc>
        <w:tc>
          <w:tcPr>
            <w:tcW w:w="1482" w:type="dxa"/>
            <w:tcBorders>
              <w:top w:val="nil"/>
              <w:left w:val="nil"/>
              <w:bottom w:val="dotted" w:sz="4" w:space="0" w:color="auto"/>
              <w:right w:val="dotted" w:sz="4" w:space="0" w:color="auto"/>
            </w:tcBorders>
            <w:shd w:val="clear" w:color="000000" w:fill="FFFFFF"/>
            <w:vAlign w:val="bottom"/>
            <w:hideMark/>
          </w:tcPr>
          <w:p w14:paraId="7177390A"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9,7</w:t>
            </w:r>
          </w:p>
        </w:tc>
        <w:tc>
          <w:tcPr>
            <w:tcW w:w="1482" w:type="dxa"/>
            <w:tcBorders>
              <w:top w:val="nil"/>
              <w:left w:val="nil"/>
              <w:bottom w:val="dotted" w:sz="4" w:space="0" w:color="auto"/>
              <w:right w:val="dotted" w:sz="4" w:space="0" w:color="auto"/>
            </w:tcBorders>
            <w:shd w:val="clear" w:color="000000" w:fill="FFFFFF"/>
            <w:vAlign w:val="bottom"/>
            <w:hideMark/>
          </w:tcPr>
          <w:p w14:paraId="05D4379D"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9,2</w:t>
            </w:r>
          </w:p>
        </w:tc>
        <w:tc>
          <w:tcPr>
            <w:tcW w:w="1482" w:type="dxa"/>
            <w:tcBorders>
              <w:top w:val="nil"/>
              <w:left w:val="nil"/>
              <w:bottom w:val="dotted" w:sz="4" w:space="0" w:color="auto"/>
              <w:right w:val="dotted" w:sz="4" w:space="0" w:color="auto"/>
            </w:tcBorders>
            <w:shd w:val="clear" w:color="000000" w:fill="FFFFFF"/>
            <w:vAlign w:val="bottom"/>
            <w:hideMark/>
          </w:tcPr>
          <w:p w14:paraId="396622A1"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7,7</w:t>
            </w:r>
          </w:p>
        </w:tc>
        <w:tc>
          <w:tcPr>
            <w:tcW w:w="1482" w:type="dxa"/>
            <w:tcBorders>
              <w:top w:val="nil"/>
              <w:left w:val="nil"/>
              <w:bottom w:val="dotted" w:sz="4" w:space="0" w:color="auto"/>
              <w:right w:val="dotted" w:sz="4" w:space="0" w:color="auto"/>
            </w:tcBorders>
            <w:shd w:val="clear" w:color="000000" w:fill="FFFFFF"/>
            <w:vAlign w:val="bottom"/>
            <w:hideMark/>
          </w:tcPr>
          <w:p w14:paraId="1E4B54DB"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7,5</w:t>
            </w:r>
          </w:p>
        </w:tc>
        <w:tc>
          <w:tcPr>
            <w:tcW w:w="1488" w:type="dxa"/>
            <w:tcBorders>
              <w:top w:val="nil"/>
              <w:left w:val="nil"/>
              <w:bottom w:val="dotted" w:sz="4" w:space="0" w:color="auto"/>
              <w:right w:val="double" w:sz="6" w:space="0" w:color="auto"/>
            </w:tcBorders>
            <w:shd w:val="clear" w:color="000000" w:fill="FFFFFF"/>
            <w:vAlign w:val="bottom"/>
            <w:hideMark/>
          </w:tcPr>
          <w:p w14:paraId="4B030B48"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7,0</w:t>
            </w:r>
          </w:p>
        </w:tc>
      </w:tr>
      <w:tr w:rsidR="001773C9" w:rsidRPr="001773C9" w14:paraId="2F383B9F" w14:textId="77777777" w:rsidTr="001773C9">
        <w:trPr>
          <w:trHeight w:val="642"/>
        </w:trPr>
        <w:tc>
          <w:tcPr>
            <w:tcW w:w="5188" w:type="dxa"/>
            <w:tcBorders>
              <w:top w:val="nil"/>
              <w:left w:val="double" w:sz="6" w:space="0" w:color="auto"/>
              <w:bottom w:val="dotted" w:sz="4" w:space="0" w:color="auto"/>
              <w:right w:val="dotted" w:sz="4" w:space="0" w:color="auto"/>
            </w:tcBorders>
            <w:shd w:val="clear" w:color="000000" w:fill="FFFFFF"/>
            <w:vAlign w:val="bottom"/>
            <w:hideMark/>
          </w:tcPr>
          <w:p w14:paraId="4FD9B2A9" w14:textId="77777777"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6. Changes in inventories and net acquisition of valuables (% of GDP)</w:t>
            </w:r>
          </w:p>
        </w:tc>
        <w:tc>
          <w:tcPr>
            <w:tcW w:w="1399" w:type="dxa"/>
            <w:tcBorders>
              <w:top w:val="nil"/>
              <w:left w:val="nil"/>
              <w:bottom w:val="dotted" w:sz="4" w:space="0" w:color="auto"/>
              <w:right w:val="single" w:sz="8" w:space="0" w:color="auto"/>
            </w:tcBorders>
            <w:shd w:val="clear" w:color="000000" w:fill="FFFFFF"/>
            <w:vAlign w:val="bottom"/>
            <w:hideMark/>
          </w:tcPr>
          <w:p w14:paraId="6DA7D6DB"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P52+P53</w:t>
            </w:r>
          </w:p>
        </w:tc>
        <w:tc>
          <w:tcPr>
            <w:tcW w:w="1426" w:type="dxa"/>
            <w:tcBorders>
              <w:top w:val="nil"/>
              <w:left w:val="nil"/>
              <w:bottom w:val="dotted" w:sz="4" w:space="0" w:color="auto"/>
              <w:right w:val="single" w:sz="8" w:space="0" w:color="auto"/>
            </w:tcBorders>
            <w:shd w:val="clear" w:color="000000" w:fill="FFFFFF"/>
            <w:vAlign w:val="bottom"/>
            <w:hideMark/>
          </w:tcPr>
          <w:p w14:paraId="5AEA8B1D"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w:t>
            </w:r>
          </w:p>
        </w:tc>
        <w:tc>
          <w:tcPr>
            <w:tcW w:w="1482" w:type="dxa"/>
            <w:tcBorders>
              <w:top w:val="nil"/>
              <w:left w:val="nil"/>
              <w:bottom w:val="dotted" w:sz="4" w:space="0" w:color="auto"/>
              <w:right w:val="dotted" w:sz="4" w:space="0" w:color="auto"/>
            </w:tcBorders>
            <w:shd w:val="clear" w:color="000000" w:fill="FFFFFF"/>
            <w:vAlign w:val="bottom"/>
            <w:hideMark/>
          </w:tcPr>
          <w:p w14:paraId="72E7C59A"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1,2</w:t>
            </w:r>
          </w:p>
        </w:tc>
        <w:tc>
          <w:tcPr>
            <w:tcW w:w="1482" w:type="dxa"/>
            <w:tcBorders>
              <w:top w:val="nil"/>
              <w:left w:val="nil"/>
              <w:bottom w:val="dotted" w:sz="4" w:space="0" w:color="auto"/>
              <w:right w:val="dotted" w:sz="4" w:space="0" w:color="auto"/>
            </w:tcBorders>
            <w:shd w:val="clear" w:color="auto" w:fill="auto"/>
            <w:vAlign w:val="bottom"/>
            <w:hideMark/>
          </w:tcPr>
          <w:p w14:paraId="40949EA1"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1,8</w:t>
            </w:r>
          </w:p>
        </w:tc>
        <w:tc>
          <w:tcPr>
            <w:tcW w:w="1482" w:type="dxa"/>
            <w:tcBorders>
              <w:top w:val="nil"/>
              <w:left w:val="nil"/>
              <w:bottom w:val="dotted" w:sz="4" w:space="0" w:color="auto"/>
              <w:right w:val="dotted" w:sz="4" w:space="0" w:color="auto"/>
            </w:tcBorders>
            <w:shd w:val="clear" w:color="auto" w:fill="auto"/>
            <w:vAlign w:val="bottom"/>
            <w:hideMark/>
          </w:tcPr>
          <w:p w14:paraId="20965FBB"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1,8</w:t>
            </w:r>
          </w:p>
        </w:tc>
        <w:tc>
          <w:tcPr>
            <w:tcW w:w="1482" w:type="dxa"/>
            <w:tcBorders>
              <w:top w:val="nil"/>
              <w:left w:val="nil"/>
              <w:bottom w:val="dotted" w:sz="4" w:space="0" w:color="auto"/>
              <w:right w:val="dotted" w:sz="4" w:space="0" w:color="auto"/>
            </w:tcBorders>
            <w:shd w:val="clear" w:color="000000" w:fill="FFFFFF"/>
            <w:vAlign w:val="bottom"/>
            <w:hideMark/>
          </w:tcPr>
          <w:p w14:paraId="43E34939"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1,8</w:t>
            </w:r>
          </w:p>
        </w:tc>
        <w:tc>
          <w:tcPr>
            <w:tcW w:w="1488" w:type="dxa"/>
            <w:tcBorders>
              <w:top w:val="nil"/>
              <w:left w:val="nil"/>
              <w:bottom w:val="dotted" w:sz="4" w:space="0" w:color="auto"/>
              <w:right w:val="double" w:sz="6" w:space="0" w:color="auto"/>
            </w:tcBorders>
            <w:shd w:val="clear" w:color="000000" w:fill="FFFFFF"/>
            <w:vAlign w:val="bottom"/>
            <w:hideMark/>
          </w:tcPr>
          <w:p w14:paraId="017CE3B5"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1,7</w:t>
            </w:r>
          </w:p>
        </w:tc>
      </w:tr>
      <w:tr w:rsidR="001773C9" w:rsidRPr="001773C9" w14:paraId="01A79783" w14:textId="77777777" w:rsidTr="001773C9">
        <w:trPr>
          <w:trHeight w:val="427"/>
        </w:trPr>
        <w:tc>
          <w:tcPr>
            <w:tcW w:w="5188" w:type="dxa"/>
            <w:tcBorders>
              <w:top w:val="nil"/>
              <w:left w:val="double" w:sz="6" w:space="0" w:color="auto"/>
              <w:bottom w:val="dotted" w:sz="4" w:space="0" w:color="auto"/>
              <w:right w:val="dotted" w:sz="4" w:space="0" w:color="auto"/>
            </w:tcBorders>
            <w:shd w:val="clear" w:color="000000" w:fill="FFFFFF"/>
            <w:vAlign w:val="bottom"/>
            <w:hideMark/>
          </w:tcPr>
          <w:p w14:paraId="1B540454" w14:textId="77777777"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7. Exports of goods and services</w:t>
            </w:r>
          </w:p>
        </w:tc>
        <w:tc>
          <w:tcPr>
            <w:tcW w:w="1399" w:type="dxa"/>
            <w:tcBorders>
              <w:top w:val="nil"/>
              <w:left w:val="nil"/>
              <w:bottom w:val="dotted" w:sz="4" w:space="0" w:color="auto"/>
              <w:right w:val="single" w:sz="8" w:space="0" w:color="auto"/>
            </w:tcBorders>
            <w:shd w:val="clear" w:color="000000" w:fill="FFFFFF"/>
            <w:vAlign w:val="bottom"/>
            <w:hideMark/>
          </w:tcPr>
          <w:p w14:paraId="0136C706"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P6</w:t>
            </w:r>
          </w:p>
        </w:tc>
        <w:tc>
          <w:tcPr>
            <w:tcW w:w="1426" w:type="dxa"/>
            <w:tcBorders>
              <w:top w:val="nil"/>
              <w:left w:val="nil"/>
              <w:bottom w:val="dotted" w:sz="4" w:space="0" w:color="auto"/>
              <w:right w:val="single" w:sz="8" w:space="0" w:color="auto"/>
            </w:tcBorders>
            <w:shd w:val="clear" w:color="000000" w:fill="FFFFFF"/>
            <w:vAlign w:val="bottom"/>
            <w:hideMark/>
          </w:tcPr>
          <w:p w14:paraId="2D7DEB5D"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35</w:t>
            </w:r>
          </w:p>
        </w:tc>
        <w:tc>
          <w:tcPr>
            <w:tcW w:w="1482" w:type="dxa"/>
            <w:tcBorders>
              <w:top w:val="nil"/>
              <w:left w:val="nil"/>
              <w:bottom w:val="dotted" w:sz="4" w:space="0" w:color="auto"/>
              <w:right w:val="dotted" w:sz="4" w:space="0" w:color="auto"/>
            </w:tcBorders>
            <w:shd w:val="clear" w:color="000000" w:fill="FFFFFF"/>
            <w:vAlign w:val="bottom"/>
            <w:hideMark/>
          </w:tcPr>
          <w:p w14:paraId="52BB1721"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2,7</w:t>
            </w:r>
          </w:p>
        </w:tc>
        <w:tc>
          <w:tcPr>
            <w:tcW w:w="1482" w:type="dxa"/>
            <w:tcBorders>
              <w:top w:val="nil"/>
              <w:left w:val="nil"/>
              <w:bottom w:val="dotted" w:sz="4" w:space="0" w:color="auto"/>
              <w:right w:val="dotted" w:sz="4" w:space="0" w:color="auto"/>
            </w:tcBorders>
            <w:shd w:val="clear" w:color="000000" w:fill="FFFFFF"/>
            <w:vAlign w:val="bottom"/>
            <w:hideMark/>
          </w:tcPr>
          <w:p w14:paraId="6E732D7E"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4,4</w:t>
            </w:r>
          </w:p>
        </w:tc>
        <w:tc>
          <w:tcPr>
            <w:tcW w:w="1482" w:type="dxa"/>
            <w:tcBorders>
              <w:top w:val="nil"/>
              <w:left w:val="nil"/>
              <w:bottom w:val="dotted" w:sz="4" w:space="0" w:color="auto"/>
              <w:right w:val="dotted" w:sz="4" w:space="0" w:color="auto"/>
            </w:tcBorders>
            <w:shd w:val="clear" w:color="000000" w:fill="FFFFFF"/>
            <w:vAlign w:val="bottom"/>
            <w:hideMark/>
          </w:tcPr>
          <w:p w14:paraId="53A5392D"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5,9</w:t>
            </w:r>
          </w:p>
        </w:tc>
        <w:tc>
          <w:tcPr>
            <w:tcW w:w="1482" w:type="dxa"/>
            <w:tcBorders>
              <w:top w:val="nil"/>
              <w:left w:val="nil"/>
              <w:bottom w:val="dotted" w:sz="4" w:space="0" w:color="auto"/>
              <w:right w:val="dotted" w:sz="4" w:space="0" w:color="auto"/>
            </w:tcBorders>
            <w:shd w:val="clear" w:color="000000" w:fill="FFFFFF"/>
            <w:vAlign w:val="bottom"/>
            <w:hideMark/>
          </w:tcPr>
          <w:p w14:paraId="048F5DAD"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6,9</w:t>
            </w:r>
          </w:p>
        </w:tc>
        <w:tc>
          <w:tcPr>
            <w:tcW w:w="1488" w:type="dxa"/>
            <w:tcBorders>
              <w:top w:val="nil"/>
              <w:left w:val="nil"/>
              <w:bottom w:val="dotted" w:sz="4" w:space="0" w:color="auto"/>
              <w:right w:val="double" w:sz="6" w:space="0" w:color="auto"/>
            </w:tcBorders>
            <w:shd w:val="clear" w:color="000000" w:fill="FFFFFF"/>
            <w:vAlign w:val="bottom"/>
            <w:hideMark/>
          </w:tcPr>
          <w:p w14:paraId="0B095FA9"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9,9</w:t>
            </w:r>
          </w:p>
        </w:tc>
      </w:tr>
      <w:tr w:rsidR="001773C9" w:rsidRPr="001773C9" w14:paraId="6105C653" w14:textId="77777777" w:rsidTr="001773C9">
        <w:trPr>
          <w:trHeight w:val="427"/>
        </w:trPr>
        <w:tc>
          <w:tcPr>
            <w:tcW w:w="5188" w:type="dxa"/>
            <w:tcBorders>
              <w:top w:val="nil"/>
              <w:left w:val="double" w:sz="6" w:space="0" w:color="auto"/>
              <w:bottom w:val="single" w:sz="8" w:space="0" w:color="auto"/>
              <w:right w:val="dotted" w:sz="4" w:space="0" w:color="auto"/>
            </w:tcBorders>
            <w:shd w:val="clear" w:color="000000" w:fill="FFFFFF"/>
            <w:vAlign w:val="bottom"/>
            <w:hideMark/>
          </w:tcPr>
          <w:p w14:paraId="156C2A26" w14:textId="77777777"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8. Imports of goods and services</w:t>
            </w:r>
          </w:p>
        </w:tc>
        <w:tc>
          <w:tcPr>
            <w:tcW w:w="1399" w:type="dxa"/>
            <w:tcBorders>
              <w:top w:val="nil"/>
              <w:left w:val="nil"/>
              <w:bottom w:val="single" w:sz="8" w:space="0" w:color="auto"/>
              <w:right w:val="single" w:sz="8" w:space="0" w:color="auto"/>
            </w:tcBorders>
            <w:shd w:val="clear" w:color="000000" w:fill="FFFFFF"/>
            <w:vAlign w:val="bottom"/>
            <w:hideMark/>
          </w:tcPr>
          <w:p w14:paraId="7199B810"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P7</w:t>
            </w:r>
          </w:p>
        </w:tc>
        <w:tc>
          <w:tcPr>
            <w:tcW w:w="1426" w:type="dxa"/>
            <w:tcBorders>
              <w:top w:val="nil"/>
              <w:left w:val="nil"/>
              <w:bottom w:val="single" w:sz="8" w:space="0" w:color="auto"/>
              <w:right w:val="single" w:sz="8" w:space="0" w:color="auto"/>
            </w:tcBorders>
            <w:shd w:val="clear" w:color="000000" w:fill="FFFFFF"/>
            <w:vAlign w:val="bottom"/>
            <w:hideMark/>
          </w:tcPr>
          <w:p w14:paraId="3137355D"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38</w:t>
            </w:r>
          </w:p>
        </w:tc>
        <w:tc>
          <w:tcPr>
            <w:tcW w:w="1482" w:type="dxa"/>
            <w:tcBorders>
              <w:top w:val="nil"/>
              <w:left w:val="nil"/>
              <w:bottom w:val="single" w:sz="8" w:space="0" w:color="auto"/>
              <w:right w:val="dotted" w:sz="4" w:space="0" w:color="auto"/>
            </w:tcBorders>
            <w:shd w:val="clear" w:color="000000" w:fill="FFFFFF"/>
            <w:vAlign w:val="bottom"/>
            <w:hideMark/>
          </w:tcPr>
          <w:p w14:paraId="2E06F01A"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-1,6</w:t>
            </w:r>
          </w:p>
        </w:tc>
        <w:tc>
          <w:tcPr>
            <w:tcW w:w="1482" w:type="dxa"/>
            <w:tcBorders>
              <w:top w:val="nil"/>
              <w:left w:val="nil"/>
              <w:bottom w:val="single" w:sz="8" w:space="0" w:color="auto"/>
              <w:right w:val="dotted" w:sz="4" w:space="0" w:color="auto"/>
            </w:tcBorders>
            <w:shd w:val="clear" w:color="000000" w:fill="FFFFFF"/>
            <w:vAlign w:val="bottom"/>
            <w:hideMark/>
          </w:tcPr>
          <w:p w14:paraId="5B35DB94"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8,0</w:t>
            </w:r>
          </w:p>
        </w:tc>
        <w:tc>
          <w:tcPr>
            <w:tcW w:w="1482" w:type="dxa"/>
            <w:tcBorders>
              <w:top w:val="nil"/>
              <w:left w:val="nil"/>
              <w:bottom w:val="single" w:sz="8" w:space="0" w:color="auto"/>
              <w:right w:val="dotted" w:sz="4" w:space="0" w:color="auto"/>
            </w:tcBorders>
            <w:shd w:val="clear" w:color="000000" w:fill="FFFFFF"/>
            <w:vAlign w:val="bottom"/>
            <w:hideMark/>
          </w:tcPr>
          <w:p w14:paraId="3C359734"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6,5</w:t>
            </w:r>
          </w:p>
        </w:tc>
        <w:tc>
          <w:tcPr>
            <w:tcW w:w="1482" w:type="dxa"/>
            <w:tcBorders>
              <w:top w:val="nil"/>
              <w:left w:val="nil"/>
              <w:bottom w:val="single" w:sz="8" w:space="0" w:color="auto"/>
              <w:right w:val="dotted" w:sz="4" w:space="0" w:color="auto"/>
            </w:tcBorders>
            <w:shd w:val="clear" w:color="000000" w:fill="FFFFFF"/>
            <w:vAlign w:val="bottom"/>
            <w:hideMark/>
          </w:tcPr>
          <w:p w14:paraId="6EF688F1"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6,8</w:t>
            </w:r>
          </w:p>
        </w:tc>
        <w:tc>
          <w:tcPr>
            <w:tcW w:w="1488" w:type="dxa"/>
            <w:tcBorders>
              <w:top w:val="nil"/>
              <w:left w:val="nil"/>
              <w:bottom w:val="single" w:sz="8" w:space="0" w:color="auto"/>
              <w:right w:val="double" w:sz="6" w:space="0" w:color="auto"/>
            </w:tcBorders>
            <w:shd w:val="clear" w:color="000000" w:fill="FFFFFF"/>
            <w:vAlign w:val="bottom"/>
            <w:hideMark/>
          </w:tcPr>
          <w:p w14:paraId="02F08AB4"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7,4</w:t>
            </w:r>
          </w:p>
        </w:tc>
      </w:tr>
      <w:tr w:rsidR="001773C9" w:rsidRPr="001773C9" w14:paraId="5F64CEA5" w14:textId="77777777" w:rsidTr="001773C9">
        <w:trPr>
          <w:trHeight w:val="427"/>
        </w:trPr>
        <w:tc>
          <w:tcPr>
            <w:tcW w:w="15432" w:type="dxa"/>
            <w:gridSpan w:val="8"/>
            <w:tcBorders>
              <w:top w:val="single" w:sz="8" w:space="0" w:color="auto"/>
              <w:left w:val="double" w:sz="6" w:space="0" w:color="auto"/>
              <w:bottom w:val="single" w:sz="8" w:space="0" w:color="auto"/>
              <w:right w:val="double" w:sz="6" w:space="0" w:color="000000"/>
            </w:tcBorders>
            <w:shd w:val="clear" w:color="000000" w:fill="FFFFFF"/>
            <w:vAlign w:val="bottom"/>
            <w:hideMark/>
          </w:tcPr>
          <w:p w14:paraId="35963B11" w14:textId="77777777" w:rsidR="001773C9" w:rsidRPr="001773C9" w:rsidRDefault="001773C9" w:rsidP="001773C9">
            <w:pPr>
              <w:spacing w:after="0"/>
              <w:jc w:val="center"/>
              <w:rPr>
                <w:rFonts w:eastAsia="Times New Roman" w:cs="Times New Roman"/>
                <w:b/>
                <w:bCs/>
                <w:sz w:val="20"/>
                <w:szCs w:val="20"/>
              </w:rPr>
            </w:pPr>
            <w:r w:rsidRPr="001773C9">
              <w:rPr>
                <w:rFonts w:eastAsia="Times New Roman" w:cs="Times New Roman"/>
                <w:b/>
                <w:bCs/>
                <w:sz w:val="20"/>
                <w:szCs w:val="20"/>
              </w:rPr>
              <w:t>Contribution to real GDP growth</w:t>
            </w:r>
          </w:p>
        </w:tc>
      </w:tr>
      <w:tr w:rsidR="001773C9" w:rsidRPr="001773C9" w14:paraId="0705D339" w14:textId="77777777" w:rsidTr="001773C9">
        <w:trPr>
          <w:trHeight w:val="427"/>
        </w:trPr>
        <w:tc>
          <w:tcPr>
            <w:tcW w:w="5188" w:type="dxa"/>
            <w:tcBorders>
              <w:top w:val="nil"/>
              <w:left w:val="double" w:sz="6" w:space="0" w:color="auto"/>
              <w:bottom w:val="dotted" w:sz="4" w:space="0" w:color="auto"/>
              <w:right w:val="dotted" w:sz="4" w:space="0" w:color="auto"/>
            </w:tcBorders>
            <w:shd w:val="clear" w:color="000000" w:fill="FFFFFF"/>
            <w:vAlign w:val="bottom"/>
            <w:hideMark/>
          </w:tcPr>
          <w:p w14:paraId="3958771E" w14:textId="77777777"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9. Final domestic demand</w:t>
            </w:r>
          </w:p>
        </w:tc>
        <w:tc>
          <w:tcPr>
            <w:tcW w:w="1399" w:type="dxa"/>
            <w:tcBorders>
              <w:top w:val="nil"/>
              <w:left w:val="nil"/>
              <w:bottom w:val="dotted" w:sz="4" w:space="0" w:color="auto"/>
              <w:right w:val="single" w:sz="8" w:space="0" w:color="auto"/>
            </w:tcBorders>
            <w:shd w:val="clear" w:color="000000" w:fill="FFFFFF"/>
            <w:vAlign w:val="bottom"/>
            <w:hideMark/>
          </w:tcPr>
          <w:p w14:paraId="11DE9850"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 </w:t>
            </w:r>
          </w:p>
        </w:tc>
        <w:tc>
          <w:tcPr>
            <w:tcW w:w="1426" w:type="dxa"/>
            <w:tcBorders>
              <w:top w:val="nil"/>
              <w:left w:val="nil"/>
              <w:bottom w:val="dotted" w:sz="4" w:space="0" w:color="auto"/>
              <w:right w:val="single" w:sz="8" w:space="0" w:color="auto"/>
            </w:tcBorders>
            <w:shd w:val="clear" w:color="000000" w:fill="FFFFFF"/>
            <w:vAlign w:val="bottom"/>
            <w:hideMark/>
          </w:tcPr>
          <w:p w14:paraId="2385E372"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62,2</w:t>
            </w:r>
          </w:p>
        </w:tc>
        <w:tc>
          <w:tcPr>
            <w:tcW w:w="1482" w:type="dxa"/>
            <w:tcBorders>
              <w:top w:val="nil"/>
              <w:left w:val="nil"/>
              <w:bottom w:val="dotted" w:sz="4" w:space="0" w:color="auto"/>
              <w:right w:val="dotted" w:sz="4" w:space="0" w:color="auto"/>
            </w:tcBorders>
            <w:shd w:val="clear" w:color="000000" w:fill="FFFFFF"/>
            <w:vAlign w:val="bottom"/>
            <w:hideMark/>
          </w:tcPr>
          <w:p w14:paraId="62735099"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2,1</w:t>
            </w:r>
          </w:p>
        </w:tc>
        <w:tc>
          <w:tcPr>
            <w:tcW w:w="1482" w:type="dxa"/>
            <w:tcBorders>
              <w:top w:val="nil"/>
              <w:left w:val="nil"/>
              <w:bottom w:val="dotted" w:sz="4" w:space="0" w:color="auto"/>
              <w:right w:val="dotted" w:sz="4" w:space="0" w:color="auto"/>
            </w:tcBorders>
            <w:shd w:val="clear" w:color="000000" w:fill="FFFFFF"/>
            <w:vAlign w:val="bottom"/>
            <w:hideMark/>
          </w:tcPr>
          <w:p w14:paraId="7CE7E2A8"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5,6</w:t>
            </w:r>
          </w:p>
        </w:tc>
        <w:tc>
          <w:tcPr>
            <w:tcW w:w="1482" w:type="dxa"/>
            <w:tcBorders>
              <w:top w:val="nil"/>
              <w:left w:val="nil"/>
              <w:bottom w:val="dotted" w:sz="4" w:space="0" w:color="auto"/>
              <w:right w:val="dotted" w:sz="4" w:space="0" w:color="auto"/>
            </w:tcBorders>
            <w:shd w:val="clear" w:color="000000" w:fill="FFFFFF"/>
            <w:vAlign w:val="bottom"/>
            <w:hideMark/>
          </w:tcPr>
          <w:p w14:paraId="66EF4881"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5,0</w:t>
            </w:r>
          </w:p>
        </w:tc>
        <w:tc>
          <w:tcPr>
            <w:tcW w:w="1482" w:type="dxa"/>
            <w:tcBorders>
              <w:top w:val="nil"/>
              <w:left w:val="nil"/>
              <w:bottom w:val="dotted" w:sz="4" w:space="0" w:color="auto"/>
              <w:right w:val="dotted" w:sz="4" w:space="0" w:color="auto"/>
            </w:tcBorders>
            <w:shd w:val="clear" w:color="000000" w:fill="FFFFFF"/>
            <w:vAlign w:val="bottom"/>
            <w:hideMark/>
          </w:tcPr>
          <w:p w14:paraId="04BD7846"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4,4</w:t>
            </w:r>
          </w:p>
        </w:tc>
        <w:tc>
          <w:tcPr>
            <w:tcW w:w="1488" w:type="dxa"/>
            <w:tcBorders>
              <w:top w:val="nil"/>
              <w:left w:val="nil"/>
              <w:bottom w:val="dotted" w:sz="4" w:space="0" w:color="auto"/>
              <w:right w:val="double" w:sz="6" w:space="0" w:color="auto"/>
            </w:tcBorders>
            <w:shd w:val="clear" w:color="000000" w:fill="FFFFFF"/>
            <w:vAlign w:val="bottom"/>
            <w:hideMark/>
          </w:tcPr>
          <w:p w14:paraId="73BBCF1F"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4,1</w:t>
            </w:r>
          </w:p>
        </w:tc>
      </w:tr>
      <w:tr w:rsidR="001773C9" w:rsidRPr="001773C9" w14:paraId="041FAB74" w14:textId="77777777" w:rsidTr="001773C9">
        <w:trPr>
          <w:trHeight w:val="822"/>
        </w:trPr>
        <w:tc>
          <w:tcPr>
            <w:tcW w:w="5188" w:type="dxa"/>
            <w:tcBorders>
              <w:top w:val="nil"/>
              <w:left w:val="double" w:sz="6" w:space="0" w:color="auto"/>
              <w:bottom w:val="dotted" w:sz="4" w:space="0" w:color="auto"/>
              <w:right w:val="dotted" w:sz="4" w:space="0" w:color="auto"/>
            </w:tcBorders>
            <w:shd w:val="clear" w:color="000000" w:fill="FFFFFF"/>
            <w:vAlign w:val="bottom"/>
            <w:hideMark/>
          </w:tcPr>
          <w:p w14:paraId="0584E809" w14:textId="77777777"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 xml:space="preserve">10. Change in inventories and net acquisition of valuables </w:t>
            </w:r>
          </w:p>
        </w:tc>
        <w:tc>
          <w:tcPr>
            <w:tcW w:w="1399" w:type="dxa"/>
            <w:tcBorders>
              <w:top w:val="nil"/>
              <w:left w:val="nil"/>
              <w:bottom w:val="dotted" w:sz="4" w:space="0" w:color="auto"/>
              <w:right w:val="single" w:sz="8" w:space="0" w:color="auto"/>
            </w:tcBorders>
            <w:shd w:val="clear" w:color="000000" w:fill="FFFFFF"/>
            <w:vAlign w:val="bottom"/>
            <w:hideMark/>
          </w:tcPr>
          <w:p w14:paraId="56C648D5"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P52+P53</w:t>
            </w:r>
          </w:p>
        </w:tc>
        <w:tc>
          <w:tcPr>
            <w:tcW w:w="1426" w:type="dxa"/>
            <w:tcBorders>
              <w:top w:val="nil"/>
              <w:left w:val="nil"/>
              <w:bottom w:val="dotted" w:sz="4" w:space="0" w:color="auto"/>
              <w:right w:val="single" w:sz="8" w:space="0" w:color="auto"/>
            </w:tcBorders>
            <w:shd w:val="clear" w:color="000000" w:fill="FFFFFF"/>
            <w:vAlign w:val="bottom"/>
            <w:hideMark/>
          </w:tcPr>
          <w:p w14:paraId="0FE4E9A0"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0,7</w:t>
            </w:r>
          </w:p>
        </w:tc>
        <w:tc>
          <w:tcPr>
            <w:tcW w:w="1482" w:type="dxa"/>
            <w:tcBorders>
              <w:top w:val="nil"/>
              <w:left w:val="nil"/>
              <w:bottom w:val="dotted" w:sz="4" w:space="0" w:color="auto"/>
              <w:right w:val="dotted" w:sz="4" w:space="0" w:color="auto"/>
            </w:tcBorders>
            <w:shd w:val="clear" w:color="000000" w:fill="FFFFFF"/>
            <w:vAlign w:val="bottom"/>
            <w:hideMark/>
          </w:tcPr>
          <w:p w14:paraId="5BE35539"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-1,0</w:t>
            </w:r>
          </w:p>
        </w:tc>
        <w:tc>
          <w:tcPr>
            <w:tcW w:w="1482" w:type="dxa"/>
            <w:tcBorders>
              <w:top w:val="nil"/>
              <w:left w:val="nil"/>
              <w:bottom w:val="dotted" w:sz="4" w:space="0" w:color="auto"/>
              <w:right w:val="dotted" w:sz="4" w:space="0" w:color="auto"/>
            </w:tcBorders>
            <w:shd w:val="clear" w:color="000000" w:fill="FFFFFF"/>
            <w:vAlign w:val="bottom"/>
            <w:hideMark/>
          </w:tcPr>
          <w:p w14:paraId="3B494B17"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0,7</w:t>
            </w:r>
          </w:p>
        </w:tc>
        <w:tc>
          <w:tcPr>
            <w:tcW w:w="1482" w:type="dxa"/>
            <w:tcBorders>
              <w:top w:val="nil"/>
              <w:left w:val="nil"/>
              <w:bottom w:val="dotted" w:sz="4" w:space="0" w:color="auto"/>
              <w:right w:val="dotted" w:sz="4" w:space="0" w:color="auto"/>
            </w:tcBorders>
            <w:shd w:val="clear" w:color="000000" w:fill="FFFFFF"/>
            <w:vAlign w:val="bottom"/>
            <w:hideMark/>
          </w:tcPr>
          <w:p w14:paraId="05D293F7"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0,0</w:t>
            </w:r>
          </w:p>
        </w:tc>
        <w:tc>
          <w:tcPr>
            <w:tcW w:w="1482" w:type="dxa"/>
            <w:tcBorders>
              <w:top w:val="nil"/>
              <w:left w:val="nil"/>
              <w:bottom w:val="dotted" w:sz="4" w:space="0" w:color="auto"/>
              <w:right w:val="dotted" w:sz="4" w:space="0" w:color="auto"/>
            </w:tcBorders>
            <w:shd w:val="clear" w:color="000000" w:fill="FFFFFF"/>
            <w:vAlign w:val="bottom"/>
            <w:hideMark/>
          </w:tcPr>
          <w:p w14:paraId="7A831FB4"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0,0</w:t>
            </w:r>
          </w:p>
        </w:tc>
        <w:tc>
          <w:tcPr>
            <w:tcW w:w="1488" w:type="dxa"/>
            <w:tcBorders>
              <w:top w:val="nil"/>
              <w:left w:val="nil"/>
              <w:bottom w:val="dotted" w:sz="4" w:space="0" w:color="auto"/>
              <w:right w:val="double" w:sz="6" w:space="0" w:color="auto"/>
            </w:tcBorders>
            <w:shd w:val="clear" w:color="000000" w:fill="FFFFFF"/>
            <w:vAlign w:val="bottom"/>
            <w:hideMark/>
          </w:tcPr>
          <w:p w14:paraId="13642658"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0,0</w:t>
            </w:r>
          </w:p>
        </w:tc>
      </w:tr>
      <w:tr w:rsidR="001773C9" w:rsidRPr="001773C9" w14:paraId="65A9C361" w14:textId="77777777" w:rsidTr="001773C9">
        <w:trPr>
          <w:trHeight w:val="427"/>
        </w:trPr>
        <w:tc>
          <w:tcPr>
            <w:tcW w:w="5188" w:type="dxa"/>
            <w:tcBorders>
              <w:top w:val="nil"/>
              <w:left w:val="double" w:sz="6" w:space="0" w:color="auto"/>
              <w:bottom w:val="double" w:sz="6" w:space="0" w:color="auto"/>
              <w:right w:val="dotted" w:sz="4" w:space="0" w:color="auto"/>
            </w:tcBorders>
            <w:shd w:val="clear" w:color="000000" w:fill="FFFFFF"/>
            <w:vAlign w:val="bottom"/>
            <w:hideMark/>
          </w:tcPr>
          <w:p w14:paraId="4E013E6E" w14:textId="77777777" w:rsidR="001773C9" w:rsidRPr="001773C9" w:rsidRDefault="001773C9" w:rsidP="001773C9">
            <w:pPr>
              <w:spacing w:after="0"/>
              <w:jc w:val="left"/>
              <w:rPr>
                <w:rFonts w:eastAsia="Times New Roman" w:cs="Times New Roman"/>
                <w:sz w:val="20"/>
                <w:szCs w:val="20"/>
              </w:rPr>
            </w:pPr>
            <w:r w:rsidRPr="001773C9">
              <w:rPr>
                <w:rFonts w:eastAsia="Times New Roman" w:cs="Times New Roman"/>
                <w:sz w:val="20"/>
                <w:szCs w:val="20"/>
              </w:rPr>
              <w:t xml:space="preserve">11. External balance of goods/services </w:t>
            </w:r>
          </w:p>
        </w:tc>
        <w:tc>
          <w:tcPr>
            <w:tcW w:w="1399" w:type="dxa"/>
            <w:tcBorders>
              <w:top w:val="nil"/>
              <w:left w:val="nil"/>
              <w:bottom w:val="double" w:sz="6" w:space="0" w:color="auto"/>
              <w:right w:val="single" w:sz="8" w:space="0" w:color="auto"/>
            </w:tcBorders>
            <w:shd w:val="clear" w:color="000000" w:fill="FFFFFF"/>
            <w:vAlign w:val="bottom"/>
            <w:hideMark/>
          </w:tcPr>
          <w:p w14:paraId="20C4F221"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B11</w:t>
            </w:r>
          </w:p>
        </w:tc>
        <w:tc>
          <w:tcPr>
            <w:tcW w:w="1426" w:type="dxa"/>
            <w:tcBorders>
              <w:top w:val="nil"/>
              <w:left w:val="nil"/>
              <w:bottom w:val="double" w:sz="6" w:space="0" w:color="auto"/>
              <w:right w:val="single" w:sz="8" w:space="0" w:color="auto"/>
            </w:tcBorders>
            <w:shd w:val="clear" w:color="000000" w:fill="FFFFFF"/>
            <w:vAlign w:val="bottom"/>
            <w:hideMark/>
          </w:tcPr>
          <w:p w14:paraId="3E89B29B"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-3,2</w:t>
            </w:r>
          </w:p>
        </w:tc>
        <w:tc>
          <w:tcPr>
            <w:tcW w:w="1482" w:type="dxa"/>
            <w:tcBorders>
              <w:top w:val="nil"/>
              <w:left w:val="nil"/>
              <w:bottom w:val="double" w:sz="6" w:space="0" w:color="auto"/>
              <w:right w:val="dotted" w:sz="4" w:space="0" w:color="auto"/>
            </w:tcBorders>
            <w:shd w:val="clear" w:color="000000" w:fill="FFFFFF"/>
            <w:vAlign w:val="bottom"/>
            <w:hideMark/>
          </w:tcPr>
          <w:p w14:paraId="4395BD40"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2,7</w:t>
            </w:r>
          </w:p>
        </w:tc>
        <w:tc>
          <w:tcPr>
            <w:tcW w:w="1482" w:type="dxa"/>
            <w:tcBorders>
              <w:top w:val="nil"/>
              <w:left w:val="nil"/>
              <w:bottom w:val="double" w:sz="6" w:space="0" w:color="auto"/>
              <w:right w:val="dotted" w:sz="4" w:space="0" w:color="auto"/>
            </w:tcBorders>
            <w:shd w:val="clear" w:color="000000" w:fill="FFFFFF"/>
            <w:vAlign w:val="bottom"/>
            <w:hideMark/>
          </w:tcPr>
          <w:p w14:paraId="628A0B07"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-2,5</w:t>
            </w:r>
          </w:p>
        </w:tc>
        <w:tc>
          <w:tcPr>
            <w:tcW w:w="1482" w:type="dxa"/>
            <w:tcBorders>
              <w:top w:val="nil"/>
              <w:left w:val="nil"/>
              <w:bottom w:val="double" w:sz="6" w:space="0" w:color="auto"/>
              <w:right w:val="dotted" w:sz="4" w:space="0" w:color="auto"/>
            </w:tcBorders>
            <w:shd w:val="clear" w:color="000000" w:fill="FFFFFF"/>
            <w:vAlign w:val="bottom"/>
            <w:hideMark/>
          </w:tcPr>
          <w:p w14:paraId="64D5F005"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-0,9</w:t>
            </w:r>
          </w:p>
        </w:tc>
        <w:tc>
          <w:tcPr>
            <w:tcW w:w="1482" w:type="dxa"/>
            <w:tcBorders>
              <w:top w:val="nil"/>
              <w:left w:val="nil"/>
              <w:bottom w:val="double" w:sz="6" w:space="0" w:color="auto"/>
              <w:right w:val="dotted" w:sz="4" w:space="0" w:color="auto"/>
            </w:tcBorders>
            <w:shd w:val="clear" w:color="000000" w:fill="FFFFFF"/>
            <w:vAlign w:val="bottom"/>
            <w:hideMark/>
          </w:tcPr>
          <w:p w14:paraId="7E65DFE8"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-0,5</w:t>
            </w:r>
          </w:p>
        </w:tc>
        <w:tc>
          <w:tcPr>
            <w:tcW w:w="1488" w:type="dxa"/>
            <w:tcBorders>
              <w:top w:val="nil"/>
              <w:left w:val="nil"/>
              <w:bottom w:val="double" w:sz="6" w:space="0" w:color="auto"/>
              <w:right w:val="double" w:sz="6" w:space="0" w:color="auto"/>
            </w:tcBorders>
            <w:shd w:val="clear" w:color="000000" w:fill="FFFFFF"/>
            <w:vAlign w:val="bottom"/>
            <w:hideMark/>
          </w:tcPr>
          <w:p w14:paraId="254BBD4C" w14:textId="77777777" w:rsidR="001773C9" w:rsidRPr="001773C9" w:rsidRDefault="001773C9" w:rsidP="001773C9">
            <w:pPr>
              <w:spacing w:after="0"/>
              <w:jc w:val="center"/>
              <w:rPr>
                <w:rFonts w:eastAsia="Times New Roman" w:cs="Times New Roman"/>
                <w:sz w:val="20"/>
                <w:szCs w:val="20"/>
              </w:rPr>
            </w:pPr>
            <w:r w:rsidRPr="001773C9">
              <w:rPr>
                <w:rFonts w:eastAsia="Times New Roman" w:cs="Times New Roman"/>
                <w:sz w:val="20"/>
                <w:szCs w:val="20"/>
              </w:rPr>
              <w:t>1,0</w:t>
            </w:r>
          </w:p>
        </w:tc>
      </w:tr>
    </w:tbl>
    <w:p w14:paraId="5467611C" w14:textId="25DF3876" w:rsidR="001773C9" w:rsidRDefault="001773C9" w:rsidP="001773C9">
      <w:r>
        <w:fldChar w:fldCharType="end"/>
      </w:r>
    </w:p>
    <w:p w14:paraId="410A9DCA" w14:textId="22496FF0" w:rsidR="001773C9" w:rsidRDefault="001773C9" w:rsidP="001773C9"/>
    <w:p w14:paraId="76581F01" w14:textId="5772BC94" w:rsidR="001773C9" w:rsidRDefault="001773C9" w:rsidP="001773C9"/>
    <w:p w14:paraId="1460756E" w14:textId="77777777" w:rsidR="00406582" w:rsidRPr="00406582" w:rsidRDefault="00406582" w:rsidP="00406582">
      <w:r w:rsidRPr="00406582">
        <w:lastRenderedPageBreak/>
        <w:t>Table 1b:  Price developments</w:t>
      </w:r>
    </w:p>
    <w:p w14:paraId="67B9636A" w14:textId="5C9E3732" w:rsidR="001773C9" w:rsidRDefault="001773C9" w:rsidP="001773C9"/>
    <w:p w14:paraId="55EE2B58" w14:textId="5DA9E10F" w:rsidR="00406582" w:rsidRDefault="00406582" w:rsidP="001773C9">
      <w:pPr>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Tab1b-Prices!R4C2:R13C9 </w:instrText>
      </w:r>
      <w:r>
        <w:instrText xml:space="preserve">\a \f 4 \h  \* MERGEFORMAT </w:instrText>
      </w:r>
      <w:r>
        <w:fldChar w:fldCharType="separate"/>
      </w:r>
    </w:p>
    <w:tbl>
      <w:tblPr>
        <w:tblW w:w="15349" w:type="dxa"/>
        <w:tblLook w:val="04A0" w:firstRow="1" w:lastRow="0" w:firstColumn="1" w:lastColumn="0" w:noHBand="0" w:noVBand="1"/>
      </w:tblPr>
      <w:tblGrid>
        <w:gridCol w:w="5850"/>
        <w:gridCol w:w="1609"/>
        <w:gridCol w:w="1578"/>
        <w:gridCol w:w="1578"/>
        <w:gridCol w:w="1578"/>
        <w:gridCol w:w="1578"/>
        <w:gridCol w:w="1578"/>
      </w:tblGrid>
      <w:tr w:rsidR="00406582" w:rsidRPr="00406582" w14:paraId="3FCD35B7" w14:textId="77777777" w:rsidTr="00406582">
        <w:trPr>
          <w:trHeight w:val="438"/>
        </w:trPr>
        <w:tc>
          <w:tcPr>
            <w:tcW w:w="5850" w:type="dxa"/>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5AA11200" w14:textId="0A3CB4BB"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 xml:space="preserve">Percentage changes, annual averages </w:t>
            </w:r>
          </w:p>
        </w:tc>
        <w:tc>
          <w:tcPr>
            <w:tcW w:w="1609" w:type="dxa"/>
            <w:tcBorders>
              <w:top w:val="double" w:sz="6" w:space="0" w:color="auto"/>
              <w:left w:val="nil"/>
              <w:bottom w:val="nil"/>
              <w:right w:val="single" w:sz="8" w:space="0" w:color="auto"/>
            </w:tcBorders>
            <w:shd w:val="clear" w:color="000000" w:fill="FFFFFF"/>
            <w:vAlign w:val="center"/>
            <w:hideMark/>
          </w:tcPr>
          <w:p w14:paraId="703C81A8"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ESA Code</w:t>
            </w:r>
          </w:p>
        </w:tc>
        <w:tc>
          <w:tcPr>
            <w:tcW w:w="1578" w:type="dxa"/>
            <w:tcBorders>
              <w:top w:val="double" w:sz="6" w:space="0" w:color="auto"/>
              <w:left w:val="nil"/>
              <w:bottom w:val="nil"/>
              <w:right w:val="dotted" w:sz="4" w:space="0" w:color="auto"/>
            </w:tcBorders>
            <w:shd w:val="clear" w:color="000000" w:fill="FFFFFF"/>
            <w:vAlign w:val="center"/>
            <w:hideMark/>
          </w:tcPr>
          <w:p w14:paraId="5C470D4E"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Year</w:t>
            </w:r>
          </w:p>
        </w:tc>
        <w:tc>
          <w:tcPr>
            <w:tcW w:w="1578" w:type="dxa"/>
            <w:tcBorders>
              <w:top w:val="double" w:sz="6" w:space="0" w:color="auto"/>
              <w:left w:val="nil"/>
              <w:bottom w:val="nil"/>
              <w:right w:val="dotted" w:sz="4" w:space="0" w:color="auto"/>
            </w:tcBorders>
            <w:shd w:val="clear" w:color="000000" w:fill="FFFFFF"/>
            <w:vAlign w:val="center"/>
            <w:hideMark/>
          </w:tcPr>
          <w:p w14:paraId="2CD64C2B"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Year</w:t>
            </w:r>
          </w:p>
        </w:tc>
        <w:tc>
          <w:tcPr>
            <w:tcW w:w="1578" w:type="dxa"/>
            <w:tcBorders>
              <w:top w:val="double" w:sz="6" w:space="0" w:color="auto"/>
              <w:left w:val="nil"/>
              <w:bottom w:val="nil"/>
              <w:right w:val="dotted" w:sz="4" w:space="0" w:color="auto"/>
            </w:tcBorders>
            <w:shd w:val="clear" w:color="000000" w:fill="FFFFFF"/>
            <w:vAlign w:val="center"/>
            <w:hideMark/>
          </w:tcPr>
          <w:p w14:paraId="3434D780"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Year</w:t>
            </w:r>
          </w:p>
        </w:tc>
        <w:tc>
          <w:tcPr>
            <w:tcW w:w="1578" w:type="dxa"/>
            <w:tcBorders>
              <w:top w:val="double" w:sz="6" w:space="0" w:color="auto"/>
              <w:left w:val="nil"/>
              <w:bottom w:val="nil"/>
              <w:right w:val="dotted" w:sz="4" w:space="0" w:color="auto"/>
            </w:tcBorders>
            <w:shd w:val="clear" w:color="000000" w:fill="FFFFFF"/>
            <w:vAlign w:val="center"/>
            <w:hideMark/>
          </w:tcPr>
          <w:p w14:paraId="6A3C2715"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Year</w:t>
            </w:r>
          </w:p>
        </w:tc>
        <w:tc>
          <w:tcPr>
            <w:tcW w:w="1578" w:type="dxa"/>
            <w:tcBorders>
              <w:top w:val="double" w:sz="6" w:space="0" w:color="auto"/>
              <w:left w:val="nil"/>
              <w:bottom w:val="nil"/>
              <w:right w:val="double" w:sz="6" w:space="0" w:color="auto"/>
            </w:tcBorders>
            <w:shd w:val="clear" w:color="000000" w:fill="FFFFFF"/>
            <w:vAlign w:val="center"/>
            <w:hideMark/>
          </w:tcPr>
          <w:p w14:paraId="20B44BD0"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Year</w:t>
            </w:r>
          </w:p>
        </w:tc>
      </w:tr>
      <w:tr w:rsidR="00406582" w:rsidRPr="00406582" w14:paraId="5988C0D3" w14:textId="77777777" w:rsidTr="00406582">
        <w:trPr>
          <w:trHeight w:val="438"/>
        </w:trPr>
        <w:tc>
          <w:tcPr>
            <w:tcW w:w="5850" w:type="dxa"/>
            <w:vMerge/>
            <w:tcBorders>
              <w:top w:val="double" w:sz="6" w:space="0" w:color="auto"/>
              <w:left w:val="double" w:sz="6" w:space="0" w:color="auto"/>
              <w:bottom w:val="single" w:sz="8" w:space="0" w:color="000000"/>
              <w:right w:val="dotted" w:sz="4" w:space="0" w:color="auto"/>
            </w:tcBorders>
            <w:vAlign w:val="center"/>
            <w:hideMark/>
          </w:tcPr>
          <w:p w14:paraId="3E928E70" w14:textId="77777777" w:rsidR="00406582" w:rsidRPr="00406582" w:rsidRDefault="00406582" w:rsidP="00406582">
            <w:pPr>
              <w:spacing w:after="0"/>
              <w:jc w:val="left"/>
              <w:rPr>
                <w:rFonts w:eastAsia="Times New Roman" w:cs="Times New Roman"/>
                <w:sz w:val="20"/>
                <w:szCs w:val="20"/>
              </w:rPr>
            </w:pPr>
          </w:p>
        </w:tc>
        <w:tc>
          <w:tcPr>
            <w:tcW w:w="1609" w:type="dxa"/>
            <w:tcBorders>
              <w:top w:val="nil"/>
              <w:left w:val="nil"/>
              <w:bottom w:val="single" w:sz="8" w:space="0" w:color="auto"/>
              <w:right w:val="single" w:sz="8" w:space="0" w:color="auto"/>
            </w:tcBorders>
            <w:shd w:val="clear" w:color="000000" w:fill="FFFFFF"/>
            <w:vAlign w:val="center"/>
            <w:hideMark/>
          </w:tcPr>
          <w:p w14:paraId="176F3A2E"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 </w:t>
            </w:r>
          </w:p>
        </w:tc>
        <w:tc>
          <w:tcPr>
            <w:tcW w:w="1578" w:type="dxa"/>
            <w:tcBorders>
              <w:top w:val="nil"/>
              <w:left w:val="nil"/>
              <w:bottom w:val="single" w:sz="8" w:space="0" w:color="auto"/>
              <w:right w:val="dotted" w:sz="4" w:space="0" w:color="auto"/>
            </w:tcBorders>
            <w:shd w:val="clear" w:color="000000" w:fill="FFFFFF"/>
            <w:vAlign w:val="center"/>
            <w:hideMark/>
          </w:tcPr>
          <w:p w14:paraId="2117A1DF"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2023</w:t>
            </w:r>
          </w:p>
        </w:tc>
        <w:tc>
          <w:tcPr>
            <w:tcW w:w="1578" w:type="dxa"/>
            <w:tcBorders>
              <w:top w:val="nil"/>
              <w:left w:val="nil"/>
              <w:bottom w:val="single" w:sz="8" w:space="0" w:color="auto"/>
              <w:right w:val="dotted" w:sz="4" w:space="0" w:color="auto"/>
            </w:tcBorders>
            <w:shd w:val="clear" w:color="000000" w:fill="FFFFFF"/>
            <w:vAlign w:val="center"/>
            <w:hideMark/>
          </w:tcPr>
          <w:p w14:paraId="22A9B377"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2024</w:t>
            </w:r>
          </w:p>
        </w:tc>
        <w:tc>
          <w:tcPr>
            <w:tcW w:w="1578" w:type="dxa"/>
            <w:tcBorders>
              <w:top w:val="nil"/>
              <w:left w:val="nil"/>
              <w:bottom w:val="single" w:sz="8" w:space="0" w:color="auto"/>
              <w:right w:val="dotted" w:sz="4" w:space="0" w:color="auto"/>
            </w:tcBorders>
            <w:shd w:val="clear" w:color="000000" w:fill="FFFFFF"/>
            <w:vAlign w:val="center"/>
            <w:hideMark/>
          </w:tcPr>
          <w:p w14:paraId="6356B2B2"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2025</w:t>
            </w:r>
          </w:p>
        </w:tc>
        <w:tc>
          <w:tcPr>
            <w:tcW w:w="1578" w:type="dxa"/>
            <w:tcBorders>
              <w:top w:val="nil"/>
              <w:left w:val="nil"/>
              <w:bottom w:val="single" w:sz="8" w:space="0" w:color="auto"/>
              <w:right w:val="dotted" w:sz="4" w:space="0" w:color="auto"/>
            </w:tcBorders>
            <w:shd w:val="clear" w:color="000000" w:fill="FFFFFF"/>
            <w:vAlign w:val="center"/>
            <w:hideMark/>
          </w:tcPr>
          <w:p w14:paraId="10124809"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2026</w:t>
            </w:r>
          </w:p>
        </w:tc>
        <w:tc>
          <w:tcPr>
            <w:tcW w:w="1578" w:type="dxa"/>
            <w:tcBorders>
              <w:top w:val="nil"/>
              <w:left w:val="nil"/>
              <w:bottom w:val="single" w:sz="8" w:space="0" w:color="auto"/>
              <w:right w:val="double" w:sz="6" w:space="0" w:color="auto"/>
            </w:tcBorders>
            <w:shd w:val="clear" w:color="000000" w:fill="FFFFFF"/>
            <w:vAlign w:val="center"/>
            <w:hideMark/>
          </w:tcPr>
          <w:p w14:paraId="28622DEE"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2027</w:t>
            </w:r>
          </w:p>
        </w:tc>
      </w:tr>
      <w:tr w:rsidR="00406582" w:rsidRPr="00406582" w14:paraId="07637B7A" w14:textId="77777777" w:rsidTr="00406582">
        <w:trPr>
          <w:trHeight w:val="438"/>
        </w:trPr>
        <w:tc>
          <w:tcPr>
            <w:tcW w:w="5850" w:type="dxa"/>
            <w:tcBorders>
              <w:top w:val="nil"/>
              <w:left w:val="double" w:sz="6" w:space="0" w:color="auto"/>
              <w:bottom w:val="dotted" w:sz="4" w:space="0" w:color="auto"/>
              <w:right w:val="dotted" w:sz="4" w:space="0" w:color="auto"/>
            </w:tcBorders>
            <w:shd w:val="clear" w:color="000000" w:fill="FFFFFF"/>
            <w:vAlign w:val="center"/>
            <w:hideMark/>
          </w:tcPr>
          <w:p w14:paraId="6E5A55C9"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1. GDP deflator</w:t>
            </w:r>
          </w:p>
        </w:tc>
        <w:tc>
          <w:tcPr>
            <w:tcW w:w="1609" w:type="dxa"/>
            <w:tcBorders>
              <w:top w:val="nil"/>
              <w:left w:val="nil"/>
              <w:bottom w:val="dotted" w:sz="4" w:space="0" w:color="auto"/>
              <w:right w:val="single" w:sz="8" w:space="0" w:color="auto"/>
            </w:tcBorders>
            <w:shd w:val="clear" w:color="000000" w:fill="FFFFFF"/>
            <w:vAlign w:val="center"/>
            <w:hideMark/>
          </w:tcPr>
          <w:p w14:paraId="1A99F8E2"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 </w:t>
            </w:r>
          </w:p>
        </w:tc>
        <w:tc>
          <w:tcPr>
            <w:tcW w:w="1578" w:type="dxa"/>
            <w:tcBorders>
              <w:top w:val="nil"/>
              <w:left w:val="nil"/>
              <w:bottom w:val="dotted" w:sz="4" w:space="0" w:color="auto"/>
              <w:right w:val="dotted" w:sz="4" w:space="0" w:color="auto"/>
            </w:tcBorders>
            <w:shd w:val="clear" w:color="000000" w:fill="FFFFFF"/>
            <w:vAlign w:val="center"/>
            <w:hideMark/>
          </w:tcPr>
          <w:p w14:paraId="1FEDA921"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13,8</w:t>
            </w:r>
          </w:p>
        </w:tc>
        <w:tc>
          <w:tcPr>
            <w:tcW w:w="1578" w:type="dxa"/>
            <w:tcBorders>
              <w:top w:val="nil"/>
              <w:left w:val="nil"/>
              <w:bottom w:val="dotted" w:sz="4" w:space="0" w:color="auto"/>
              <w:right w:val="dotted" w:sz="4" w:space="0" w:color="auto"/>
            </w:tcBorders>
            <w:shd w:val="clear" w:color="000000" w:fill="FFFFFF"/>
            <w:vAlign w:val="center"/>
            <w:hideMark/>
          </w:tcPr>
          <w:p w14:paraId="7B7E2536"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5,0</w:t>
            </w:r>
          </w:p>
        </w:tc>
        <w:tc>
          <w:tcPr>
            <w:tcW w:w="1578" w:type="dxa"/>
            <w:tcBorders>
              <w:top w:val="nil"/>
              <w:left w:val="nil"/>
              <w:bottom w:val="dotted" w:sz="4" w:space="0" w:color="auto"/>
              <w:right w:val="dotted" w:sz="4" w:space="0" w:color="auto"/>
            </w:tcBorders>
            <w:shd w:val="clear" w:color="000000" w:fill="FFFFFF"/>
            <w:vAlign w:val="center"/>
            <w:hideMark/>
          </w:tcPr>
          <w:p w14:paraId="31667ABC"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3,2</w:t>
            </w:r>
          </w:p>
        </w:tc>
        <w:tc>
          <w:tcPr>
            <w:tcW w:w="1578" w:type="dxa"/>
            <w:tcBorders>
              <w:top w:val="nil"/>
              <w:left w:val="nil"/>
              <w:bottom w:val="dotted" w:sz="4" w:space="0" w:color="auto"/>
              <w:right w:val="dotted" w:sz="4" w:space="0" w:color="auto"/>
            </w:tcBorders>
            <w:shd w:val="clear" w:color="000000" w:fill="FFFFFF"/>
            <w:vAlign w:val="center"/>
            <w:hideMark/>
          </w:tcPr>
          <w:p w14:paraId="437F4A59"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3,2</w:t>
            </w:r>
          </w:p>
        </w:tc>
        <w:tc>
          <w:tcPr>
            <w:tcW w:w="1578" w:type="dxa"/>
            <w:tcBorders>
              <w:top w:val="nil"/>
              <w:left w:val="nil"/>
              <w:bottom w:val="dotted" w:sz="4" w:space="0" w:color="auto"/>
              <w:right w:val="double" w:sz="6" w:space="0" w:color="auto"/>
            </w:tcBorders>
            <w:shd w:val="clear" w:color="000000" w:fill="FFFFFF"/>
            <w:vAlign w:val="center"/>
            <w:hideMark/>
          </w:tcPr>
          <w:p w14:paraId="05542030"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3,0</w:t>
            </w:r>
          </w:p>
        </w:tc>
      </w:tr>
      <w:tr w:rsidR="00406582" w:rsidRPr="00406582" w14:paraId="1967B111" w14:textId="77777777" w:rsidTr="00406582">
        <w:trPr>
          <w:trHeight w:val="438"/>
        </w:trPr>
        <w:tc>
          <w:tcPr>
            <w:tcW w:w="5850" w:type="dxa"/>
            <w:tcBorders>
              <w:top w:val="nil"/>
              <w:left w:val="double" w:sz="6" w:space="0" w:color="auto"/>
              <w:bottom w:val="dotted" w:sz="4" w:space="0" w:color="auto"/>
              <w:right w:val="dotted" w:sz="4" w:space="0" w:color="auto"/>
            </w:tcBorders>
            <w:shd w:val="clear" w:color="000000" w:fill="FFFFFF"/>
            <w:vAlign w:val="center"/>
            <w:hideMark/>
          </w:tcPr>
          <w:p w14:paraId="0E84A6FA"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2. Private consumption deflator</w:t>
            </w:r>
          </w:p>
        </w:tc>
        <w:tc>
          <w:tcPr>
            <w:tcW w:w="1609" w:type="dxa"/>
            <w:tcBorders>
              <w:top w:val="nil"/>
              <w:left w:val="nil"/>
              <w:bottom w:val="dotted" w:sz="4" w:space="0" w:color="auto"/>
              <w:right w:val="single" w:sz="8" w:space="0" w:color="auto"/>
            </w:tcBorders>
            <w:shd w:val="clear" w:color="000000" w:fill="FFFFFF"/>
            <w:vAlign w:val="center"/>
            <w:hideMark/>
          </w:tcPr>
          <w:p w14:paraId="12068C61"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 </w:t>
            </w:r>
          </w:p>
        </w:tc>
        <w:tc>
          <w:tcPr>
            <w:tcW w:w="1578" w:type="dxa"/>
            <w:tcBorders>
              <w:top w:val="nil"/>
              <w:left w:val="nil"/>
              <w:bottom w:val="dotted" w:sz="4" w:space="0" w:color="auto"/>
              <w:right w:val="dotted" w:sz="4" w:space="0" w:color="auto"/>
            </w:tcBorders>
            <w:shd w:val="clear" w:color="000000" w:fill="FFFFFF"/>
            <w:vAlign w:val="center"/>
            <w:hideMark/>
          </w:tcPr>
          <w:p w14:paraId="20442AA0"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12,1</w:t>
            </w:r>
          </w:p>
        </w:tc>
        <w:tc>
          <w:tcPr>
            <w:tcW w:w="1578" w:type="dxa"/>
            <w:tcBorders>
              <w:top w:val="nil"/>
              <w:left w:val="nil"/>
              <w:bottom w:val="dotted" w:sz="4" w:space="0" w:color="auto"/>
              <w:right w:val="dotted" w:sz="4" w:space="0" w:color="auto"/>
            </w:tcBorders>
            <w:shd w:val="clear" w:color="000000" w:fill="FFFFFF"/>
            <w:vAlign w:val="center"/>
            <w:hideMark/>
          </w:tcPr>
          <w:p w14:paraId="7223F73E"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4,2</w:t>
            </w:r>
          </w:p>
        </w:tc>
        <w:tc>
          <w:tcPr>
            <w:tcW w:w="1578" w:type="dxa"/>
            <w:tcBorders>
              <w:top w:val="nil"/>
              <w:left w:val="nil"/>
              <w:bottom w:val="dotted" w:sz="4" w:space="0" w:color="auto"/>
              <w:right w:val="dotted" w:sz="4" w:space="0" w:color="auto"/>
            </w:tcBorders>
            <w:shd w:val="clear" w:color="000000" w:fill="FFFFFF"/>
            <w:vAlign w:val="center"/>
            <w:hideMark/>
          </w:tcPr>
          <w:p w14:paraId="68D0EB6C"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3,1</w:t>
            </w:r>
          </w:p>
        </w:tc>
        <w:tc>
          <w:tcPr>
            <w:tcW w:w="1578" w:type="dxa"/>
            <w:tcBorders>
              <w:top w:val="nil"/>
              <w:left w:val="nil"/>
              <w:bottom w:val="dotted" w:sz="4" w:space="0" w:color="auto"/>
              <w:right w:val="dotted" w:sz="4" w:space="0" w:color="auto"/>
            </w:tcBorders>
            <w:shd w:val="clear" w:color="000000" w:fill="FFFFFF"/>
            <w:vAlign w:val="center"/>
            <w:hideMark/>
          </w:tcPr>
          <w:p w14:paraId="31E48FA3"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3,1</w:t>
            </w:r>
          </w:p>
        </w:tc>
        <w:tc>
          <w:tcPr>
            <w:tcW w:w="1578" w:type="dxa"/>
            <w:tcBorders>
              <w:top w:val="nil"/>
              <w:left w:val="nil"/>
              <w:bottom w:val="dotted" w:sz="4" w:space="0" w:color="auto"/>
              <w:right w:val="double" w:sz="6" w:space="0" w:color="auto"/>
            </w:tcBorders>
            <w:shd w:val="clear" w:color="000000" w:fill="FFFFFF"/>
            <w:vAlign w:val="center"/>
            <w:hideMark/>
          </w:tcPr>
          <w:p w14:paraId="28672E4B"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2,9</w:t>
            </w:r>
          </w:p>
        </w:tc>
      </w:tr>
      <w:tr w:rsidR="00406582" w:rsidRPr="00406582" w14:paraId="5C4B96DF" w14:textId="77777777" w:rsidTr="00406582">
        <w:trPr>
          <w:trHeight w:val="438"/>
        </w:trPr>
        <w:tc>
          <w:tcPr>
            <w:tcW w:w="5850" w:type="dxa"/>
            <w:tcBorders>
              <w:top w:val="nil"/>
              <w:left w:val="double" w:sz="6" w:space="0" w:color="auto"/>
              <w:bottom w:val="dotted" w:sz="4" w:space="0" w:color="auto"/>
              <w:right w:val="dotted" w:sz="4" w:space="0" w:color="auto"/>
            </w:tcBorders>
            <w:shd w:val="clear" w:color="000000" w:fill="FFFFFF"/>
            <w:vAlign w:val="center"/>
            <w:hideMark/>
          </w:tcPr>
          <w:p w14:paraId="3A008708"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3. HICP</w:t>
            </w:r>
          </w:p>
        </w:tc>
        <w:tc>
          <w:tcPr>
            <w:tcW w:w="1609" w:type="dxa"/>
            <w:tcBorders>
              <w:top w:val="nil"/>
              <w:left w:val="nil"/>
              <w:bottom w:val="dotted" w:sz="4" w:space="0" w:color="auto"/>
              <w:right w:val="single" w:sz="8" w:space="0" w:color="auto"/>
            </w:tcBorders>
            <w:shd w:val="clear" w:color="000000" w:fill="FFFFFF"/>
            <w:vAlign w:val="center"/>
            <w:hideMark/>
          </w:tcPr>
          <w:p w14:paraId="41491E0A"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 </w:t>
            </w:r>
          </w:p>
        </w:tc>
        <w:tc>
          <w:tcPr>
            <w:tcW w:w="1578" w:type="dxa"/>
            <w:tcBorders>
              <w:top w:val="nil"/>
              <w:left w:val="nil"/>
              <w:bottom w:val="dotted" w:sz="4" w:space="0" w:color="auto"/>
              <w:right w:val="dotted" w:sz="4" w:space="0" w:color="auto"/>
            </w:tcBorders>
            <w:shd w:val="clear" w:color="000000" w:fill="FFFFFF"/>
            <w:vAlign w:val="center"/>
            <w:hideMark/>
          </w:tcPr>
          <w:p w14:paraId="2D124132"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12,2</w:t>
            </w:r>
          </w:p>
        </w:tc>
        <w:tc>
          <w:tcPr>
            <w:tcW w:w="1578" w:type="dxa"/>
            <w:tcBorders>
              <w:top w:val="nil"/>
              <w:left w:val="nil"/>
              <w:bottom w:val="dotted" w:sz="4" w:space="0" w:color="auto"/>
              <w:right w:val="dotted" w:sz="4" w:space="0" w:color="auto"/>
            </w:tcBorders>
            <w:shd w:val="clear" w:color="000000" w:fill="FFFFFF"/>
            <w:vAlign w:val="center"/>
            <w:hideMark/>
          </w:tcPr>
          <w:p w14:paraId="305BF3A8"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4,7</w:t>
            </w:r>
          </w:p>
        </w:tc>
        <w:tc>
          <w:tcPr>
            <w:tcW w:w="1578" w:type="dxa"/>
            <w:tcBorders>
              <w:top w:val="nil"/>
              <w:left w:val="nil"/>
              <w:bottom w:val="dotted" w:sz="4" w:space="0" w:color="auto"/>
              <w:right w:val="dotted" w:sz="4" w:space="0" w:color="auto"/>
            </w:tcBorders>
            <w:shd w:val="clear" w:color="000000" w:fill="FFFFFF"/>
            <w:vAlign w:val="center"/>
            <w:hideMark/>
          </w:tcPr>
          <w:p w14:paraId="529F3B5D"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3,7</w:t>
            </w:r>
          </w:p>
        </w:tc>
        <w:tc>
          <w:tcPr>
            <w:tcW w:w="1578" w:type="dxa"/>
            <w:tcBorders>
              <w:top w:val="nil"/>
              <w:left w:val="nil"/>
              <w:bottom w:val="dotted" w:sz="4" w:space="0" w:color="auto"/>
              <w:right w:val="dotted" w:sz="4" w:space="0" w:color="auto"/>
            </w:tcBorders>
            <w:shd w:val="clear" w:color="000000" w:fill="FFFFFF"/>
            <w:vAlign w:val="center"/>
            <w:hideMark/>
          </w:tcPr>
          <w:p w14:paraId="41B535A1"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3,3</w:t>
            </w:r>
          </w:p>
        </w:tc>
        <w:tc>
          <w:tcPr>
            <w:tcW w:w="1578" w:type="dxa"/>
            <w:tcBorders>
              <w:top w:val="nil"/>
              <w:left w:val="nil"/>
              <w:bottom w:val="dotted" w:sz="4" w:space="0" w:color="auto"/>
              <w:right w:val="double" w:sz="6" w:space="0" w:color="auto"/>
            </w:tcBorders>
            <w:shd w:val="clear" w:color="000000" w:fill="FFFFFF"/>
            <w:vAlign w:val="center"/>
            <w:hideMark/>
          </w:tcPr>
          <w:p w14:paraId="5FD728F8"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3,0</w:t>
            </w:r>
          </w:p>
        </w:tc>
      </w:tr>
      <w:tr w:rsidR="00406582" w:rsidRPr="00406582" w14:paraId="33B17C38" w14:textId="77777777" w:rsidTr="00406582">
        <w:trPr>
          <w:trHeight w:val="438"/>
        </w:trPr>
        <w:tc>
          <w:tcPr>
            <w:tcW w:w="5850" w:type="dxa"/>
            <w:tcBorders>
              <w:top w:val="nil"/>
              <w:left w:val="double" w:sz="6" w:space="0" w:color="auto"/>
              <w:bottom w:val="dotted" w:sz="4" w:space="0" w:color="auto"/>
              <w:right w:val="dotted" w:sz="4" w:space="0" w:color="auto"/>
            </w:tcBorders>
            <w:shd w:val="clear" w:color="000000" w:fill="FFFFFF"/>
            <w:vAlign w:val="center"/>
            <w:hideMark/>
          </w:tcPr>
          <w:p w14:paraId="5AE7CE9D"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4. National CPI change</w:t>
            </w:r>
          </w:p>
        </w:tc>
        <w:tc>
          <w:tcPr>
            <w:tcW w:w="1609" w:type="dxa"/>
            <w:tcBorders>
              <w:top w:val="nil"/>
              <w:left w:val="nil"/>
              <w:bottom w:val="dotted" w:sz="4" w:space="0" w:color="auto"/>
              <w:right w:val="single" w:sz="8" w:space="0" w:color="auto"/>
            </w:tcBorders>
            <w:shd w:val="clear" w:color="000000" w:fill="FFFFFF"/>
            <w:vAlign w:val="center"/>
            <w:hideMark/>
          </w:tcPr>
          <w:p w14:paraId="09EE4291"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 </w:t>
            </w:r>
          </w:p>
        </w:tc>
        <w:tc>
          <w:tcPr>
            <w:tcW w:w="1578" w:type="dxa"/>
            <w:tcBorders>
              <w:top w:val="nil"/>
              <w:left w:val="nil"/>
              <w:bottom w:val="dotted" w:sz="4" w:space="0" w:color="auto"/>
              <w:right w:val="dotted" w:sz="4" w:space="0" w:color="auto"/>
            </w:tcBorders>
            <w:shd w:val="clear" w:color="000000" w:fill="FFFFFF"/>
            <w:vAlign w:val="center"/>
            <w:hideMark/>
          </w:tcPr>
          <w:p w14:paraId="147C6CE0"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12,1</w:t>
            </w:r>
          </w:p>
        </w:tc>
        <w:tc>
          <w:tcPr>
            <w:tcW w:w="1578" w:type="dxa"/>
            <w:tcBorders>
              <w:top w:val="nil"/>
              <w:left w:val="nil"/>
              <w:bottom w:val="dotted" w:sz="4" w:space="0" w:color="auto"/>
              <w:right w:val="dotted" w:sz="4" w:space="0" w:color="auto"/>
            </w:tcBorders>
            <w:shd w:val="clear" w:color="000000" w:fill="FFFFFF"/>
            <w:vAlign w:val="center"/>
            <w:hideMark/>
          </w:tcPr>
          <w:p w14:paraId="046989B2"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4,7</w:t>
            </w:r>
          </w:p>
        </w:tc>
        <w:tc>
          <w:tcPr>
            <w:tcW w:w="1578" w:type="dxa"/>
            <w:tcBorders>
              <w:top w:val="nil"/>
              <w:left w:val="nil"/>
              <w:bottom w:val="dotted" w:sz="4" w:space="0" w:color="auto"/>
              <w:right w:val="dotted" w:sz="4" w:space="0" w:color="auto"/>
            </w:tcBorders>
            <w:shd w:val="clear" w:color="000000" w:fill="FFFFFF"/>
            <w:vAlign w:val="center"/>
            <w:hideMark/>
          </w:tcPr>
          <w:p w14:paraId="5FD42D9B"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3,7</w:t>
            </w:r>
          </w:p>
        </w:tc>
        <w:tc>
          <w:tcPr>
            <w:tcW w:w="1578" w:type="dxa"/>
            <w:tcBorders>
              <w:top w:val="nil"/>
              <w:left w:val="nil"/>
              <w:bottom w:val="dotted" w:sz="4" w:space="0" w:color="auto"/>
              <w:right w:val="dotted" w:sz="4" w:space="0" w:color="auto"/>
            </w:tcBorders>
            <w:shd w:val="clear" w:color="000000" w:fill="FFFFFF"/>
            <w:vAlign w:val="center"/>
            <w:hideMark/>
          </w:tcPr>
          <w:p w14:paraId="69E67922"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3,3</w:t>
            </w:r>
          </w:p>
        </w:tc>
        <w:tc>
          <w:tcPr>
            <w:tcW w:w="1578" w:type="dxa"/>
            <w:tcBorders>
              <w:top w:val="nil"/>
              <w:left w:val="nil"/>
              <w:bottom w:val="dotted" w:sz="4" w:space="0" w:color="auto"/>
              <w:right w:val="double" w:sz="6" w:space="0" w:color="auto"/>
            </w:tcBorders>
            <w:shd w:val="clear" w:color="000000" w:fill="FFFFFF"/>
            <w:vAlign w:val="center"/>
            <w:hideMark/>
          </w:tcPr>
          <w:p w14:paraId="49C207C9"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3,0</w:t>
            </w:r>
          </w:p>
        </w:tc>
      </w:tr>
      <w:tr w:rsidR="00406582" w:rsidRPr="00406582" w14:paraId="7E68C267" w14:textId="77777777" w:rsidTr="00406582">
        <w:trPr>
          <w:trHeight w:val="438"/>
        </w:trPr>
        <w:tc>
          <w:tcPr>
            <w:tcW w:w="5850" w:type="dxa"/>
            <w:tcBorders>
              <w:top w:val="nil"/>
              <w:left w:val="double" w:sz="6" w:space="0" w:color="auto"/>
              <w:bottom w:val="dotted" w:sz="4" w:space="0" w:color="auto"/>
              <w:right w:val="dotted" w:sz="4" w:space="0" w:color="auto"/>
            </w:tcBorders>
            <w:shd w:val="clear" w:color="000000" w:fill="FFFFFF"/>
            <w:vAlign w:val="center"/>
            <w:hideMark/>
          </w:tcPr>
          <w:p w14:paraId="3AF72DC9"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5. Public consumption deflator</w:t>
            </w:r>
          </w:p>
        </w:tc>
        <w:tc>
          <w:tcPr>
            <w:tcW w:w="1609" w:type="dxa"/>
            <w:tcBorders>
              <w:top w:val="nil"/>
              <w:left w:val="nil"/>
              <w:bottom w:val="dotted" w:sz="4" w:space="0" w:color="auto"/>
              <w:right w:val="single" w:sz="8" w:space="0" w:color="auto"/>
            </w:tcBorders>
            <w:shd w:val="clear" w:color="000000" w:fill="FFFFFF"/>
            <w:vAlign w:val="center"/>
            <w:hideMark/>
          </w:tcPr>
          <w:p w14:paraId="37A44FC3"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 </w:t>
            </w:r>
          </w:p>
        </w:tc>
        <w:tc>
          <w:tcPr>
            <w:tcW w:w="1578" w:type="dxa"/>
            <w:tcBorders>
              <w:top w:val="nil"/>
              <w:left w:val="nil"/>
              <w:bottom w:val="dotted" w:sz="4" w:space="0" w:color="auto"/>
              <w:right w:val="dotted" w:sz="4" w:space="0" w:color="auto"/>
            </w:tcBorders>
            <w:shd w:val="clear" w:color="000000" w:fill="FFFFFF"/>
            <w:vAlign w:val="center"/>
            <w:hideMark/>
          </w:tcPr>
          <w:p w14:paraId="3594BA37"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13,0</w:t>
            </w:r>
          </w:p>
        </w:tc>
        <w:tc>
          <w:tcPr>
            <w:tcW w:w="1578" w:type="dxa"/>
            <w:tcBorders>
              <w:top w:val="nil"/>
              <w:left w:val="nil"/>
              <w:bottom w:val="dotted" w:sz="4" w:space="0" w:color="auto"/>
              <w:right w:val="dotted" w:sz="4" w:space="0" w:color="auto"/>
            </w:tcBorders>
            <w:shd w:val="clear" w:color="000000" w:fill="FFFFFF"/>
            <w:vAlign w:val="center"/>
            <w:hideMark/>
          </w:tcPr>
          <w:p w14:paraId="25B8A9AC"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4,7</w:t>
            </w:r>
          </w:p>
        </w:tc>
        <w:tc>
          <w:tcPr>
            <w:tcW w:w="1578" w:type="dxa"/>
            <w:tcBorders>
              <w:top w:val="nil"/>
              <w:left w:val="nil"/>
              <w:bottom w:val="dotted" w:sz="4" w:space="0" w:color="auto"/>
              <w:right w:val="dotted" w:sz="4" w:space="0" w:color="auto"/>
            </w:tcBorders>
            <w:shd w:val="clear" w:color="000000" w:fill="FFFFFF"/>
            <w:vAlign w:val="center"/>
            <w:hideMark/>
          </w:tcPr>
          <w:p w14:paraId="3851EF38"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3,2</w:t>
            </w:r>
          </w:p>
        </w:tc>
        <w:tc>
          <w:tcPr>
            <w:tcW w:w="1578" w:type="dxa"/>
            <w:tcBorders>
              <w:top w:val="nil"/>
              <w:left w:val="nil"/>
              <w:bottom w:val="dotted" w:sz="4" w:space="0" w:color="auto"/>
              <w:right w:val="dotted" w:sz="4" w:space="0" w:color="auto"/>
            </w:tcBorders>
            <w:shd w:val="clear" w:color="000000" w:fill="FFFFFF"/>
            <w:vAlign w:val="center"/>
            <w:hideMark/>
          </w:tcPr>
          <w:p w14:paraId="3A5318FA"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3,9</w:t>
            </w:r>
          </w:p>
        </w:tc>
        <w:tc>
          <w:tcPr>
            <w:tcW w:w="1578" w:type="dxa"/>
            <w:tcBorders>
              <w:top w:val="nil"/>
              <w:left w:val="nil"/>
              <w:bottom w:val="dotted" w:sz="4" w:space="0" w:color="auto"/>
              <w:right w:val="double" w:sz="6" w:space="0" w:color="auto"/>
            </w:tcBorders>
            <w:shd w:val="clear" w:color="000000" w:fill="FFFFFF"/>
            <w:vAlign w:val="center"/>
            <w:hideMark/>
          </w:tcPr>
          <w:p w14:paraId="20F1FC4C"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3,6</w:t>
            </w:r>
          </w:p>
        </w:tc>
      </w:tr>
      <w:tr w:rsidR="00406582" w:rsidRPr="00406582" w14:paraId="54650BC6" w14:textId="77777777" w:rsidTr="00406582">
        <w:trPr>
          <w:trHeight w:val="438"/>
        </w:trPr>
        <w:tc>
          <w:tcPr>
            <w:tcW w:w="5850" w:type="dxa"/>
            <w:tcBorders>
              <w:top w:val="nil"/>
              <w:left w:val="double" w:sz="6" w:space="0" w:color="auto"/>
              <w:bottom w:val="dotted" w:sz="4" w:space="0" w:color="auto"/>
              <w:right w:val="dotted" w:sz="4" w:space="0" w:color="auto"/>
            </w:tcBorders>
            <w:shd w:val="clear" w:color="000000" w:fill="FFFFFF"/>
            <w:vAlign w:val="center"/>
            <w:hideMark/>
          </w:tcPr>
          <w:p w14:paraId="13F6DE9C"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6. Investment deflator</w:t>
            </w:r>
          </w:p>
        </w:tc>
        <w:tc>
          <w:tcPr>
            <w:tcW w:w="1609" w:type="dxa"/>
            <w:tcBorders>
              <w:top w:val="nil"/>
              <w:left w:val="nil"/>
              <w:bottom w:val="dotted" w:sz="4" w:space="0" w:color="auto"/>
              <w:right w:val="single" w:sz="8" w:space="0" w:color="auto"/>
            </w:tcBorders>
            <w:shd w:val="clear" w:color="000000" w:fill="FFFFFF"/>
            <w:vAlign w:val="center"/>
            <w:hideMark/>
          </w:tcPr>
          <w:p w14:paraId="00C6BD73"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 </w:t>
            </w:r>
          </w:p>
        </w:tc>
        <w:tc>
          <w:tcPr>
            <w:tcW w:w="1578" w:type="dxa"/>
            <w:tcBorders>
              <w:top w:val="nil"/>
              <w:left w:val="nil"/>
              <w:bottom w:val="dotted" w:sz="4" w:space="0" w:color="auto"/>
              <w:right w:val="dotted" w:sz="4" w:space="0" w:color="auto"/>
            </w:tcBorders>
            <w:shd w:val="clear" w:color="000000" w:fill="FFFFFF"/>
            <w:vAlign w:val="center"/>
            <w:hideMark/>
          </w:tcPr>
          <w:p w14:paraId="635E8FC9"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5,3</w:t>
            </w:r>
          </w:p>
        </w:tc>
        <w:tc>
          <w:tcPr>
            <w:tcW w:w="1578" w:type="dxa"/>
            <w:tcBorders>
              <w:top w:val="nil"/>
              <w:left w:val="nil"/>
              <w:bottom w:val="dotted" w:sz="4" w:space="0" w:color="auto"/>
              <w:right w:val="dotted" w:sz="4" w:space="0" w:color="auto"/>
            </w:tcBorders>
            <w:shd w:val="clear" w:color="000000" w:fill="FFFFFF"/>
            <w:vAlign w:val="center"/>
            <w:hideMark/>
          </w:tcPr>
          <w:p w14:paraId="3DBEF5E7"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4,6</w:t>
            </w:r>
          </w:p>
        </w:tc>
        <w:tc>
          <w:tcPr>
            <w:tcW w:w="1578" w:type="dxa"/>
            <w:tcBorders>
              <w:top w:val="nil"/>
              <w:left w:val="nil"/>
              <w:bottom w:val="dotted" w:sz="4" w:space="0" w:color="auto"/>
              <w:right w:val="dotted" w:sz="4" w:space="0" w:color="auto"/>
            </w:tcBorders>
            <w:shd w:val="clear" w:color="000000" w:fill="FFFFFF"/>
            <w:vAlign w:val="center"/>
            <w:hideMark/>
          </w:tcPr>
          <w:p w14:paraId="61EC62BA"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3,3</w:t>
            </w:r>
          </w:p>
        </w:tc>
        <w:tc>
          <w:tcPr>
            <w:tcW w:w="1578" w:type="dxa"/>
            <w:tcBorders>
              <w:top w:val="nil"/>
              <w:left w:val="nil"/>
              <w:bottom w:val="dotted" w:sz="4" w:space="0" w:color="auto"/>
              <w:right w:val="dotted" w:sz="4" w:space="0" w:color="auto"/>
            </w:tcBorders>
            <w:shd w:val="clear" w:color="000000" w:fill="FFFFFF"/>
            <w:vAlign w:val="center"/>
            <w:hideMark/>
          </w:tcPr>
          <w:p w14:paraId="4494622C"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2,6</w:t>
            </w:r>
          </w:p>
        </w:tc>
        <w:tc>
          <w:tcPr>
            <w:tcW w:w="1578" w:type="dxa"/>
            <w:tcBorders>
              <w:top w:val="nil"/>
              <w:left w:val="nil"/>
              <w:bottom w:val="dotted" w:sz="4" w:space="0" w:color="auto"/>
              <w:right w:val="double" w:sz="6" w:space="0" w:color="auto"/>
            </w:tcBorders>
            <w:shd w:val="clear" w:color="000000" w:fill="FFFFFF"/>
            <w:vAlign w:val="center"/>
            <w:hideMark/>
          </w:tcPr>
          <w:p w14:paraId="0B86FB58"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2,6</w:t>
            </w:r>
          </w:p>
        </w:tc>
      </w:tr>
      <w:tr w:rsidR="00406582" w:rsidRPr="00406582" w14:paraId="0881AA1E" w14:textId="77777777" w:rsidTr="00406582">
        <w:trPr>
          <w:trHeight w:val="438"/>
        </w:trPr>
        <w:tc>
          <w:tcPr>
            <w:tcW w:w="5850" w:type="dxa"/>
            <w:tcBorders>
              <w:top w:val="nil"/>
              <w:left w:val="double" w:sz="6" w:space="0" w:color="auto"/>
              <w:bottom w:val="dotted" w:sz="4" w:space="0" w:color="auto"/>
              <w:right w:val="dotted" w:sz="4" w:space="0" w:color="auto"/>
            </w:tcBorders>
            <w:shd w:val="clear" w:color="000000" w:fill="FFFFFF"/>
            <w:vAlign w:val="center"/>
            <w:hideMark/>
          </w:tcPr>
          <w:p w14:paraId="43819C99"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7. Export price deflator (goods &amp; services)</w:t>
            </w:r>
          </w:p>
        </w:tc>
        <w:tc>
          <w:tcPr>
            <w:tcW w:w="1609" w:type="dxa"/>
            <w:tcBorders>
              <w:top w:val="nil"/>
              <w:left w:val="nil"/>
              <w:bottom w:val="dotted" w:sz="4" w:space="0" w:color="auto"/>
              <w:right w:val="single" w:sz="8" w:space="0" w:color="auto"/>
            </w:tcBorders>
            <w:shd w:val="clear" w:color="000000" w:fill="FFFFFF"/>
            <w:vAlign w:val="center"/>
            <w:hideMark/>
          </w:tcPr>
          <w:p w14:paraId="5E61621C"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 </w:t>
            </w:r>
          </w:p>
        </w:tc>
        <w:tc>
          <w:tcPr>
            <w:tcW w:w="1578" w:type="dxa"/>
            <w:tcBorders>
              <w:top w:val="nil"/>
              <w:left w:val="nil"/>
              <w:bottom w:val="dotted" w:sz="4" w:space="0" w:color="auto"/>
              <w:right w:val="dotted" w:sz="4" w:space="0" w:color="auto"/>
            </w:tcBorders>
            <w:shd w:val="clear" w:color="000000" w:fill="FFFFFF"/>
            <w:vAlign w:val="center"/>
            <w:hideMark/>
          </w:tcPr>
          <w:p w14:paraId="58FDC5C7"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4,3</w:t>
            </w:r>
          </w:p>
        </w:tc>
        <w:tc>
          <w:tcPr>
            <w:tcW w:w="1578" w:type="dxa"/>
            <w:tcBorders>
              <w:top w:val="nil"/>
              <w:left w:val="nil"/>
              <w:bottom w:val="dotted" w:sz="4" w:space="0" w:color="auto"/>
              <w:right w:val="dotted" w:sz="4" w:space="0" w:color="auto"/>
            </w:tcBorders>
            <w:shd w:val="clear" w:color="000000" w:fill="FFFFFF"/>
            <w:vAlign w:val="center"/>
            <w:hideMark/>
          </w:tcPr>
          <w:p w14:paraId="1A995BEE"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2,0</w:t>
            </w:r>
          </w:p>
        </w:tc>
        <w:tc>
          <w:tcPr>
            <w:tcW w:w="1578" w:type="dxa"/>
            <w:tcBorders>
              <w:top w:val="nil"/>
              <w:left w:val="nil"/>
              <w:bottom w:val="dotted" w:sz="4" w:space="0" w:color="auto"/>
              <w:right w:val="dotted" w:sz="4" w:space="0" w:color="auto"/>
            </w:tcBorders>
            <w:shd w:val="clear" w:color="000000" w:fill="FFFFFF"/>
            <w:vAlign w:val="center"/>
            <w:hideMark/>
          </w:tcPr>
          <w:p w14:paraId="08687DE0"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2,2</w:t>
            </w:r>
          </w:p>
        </w:tc>
        <w:tc>
          <w:tcPr>
            <w:tcW w:w="1578" w:type="dxa"/>
            <w:tcBorders>
              <w:top w:val="nil"/>
              <w:left w:val="nil"/>
              <w:bottom w:val="dotted" w:sz="4" w:space="0" w:color="auto"/>
              <w:right w:val="dotted" w:sz="4" w:space="0" w:color="auto"/>
            </w:tcBorders>
            <w:shd w:val="clear" w:color="000000" w:fill="FFFFFF"/>
            <w:vAlign w:val="center"/>
            <w:hideMark/>
          </w:tcPr>
          <w:p w14:paraId="2BB1A7A2"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2,2</w:t>
            </w:r>
          </w:p>
        </w:tc>
        <w:tc>
          <w:tcPr>
            <w:tcW w:w="1578" w:type="dxa"/>
            <w:tcBorders>
              <w:top w:val="nil"/>
              <w:left w:val="nil"/>
              <w:bottom w:val="dotted" w:sz="4" w:space="0" w:color="auto"/>
              <w:right w:val="double" w:sz="6" w:space="0" w:color="auto"/>
            </w:tcBorders>
            <w:shd w:val="clear" w:color="000000" w:fill="FFFFFF"/>
            <w:vAlign w:val="center"/>
            <w:hideMark/>
          </w:tcPr>
          <w:p w14:paraId="5978C09A"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2,3</w:t>
            </w:r>
          </w:p>
        </w:tc>
      </w:tr>
      <w:tr w:rsidR="00406582" w:rsidRPr="00406582" w14:paraId="389A15A2" w14:textId="77777777" w:rsidTr="00406582">
        <w:trPr>
          <w:trHeight w:val="438"/>
        </w:trPr>
        <w:tc>
          <w:tcPr>
            <w:tcW w:w="5850" w:type="dxa"/>
            <w:tcBorders>
              <w:top w:val="nil"/>
              <w:left w:val="double" w:sz="6" w:space="0" w:color="auto"/>
              <w:bottom w:val="double" w:sz="6" w:space="0" w:color="auto"/>
              <w:right w:val="dotted" w:sz="4" w:space="0" w:color="auto"/>
            </w:tcBorders>
            <w:shd w:val="clear" w:color="000000" w:fill="FFFFFF"/>
            <w:vAlign w:val="center"/>
            <w:hideMark/>
          </w:tcPr>
          <w:p w14:paraId="7167F007"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8. Import price deflator (goods &amp; services)</w:t>
            </w:r>
          </w:p>
        </w:tc>
        <w:tc>
          <w:tcPr>
            <w:tcW w:w="1609" w:type="dxa"/>
            <w:tcBorders>
              <w:top w:val="nil"/>
              <w:left w:val="nil"/>
              <w:bottom w:val="double" w:sz="6" w:space="0" w:color="auto"/>
              <w:right w:val="single" w:sz="8" w:space="0" w:color="auto"/>
            </w:tcBorders>
            <w:shd w:val="clear" w:color="000000" w:fill="FFFFFF"/>
            <w:vAlign w:val="center"/>
            <w:hideMark/>
          </w:tcPr>
          <w:p w14:paraId="3B70200C"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 </w:t>
            </w:r>
          </w:p>
        </w:tc>
        <w:tc>
          <w:tcPr>
            <w:tcW w:w="1578" w:type="dxa"/>
            <w:tcBorders>
              <w:top w:val="nil"/>
              <w:left w:val="nil"/>
              <w:bottom w:val="double" w:sz="6" w:space="0" w:color="auto"/>
              <w:right w:val="dotted" w:sz="4" w:space="0" w:color="auto"/>
            </w:tcBorders>
            <w:shd w:val="clear" w:color="000000" w:fill="FFFFFF"/>
            <w:vAlign w:val="center"/>
            <w:hideMark/>
          </w:tcPr>
          <w:p w14:paraId="578A4E97"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0,3</w:t>
            </w:r>
          </w:p>
        </w:tc>
        <w:tc>
          <w:tcPr>
            <w:tcW w:w="1578" w:type="dxa"/>
            <w:tcBorders>
              <w:top w:val="nil"/>
              <w:left w:val="nil"/>
              <w:bottom w:val="double" w:sz="6" w:space="0" w:color="auto"/>
              <w:right w:val="dotted" w:sz="4" w:space="0" w:color="auto"/>
            </w:tcBorders>
            <w:shd w:val="clear" w:color="000000" w:fill="FFFFFF"/>
            <w:vAlign w:val="center"/>
            <w:hideMark/>
          </w:tcPr>
          <w:p w14:paraId="6FF5D5B6"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0,8</w:t>
            </w:r>
          </w:p>
        </w:tc>
        <w:tc>
          <w:tcPr>
            <w:tcW w:w="1578" w:type="dxa"/>
            <w:tcBorders>
              <w:top w:val="nil"/>
              <w:left w:val="nil"/>
              <w:bottom w:val="double" w:sz="6" w:space="0" w:color="auto"/>
              <w:right w:val="dotted" w:sz="4" w:space="0" w:color="auto"/>
            </w:tcBorders>
            <w:shd w:val="clear" w:color="000000" w:fill="FFFFFF"/>
            <w:vAlign w:val="center"/>
            <w:hideMark/>
          </w:tcPr>
          <w:p w14:paraId="4514A5AC"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2,0</w:t>
            </w:r>
          </w:p>
        </w:tc>
        <w:tc>
          <w:tcPr>
            <w:tcW w:w="1578" w:type="dxa"/>
            <w:tcBorders>
              <w:top w:val="nil"/>
              <w:left w:val="nil"/>
              <w:bottom w:val="double" w:sz="6" w:space="0" w:color="auto"/>
              <w:right w:val="dotted" w:sz="4" w:space="0" w:color="auto"/>
            </w:tcBorders>
            <w:shd w:val="clear" w:color="000000" w:fill="FFFFFF"/>
            <w:vAlign w:val="center"/>
            <w:hideMark/>
          </w:tcPr>
          <w:p w14:paraId="44248962"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2,0</w:t>
            </w:r>
          </w:p>
        </w:tc>
        <w:tc>
          <w:tcPr>
            <w:tcW w:w="1578" w:type="dxa"/>
            <w:tcBorders>
              <w:top w:val="nil"/>
              <w:left w:val="nil"/>
              <w:bottom w:val="double" w:sz="6" w:space="0" w:color="auto"/>
              <w:right w:val="double" w:sz="6" w:space="0" w:color="auto"/>
            </w:tcBorders>
            <w:shd w:val="clear" w:color="000000" w:fill="FFFFFF"/>
            <w:vAlign w:val="center"/>
            <w:hideMark/>
          </w:tcPr>
          <w:p w14:paraId="48B73C88"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2,0</w:t>
            </w:r>
          </w:p>
        </w:tc>
      </w:tr>
    </w:tbl>
    <w:p w14:paraId="3CB85673" w14:textId="6A7F6777" w:rsidR="00406582" w:rsidRDefault="00406582" w:rsidP="001773C9">
      <w:r>
        <w:fldChar w:fldCharType="end"/>
      </w:r>
    </w:p>
    <w:p w14:paraId="50169DBB" w14:textId="7B1925CD" w:rsidR="001773C9" w:rsidRDefault="001773C9" w:rsidP="001773C9"/>
    <w:p w14:paraId="0ECC1AD8" w14:textId="50F2FCBF" w:rsidR="00406582" w:rsidRDefault="00406582" w:rsidP="001773C9"/>
    <w:p w14:paraId="2AABFF30" w14:textId="77777777" w:rsidR="00406582" w:rsidRPr="00406582" w:rsidRDefault="00406582" w:rsidP="00406582"/>
    <w:p w14:paraId="25758C51" w14:textId="77777777" w:rsidR="00406582" w:rsidRPr="00406582" w:rsidRDefault="00406582" w:rsidP="00406582"/>
    <w:p w14:paraId="4A32877C" w14:textId="77777777" w:rsidR="00406582" w:rsidRPr="00406582" w:rsidRDefault="00406582" w:rsidP="00406582"/>
    <w:p w14:paraId="67FA0E7F" w14:textId="77777777" w:rsidR="00406582" w:rsidRPr="00406582" w:rsidRDefault="00406582" w:rsidP="00406582"/>
    <w:p w14:paraId="6755CFC2" w14:textId="77777777" w:rsidR="00406582" w:rsidRPr="00406582" w:rsidRDefault="00406582" w:rsidP="00406582"/>
    <w:p w14:paraId="25707455" w14:textId="77777777" w:rsidR="00406582" w:rsidRPr="00406582" w:rsidRDefault="00406582" w:rsidP="00406582"/>
    <w:p w14:paraId="14D71317" w14:textId="18663818" w:rsidR="00406582" w:rsidRDefault="00406582" w:rsidP="00406582"/>
    <w:p w14:paraId="2482B1C2" w14:textId="4760A297" w:rsidR="00406582" w:rsidRDefault="00406582" w:rsidP="00406582"/>
    <w:p w14:paraId="6CD546C8" w14:textId="77777777" w:rsidR="00406582" w:rsidRPr="00406582" w:rsidRDefault="00406582" w:rsidP="00406582">
      <w:r w:rsidRPr="00406582">
        <w:lastRenderedPageBreak/>
        <w:t>Table 1c:  Labour markets developments</w:t>
      </w:r>
    </w:p>
    <w:p w14:paraId="5B3151F4" w14:textId="1F7CD117" w:rsidR="00406582" w:rsidRDefault="00406582" w:rsidP="00406582">
      <w:pPr>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Tab1c-Labour!R4C2:R19C9 </w:instrText>
      </w:r>
      <w:r>
        <w:instrText xml:space="preserve">\a \f 4 \h  \* MERGEFORMAT </w:instrText>
      </w:r>
      <w:r>
        <w:fldChar w:fldCharType="separate"/>
      </w:r>
    </w:p>
    <w:tbl>
      <w:tblPr>
        <w:tblW w:w="15342" w:type="dxa"/>
        <w:tblLook w:val="04A0" w:firstRow="1" w:lastRow="0" w:firstColumn="1" w:lastColumn="0" w:noHBand="0" w:noVBand="1"/>
      </w:tblPr>
      <w:tblGrid>
        <w:gridCol w:w="5817"/>
        <w:gridCol w:w="1360"/>
        <w:gridCol w:w="1360"/>
        <w:gridCol w:w="1360"/>
        <w:gridCol w:w="1360"/>
        <w:gridCol w:w="1360"/>
        <w:gridCol w:w="1360"/>
        <w:gridCol w:w="1365"/>
      </w:tblGrid>
      <w:tr w:rsidR="00406582" w:rsidRPr="00406582" w14:paraId="51A2417A" w14:textId="77777777" w:rsidTr="00406582">
        <w:trPr>
          <w:trHeight w:val="361"/>
        </w:trPr>
        <w:tc>
          <w:tcPr>
            <w:tcW w:w="5817" w:type="dxa"/>
            <w:vMerge w:val="restart"/>
            <w:tcBorders>
              <w:top w:val="double" w:sz="6" w:space="0" w:color="auto"/>
              <w:left w:val="double" w:sz="6" w:space="0" w:color="auto"/>
              <w:bottom w:val="nil"/>
              <w:right w:val="nil"/>
            </w:tcBorders>
            <w:shd w:val="clear" w:color="000000" w:fill="FFFFFF"/>
            <w:vAlign w:val="center"/>
            <w:hideMark/>
          </w:tcPr>
          <w:p w14:paraId="1064D065" w14:textId="2B5446EA"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 </w:t>
            </w:r>
          </w:p>
        </w:tc>
        <w:tc>
          <w:tcPr>
            <w:tcW w:w="1360" w:type="dxa"/>
            <w:tcBorders>
              <w:top w:val="double" w:sz="6" w:space="0" w:color="auto"/>
              <w:left w:val="single" w:sz="4" w:space="0" w:color="auto"/>
              <w:bottom w:val="nil"/>
              <w:right w:val="single" w:sz="4" w:space="0" w:color="auto"/>
            </w:tcBorders>
            <w:shd w:val="clear" w:color="000000" w:fill="FFFFFF"/>
            <w:vAlign w:val="center"/>
            <w:hideMark/>
          </w:tcPr>
          <w:p w14:paraId="069B724F"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ESA</w:t>
            </w:r>
          </w:p>
        </w:tc>
        <w:tc>
          <w:tcPr>
            <w:tcW w:w="1360" w:type="dxa"/>
            <w:tcBorders>
              <w:top w:val="double" w:sz="6" w:space="0" w:color="auto"/>
              <w:left w:val="nil"/>
              <w:bottom w:val="nil"/>
              <w:right w:val="single" w:sz="4" w:space="0" w:color="auto"/>
            </w:tcBorders>
            <w:shd w:val="clear" w:color="000000" w:fill="FFFFFF"/>
            <w:vAlign w:val="center"/>
            <w:hideMark/>
          </w:tcPr>
          <w:p w14:paraId="147CFC58"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Year</w:t>
            </w:r>
          </w:p>
        </w:tc>
        <w:tc>
          <w:tcPr>
            <w:tcW w:w="1360" w:type="dxa"/>
            <w:tcBorders>
              <w:top w:val="double" w:sz="6" w:space="0" w:color="auto"/>
              <w:left w:val="nil"/>
              <w:bottom w:val="nil"/>
              <w:right w:val="dotted" w:sz="4" w:space="0" w:color="auto"/>
            </w:tcBorders>
            <w:shd w:val="clear" w:color="000000" w:fill="FFFFFF"/>
            <w:vAlign w:val="center"/>
            <w:hideMark/>
          </w:tcPr>
          <w:p w14:paraId="19E985ED"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Year</w:t>
            </w:r>
          </w:p>
        </w:tc>
        <w:tc>
          <w:tcPr>
            <w:tcW w:w="1360" w:type="dxa"/>
            <w:tcBorders>
              <w:top w:val="double" w:sz="6" w:space="0" w:color="auto"/>
              <w:left w:val="nil"/>
              <w:bottom w:val="nil"/>
              <w:right w:val="dotted" w:sz="4" w:space="0" w:color="auto"/>
            </w:tcBorders>
            <w:shd w:val="clear" w:color="000000" w:fill="FFFFFF"/>
            <w:vAlign w:val="center"/>
            <w:hideMark/>
          </w:tcPr>
          <w:p w14:paraId="2EC3934A"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Year</w:t>
            </w:r>
          </w:p>
        </w:tc>
        <w:tc>
          <w:tcPr>
            <w:tcW w:w="1360" w:type="dxa"/>
            <w:tcBorders>
              <w:top w:val="double" w:sz="6" w:space="0" w:color="auto"/>
              <w:left w:val="nil"/>
              <w:bottom w:val="nil"/>
              <w:right w:val="dotted" w:sz="4" w:space="0" w:color="auto"/>
            </w:tcBorders>
            <w:shd w:val="clear" w:color="000000" w:fill="FFFFFF"/>
            <w:vAlign w:val="center"/>
            <w:hideMark/>
          </w:tcPr>
          <w:p w14:paraId="1FF64E95"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Year</w:t>
            </w:r>
          </w:p>
        </w:tc>
        <w:tc>
          <w:tcPr>
            <w:tcW w:w="1360" w:type="dxa"/>
            <w:tcBorders>
              <w:top w:val="double" w:sz="6" w:space="0" w:color="auto"/>
              <w:left w:val="nil"/>
              <w:bottom w:val="nil"/>
              <w:right w:val="dotted" w:sz="4" w:space="0" w:color="auto"/>
            </w:tcBorders>
            <w:shd w:val="clear" w:color="000000" w:fill="FFFFFF"/>
            <w:vAlign w:val="center"/>
            <w:hideMark/>
          </w:tcPr>
          <w:p w14:paraId="473175A8"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Year</w:t>
            </w:r>
          </w:p>
        </w:tc>
        <w:tc>
          <w:tcPr>
            <w:tcW w:w="1362" w:type="dxa"/>
            <w:tcBorders>
              <w:top w:val="double" w:sz="6" w:space="0" w:color="auto"/>
              <w:left w:val="nil"/>
              <w:bottom w:val="nil"/>
              <w:right w:val="double" w:sz="6" w:space="0" w:color="auto"/>
            </w:tcBorders>
            <w:shd w:val="clear" w:color="000000" w:fill="FFFFFF"/>
            <w:vAlign w:val="center"/>
            <w:hideMark/>
          </w:tcPr>
          <w:p w14:paraId="4F7B8B77"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Year</w:t>
            </w:r>
          </w:p>
        </w:tc>
      </w:tr>
      <w:tr w:rsidR="00406582" w:rsidRPr="00406582" w14:paraId="6FB5A593" w14:textId="77777777" w:rsidTr="00406582">
        <w:trPr>
          <w:trHeight w:val="351"/>
        </w:trPr>
        <w:tc>
          <w:tcPr>
            <w:tcW w:w="5817" w:type="dxa"/>
            <w:vMerge/>
            <w:tcBorders>
              <w:top w:val="double" w:sz="6" w:space="0" w:color="auto"/>
              <w:left w:val="double" w:sz="6" w:space="0" w:color="auto"/>
              <w:bottom w:val="nil"/>
              <w:right w:val="nil"/>
            </w:tcBorders>
            <w:vAlign w:val="center"/>
            <w:hideMark/>
          </w:tcPr>
          <w:p w14:paraId="58B6B8B7" w14:textId="77777777" w:rsidR="00406582" w:rsidRPr="00406582" w:rsidRDefault="00406582" w:rsidP="00406582">
            <w:pPr>
              <w:spacing w:after="0"/>
              <w:jc w:val="left"/>
              <w:rPr>
                <w:rFonts w:eastAsia="Times New Roman" w:cs="Times New Roman"/>
                <w:szCs w:val="24"/>
              </w:rPr>
            </w:pPr>
          </w:p>
        </w:tc>
        <w:tc>
          <w:tcPr>
            <w:tcW w:w="1360" w:type="dxa"/>
            <w:tcBorders>
              <w:top w:val="nil"/>
              <w:left w:val="single" w:sz="4" w:space="0" w:color="auto"/>
              <w:bottom w:val="nil"/>
              <w:right w:val="single" w:sz="4" w:space="0" w:color="auto"/>
            </w:tcBorders>
            <w:shd w:val="clear" w:color="000000" w:fill="FFFFFF"/>
            <w:vAlign w:val="center"/>
            <w:hideMark/>
          </w:tcPr>
          <w:p w14:paraId="74D924AF"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Code</w:t>
            </w:r>
          </w:p>
        </w:tc>
        <w:tc>
          <w:tcPr>
            <w:tcW w:w="1360" w:type="dxa"/>
            <w:tcBorders>
              <w:top w:val="nil"/>
              <w:left w:val="nil"/>
              <w:bottom w:val="dotted" w:sz="4" w:space="0" w:color="auto"/>
              <w:right w:val="single" w:sz="4" w:space="0" w:color="auto"/>
            </w:tcBorders>
            <w:shd w:val="clear" w:color="000000" w:fill="FFFFFF"/>
            <w:vAlign w:val="center"/>
            <w:hideMark/>
          </w:tcPr>
          <w:p w14:paraId="49615678"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2023</w:t>
            </w:r>
          </w:p>
        </w:tc>
        <w:tc>
          <w:tcPr>
            <w:tcW w:w="1360" w:type="dxa"/>
            <w:tcBorders>
              <w:top w:val="nil"/>
              <w:left w:val="nil"/>
              <w:bottom w:val="dotted" w:sz="4" w:space="0" w:color="auto"/>
              <w:right w:val="dotted" w:sz="4" w:space="0" w:color="auto"/>
            </w:tcBorders>
            <w:shd w:val="clear" w:color="000000" w:fill="FFFFFF"/>
            <w:vAlign w:val="center"/>
            <w:hideMark/>
          </w:tcPr>
          <w:p w14:paraId="363F0E0A"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2023</w:t>
            </w:r>
          </w:p>
        </w:tc>
        <w:tc>
          <w:tcPr>
            <w:tcW w:w="1360" w:type="dxa"/>
            <w:tcBorders>
              <w:top w:val="nil"/>
              <w:left w:val="nil"/>
              <w:bottom w:val="dotted" w:sz="4" w:space="0" w:color="auto"/>
              <w:right w:val="dotted" w:sz="4" w:space="0" w:color="auto"/>
            </w:tcBorders>
            <w:shd w:val="clear" w:color="000000" w:fill="FFFFFF"/>
            <w:vAlign w:val="center"/>
            <w:hideMark/>
          </w:tcPr>
          <w:p w14:paraId="2C0A644F"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2024</w:t>
            </w:r>
          </w:p>
        </w:tc>
        <w:tc>
          <w:tcPr>
            <w:tcW w:w="1360" w:type="dxa"/>
            <w:tcBorders>
              <w:top w:val="nil"/>
              <w:left w:val="nil"/>
              <w:bottom w:val="dotted" w:sz="4" w:space="0" w:color="auto"/>
              <w:right w:val="dotted" w:sz="4" w:space="0" w:color="auto"/>
            </w:tcBorders>
            <w:shd w:val="clear" w:color="000000" w:fill="FFFFFF"/>
            <w:vAlign w:val="center"/>
            <w:hideMark/>
          </w:tcPr>
          <w:p w14:paraId="25B6F9E6"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2025</w:t>
            </w:r>
          </w:p>
        </w:tc>
        <w:tc>
          <w:tcPr>
            <w:tcW w:w="1360" w:type="dxa"/>
            <w:tcBorders>
              <w:top w:val="nil"/>
              <w:left w:val="nil"/>
              <w:bottom w:val="dotted" w:sz="4" w:space="0" w:color="auto"/>
              <w:right w:val="dotted" w:sz="4" w:space="0" w:color="auto"/>
            </w:tcBorders>
            <w:shd w:val="clear" w:color="000000" w:fill="FFFFFF"/>
            <w:vAlign w:val="center"/>
            <w:hideMark/>
          </w:tcPr>
          <w:p w14:paraId="779DC62A"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2026</w:t>
            </w:r>
          </w:p>
        </w:tc>
        <w:tc>
          <w:tcPr>
            <w:tcW w:w="1362" w:type="dxa"/>
            <w:tcBorders>
              <w:top w:val="nil"/>
              <w:left w:val="nil"/>
              <w:bottom w:val="dotted" w:sz="4" w:space="0" w:color="auto"/>
              <w:right w:val="double" w:sz="6" w:space="0" w:color="auto"/>
            </w:tcBorders>
            <w:shd w:val="clear" w:color="000000" w:fill="FFFFFF"/>
            <w:vAlign w:val="center"/>
            <w:hideMark/>
          </w:tcPr>
          <w:p w14:paraId="7AC842BF"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2027</w:t>
            </w:r>
          </w:p>
        </w:tc>
      </w:tr>
      <w:tr w:rsidR="00406582" w:rsidRPr="00406582" w14:paraId="2ABF0267" w14:textId="77777777" w:rsidTr="00406582">
        <w:trPr>
          <w:trHeight w:val="443"/>
        </w:trPr>
        <w:tc>
          <w:tcPr>
            <w:tcW w:w="5817" w:type="dxa"/>
            <w:tcBorders>
              <w:top w:val="nil"/>
              <w:left w:val="double" w:sz="6" w:space="0" w:color="auto"/>
              <w:bottom w:val="single" w:sz="8" w:space="0" w:color="auto"/>
              <w:right w:val="nil"/>
            </w:tcBorders>
            <w:shd w:val="clear" w:color="000000" w:fill="FFFFFF"/>
            <w:vAlign w:val="center"/>
            <w:hideMark/>
          </w:tcPr>
          <w:p w14:paraId="269DF2E9" w14:textId="77777777" w:rsidR="00406582" w:rsidRPr="00406582" w:rsidRDefault="00406582" w:rsidP="00406582">
            <w:pPr>
              <w:spacing w:after="0"/>
              <w:jc w:val="left"/>
              <w:rPr>
                <w:rFonts w:eastAsia="Times New Roman" w:cs="Times New Roman"/>
                <w:szCs w:val="24"/>
              </w:rPr>
            </w:pPr>
            <w:r w:rsidRPr="00406582">
              <w:rPr>
                <w:rFonts w:eastAsia="Times New Roman" w:cs="Times New Roman"/>
                <w:szCs w:val="24"/>
              </w:rPr>
              <w:t> </w:t>
            </w:r>
          </w:p>
        </w:tc>
        <w:tc>
          <w:tcPr>
            <w:tcW w:w="1360" w:type="dxa"/>
            <w:tcBorders>
              <w:top w:val="nil"/>
              <w:left w:val="single" w:sz="4" w:space="0" w:color="auto"/>
              <w:bottom w:val="single" w:sz="8" w:space="0" w:color="auto"/>
              <w:right w:val="single" w:sz="4" w:space="0" w:color="auto"/>
            </w:tcBorders>
            <w:shd w:val="clear" w:color="000000" w:fill="FFFFFF"/>
            <w:vAlign w:val="center"/>
            <w:hideMark/>
          </w:tcPr>
          <w:p w14:paraId="147CADE3"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 </w:t>
            </w:r>
          </w:p>
        </w:tc>
        <w:tc>
          <w:tcPr>
            <w:tcW w:w="1360" w:type="dxa"/>
            <w:tcBorders>
              <w:top w:val="nil"/>
              <w:left w:val="nil"/>
              <w:bottom w:val="single" w:sz="8" w:space="0" w:color="auto"/>
              <w:right w:val="single" w:sz="4" w:space="0" w:color="auto"/>
            </w:tcBorders>
            <w:shd w:val="clear" w:color="000000" w:fill="FFFFFF"/>
            <w:vAlign w:val="center"/>
            <w:hideMark/>
          </w:tcPr>
          <w:p w14:paraId="0E279DC2"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Level</w:t>
            </w:r>
          </w:p>
        </w:tc>
        <w:tc>
          <w:tcPr>
            <w:tcW w:w="6805" w:type="dxa"/>
            <w:gridSpan w:val="5"/>
            <w:tcBorders>
              <w:top w:val="dotted" w:sz="4" w:space="0" w:color="auto"/>
              <w:left w:val="nil"/>
              <w:bottom w:val="single" w:sz="8" w:space="0" w:color="auto"/>
              <w:right w:val="double" w:sz="6" w:space="0" w:color="000000"/>
            </w:tcBorders>
            <w:shd w:val="clear" w:color="000000" w:fill="FFFFFF"/>
            <w:vAlign w:val="center"/>
            <w:hideMark/>
          </w:tcPr>
          <w:p w14:paraId="20DBC91C" w14:textId="77777777" w:rsidR="00406582" w:rsidRPr="00406582" w:rsidRDefault="00406582" w:rsidP="00406582">
            <w:pPr>
              <w:spacing w:after="0"/>
              <w:jc w:val="center"/>
              <w:rPr>
                <w:rFonts w:eastAsia="Times New Roman" w:cs="Times New Roman"/>
                <w:szCs w:val="24"/>
              </w:rPr>
            </w:pPr>
            <w:r w:rsidRPr="00406582">
              <w:rPr>
                <w:rFonts w:eastAsia="Times New Roman" w:cs="Times New Roman"/>
                <w:szCs w:val="24"/>
              </w:rPr>
              <w:t>Level/Rate of change</w:t>
            </w:r>
          </w:p>
        </w:tc>
      </w:tr>
      <w:tr w:rsidR="00406582" w:rsidRPr="00406582" w14:paraId="4DA12ABE" w14:textId="77777777" w:rsidTr="00406582">
        <w:trPr>
          <w:trHeight w:val="443"/>
        </w:trPr>
        <w:tc>
          <w:tcPr>
            <w:tcW w:w="5817" w:type="dxa"/>
            <w:tcBorders>
              <w:top w:val="nil"/>
              <w:left w:val="double" w:sz="6" w:space="0" w:color="auto"/>
              <w:bottom w:val="dotted" w:sz="4" w:space="0" w:color="auto"/>
              <w:right w:val="nil"/>
            </w:tcBorders>
            <w:shd w:val="clear" w:color="000000" w:fill="FFFFFF"/>
            <w:hideMark/>
          </w:tcPr>
          <w:p w14:paraId="7CCBEAFA" w14:textId="58302938" w:rsidR="00406582" w:rsidRPr="00406582" w:rsidRDefault="00406582" w:rsidP="00406582">
            <w:pPr>
              <w:spacing w:after="0"/>
              <w:jc w:val="left"/>
              <w:rPr>
                <w:rFonts w:eastAsia="Times New Roman" w:cs="Times New Roman"/>
                <w:sz w:val="20"/>
                <w:szCs w:val="20"/>
              </w:rPr>
            </w:pPr>
            <w:bookmarkStart w:id="46" w:name="RANGE!B7"/>
            <w:r w:rsidRPr="00406582">
              <w:rPr>
                <w:rFonts w:eastAsia="Times New Roman" w:cs="Times New Roman"/>
                <w:sz w:val="20"/>
                <w:szCs w:val="20"/>
              </w:rPr>
              <w:t>1. Population (thousands)</w:t>
            </w:r>
            <w:bookmarkEnd w:id="46"/>
          </w:p>
        </w:tc>
        <w:tc>
          <w:tcPr>
            <w:tcW w:w="1360" w:type="dxa"/>
            <w:tcBorders>
              <w:top w:val="nil"/>
              <w:left w:val="single" w:sz="4" w:space="0" w:color="auto"/>
              <w:bottom w:val="dotted" w:sz="4" w:space="0" w:color="auto"/>
              <w:right w:val="single" w:sz="4" w:space="0" w:color="auto"/>
            </w:tcBorders>
            <w:shd w:val="clear" w:color="000000" w:fill="FFFFFF"/>
            <w:hideMark/>
          </w:tcPr>
          <w:p w14:paraId="3602768D"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178AD146"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dotted" w:sz="4" w:space="0" w:color="auto"/>
            </w:tcBorders>
            <w:shd w:val="clear" w:color="auto" w:fill="auto"/>
            <w:noWrap/>
            <w:vAlign w:val="center"/>
            <w:hideMark/>
          </w:tcPr>
          <w:p w14:paraId="438B19EF"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6.622,0</w:t>
            </w:r>
          </w:p>
        </w:tc>
        <w:tc>
          <w:tcPr>
            <w:tcW w:w="1360" w:type="dxa"/>
            <w:tcBorders>
              <w:top w:val="nil"/>
              <w:left w:val="nil"/>
              <w:bottom w:val="dotted" w:sz="4" w:space="0" w:color="auto"/>
              <w:right w:val="dotted" w:sz="4" w:space="0" w:color="auto"/>
            </w:tcBorders>
            <w:shd w:val="clear" w:color="auto" w:fill="auto"/>
            <w:noWrap/>
            <w:vAlign w:val="center"/>
            <w:hideMark/>
          </w:tcPr>
          <w:p w14:paraId="4A6EC5CF"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6.579,7</w:t>
            </w:r>
          </w:p>
        </w:tc>
        <w:tc>
          <w:tcPr>
            <w:tcW w:w="1360" w:type="dxa"/>
            <w:tcBorders>
              <w:top w:val="nil"/>
              <w:left w:val="nil"/>
              <w:bottom w:val="dotted" w:sz="4" w:space="0" w:color="auto"/>
              <w:right w:val="dotted" w:sz="4" w:space="0" w:color="auto"/>
            </w:tcBorders>
            <w:shd w:val="clear" w:color="auto" w:fill="auto"/>
            <w:noWrap/>
            <w:vAlign w:val="center"/>
            <w:hideMark/>
          </w:tcPr>
          <w:p w14:paraId="16A763D4"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6.537,5</w:t>
            </w:r>
          </w:p>
        </w:tc>
        <w:tc>
          <w:tcPr>
            <w:tcW w:w="1360" w:type="dxa"/>
            <w:tcBorders>
              <w:top w:val="nil"/>
              <w:left w:val="nil"/>
              <w:bottom w:val="dotted" w:sz="4" w:space="0" w:color="auto"/>
              <w:right w:val="dotted" w:sz="4" w:space="0" w:color="auto"/>
            </w:tcBorders>
            <w:shd w:val="clear" w:color="auto" w:fill="auto"/>
            <w:noWrap/>
            <w:vAlign w:val="center"/>
            <w:hideMark/>
          </w:tcPr>
          <w:p w14:paraId="2EAD7663"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6.498,3</w:t>
            </w:r>
          </w:p>
        </w:tc>
        <w:tc>
          <w:tcPr>
            <w:tcW w:w="1362" w:type="dxa"/>
            <w:tcBorders>
              <w:top w:val="nil"/>
              <w:left w:val="nil"/>
              <w:bottom w:val="dotted" w:sz="4" w:space="0" w:color="auto"/>
              <w:right w:val="double" w:sz="6" w:space="0" w:color="auto"/>
            </w:tcBorders>
            <w:shd w:val="clear" w:color="auto" w:fill="auto"/>
            <w:noWrap/>
            <w:vAlign w:val="center"/>
            <w:hideMark/>
          </w:tcPr>
          <w:p w14:paraId="4FA37A8C"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6.459,3</w:t>
            </w:r>
          </w:p>
        </w:tc>
      </w:tr>
      <w:tr w:rsidR="00406582" w:rsidRPr="00406582" w14:paraId="6016A3C0" w14:textId="77777777" w:rsidTr="00406582">
        <w:trPr>
          <w:trHeight w:val="443"/>
        </w:trPr>
        <w:tc>
          <w:tcPr>
            <w:tcW w:w="5817" w:type="dxa"/>
            <w:tcBorders>
              <w:top w:val="nil"/>
              <w:left w:val="double" w:sz="6" w:space="0" w:color="auto"/>
              <w:bottom w:val="dotted" w:sz="4" w:space="0" w:color="auto"/>
              <w:right w:val="nil"/>
            </w:tcBorders>
            <w:shd w:val="clear" w:color="000000" w:fill="FFFFFF"/>
            <w:hideMark/>
          </w:tcPr>
          <w:p w14:paraId="3AF1ABB7" w14:textId="00D92BB5" w:rsidR="00406582" w:rsidRPr="00406582" w:rsidRDefault="00406582" w:rsidP="00406582">
            <w:pPr>
              <w:spacing w:after="0"/>
              <w:jc w:val="left"/>
              <w:rPr>
                <w:rFonts w:eastAsia="Times New Roman" w:cs="Times New Roman"/>
                <w:sz w:val="20"/>
                <w:szCs w:val="20"/>
              </w:rPr>
            </w:pPr>
            <w:bookmarkStart w:id="47" w:name="RANGE!B8"/>
            <w:r w:rsidRPr="00406582">
              <w:rPr>
                <w:rFonts w:eastAsia="Times New Roman" w:cs="Times New Roman"/>
                <w:sz w:val="20"/>
                <w:szCs w:val="20"/>
              </w:rPr>
              <w:t>2. Population (growth rate in %)</w:t>
            </w:r>
            <w:bookmarkEnd w:id="47"/>
          </w:p>
        </w:tc>
        <w:tc>
          <w:tcPr>
            <w:tcW w:w="1360" w:type="dxa"/>
            <w:tcBorders>
              <w:top w:val="nil"/>
              <w:left w:val="single" w:sz="4" w:space="0" w:color="auto"/>
              <w:bottom w:val="dotted" w:sz="4" w:space="0" w:color="auto"/>
              <w:right w:val="single" w:sz="4" w:space="0" w:color="auto"/>
            </w:tcBorders>
            <w:shd w:val="clear" w:color="000000" w:fill="FFFFFF"/>
            <w:hideMark/>
          </w:tcPr>
          <w:p w14:paraId="64556C83"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3C30C00C"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dotted" w:sz="4" w:space="0" w:color="auto"/>
            </w:tcBorders>
            <w:shd w:val="clear" w:color="auto" w:fill="auto"/>
            <w:noWrap/>
            <w:vAlign w:val="center"/>
            <w:hideMark/>
          </w:tcPr>
          <w:p w14:paraId="354459C3"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-0,6</w:t>
            </w:r>
          </w:p>
        </w:tc>
        <w:tc>
          <w:tcPr>
            <w:tcW w:w="1360" w:type="dxa"/>
            <w:tcBorders>
              <w:top w:val="nil"/>
              <w:left w:val="nil"/>
              <w:bottom w:val="dotted" w:sz="4" w:space="0" w:color="auto"/>
              <w:right w:val="dotted" w:sz="4" w:space="0" w:color="auto"/>
            </w:tcBorders>
            <w:shd w:val="clear" w:color="auto" w:fill="auto"/>
            <w:noWrap/>
            <w:vAlign w:val="center"/>
            <w:hideMark/>
          </w:tcPr>
          <w:p w14:paraId="1A3459AB"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-0,6</w:t>
            </w:r>
          </w:p>
        </w:tc>
        <w:tc>
          <w:tcPr>
            <w:tcW w:w="1360" w:type="dxa"/>
            <w:tcBorders>
              <w:top w:val="nil"/>
              <w:left w:val="nil"/>
              <w:bottom w:val="dotted" w:sz="4" w:space="0" w:color="auto"/>
              <w:right w:val="dotted" w:sz="4" w:space="0" w:color="auto"/>
            </w:tcBorders>
            <w:shd w:val="clear" w:color="auto" w:fill="auto"/>
            <w:noWrap/>
            <w:vAlign w:val="center"/>
            <w:hideMark/>
          </w:tcPr>
          <w:p w14:paraId="6560C811"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-0,6</w:t>
            </w:r>
          </w:p>
        </w:tc>
        <w:tc>
          <w:tcPr>
            <w:tcW w:w="1360" w:type="dxa"/>
            <w:tcBorders>
              <w:top w:val="nil"/>
              <w:left w:val="nil"/>
              <w:bottom w:val="dotted" w:sz="4" w:space="0" w:color="auto"/>
              <w:right w:val="dotted" w:sz="4" w:space="0" w:color="auto"/>
            </w:tcBorders>
            <w:shd w:val="clear" w:color="auto" w:fill="auto"/>
            <w:noWrap/>
            <w:vAlign w:val="center"/>
            <w:hideMark/>
          </w:tcPr>
          <w:p w14:paraId="4CE810F0"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-0,6</w:t>
            </w:r>
          </w:p>
        </w:tc>
        <w:tc>
          <w:tcPr>
            <w:tcW w:w="1362" w:type="dxa"/>
            <w:tcBorders>
              <w:top w:val="nil"/>
              <w:left w:val="nil"/>
              <w:bottom w:val="dotted" w:sz="4" w:space="0" w:color="auto"/>
              <w:right w:val="double" w:sz="6" w:space="0" w:color="auto"/>
            </w:tcBorders>
            <w:shd w:val="clear" w:color="auto" w:fill="auto"/>
            <w:noWrap/>
            <w:vAlign w:val="center"/>
            <w:hideMark/>
          </w:tcPr>
          <w:p w14:paraId="7DDE9C14"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-0,6</w:t>
            </w:r>
          </w:p>
        </w:tc>
      </w:tr>
      <w:bookmarkStart w:id="48" w:name="RANGE!B9"/>
      <w:tr w:rsidR="00406582" w:rsidRPr="00406582" w14:paraId="1A1E4C49" w14:textId="77777777" w:rsidTr="00406582">
        <w:trPr>
          <w:trHeight w:val="443"/>
        </w:trPr>
        <w:tc>
          <w:tcPr>
            <w:tcW w:w="5817" w:type="dxa"/>
            <w:tcBorders>
              <w:top w:val="nil"/>
              <w:left w:val="double" w:sz="6" w:space="0" w:color="auto"/>
              <w:bottom w:val="dotted" w:sz="4" w:space="0" w:color="auto"/>
              <w:right w:val="nil"/>
            </w:tcBorders>
            <w:shd w:val="clear" w:color="000000" w:fill="FFFFFF"/>
            <w:hideMark/>
          </w:tcPr>
          <w:p w14:paraId="5F94D996" w14:textId="75D9A721"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fldChar w:fldCharType="begin"/>
            </w:r>
            <w:r w:rsidRPr="00406582">
              <w:rPr>
                <w:rFonts w:eastAsia="Times New Roman" w:cs="Times New Roman"/>
                <w:sz w:val="20"/>
                <w:szCs w:val="20"/>
              </w:rPr>
              <w:instrText xml:space="preserve"> HYPERLINK "file:///C:\\Users\\ognjen.jancic\\Documents\\kopija\\Ognjen\\memorandum\\ERP%202025-2027\\engleska%20verzija-ubacivanje%20tabela\\2025_ERP_Annex_tables_RS.xlsx" \l "RANGE!B21" </w:instrText>
            </w:r>
            <w:r w:rsidRPr="00406582">
              <w:rPr>
                <w:rFonts w:eastAsia="Times New Roman" w:cs="Times New Roman"/>
                <w:sz w:val="20"/>
                <w:szCs w:val="20"/>
              </w:rPr>
              <w:fldChar w:fldCharType="separate"/>
            </w:r>
            <w:r w:rsidRPr="00406582">
              <w:rPr>
                <w:rFonts w:eastAsia="Times New Roman" w:cs="Times New Roman"/>
                <w:sz w:val="20"/>
                <w:szCs w:val="20"/>
              </w:rPr>
              <w:t>3. Working-age population (persons)[1]</w:t>
            </w:r>
            <w:r w:rsidRPr="00406582">
              <w:rPr>
                <w:rFonts w:eastAsia="Times New Roman" w:cs="Times New Roman"/>
                <w:sz w:val="20"/>
                <w:szCs w:val="20"/>
              </w:rPr>
              <w:fldChar w:fldCharType="end"/>
            </w:r>
            <w:bookmarkEnd w:id="48"/>
          </w:p>
        </w:tc>
        <w:tc>
          <w:tcPr>
            <w:tcW w:w="1360" w:type="dxa"/>
            <w:tcBorders>
              <w:top w:val="nil"/>
              <w:left w:val="single" w:sz="4" w:space="0" w:color="auto"/>
              <w:bottom w:val="dotted" w:sz="4" w:space="0" w:color="auto"/>
              <w:right w:val="single" w:sz="4" w:space="0" w:color="auto"/>
            </w:tcBorders>
            <w:shd w:val="clear" w:color="000000" w:fill="FFFFFF"/>
            <w:hideMark/>
          </w:tcPr>
          <w:p w14:paraId="6C6C2B5A"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0CC81010"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dotted" w:sz="4" w:space="0" w:color="auto"/>
            </w:tcBorders>
            <w:shd w:val="clear" w:color="auto" w:fill="auto"/>
            <w:noWrap/>
            <w:vAlign w:val="center"/>
            <w:hideMark/>
          </w:tcPr>
          <w:p w14:paraId="721CECBB"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4.189</w:t>
            </w:r>
          </w:p>
        </w:tc>
        <w:tc>
          <w:tcPr>
            <w:tcW w:w="1360" w:type="dxa"/>
            <w:tcBorders>
              <w:top w:val="nil"/>
              <w:left w:val="nil"/>
              <w:bottom w:val="dotted" w:sz="4" w:space="0" w:color="auto"/>
              <w:right w:val="dotted" w:sz="4" w:space="0" w:color="auto"/>
            </w:tcBorders>
            <w:shd w:val="clear" w:color="auto" w:fill="auto"/>
            <w:noWrap/>
            <w:vAlign w:val="center"/>
            <w:hideMark/>
          </w:tcPr>
          <w:p w14:paraId="5AB2C79B"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4.191</w:t>
            </w:r>
          </w:p>
        </w:tc>
        <w:tc>
          <w:tcPr>
            <w:tcW w:w="1360" w:type="dxa"/>
            <w:tcBorders>
              <w:top w:val="nil"/>
              <w:left w:val="nil"/>
              <w:bottom w:val="dotted" w:sz="4" w:space="0" w:color="auto"/>
              <w:right w:val="dotted" w:sz="4" w:space="0" w:color="auto"/>
            </w:tcBorders>
            <w:shd w:val="clear" w:color="auto" w:fill="auto"/>
            <w:noWrap/>
            <w:vAlign w:val="center"/>
            <w:hideMark/>
          </w:tcPr>
          <w:p w14:paraId="17A060F3"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4.193</w:t>
            </w:r>
          </w:p>
        </w:tc>
        <w:tc>
          <w:tcPr>
            <w:tcW w:w="1360" w:type="dxa"/>
            <w:tcBorders>
              <w:top w:val="nil"/>
              <w:left w:val="nil"/>
              <w:bottom w:val="dotted" w:sz="4" w:space="0" w:color="auto"/>
              <w:right w:val="dotted" w:sz="4" w:space="0" w:color="auto"/>
            </w:tcBorders>
            <w:shd w:val="clear" w:color="auto" w:fill="auto"/>
            <w:noWrap/>
            <w:vAlign w:val="center"/>
            <w:hideMark/>
          </w:tcPr>
          <w:p w14:paraId="7EB4035F"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4.185</w:t>
            </w:r>
          </w:p>
        </w:tc>
        <w:tc>
          <w:tcPr>
            <w:tcW w:w="1362" w:type="dxa"/>
            <w:tcBorders>
              <w:top w:val="nil"/>
              <w:left w:val="nil"/>
              <w:bottom w:val="dotted" w:sz="4" w:space="0" w:color="auto"/>
              <w:right w:val="double" w:sz="6" w:space="0" w:color="auto"/>
            </w:tcBorders>
            <w:shd w:val="clear" w:color="auto" w:fill="auto"/>
            <w:noWrap/>
            <w:vAlign w:val="center"/>
            <w:hideMark/>
          </w:tcPr>
          <w:p w14:paraId="5AF23D16"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4.182</w:t>
            </w:r>
          </w:p>
        </w:tc>
      </w:tr>
      <w:tr w:rsidR="00406582" w:rsidRPr="00406582" w14:paraId="02846BCB" w14:textId="77777777" w:rsidTr="00406582">
        <w:trPr>
          <w:trHeight w:val="443"/>
        </w:trPr>
        <w:tc>
          <w:tcPr>
            <w:tcW w:w="5817" w:type="dxa"/>
            <w:tcBorders>
              <w:top w:val="nil"/>
              <w:left w:val="double" w:sz="6" w:space="0" w:color="auto"/>
              <w:bottom w:val="dotted" w:sz="4" w:space="0" w:color="auto"/>
              <w:right w:val="nil"/>
            </w:tcBorders>
            <w:shd w:val="clear" w:color="000000" w:fill="FFFFFF"/>
            <w:hideMark/>
          </w:tcPr>
          <w:p w14:paraId="17615773" w14:textId="0E5936F2" w:rsidR="00406582" w:rsidRPr="00406582" w:rsidRDefault="00406582" w:rsidP="00406582">
            <w:pPr>
              <w:spacing w:after="0"/>
              <w:jc w:val="left"/>
              <w:rPr>
                <w:rFonts w:eastAsia="Times New Roman" w:cs="Times New Roman"/>
                <w:sz w:val="20"/>
                <w:szCs w:val="20"/>
              </w:rPr>
            </w:pPr>
            <w:bookmarkStart w:id="49" w:name="RANGE!B10"/>
            <w:r w:rsidRPr="00406582">
              <w:rPr>
                <w:rFonts w:eastAsia="Times New Roman" w:cs="Times New Roman"/>
                <w:sz w:val="20"/>
                <w:szCs w:val="20"/>
              </w:rPr>
              <w:t xml:space="preserve">4. Participation rate </w:t>
            </w:r>
            <w:bookmarkEnd w:id="49"/>
          </w:p>
        </w:tc>
        <w:tc>
          <w:tcPr>
            <w:tcW w:w="1360" w:type="dxa"/>
            <w:tcBorders>
              <w:top w:val="nil"/>
              <w:left w:val="single" w:sz="4" w:space="0" w:color="auto"/>
              <w:bottom w:val="dotted" w:sz="4" w:space="0" w:color="auto"/>
              <w:right w:val="single" w:sz="4" w:space="0" w:color="auto"/>
            </w:tcBorders>
            <w:shd w:val="clear" w:color="000000" w:fill="FFFFFF"/>
            <w:hideMark/>
          </w:tcPr>
          <w:p w14:paraId="0C64A2D5"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0BC786DF"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dotted" w:sz="4" w:space="0" w:color="auto"/>
            </w:tcBorders>
            <w:shd w:val="clear" w:color="000000" w:fill="FFFFFF"/>
            <w:noWrap/>
            <w:vAlign w:val="center"/>
            <w:hideMark/>
          </w:tcPr>
          <w:p w14:paraId="008DC30D"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71,7</w:t>
            </w:r>
          </w:p>
        </w:tc>
        <w:tc>
          <w:tcPr>
            <w:tcW w:w="1360" w:type="dxa"/>
            <w:tcBorders>
              <w:top w:val="nil"/>
              <w:left w:val="nil"/>
              <w:bottom w:val="dotted" w:sz="4" w:space="0" w:color="auto"/>
              <w:right w:val="dotted" w:sz="4" w:space="0" w:color="auto"/>
            </w:tcBorders>
            <w:shd w:val="clear" w:color="000000" w:fill="FFFFFF"/>
            <w:noWrap/>
            <w:vAlign w:val="center"/>
            <w:hideMark/>
          </w:tcPr>
          <w:p w14:paraId="59807960"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71,7</w:t>
            </w:r>
          </w:p>
        </w:tc>
        <w:tc>
          <w:tcPr>
            <w:tcW w:w="1360" w:type="dxa"/>
            <w:tcBorders>
              <w:top w:val="nil"/>
              <w:left w:val="nil"/>
              <w:bottom w:val="dotted" w:sz="4" w:space="0" w:color="auto"/>
              <w:right w:val="dotted" w:sz="4" w:space="0" w:color="auto"/>
            </w:tcBorders>
            <w:shd w:val="clear" w:color="000000" w:fill="FFFFFF"/>
            <w:noWrap/>
            <w:vAlign w:val="center"/>
            <w:hideMark/>
          </w:tcPr>
          <w:p w14:paraId="30BD45CC"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71,7</w:t>
            </w:r>
          </w:p>
        </w:tc>
        <w:tc>
          <w:tcPr>
            <w:tcW w:w="1360" w:type="dxa"/>
            <w:tcBorders>
              <w:top w:val="nil"/>
              <w:left w:val="nil"/>
              <w:bottom w:val="dotted" w:sz="4" w:space="0" w:color="auto"/>
              <w:right w:val="dotted" w:sz="4" w:space="0" w:color="auto"/>
            </w:tcBorders>
            <w:shd w:val="clear" w:color="000000" w:fill="FFFFFF"/>
            <w:noWrap/>
            <w:vAlign w:val="center"/>
            <w:hideMark/>
          </w:tcPr>
          <w:p w14:paraId="682B73F4"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71,7</w:t>
            </w:r>
          </w:p>
        </w:tc>
        <w:tc>
          <w:tcPr>
            <w:tcW w:w="1362" w:type="dxa"/>
            <w:tcBorders>
              <w:top w:val="nil"/>
              <w:left w:val="nil"/>
              <w:bottom w:val="dotted" w:sz="4" w:space="0" w:color="auto"/>
              <w:right w:val="double" w:sz="6" w:space="0" w:color="auto"/>
            </w:tcBorders>
            <w:shd w:val="clear" w:color="000000" w:fill="FFFFFF"/>
            <w:noWrap/>
            <w:vAlign w:val="center"/>
            <w:hideMark/>
          </w:tcPr>
          <w:p w14:paraId="660C5777"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71,7</w:t>
            </w:r>
          </w:p>
        </w:tc>
      </w:tr>
      <w:bookmarkStart w:id="50" w:name="RANGE!B11"/>
      <w:tr w:rsidR="00406582" w:rsidRPr="00406582" w14:paraId="244106F7" w14:textId="77777777" w:rsidTr="00406582">
        <w:trPr>
          <w:trHeight w:val="443"/>
        </w:trPr>
        <w:tc>
          <w:tcPr>
            <w:tcW w:w="5817" w:type="dxa"/>
            <w:tcBorders>
              <w:top w:val="nil"/>
              <w:left w:val="double" w:sz="6" w:space="0" w:color="auto"/>
              <w:bottom w:val="dotted" w:sz="4" w:space="0" w:color="auto"/>
              <w:right w:val="nil"/>
            </w:tcBorders>
            <w:shd w:val="clear" w:color="000000" w:fill="FFFFFF"/>
            <w:hideMark/>
          </w:tcPr>
          <w:p w14:paraId="2D27EC04" w14:textId="58E64AA0"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fldChar w:fldCharType="begin"/>
            </w:r>
            <w:r w:rsidRPr="00406582">
              <w:rPr>
                <w:rFonts w:eastAsia="Times New Roman" w:cs="Times New Roman"/>
                <w:sz w:val="20"/>
                <w:szCs w:val="20"/>
              </w:rPr>
              <w:instrText xml:space="preserve"> HYPERLINK "file:///C:\\Users\\ognjen.jancic\\Documents\\kopija\\Ognjen\\memorandum\\ERP%202025-2027\\engleska%20verzija-ubacivanje%20tabela\\2025_ERP_Annex_tables_RS.xlsx" \l "RANGE!B22" </w:instrText>
            </w:r>
            <w:r w:rsidRPr="00406582">
              <w:rPr>
                <w:rFonts w:eastAsia="Times New Roman" w:cs="Times New Roman"/>
                <w:sz w:val="20"/>
                <w:szCs w:val="20"/>
              </w:rPr>
              <w:fldChar w:fldCharType="separate"/>
            </w:r>
            <w:r w:rsidRPr="00406582">
              <w:rPr>
                <w:rFonts w:eastAsia="Times New Roman" w:cs="Times New Roman"/>
                <w:sz w:val="20"/>
                <w:szCs w:val="20"/>
              </w:rPr>
              <w:t>5. Employment, persons [2]</w:t>
            </w:r>
            <w:r w:rsidRPr="00406582">
              <w:rPr>
                <w:rFonts w:eastAsia="Times New Roman" w:cs="Times New Roman"/>
                <w:sz w:val="20"/>
                <w:szCs w:val="20"/>
              </w:rPr>
              <w:fldChar w:fldCharType="end"/>
            </w:r>
            <w:bookmarkEnd w:id="50"/>
          </w:p>
        </w:tc>
        <w:tc>
          <w:tcPr>
            <w:tcW w:w="1360" w:type="dxa"/>
            <w:tcBorders>
              <w:top w:val="nil"/>
              <w:left w:val="single" w:sz="4" w:space="0" w:color="auto"/>
              <w:bottom w:val="dotted" w:sz="4" w:space="0" w:color="auto"/>
              <w:right w:val="single" w:sz="4" w:space="0" w:color="auto"/>
            </w:tcBorders>
            <w:shd w:val="clear" w:color="000000" w:fill="FFFFFF"/>
            <w:hideMark/>
          </w:tcPr>
          <w:p w14:paraId="6F9621CE"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6D9BD032"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dotted" w:sz="4" w:space="0" w:color="auto"/>
            </w:tcBorders>
            <w:shd w:val="clear" w:color="000000" w:fill="FFFFFF"/>
            <w:noWrap/>
            <w:vAlign w:val="center"/>
            <w:hideMark/>
          </w:tcPr>
          <w:p w14:paraId="0D8F11D1"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2.711</w:t>
            </w:r>
          </w:p>
        </w:tc>
        <w:tc>
          <w:tcPr>
            <w:tcW w:w="1360" w:type="dxa"/>
            <w:tcBorders>
              <w:top w:val="nil"/>
              <w:left w:val="nil"/>
              <w:bottom w:val="dotted" w:sz="4" w:space="0" w:color="auto"/>
              <w:right w:val="dotted" w:sz="4" w:space="0" w:color="auto"/>
            </w:tcBorders>
            <w:shd w:val="clear" w:color="000000" w:fill="FFFFFF"/>
            <w:noWrap/>
            <w:vAlign w:val="center"/>
            <w:hideMark/>
          </w:tcPr>
          <w:p w14:paraId="44AB37F2"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2.738</w:t>
            </w:r>
          </w:p>
        </w:tc>
        <w:tc>
          <w:tcPr>
            <w:tcW w:w="1360" w:type="dxa"/>
            <w:tcBorders>
              <w:top w:val="nil"/>
              <w:left w:val="nil"/>
              <w:bottom w:val="dotted" w:sz="4" w:space="0" w:color="auto"/>
              <w:right w:val="dotted" w:sz="4" w:space="0" w:color="auto"/>
            </w:tcBorders>
            <w:shd w:val="clear" w:color="000000" w:fill="FFFFFF"/>
            <w:noWrap/>
            <w:vAlign w:val="center"/>
            <w:hideMark/>
          </w:tcPr>
          <w:p w14:paraId="778E2184"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2.749</w:t>
            </w:r>
          </w:p>
        </w:tc>
        <w:tc>
          <w:tcPr>
            <w:tcW w:w="1360" w:type="dxa"/>
            <w:tcBorders>
              <w:top w:val="nil"/>
              <w:left w:val="nil"/>
              <w:bottom w:val="dotted" w:sz="4" w:space="0" w:color="auto"/>
              <w:right w:val="dotted" w:sz="4" w:space="0" w:color="auto"/>
            </w:tcBorders>
            <w:shd w:val="clear" w:color="000000" w:fill="FFFFFF"/>
            <w:noWrap/>
            <w:vAlign w:val="center"/>
            <w:hideMark/>
          </w:tcPr>
          <w:p w14:paraId="22A8C6A8"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2.760</w:t>
            </w:r>
          </w:p>
        </w:tc>
        <w:tc>
          <w:tcPr>
            <w:tcW w:w="1362" w:type="dxa"/>
            <w:tcBorders>
              <w:top w:val="nil"/>
              <w:left w:val="nil"/>
              <w:bottom w:val="dotted" w:sz="4" w:space="0" w:color="auto"/>
              <w:right w:val="double" w:sz="6" w:space="0" w:color="auto"/>
            </w:tcBorders>
            <w:shd w:val="clear" w:color="000000" w:fill="FFFFFF"/>
            <w:noWrap/>
            <w:vAlign w:val="center"/>
            <w:hideMark/>
          </w:tcPr>
          <w:p w14:paraId="3FD9DEB1"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2.771</w:t>
            </w:r>
          </w:p>
        </w:tc>
      </w:tr>
      <w:tr w:rsidR="00406582" w:rsidRPr="00406582" w14:paraId="6A817DA2" w14:textId="77777777" w:rsidTr="00406582">
        <w:trPr>
          <w:trHeight w:val="443"/>
        </w:trPr>
        <w:tc>
          <w:tcPr>
            <w:tcW w:w="5817" w:type="dxa"/>
            <w:tcBorders>
              <w:top w:val="nil"/>
              <w:left w:val="double" w:sz="6" w:space="0" w:color="auto"/>
              <w:bottom w:val="dotted" w:sz="4" w:space="0" w:color="auto"/>
              <w:right w:val="nil"/>
            </w:tcBorders>
            <w:shd w:val="clear" w:color="000000" w:fill="FFFFFF"/>
            <w:hideMark/>
          </w:tcPr>
          <w:p w14:paraId="6DB50353" w14:textId="62FBAD2F" w:rsidR="00406582" w:rsidRPr="00406582" w:rsidRDefault="00602766" w:rsidP="00406582">
            <w:pPr>
              <w:spacing w:after="0"/>
              <w:jc w:val="left"/>
              <w:rPr>
                <w:rFonts w:eastAsia="Times New Roman" w:cs="Times New Roman"/>
                <w:sz w:val="20"/>
                <w:szCs w:val="20"/>
              </w:rPr>
            </w:pPr>
            <w:hyperlink r:id="rId33" w:anchor="RANGE!B23" w:history="1">
              <w:r w:rsidR="00406582" w:rsidRPr="00406582">
                <w:rPr>
                  <w:rFonts w:eastAsia="Times New Roman" w:cs="Times New Roman"/>
                  <w:sz w:val="20"/>
                  <w:szCs w:val="20"/>
                </w:rPr>
                <w:t>6. Employment, hours worked[3]</w:t>
              </w:r>
            </w:hyperlink>
          </w:p>
        </w:tc>
        <w:tc>
          <w:tcPr>
            <w:tcW w:w="1360" w:type="dxa"/>
            <w:tcBorders>
              <w:top w:val="nil"/>
              <w:left w:val="single" w:sz="4" w:space="0" w:color="auto"/>
              <w:bottom w:val="dotted" w:sz="4" w:space="0" w:color="auto"/>
              <w:right w:val="single" w:sz="4" w:space="0" w:color="auto"/>
            </w:tcBorders>
            <w:shd w:val="clear" w:color="000000" w:fill="FFFFFF"/>
            <w:hideMark/>
          </w:tcPr>
          <w:p w14:paraId="544D7FF0"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3C31EC89"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dotted" w:sz="4" w:space="0" w:color="auto"/>
            </w:tcBorders>
            <w:shd w:val="clear" w:color="000000" w:fill="FFFFFF"/>
            <w:hideMark/>
          </w:tcPr>
          <w:p w14:paraId="624C0F25"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hideMark/>
          </w:tcPr>
          <w:p w14:paraId="1AEDF44E"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hideMark/>
          </w:tcPr>
          <w:p w14:paraId="35C22376"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hideMark/>
          </w:tcPr>
          <w:p w14:paraId="73D73883"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2" w:type="dxa"/>
            <w:tcBorders>
              <w:top w:val="nil"/>
              <w:left w:val="nil"/>
              <w:bottom w:val="dotted" w:sz="4" w:space="0" w:color="auto"/>
              <w:right w:val="double" w:sz="6" w:space="0" w:color="auto"/>
            </w:tcBorders>
            <w:shd w:val="clear" w:color="000000" w:fill="FFFFFF"/>
            <w:hideMark/>
          </w:tcPr>
          <w:p w14:paraId="229FE0D8"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r>
      <w:tr w:rsidR="00406582" w:rsidRPr="00406582" w14:paraId="21D14202" w14:textId="77777777" w:rsidTr="00406582">
        <w:trPr>
          <w:trHeight w:val="443"/>
        </w:trPr>
        <w:tc>
          <w:tcPr>
            <w:tcW w:w="5817" w:type="dxa"/>
            <w:tcBorders>
              <w:top w:val="nil"/>
              <w:left w:val="double" w:sz="6" w:space="0" w:color="auto"/>
              <w:bottom w:val="dotted" w:sz="4" w:space="0" w:color="auto"/>
              <w:right w:val="nil"/>
            </w:tcBorders>
            <w:shd w:val="clear" w:color="000000" w:fill="FFFFFF"/>
            <w:hideMark/>
          </w:tcPr>
          <w:p w14:paraId="04BD8E6A"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7. Employment (growth rate in %)</w:t>
            </w:r>
          </w:p>
        </w:tc>
        <w:tc>
          <w:tcPr>
            <w:tcW w:w="1360" w:type="dxa"/>
            <w:tcBorders>
              <w:top w:val="nil"/>
              <w:left w:val="single" w:sz="4" w:space="0" w:color="auto"/>
              <w:bottom w:val="dotted" w:sz="4" w:space="0" w:color="auto"/>
              <w:right w:val="single" w:sz="4" w:space="0" w:color="auto"/>
            </w:tcBorders>
            <w:shd w:val="clear" w:color="000000" w:fill="FFFFFF"/>
            <w:hideMark/>
          </w:tcPr>
          <w:p w14:paraId="770D34D2"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50B064F5"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dotted" w:sz="4" w:space="0" w:color="auto"/>
            </w:tcBorders>
            <w:shd w:val="clear" w:color="000000" w:fill="FFFFFF"/>
            <w:noWrap/>
            <w:vAlign w:val="center"/>
            <w:hideMark/>
          </w:tcPr>
          <w:p w14:paraId="1A1DF0D6"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0,2</w:t>
            </w:r>
          </w:p>
        </w:tc>
        <w:tc>
          <w:tcPr>
            <w:tcW w:w="1360" w:type="dxa"/>
            <w:tcBorders>
              <w:top w:val="nil"/>
              <w:left w:val="nil"/>
              <w:bottom w:val="dotted" w:sz="4" w:space="0" w:color="auto"/>
              <w:right w:val="dotted" w:sz="4" w:space="0" w:color="auto"/>
            </w:tcBorders>
            <w:shd w:val="clear" w:color="000000" w:fill="FFFFFF"/>
            <w:noWrap/>
            <w:vAlign w:val="center"/>
            <w:hideMark/>
          </w:tcPr>
          <w:p w14:paraId="09ACEF74"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1,0</w:t>
            </w:r>
          </w:p>
        </w:tc>
        <w:tc>
          <w:tcPr>
            <w:tcW w:w="1360" w:type="dxa"/>
            <w:tcBorders>
              <w:top w:val="nil"/>
              <w:left w:val="nil"/>
              <w:bottom w:val="dotted" w:sz="4" w:space="0" w:color="auto"/>
              <w:right w:val="dotted" w:sz="4" w:space="0" w:color="auto"/>
            </w:tcBorders>
            <w:shd w:val="clear" w:color="000000" w:fill="FFFFFF"/>
            <w:noWrap/>
            <w:vAlign w:val="center"/>
            <w:hideMark/>
          </w:tcPr>
          <w:p w14:paraId="4A6AE0F9"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0,4</w:t>
            </w:r>
          </w:p>
        </w:tc>
        <w:tc>
          <w:tcPr>
            <w:tcW w:w="1360" w:type="dxa"/>
            <w:tcBorders>
              <w:top w:val="nil"/>
              <w:left w:val="nil"/>
              <w:bottom w:val="dotted" w:sz="4" w:space="0" w:color="auto"/>
              <w:right w:val="dotted" w:sz="4" w:space="0" w:color="auto"/>
            </w:tcBorders>
            <w:shd w:val="clear" w:color="000000" w:fill="FFFFFF"/>
            <w:noWrap/>
            <w:vAlign w:val="center"/>
            <w:hideMark/>
          </w:tcPr>
          <w:p w14:paraId="01459444"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0,4</w:t>
            </w:r>
          </w:p>
        </w:tc>
        <w:tc>
          <w:tcPr>
            <w:tcW w:w="1362" w:type="dxa"/>
            <w:tcBorders>
              <w:top w:val="nil"/>
              <w:left w:val="nil"/>
              <w:bottom w:val="dotted" w:sz="4" w:space="0" w:color="auto"/>
              <w:right w:val="double" w:sz="6" w:space="0" w:color="auto"/>
            </w:tcBorders>
            <w:shd w:val="clear" w:color="000000" w:fill="FFFFFF"/>
            <w:noWrap/>
            <w:vAlign w:val="center"/>
            <w:hideMark/>
          </w:tcPr>
          <w:p w14:paraId="6555A614"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0,4</w:t>
            </w:r>
          </w:p>
        </w:tc>
      </w:tr>
      <w:tr w:rsidR="00406582" w:rsidRPr="00406582" w14:paraId="39B54AC1" w14:textId="77777777" w:rsidTr="00406582">
        <w:trPr>
          <w:trHeight w:val="293"/>
        </w:trPr>
        <w:tc>
          <w:tcPr>
            <w:tcW w:w="5817" w:type="dxa"/>
            <w:tcBorders>
              <w:top w:val="nil"/>
              <w:left w:val="double" w:sz="6" w:space="0" w:color="auto"/>
              <w:bottom w:val="dotted" w:sz="4" w:space="0" w:color="auto"/>
              <w:right w:val="nil"/>
            </w:tcBorders>
            <w:shd w:val="clear" w:color="000000" w:fill="FFFFFF"/>
            <w:hideMark/>
          </w:tcPr>
          <w:p w14:paraId="73DE0583"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8. Public sector employment (persons)</w:t>
            </w:r>
          </w:p>
        </w:tc>
        <w:tc>
          <w:tcPr>
            <w:tcW w:w="1360" w:type="dxa"/>
            <w:tcBorders>
              <w:top w:val="nil"/>
              <w:left w:val="single" w:sz="4" w:space="0" w:color="auto"/>
              <w:bottom w:val="dotted" w:sz="4" w:space="0" w:color="auto"/>
              <w:right w:val="single" w:sz="4" w:space="0" w:color="auto"/>
            </w:tcBorders>
            <w:shd w:val="clear" w:color="000000" w:fill="FFFFFF"/>
            <w:hideMark/>
          </w:tcPr>
          <w:p w14:paraId="27867B09"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6D2AD944"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dotted" w:sz="4" w:space="0" w:color="auto"/>
            </w:tcBorders>
            <w:shd w:val="clear" w:color="000000" w:fill="FFFFFF"/>
            <w:hideMark/>
          </w:tcPr>
          <w:p w14:paraId="1FDDED1B"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hideMark/>
          </w:tcPr>
          <w:p w14:paraId="1FDDF1C3"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hideMark/>
          </w:tcPr>
          <w:p w14:paraId="20908E39"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hideMark/>
          </w:tcPr>
          <w:p w14:paraId="64ACE604"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2" w:type="dxa"/>
            <w:tcBorders>
              <w:top w:val="nil"/>
              <w:left w:val="nil"/>
              <w:bottom w:val="dotted" w:sz="4" w:space="0" w:color="auto"/>
              <w:right w:val="double" w:sz="6" w:space="0" w:color="auto"/>
            </w:tcBorders>
            <w:shd w:val="clear" w:color="000000" w:fill="FFFFFF"/>
            <w:hideMark/>
          </w:tcPr>
          <w:p w14:paraId="580101F7"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r>
      <w:tr w:rsidR="00406582" w:rsidRPr="00406582" w14:paraId="26B1E4CF" w14:textId="77777777" w:rsidTr="00406582">
        <w:trPr>
          <w:trHeight w:val="293"/>
        </w:trPr>
        <w:tc>
          <w:tcPr>
            <w:tcW w:w="5817" w:type="dxa"/>
            <w:tcBorders>
              <w:top w:val="nil"/>
              <w:left w:val="double" w:sz="6" w:space="0" w:color="auto"/>
              <w:bottom w:val="dotted" w:sz="4" w:space="0" w:color="auto"/>
              <w:right w:val="nil"/>
            </w:tcBorders>
            <w:shd w:val="clear" w:color="000000" w:fill="FFFFFF"/>
            <w:hideMark/>
          </w:tcPr>
          <w:p w14:paraId="7B01A8C6"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9. Public sector employment (growth in %)</w:t>
            </w:r>
          </w:p>
        </w:tc>
        <w:tc>
          <w:tcPr>
            <w:tcW w:w="1360" w:type="dxa"/>
            <w:tcBorders>
              <w:top w:val="nil"/>
              <w:left w:val="single" w:sz="4" w:space="0" w:color="auto"/>
              <w:bottom w:val="dotted" w:sz="4" w:space="0" w:color="auto"/>
              <w:right w:val="single" w:sz="4" w:space="0" w:color="auto"/>
            </w:tcBorders>
            <w:shd w:val="clear" w:color="000000" w:fill="FFFFFF"/>
            <w:hideMark/>
          </w:tcPr>
          <w:p w14:paraId="09B4ABE5"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73331C52"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dotted" w:sz="4" w:space="0" w:color="auto"/>
            </w:tcBorders>
            <w:shd w:val="clear" w:color="000000" w:fill="FFFFFF"/>
            <w:noWrap/>
            <w:vAlign w:val="center"/>
            <w:hideMark/>
          </w:tcPr>
          <w:p w14:paraId="0AD27578"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noWrap/>
            <w:vAlign w:val="center"/>
            <w:hideMark/>
          </w:tcPr>
          <w:p w14:paraId="46F143DA"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hideMark/>
          </w:tcPr>
          <w:p w14:paraId="30C4D212"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hideMark/>
          </w:tcPr>
          <w:p w14:paraId="09BBC825"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2" w:type="dxa"/>
            <w:tcBorders>
              <w:top w:val="nil"/>
              <w:left w:val="nil"/>
              <w:bottom w:val="dotted" w:sz="4" w:space="0" w:color="auto"/>
              <w:right w:val="double" w:sz="6" w:space="0" w:color="auto"/>
            </w:tcBorders>
            <w:shd w:val="clear" w:color="000000" w:fill="FFFFFF"/>
            <w:hideMark/>
          </w:tcPr>
          <w:p w14:paraId="03F9F17C"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r>
      <w:tr w:rsidR="00406582" w:rsidRPr="00406582" w14:paraId="6AC4EF75" w14:textId="77777777" w:rsidTr="00406582">
        <w:trPr>
          <w:trHeight w:val="293"/>
        </w:trPr>
        <w:tc>
          <w:tcPr>
            <w:tcW w:w="5817" w:type="dxa"/>
            <w:tcBorders>
              <w:top w:val="nil"/>
              <w:left w:val="double" w:sz="6" w:space="0" w:color="auto"/>
              <w:bottom w:val="dotted" w:sz="4" w:space="0" w:color="auto"/>
              <w:right w:val="nil"/>
            </w:tcBorders>
            <w:shd w:val="clear" w:color="000000" w:fill="FFFFFF"/>
            <w:hideMark/>
          </w:tcPr>
          <w:p w14:paraId="11A3ACF9" w14:textId="6C2FC0E8" w:rsidR="00406582" w:rsidRPr="00406582" w:rsidRDefault="00602766" w:rsidP="00406582">
            <w:pPr>
              <w:spacing w:after="0"/>
              <w:jc w:val="left"/>
              <w:rPr>
                <w:rFonts w:eastAsia="Times New Roman" w:cs="Times New Roman"/>
                <w:sz w:val="20"/>
                <w:szCs w:val="20"/>
              </w:rPr>
            </w:pPr>
            <w:hyperlink r:id="rId34" w:anchor="RANGE!B24" w:history="1">
              <w:r w:rsidR="00406582" w:rsidRPr="00406582">
                <w:rPr>
                  <w:rFonts w:eastAsia="Times New Roman" w:cs="Times New Roman"/>
                  <w:sz w:val="20"/>
                  <w:szCs w:val="20"/>
                </w:rPr>
                <w:t>10. Unemployment rate [4]</w:t>
              </w:r>
            </w:hyperlink>
          </w:p>
        </w:tc>
        <w:tc>
          <w:tcPr>
            <w:tcW w:w="1360" w:type="dxa"/>
            <w:tcBorders>
              <w:top w:val="nil"/>
              <w:left w:val="single" w:sz="4" w:space="0" w:color="auto"/>
              <w:bottom w:val="dotted" w:sz="4" w:space="0" w:color="auto"/>
              <w:right w:val="single" w:sz="4" w:space="0" w:color="auto"/>
            </w:tcBorders>
            <w:shd w:val="clear" w:color="000000" w:fill="FFFFFF"/>
            <w:hideMark/>
          </w:tcPr>
          <w:p w14:paraId="4F2F82C8"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6CB90094"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dotted" w:sz="4" w:space="0" w:color="auto"/>
            </w:tcBorders>
            <w:shd w:val="clear" w:color="000000" w:fill="FFFFFF"/>
            <w:noWrap/>
            <w:vAlign w:val="center"/>
            <w:hideMark/>
          </w:tcPr>
          <w:p w14:paraId="10582A60"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9,7</w:t>
            </w:r>
          </w:p>
        </w:tc>
        <w:tc>
          <w:tcPr>
            <w:tcW w:w="1360" w:type="dxa"/>
            <w:tcBorders>
              <w:top w:val="nil"/>
              <w:left w:val="nil"/>
              <w:bottom w:val="dotted" w:sz="4" w:space="0" w:color="auto"/>
              <w:right w:val="dotted" w:sz="4" w:space="0" w:color="auto"/>
            </w:tcBorders>
            <w:shd w:val="clear" w:color="000000" w:fill="FFFFFF"/>
            <w:noWrap/>
            <w:vAlign w:val="center"/>
            <w:hideMark/>
          </w:tcPr>
          <w:p w14:paraId="215E5B0D"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8,9</w:t>
            </w:r>
          </w:p>
        </w:tc>
        <w:tc>
          <w:tcPr>
            <w:tcW w:w="1360" w:type="dxa"/>
            <w:tcBorders>
              <w:top w:val="nil"/>
              <w:left w:val="nil"/>
              <w:bottom w:val="dotted" w:sz="4" w:space="0" w:color="auto"/>
              <w:right w:val="dotted" w:sz="4" w:space="0" w:color="auto"/>
            </w:tcBorders>
            <w:shd w:val="clear" w:color="000000" w:fill="FFFFFF"/>
            <w:noWrap/>
            <w:vAlign w:val="center"/>
            <w:hideMark/>
          </w:tcPr>
          <w:p w14:paraId="3BD7C1B6"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8,6</w:t>
            </w:r>
          </w:p>
        </w:tc>
        <w:tc>
          <w:tcPr>
            <w:tcW w:w="1360" w:type="dxa"/>
            <w:tcBorders>
              <w:top w:val="nil"/>
              <w:left w:val="nil"/>
              <w:bottom w:val="dotted" w:sz="4" w:space="0" w:color="auto"/>
              <w:right w:val="dotted" w:sz="4" w:space="0" w:color="auto"/>
            </w:tcBorders>
            <w:shd w:val="clear" w:color="000000" w:fill="FFFFFF"/>
            <w:noWrap/>
            <w:vAlign w:val="center"/>
            <w:hideMark/>
          </w:tcPr>
          <w:p w14:paraId="5F2F419A"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8,0</w:t>
            </w:r>
          </w:p>
        </w:tc>
        <w:tc>
          <w:tcPr>
            <w:tcW w:w="1362" w:type="dxa"/>
            <w:tcBorders>
              <w:top w:val="nil"/>
              <w:left w:val="nil"/>
              <w:bottom w:val="dotted" w:sz="4" w:space="0" w:color="auto"/>
              <w:right w:val="double" w:sz="6" w:space="0" w:color="auto"/>
            </w:tcBorders>
            <w:shd w:val="clear" w:color="000000" w:fill="FFFFFF"/>
            <w:noWrap/>
            <w:vAlign w:val="center"/>
            <w:hideMark/>
          </w:tcPr>
          <w:p w14:paraId="32F48CA9"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7,6</w:t>
            </w:r>
          </w:p>
        </w:tc>
      </w:tr>
      <w:tr w:rsidR="00406582" w:rsidRPr="00406582" w14:paraId="632DCD04" w14:textId="77777777" w:rsidTr="00406582">
        <w:trPr>
          <w:trHeight w:val="293"/>
        </w:trPr>
        <w:tc>
          <w:tcPr>
            <w:tcW w:w="5817" w:type="dxa"/>
            <w:tcBorders>
              <w:top w:val="nil"/>
              <w:left w:val="double" w:sz="6" w:space="0" w:color="auto"/>
              <w:bottom w:val="dotted" w:sz="4" w:space="0" w:color="auto"/>
              <w:right w:val="nil"/>
            </w:tcBorders>
            <w:shd w:val="clear" w:color="000000" w:fill="FFFFFF"/>
            <w:hideMark/>
          </w:tcPr>
          <w:p w14:paraId="202340F6" w14:textId="7F088681" w:rsidR="00406582" w:rsidRPr="00406582" w:rsidRDefault="00602766" w:rsidP="00406582">
            <w:pPr>
              <w:spacing w:after="0"/>
              <w:jc w:val="left"/>
              <w:rPr>
                <w:rFonts w:eastAsia="Times New Roman" w:cs="Times New Roman"/>
                <w:sz w:val="20"/>
                <w:szCs w:val="20"/>
              </w:rPr>
            </w:pPr>
            <w:hyperlink r:id="rId35" w:anchor="RANGE!B25" w:history="1">
              <w:r w:rsidR="00406582" w:rsidRPr="00406582">
                <w:rPr>
                  <w:rFonts w:eastAsia="Times New Roman" w:cs="Times New Roman"/>
                  <w:sz w:val="20"/>
                  <w:szCs w:val="20"/>
                </w:rPr>
                <w:t xml:space="preserve">11. Labour productivity, persons[5] </w:t>
              </w:r>
            </w:hyperlink>
          </w:p>
        </w:tc>
        <w:tc>
          <w:tcPr>
            <w:tcW w:w="1360" w:type="dxa"/>
            <w:tcBorders>
              <w:top w:val="nil"/>
              <w:left w:val="single" w:sz="4" w:space="0" w:color="auto"/>
              <w:bottom w:val="dotted" w:sz="4" w:space="0" w:color="auto"/>
              <w:right w:val="single" w:sz="4" w:space="0" w:color="auto"/>
            </w:tcBorders>
            <w:shd w:val="clear" w:color="000000" w:fill="FFFFFF"/>
            <w:hideMark/>
          </w:tcPr>
          <w:p w14:paraId="037FCEC0"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592B43C3"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2585,4</w:t>
            </w:r>
          </w:p>
        </w:tc>
        <w:tc>
          <w:tcPr>
            <w:tcW w:w="1360" w:type="dxa"/>
            <w:tcBorders>
              <w:top w:val="nil"/>
              <w:left w:val="nil"/>
              <w:bottom w:val="dotted" w:sz="4" w:space="0" w:color="auto"/>
              <w:right w:val="dotted" w:sz="4" w:space="0" w:color="auto"/>
            </w:tcBorders>
            <w:shd w:val="clear" w:color="000000" w:fill="FFFFFF"/>
            <w:noWrap/>
            <w:vAlign w:val="center"/>
            <w:hideMark/>
          </w:tcPr>
          <w:p w14:paraId="6BD36987"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3,7</w:t>
            </w:r>
          </w:p>
        </w:tc>
        <w:tc>
          <w:tcPr>
            <w:tcW w:w="1360" w:type="dxa"/>
            <w:tcBorders>
              <w:top w:val="nil"/>
              <w:left w:val="nil"/>
              <w:bottom w:val="dotted" w:sz="4" w:space="0" w:color="auto"/>
              <w:right w:val="dotted" w:sz="4" w:space="0" w:color="auto"/>
            </w:tcBorders>
            <w:shd w:val="clear" w:color="000000" w:fill="FFFFFF"/>
            <w:noWrap/>
            <w:vAlign w:val="center"/>
            <w:hideMark/>
          </w:tcPr>
          <w:p w14:paraId="28844A25"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2,7</w:t>
            </w:r>
          </w:p>
        </w:tc>
        <w:tc>
          <w:tcPr>
            <w:tcW w:w="1360" w:type="dxa"/>
            <w:tcBorders>
              <w:top w:val="nil"/>
              <w:left w:val="nil"/>
              <w:bottom w:val="dotted" w:sz="4" w:space="0" w:color="auto"/>
              <w:right w:val="dotted" w:sz="4" w:space="0" w:color="auto"/>
            </w:tcBorders>
            <w:shd w:val="clear" w:color="000000" w:fill="FFFFFF"/>
            <w:noWrap/>
            <w:vAlign w:val="center"/>
            <w:hideMark/>
          </w:tcPr>
          <w:p w14:paraId="761D28B5"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3,7</w:t>
            </w:r>
          </w:p>
        </w:tc>
        <w:tc>
          <w:tcPr>
            <w:tcW w:w="1360" w:type="dxa"/>
            <w:tcBorders>
              <w:top w:val="nil"/>
              <w:left w:val="nil"/>
              <w:bottom w:val="dotted" w:sz="4" w:space="0" w:color="auto"/>
              <w:right w:val="dotted" w:sz="4" w:space="0" w:color="auto"/>
            </w:tcBorders>
            <w:shd w:val="clear" w:color="000000" w:fill="FFFFFF"/>
            <w:noWrap/>
            <w:vAlign w:val="center"/>
            <w:hideMark/>
          </w:tcPr>
          <w:p w14:paraId="57AF9B98"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3,6</w:t>
            </w:r>
          </w:p>
        </w:tc>
        <w:tc>
          <w:tcPr>
            <w:tcW w:w="1362" w:type="dxa"/>
            <w:tcBorders>
              <w:top w:val="nil"/>
              <w:left w:val="nil"/>
              <w:bottom w:val="dotted" w:sz="4" w:space="0" w:color="auto"/>
              <w:right w:val="double" w:sz="6" w:space="0" w:color="auto"/>
            </w:tcBorders>
            <w:shd w:val="clear" w:color="000000" w:fill="FFFFFF"/>
            <w:noWrap/>
            <w:vAlign w:val="center"/>
            <w:hideMark/>
          </w:tcPr>
          <w:p w14:paraId="06F0E92B"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4,6</w:t>
            </w:r>
          </w:p>
        </w:tc>
      </w:tr>
      <w:tr w:rsidR="00406582" w:rsidRPr="00406582" w14:paraId="14C8016D" w14:textId="77777777" w:rsidTr="00406582">
        <w:trPr>
          <w:trHeight w:val="293"/>
        </w:trPr>
        <w:tc>
          <w:tcPr>
            <w:tcW w:w="5817" w:type="dxa"/>
            <w:tcBorders>
              <w:top w:val="nil"/>
              <w:left w:val="double" w:sz="6" w:space="0" w:color="auto"/>
              <w:bottom w:val="dotted" w:sz="4" w:space="0" w:color="auto"/>
              <w:right w:val="nil"/>
            </w:tcBorders>
            <w:shd w:val="clear" w:color="000000" w:fill="FFFFFF"/>
            <w:hideMark/>
          </w:tcPr>
          <w:p w14:paraId="6F1F0DB5" w14:textId="051CF761" w:rsidR="00406582" w:rsidRPr="00406582" w:rsidRDefault="00602766" w:rsidP="00406582">
            <w:pPr>
              <w:spacing w:after="0"/>
              <w:jc w:val="left"/>
              <w:rPr>
                <w:rFonts w:eastAsia="Times New Roman" w:cs="Times New Roman"/>
                <w:sz w:val="20"/>
                <w:szCs w:val="20"/>
              </w:rPr>
            </w:pPr>
            <w:hyperlink r:id="rId36" w:anchor="RANGE!B26" w:history="1">
              <w:r w:rsidR="00406582" w:rsidRPr="00406582">
                <w:rPr>
                  <w:rFonts w:eastAsia="Times New Roman" w:cs="Times New Roman"/>
                  <w:sz w:val="20"/>
                  <w:szCs w:val="20"/>
                </w:rPr>
                <w:t>12. Labour productivity, hours worked[6]</w:t>
              </w:r>
            </w:hyperlink>
          </w:p>
        </w:tc>
        <w:tc>
          <w:tcPr>
            <w:tcW w:w="1360" w:type="dxa"/>
            <w:tcBorders>
              <w:top w:val="nil"/>
              <w:left w:val="single" w:sz="4" w:space="0" w:color="auto"/>
              <w:bottom w:val="dotted" w:sz="4" w:space="0" w:color="auto"/>
              <w:right w:val="single" w:sz="4" w:space="0" w:color="auto"/>
            </w:tcBorders>
            <w:shd w:val="clear" w:color="000000" w:fill="FFFFFF"/>
            <w:hideMark/>
          </w:tcPr>
          <w:p w14:paraId="155DD13E"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single" w:sz="4" w:space="0" w:color="auto"/>
            </w:tcBorders>
            <w:shd w:val="clear" w:color="000000" w:fill="FFFFFF"/>
            <w:hideMark/>
          </w:tcPr>
          <w:p w14:paraId="4B30EDFF"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 </w:t>
            </w:r>
          </w:p>
        </w:tc>
        <w:tc>
          <w:tcPr>
            <w:tcW w:w="1360" w:type="dxa"/>
            <w:tcBorders>
              <w:top w:val="nil"/>
              <w:left w:val="nil"/>
              <w:bottom w:val="dotted" w:sz="4" w:space="0" w:color="auto"/>
              <w:right w:val="dotted" w:sz="4" w:space="0" w:color="auto"/>
            </w:tcBorders>
            <w:shd w:val="clear" w:color="000000" w:fill="FFFFFF"/>
            <w:hideMark/>
          </w:tcPr>
          <w:p w14:paraId="2F272B80"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hideMark/>
          </w:tcPr>
          <w:p w14:paraId="0CBC9B81"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hideMark/>
          </w:tcPr>
          <w:p w14:paraId="3AA65AB6"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tted" w:sz="4" w:space="0" w:color="auto"/>
              <w:right w:val="dotted" w:sz="4" w:space="0" w:color="auto"/>
            </w:tcBorders>
            <w:shd w:val="clear" w:color="000000" w:fill="FFFFFF"/>
            <w:hideMark/>
          </w:tcPr>
          <w:p w14:paraId="1AF2D076"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2" w:type="dxa"/>
            <w:tcBorders>
              <w:top w:val="nil"/>
              <w:left w:val="nil"/>
              <w:bottom w:val="dotted" w:sz="4" w:space="0" w:color="auto"/>
              <w:right w:val="double" w:sz="6" w:space="0" w:color="auto"/>
            </w:tcBorders>
            <w:shd w:val="clear" w:color="000000" w:fill="FFFFFF"/>
            <w:hideMark/>
          </w:tcPr>
          <w:p w14:paraId="7033F842"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r>
      <w:tr w:rsidR="00406582" w:rsidRPr="00406582" w14:paraId="76D6D91E" w14:textId="77777777" w:rsidTr="00406582">
        <w:trPr>
          <w:trHeight w:val="227"/>
        </w:trPr>
        <w:tc>
          <w:tcPr>
            <w:tcW w:w="5817" w:type="dxa"/>
            <w:tcBorders>
              <w:top w:val="nil"/>
              <w:left w:val="double" w:sz="6" w:space="0" w:color="auto"/>
              <w:bottom w:val="double" w:sz="6" w:space="0" w:color="auto"/>
              <w:right w:val="nil"/>
            </w:tcBorders>
            <w:shd w:val="clear" w:color="000000" w:fill="FFFFFF"/>
            <w:hideMark/>
          </w:tcPr>
          <w:p w14:paraId="57EB7967" w14:textId="77777777" w:rsidR="00406582" w:rsidRPr="00406582" w:rsidRDefault="00406582" w:rsidP="00406582">
            <w:pPr>
              <w:spacing w:after="0"/>
              <w:jc w:val="left"/>
              <w:rPr>
                <w:rFonts w:eastAsia="Times New Roman" w:cs="Times New Roman"/>
                <w:sz w:val="20"/>
                <w:szCs w:val="20"/>
              </w:rPr>
            </w:pPr>
            <w:r w:rsidRPr="00406582">
              <w:rPr>
                <w:rFonts w:eastAsia="Times New Roman" w:cs="Times New Roman"/>
                <w:sz w:val="20"/>
                <w:szCs w:val="20"/>
              </w:rPr>
              <w:t>13. Compensation of employees</w:t>
            </w:r>
          </w:p>
        </w:tc>
        <w:tc>
          <w:tcPr>
            <w:tcW w:w="1360" w:type="dxa"/>
            <w:tcBorders>
              <w:top w:val="nil"/>
              <w:left w:val="single" w:sz="4" w:space="0" w:color="auto"/>
              <w:bottom w:val="double" w:sz="6" w:space="0" w:color="auto"/>
              <w:right w:val="single" w:sz="4" w:space="0" w:color="auto"/>
            </w:tcBorders>
            <w:shd w:val="clear" w:color="000000" w:fill="FFFFFF"/>
            <w:hideMark/>
          </w:tcPr>
          <w:p w14:paraId="7F9D5734" w14:textId="77777777" w:rsidR="00406582" w:rsidRPr="00406582" w:rsidRDefault="00406582" w:rsidP="00406582">
            <w:pPr>
              <w:spacing w:after="0"/>
              <w:jc w:val="center"/>
              <w:rPr>
                <w:rFonts w:eastAsia="Times New Roman" w:cs="Times New Roman"/>
                <w:sz w:val="18"/>
                <w:szCs w:val="18"/>
              </w:rPr>
            </w:pPr>
            <w:r w:rsidRPr="00406582">
              <w:rPr>
                <w:rFonts w:eastAsia="Times New Roman" w:cs="Times New Roman"/>
                <w:sz w:val="18"/>
                <w:szCs w:val="18"/>
              </w:rPr>
              <w:t>D1</w:t>
            </w:r>
          </w:p>
        </w:tc>
        <w:tc>
          <w:tcPr>
            <w:tcW w:w="1360" w:type="dxa"/>
            <w:tcBorders>
              <w:top w:val="nil"/>
              <w:left w:val="nil"/>
              <w:bottom w:val="double" w:sz="6" w:space="0" w:color="auto"/>
              <w:right w:val="single" w:sz="4" w:space="0" w:color="auto"/>
            </w:tcBorders>
            <w:shd w:val="clear" w:color="000000" w:fill="FFFFFF"/>
            <w:noWrap/>
            <w:vAlign w:val="center"/>
            <w:hideMark/>
          </w:tcPr>
          <w:p w14:paraId="52277095" w14:textId="77777777" w:rsidR="00406582" w:rsidRPr="00406582" w:rsidRDefault="00406582" w:rsidP="00406582">
            <w:pPr>
              <w:spacing w:after="0"/>
              <w:jc w:val="center"/>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uble" w:sz="6" w:space="0" w:color="auto"/>
              <w:right w:val="dotted" w:sz="4" w:space="0" w:color="auto"/>
            </w:tcBorders>
            <w:shd w:val="clear" w:color="000000" w:fill="FFFFFF"/>
            <w:noWrap/>
            <w:vAlign w:val="center"/>
            <w:hideMark/>
          </w:tcPr>
          <w:p w14:paraId="4E16E65C"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uble" w:sz="6" w:space="0" w:color="auto"/>
              <w:right w:val="dotted" w:sz="4" w:space="0" w:color="auto"/>
            </w:tcBorders>
            <w:shd w:val="clear" w:color="000000" w:fill="FFFFFF"/>
            <w:noWrap/>
            <w:vAlign w:val="center"/>
            <w:hideMark/>
          </w:tcPr>
          <w:p w14:paraId="5F903648"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uble" w:sz="6" w:space="0" w:color="auto"/>
              <w:right w:val="dotted" w:sz="4" w:space="0" w:color="auto"/>
            </w:tcBorders>
            <w:shd w:val="clear" w:color="000000" w:fill="FFFFFF"/>
            <w:noWrap/>
            <w:vAlign w:val="center"/>
            <w:hideMark/>
          </w:tcPr>
          <w:p w14:paraId="3A7F4059"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0" w:type="dxa"/>
            <w:tcBorders>
              <w:top w:val="nil"/>
              <w:left w:val="nil"/>
              <w:bottom w:val="double" w:sz="6" w:space="0" w:color="auto"/>
              <w:right w:val="dotted" w:sz="4" w:space="0" w:color="auto"/>
            </w:tcBorders>
            <w:shd w:val="clear" w:color="000000" w:fill="FFFFFF"/>
            <w:noWrap/>
            <w:vAlign w:val="center"/>
            <w:hideMark/>
          </w:tcPr>
          <w:p w14:paraId="3ED46827"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c>
          <w:tcPr>
            <w:tcW w:w="1362" w:type="dxa"/>
            <w:tcBorders>
              <w:top w:val="nil"/>
              <w:left w:val="nil"/>
              <w:bottom w:val="double" w:sz="6" w:space="0" w:color="auto"/>
              <w:right w:val="double" w:sz="6" w:space="0" w:color="auto"/>
            </w:tcBorders>
            <w:shd w:val="clear" w:color="000000" w:fill="FFFFFF"/>
            <w:noWrap/>
            <w:vAlign w:val="center"/>
            <w:hideMark/>
          </w:tcPr>
          <w:p w14:paraId="75AC877E" w14:textId="77777777" w:rsidR="00406582" w:rsidRPr="00406582" w:rsidRDefault="00406582" w:rsidP="00406582">
            <w:pPr>
              <w:spacing w:after="0"/>
              <w:jc w:val="right"/>
              <w:rPr>
                <w:rFonts w:eastAsia="Times New Roman" w:cs="Times New Roman"/>
                <w:sz w:val="20"/>
                <w:szCs w:val="20"/>
              </w:rPr>
            </w:pPr>
            <w:r w:rsidRPr="00406582">
              <w:rPr>
                <w:rFonts w:eastAsia="Times New Roman" w:cs="Times New Roman"/>
                <w:sz w:val="20"/>
                <w:szCs w:val="20"/>
              </w:rPr>
              <w:t>:</w:t>
            </w:r>
          </w:p>
        </w:tc>
      </w:tr>
    </w:tbl>
    <w:p w14:paraId="49459A21" w14:textId="7FADE04C" w:rsidR="00406582" w:rsidRDefault="00406582" w:rsidP="00406582">
      <w:r>
        <w:fldChar w:fldCharType="end"/>
      </w:r>
    </w:p>
    <w:tbl>
      <w:tblPr>
        <w:tblW w:w="5533" w:type="dxa"/>
        <w:tblLook w:val="04A0" w:firstRow="1" w:lastRow="0" w:firstColumn="1" w:lastColumn="0" w:noHBand="0" w:noVBand="1"/>
      </w:tblPr>
      <w:tblGrid>
        <w:gridCol w:w="5533"/>
      </w:tblGrid>
      <w:tr w:rsidR="00406582" w:rsidRPr="00406582" w14:paraId="6AFB6FE4" w14:textId="77777777" w:rsidTr="00406582">
        <w:trPr>
          <w:trHeight w:val="269"/>
        </w:trPr>
        <w:tc>
          <w:tcPr>
            <w:tcW w:w="5533" w:type="dxa"/>
            <w:tcBorders>
              <w:top w:val="nil"/>
              <w:left w:val="nil"/>
              <w:bottom w:val="nil"/>
              <w:right w:val="nil"/>
            </w:tcBorders>
            <w:shd w:val="clear" w:color="000000" w:fill="FFFFFF"/>
            <w:noWrap/>
            <w:vAlign w:val="bottom"/>
            <w:hideMark/>
          </w:tcPr>
          <w:p w14:paraId="1175B05C" w14:textId="77777777" w:rsidR="00406582" w:rsidRPr="00406582" w:rsidRDefault="00406582" w:rsidP="00406582">
            <w:pPr>
              <w:spacing w:after="0"/>
              <w:jc w:val="left"/>
              <w:rPr>
                <w:rFonts w:eastAsia="Times New Roman" w:cs="Times New Roman"/>
                <w:sz w:val="16"/>
                <w:szCs w:val="16"/>
              </w:rPr>
            </w:pPr>
            <w:bookmarkStart w:id="51" w:name="RANGE!B21"/>
            <w:r w:rsidRPr="00406582">
              <w:rPr>
                <w:rFonts w:eastAsia="Times New Roman" w:cs="Times New Roman"/>
                <w:sz w:val="16"/>
                <w:szCs w:val="16"/>
              </w:rPr>
              <w:t>[1] Age group of 15-64 years</w:t>
            </w:r>
            <w:bookmarkEnd w:id="51"/>
          </w:p>
        </w:tc>
      </w:tr>
      <w:tr w:rsidR="00406582" w:rsidRPr="00406582" w14:paraId="6D3D673C" w14:textId="77777777" w:rsidTr="00406582">
        <w:trPr>
          <w:trHeight w:val="269"/>
        </w:trPr>
        <w:tc>
          <w:tcPr>
            <w:tcW w:w="5533" w:type="dxa"/>
            <w:tcBorders>
              <w:top w:val="nil"/>
              <w:left w:val="nil"/>
              <w:bottom w:val="nil"/>
              <w:right w:val="nil"/>
            </w:tcBorders>
            <w:shd w:val="clear" w:color="000000" w:fill="FFFFFF"/>
            <w:noWrap/>
            <w:vAlign w:val="bottom"/>
            <w:hideMark/>
          </w:tcPr>
          <w:p w14:paraId="4B00800E" w14:textId="30A70ADE" w:rsidR="00406582" w:rsidRPr="00406582" w:rsidRDefault="00406582" w:rsidP="00406582">
            <w:pPr>
              <w:spacing w:after="0"/>
              <w:jc w:val="left"/>
              <w:rPr>
                <w:rFonts w:eastAsia="Times New Roman" w:cs="Times New Roman"/>
                <w:sz w:val="17"/>
                <w:szCs w:val="17"/>
              </w:rPr>
            </w:pPr>
            <w:bookmarkStart w:id="52" w:name="RANGE!B22"/>
            <w:r w:rsidRPr="00406582">
              <w:rPr>
                <w:rFonts w:eastAsia="Times New Roman" w:cs="Times New Roman"/>
                <w:sz w:val="17"/>
                <w:szCs w:val="17"/>
              </w:rPr>
              <w:t>[2] Occupied population, dom</w:t>
            </w:r>
            <w:r>
              <w:rPr>
                <w:rFonts w:eastAsia="Times New Roman" w:cs="Times New Roman"/>
                <w:sz w:val="17"/>
                <w:szCs w:val="17"/>
              </w:rPr>
              <w:t xml:space="preserve">estic concept national accounts </w:t>
            </w:r>
            <w:r w:rsidRPr="00406582">
              <w:rPr>
                <w:rFonts w:eastAsia="Times New Roman" w:cs="Times New Roman"/>
                <w:sz w:val="17"/>
                <w:szCs w:val="17"/>
              </w:rPr>
              <w:t>definition</w:t>
            </w:r>
            <w:bookmarkEnd w:id="52"/>
          </w:p>
        </w:tc>
      </w:tr>
      <w:tr w:rsidR="00406582" w:rsidRPr="00406582" w14:paraId="25D73B2A" w14:textId="77777777" w:rsidTr="00406582">
        <w:trPr>
          <w:trHeight w:val="269"/>
        </w:trPr>
        <w:tc>
          <w:tcPr>
            <w:tcW w:w="5533" w:type="dxa"/>
            <w:tcBorders>
              <w:top w:val="nil"/>
              <w:left w:val="nil"/>
              <w:bottom w:val="nil"/>
              <w:right w:val="nil"/>
            </w:tcBorders>
            <w:shd w:val="clear" w:color="000000" w:fill="FFFFFF"/>
            <w:noWrap/>
            <w:vAlign w:val="bottom"/>
            <w:hideMark/>
          </w:tcPr>
          <w:p w14:paraId="67AE53F1" w14:textId="5B17A38D" w:rsidR="00406582" w:rsidRPr="00406582" w:rsidRDefault="00406582" w:rsidP="00406582">
            <w:pPr>
              <w:spacing w:after="0"/>
              <w:jc w:val="left"/>
              <w:rPr>
                <w:rFonts w:eastAsia="Times New Roman" w:cs="Times New Roman"/>
                <w:sz w:val="16"/>
                <w:szCs w:val="16"/>
              </w:rPr>
            </w:pPr>
            <w:bookmarkStart w:id="53" w:name="RANGE!B23"/>
            <w:r w:rsidRPr="00406582">
              <w:rPr>
                <w:rFonts w:eastAsia="Times New Roman" w:cs="Times New Roman"/>
                <w:sz w:val="16"/>
                <w:szCs w:val="16"/>
              </w:rPr>
              <w:t>[3] National accounts definition</w:t>
            </w:r>
            <w:bookmarkEnd w:id="53"/>
          </w:p>
        </w:tc>
      </w:tr>
      <w:tr w:rsidR="00406582" w:rsidRPr="00406582" w14:paraId="67661367" w14:textId="77777777" w:rsidTr="00406582">
        <w:trPr>
          <w:trHeight w:val="269"/>
        </w:trPr>
        <w:tc>
          <w:tcPr>
            <w:tcW w:w="5533" w:type="dxa"/>
            <w:tcBorders>
              <w:top w:val="nil"/>
              <w:left w:val="nil"/>
              <w:bottom w:val="nil"/>
              <w:right w:val="nil"/>
            </w:tcBorders>
            <w:shd w:val="clear" w:color="000000" w:fill="FFFFFF"/>
            <w:noWrap/>
            <w:vAlign w:val="bottom"/>
            <w:hideMark/>
          </w:tcPr>
          <w:p w14:paraId="4D058257" w14:textId="14DF58CF" w:rsidR="00406582" w:rsidRPr="00406582" w:rsidRDefault="00406582" w:rsidP="00406582">
            <w:pPr>
              <w:spacing w:after="0"/>
              <w:jc w:val="left"/>
              <w:rPr>
                <w:rFonts w:eastAsia="Times New Roman" w:cs="Times New Roman"/>
                <w:sz w:val="16"/>
                <w:szCs w:val="16"/>
              </w:rPr>
            </w:pPr>
            <w:bookmarkStart w:id="54" w:name="RANGE!B24"/>
            <w:r w:rsidRPr="00406582">
              <w:rPr>
                <w:rFonts w:eastAsia="Times New Roman" w:cs="Times New Roman"/>
                <w:sz w:val="16"/>
                <w:szCs w:val="16"/>
              </w:rPr>
              <w:t>[4] Harmonised definition, Eurostat; levels</w:t>
            </w:r>
            <w:bookmarkEnd w:id="54"/>
          </w:p>
        </w:tc>
      </w:tr>
      <w:tr w:rsidR="00406582" w:rsidRPr="00406582" w14:paraId="61F16808" w14:textId="77777777" w:rsidTr="00406582">
        <w:trPr>
          <w:trHeight w:val="269"/>
        </w:trPr>
        <w:tc>
          <w:tcPr>
            <w:tcW w:w="5533" w:type="dxa"/>
            <w:tcBorders>
              <w:top w:val="nil"/>
              <w:left w:val="nil"/>
              <w:bottom w:val="nil"/>
              <w:right w:val="nil"/>
            </w:tcBorders>
            <w:shd w:val="clear" w:color="000000" w:fill="FFFFFF"/>
            <w:noWrap/>
            <w:vAlign w:val="bottom"/>
            <w:hideMark/>
          </w:tcPr>
          <w:p w14:paraId="5203416A" w14:textId="26F7C46B" w:rsidR="00406582" w:rsidRPr="00406582" w:rsidRDefault="00406582" w:rsidP="00406582">
            <w:pPr>
              <w:spacing w:after="0"/>
              <w:jc w:val="left"/>
              <w:rPr>
                <w:rFonts w:eastAsia="Times New Roman" w:cs="Times New Roman"/>
                <w:sz w:val="16"/>
                <w:szCs w:val="16"/>
              </w:rPr>
            </w:pPr>
            <w:bookmarkStart w:id="55" w:name="RANGE!B25"/>
            <w:r w:rsidRPr="00406582">
              <w:rPr>
                <w:rFonts w:eastAsia="Times New Roman" w:cs="Times New Roman"/>
                <w:sz w:val="16"/>
                <w:szCs w:val="16"/>
              </w:rPr>
              <w:t>[5] Real GDP per person employed</w:t>
            </w:r>
            <w:bookmarkEnd w:id="55"/>
          </w:p>
        </w:tc>
      </w:tr>
      <w:tr w:rsidR="00406582" w:rsidRPr="00406582" w14:paraId="3F9A7B53" w14:textId="77777777" w:rsidTr="00406582">
        <w:trPr>
          <w:trHeight w:val="269"/>
        </w:trPr>
        <w:tc>
          <w:tcPr>
            <w:tcW w:w="5533" w:type="dxa"/>
            <w:tcBorders>
              <w:top w:val="nil"/>
              <w:left w:val="nil"/>
              <w:bottom w:val="nil"/>
              <w:right w:val="nil"/>
            </w:tcBorders>
            <w:shd w:val="clear" w:color="000000" w:fill="FFFFFF"/>
            <w:noWrap/>
            <w:vAlign w:val="bottom"/>
            <w:hideMark/>
          </w:tcPr>
          <w:p w14:paraId="0530E3A9" w14:textId="2047BA4D" w:rsidR="00406582" w:rsidRPr="00406582" w:rsidRDefault="00406582" w:rsidP="00406582">
            <w:pPr>
              <w:spacing w:after="0"/>
              <w:jc w:val="left"/>
              <w:rPr>
                <w:rFonts w:eastAsia="Times New Roman" w:cs="Times New Roman"/>
                <w:sz w:val="16"/>
                <w:szCs w:val="16"/>
              </w:rPr>
            </w:pPr>
            <w:bookmarkStart w:id="56" w:name="RANGE!B26"/>
            <w:r w:rsidRPr="00406582">
              <w:rPr>
                <w:rFonts w:eastAsia="Times New Roman" w:cs="Times New Roman"/>
                <w:sz w:val="16"/>
                <w:szCs w:val="16"/>
              </w:rPr>
              <w:t>[6] Real GDP per hour worked</w:t>
            </w:r>
            <w:bookmarkEnd w:id="56"/>
          </w:p>
        </w:tc>
      </w:tr>
    </w:tbl>
    <w:p w14:paraId="4C82CF0D" w14:textId="77777777" w:rsidR="00406582" w:rsidRDefault="00406582" w:rsidP="00406582"/>
    <w:p w14:paraId="7980D1F0" w14:textId="77777777" w:rsidR="00406582" w:rsidRDefault="00406582" w:rsidP="00406582"/>
    <w:p w14:paraId="789A432B" w14:textId="7E589E07" w:rsidR="00200092" w:rsidRDefault="00200092" w:rsidP="00200092">
      <w:pPr>
        <w:ind w:firstLine="720"/>
      </w:pPr>
    </w:p>
    <w:p w14:paraId="09BAA591" w14:textId="77777777" w:rsidR="00200092" w:rsidRPr="00200092" w:rsidRDefault="00200092" w:rsidP="00200092">
      <w:r w:rsidRPr="00200092">
        <w:lastRenderedPageBreak/>
        <w:t xml:space="preserve">Table 1d:  Sectoral balances </w:t>
      </w:r>
    </w:p>
    <w:p w14:paraId="326AEF07" w14:textId="5F150F34" w:rsidR="00200092" w:rsidRDefault="00200092" w:rsidP="00200092">
      <w:pPr>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Tab1d-Sectoral!R4C3:R13C9 </w:instrText>
      </w:r>
      <w:r>
        <w:instrText xml:space="preserve">\a \f 4 \h  \* MERGEFORMAT </w:instrText>
      </w:r>
      <w:r>
        <w:fldChar w:fldCharType="separate"/>
      </w:r>
    </w:p>
    <w:tbl>
      <w:tblPr>
        <w:tblW w:w="15417" w:type="dxa"/>
        <w:tblLook w:val="04A0" w:firstRow="1" w:lastRow="0" w:firstColumn="1" w:lastColumn="0" w:noHBand="0" w:noVBand="1"/>
      </w:tblPr>
      <w:tblGrid>
        <w:gridCol w:w="7045"/>
        <w:gridCol w:w="1330"/>
        <w:gridCol w:w="1330"/>
        <w:gridCol w:w="1330"/>
        <w:gridCol w:w="1330"/>
        <w:gridCol w:w="1330"/>
        <w:gridCol w:w="1722"/>
      </w:tblGrid>
      <w:tr w:rsidR="00200092" w:rsidRPr="00200092" w14:paraId="176F6991" w14:textId="77777777" w:rsidTr="00200092">
        <w:trPr>
          <w:trHeight w:val="324"/>
        </w:trPr>
        <w:tc>
          <w:tcPr>
            <w:tcW w:w="7045" w:type="dxa"/>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230CB760" w14:textId="012CE572" w:rsidR="00200092" w:rsidRPr="00200092" w:rsidRDefault="00200092" w:rsidP="00200092">
            <w:pPr>
              <w:spacing w:after="0"/>
              <w:jc w:val="left"/>
              <w:rPr>
                <w:rFonts w:eastAsia="Times New Roman" w:cs="Times New Roman"/>
                <w:szCs w:val="24"/>
              </w:rPr>
            </w:pPr>
            <w:r w:rsidRPr="00200092">
              <w:rPr>
                <w:rFonts w:eastAsia="Times New Roman" w:cs="Times New Roman"/>
                <w:szCs w:val="24"/>
              </w:rPr>
              <w:t>Percentages of GDP</w:t>
            </w:r>
          </w:p>
        </w:tc>
        <w:tc>
          <w:tcPr>
            <w:tcW w:w="1330"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39E3B012"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ESA code</w:t>
            </w:r>
          </w:p>
        </w:tc>
        <w:tc>
          <w:tcPr>
            <w:tcW w:w="1330" w:type="dxa"/>
            <w:tcBorders>
              <w:top w:val="double" w:sz="6" w:space="0" w:color="auto"/>
              <w:left w:val="nil"/>
              <w:bottom w:val="nil"/>
              <w:right w:val="dotted" w:sz="4" w:space="0" w:color="auto"/>
            </w:tcBorders>
            <w:shd w:val="clear" w:color="000000" w:fill="FFFFFF"/>
            <w:vAlign w:val="center"/>
            <w:hideMark/>
          </w:tcPr>
          <w:p w14:paraId="6EE68657"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Year</w:t>
            </w:r>
          </w:p>
        </w:tc>
        <w:tc>
          <w:tcPr>
            <w:tcW w:w="1330" w:type="dxa"/>
            <w:tcBorders>
              <w:top w:val="double" w:sz="6" w:space="0" w:color="auto"/>
              <w:left w:val="nil"/>
              <w:bottom w:val="nil"/>
              <w:right w:val="dotted" w:sz="4" w:space="0" w:color="auto"/>
            </w:tcBorders>
            <w:shd w:val="clear" w:color="000000" w:fill="FFFFFF"/>
            <w:vAlign w:val="center"/>
            <w:hideMark/>
          </w:tcPr>
          <w:p w14:paraId="1CBCB5B6"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Year</w:t>
            </w:r>
          </w:p>
        </w:tc>
        <w:tc>
          <w:tcPr>
            <w:tcW w:w="1330" w:type="dxa"/>
            <w:tcBorders>
              <w:top w:val="double" w:sz="6" w:space="0" w:color="auto"/>
              <w:left w:val="nil"/>
              <w:bottom w:val="nil"/>
              <w:right w:val="dotted" w:sz="4" w:space="0" w:color="auto"/>
            </w:tcBorders>
            <w:shd w:val="clear" w:color="000000" w:fill="FFFFFF"/>
            <w:vAlign w:val="center"/>
            <w:hideMark/>
          </w:tcPr>
          <w:p w14:paraId="0E93D592"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Year</w:t>
            </w:r>
          </w:p>
        </w:tc>
        <w:tc>
          <w:tcPr>
            <w:tcW w:w="1330" w:type="dxa"/>
            <w:tcBorders>
              <w:top w:val="double" w:sz="6" w:space="0" w:color="auto"/>
              <w:left w:val="nil"/>
              <w:bottom w:val="nil"/>
              <w:right w:val="dotted" w:sz="4" w:space="0" w:color="auto"/>
            </w:tcBorders>
            <w:shd w:val="clear" w:color="000000" w:fill="FFFFFF"/>
            <w:vAlign w:val="center"/>
            <w:hideMark/>
          </w:tcPr>
          <w:p w14:paraId="5874FC55"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Year</w:t>
            </w:r>
          </w:p>
        </w:tc>
        <w:tc>
          <w:tcPr>
            <w:tcW w:w="1722" w:type="dxa"/>
            <w:tcBorders>
              <w:top w:val="double" w:sz="6" w:space="0" w:color="auto"/>
              <w:left w:val="nil"/>
              <w:bottom w:val="nil"/>
              <w:right w:val="double" w:sz="6" w:space="0" w:color="auto"/>
            </w:tcBorders>
            <w:shd w:val="clear" w:color="000000" w:fill="FFFFFF"/>
            <w:vAlign w:val="center"/>
            <w:hideMark/>
          </w:tcPr>
          <w:p w14:paraId="1B012EDC"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Year</w:t>
            </w:r>
          </w:p>
        </w:tc>
      </w:tr>
      <w:tr w:rsidR="00200092" w:rsidRPr="00200092" w14:paraId="3B48ED89" w14:textId="77777777" w:rsidTr="00200092">
        <w:trPr>
          <w:trHeight w:val="312"/>
        </w:trPr>
        <w:tc>
          <w:tcPr>
            <w:tcW w:w="7045" w:type="dxa"/>
            <w:vMerge/>
            <w:tcBorders>
              <w:top w:val="double" w:sz="6" w:space="0" w:color="auto"/>
              <w:left w:val="double" w:sz="6" w:space="0" w:color="auto"/>
              <w:bottom w:val="single" w:sz="8" w:space="0" w:color="000000"/>
              <w:right w:val="dotted" w:sz="4" w:space="0" w:color="auto"/>
            </w:tcBorders>
            <w:vAlign w:val="center"/>
            <w:hideMark/>
          </w:tcPr>
          <w:p w14:paraId="2831A9A2" w14:textId="77777777" w:rsidR="00200092" w:rsidRPr="00200092" w:rsidRDefault="00200092" w:rsidP="00200092">
            <w:pPr>
              <w:spacing w:after="0"/>
              <w:jc w:val="left"/>
              <w:rPr>
                <w:rFonts w:eastAsia="Times New Roman" w:cs="Times New Roman"/>
                <w:szCs w:val="24"/>
              </w:rPr>
            </w:pPr>
          </w:p>
        </w:tc>
        <w:tc>
          <w:tcPr>
            <w:tcW w:w="1330" w:type="dxa"/>
            <w:vMerge/>
            <w:tcBorders>
              <w:top w:val="double" w:sz="6" w:space="0" w:color="auto"/>
              <w:left w:val="dotted" w:sz="4" w:space="0" w:color="auto"/>
              <w:bottom w:val="single" w:sz="8" w:space="0" w:color="000000"/>
              <w:right w:val="single" w:sz="8" w:space="0" w:color="auto"/>
            </w:tcBorders>
            <w:vAlign w:val="center"/>
            <w:hideMark/>
          </w:tcPr>
          <w:p w14:paraId="14456A0C" w14:textId="77777777" w:rsidR="00200092" w:rsidRPr="00200092" w:rsidRDefault="00200092" w:rsidP="00200092">
            <w:pPr>
              <w:spacing w:after="0"/>
              <w:jc w:val="left"/>
              <w:rPr>
                <w:rFonts w:eastAsia="Times New Roman" w:cs="Times New Roman"/>
                <w:szCs w:val="24"/>
              </w:rPr>
            </w:pPr>
          </w:p>
        </w:tc>
        <w:tc>
          <w:tcPr>
            <w:tcW w:w="1330" w:type="dxa"/>
            <w:tcBorders>
              <w:top w:val="nil"/>
              <w:left w:val="nil"/>
              <w:bottom w:val="single" w:sz="8" w:space="0" w:color="auto"/>
              <w:right w:val="dotted" w:sz="4" w:space="0" w:color="auto"/>
            </w:tcBorders>
            <w:shd w:val="clear" w:color="000000" w:fill="FFFFFF"/>
            <w:vAlign w:val="center"/>
            <w:hideMark/>
          </w:tcPr>
          <w:p w14:paraId="4601F8B2"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2023</w:t>
            </w:r>
          </w:p>
        </w:tc>
        <w:tc>
          <w:tcPr>
            <w:tcW w:w="1330" w:type="dxa"/>
            <w:tcBorders>
              <w:top w:val="nil"/>
              <w:left w:val="nil"/>
              <w:bottom w:val="single" w:sz="8" w:space="0" w:color="auto"/>
              <w:right w:val="dotted" w:sz="4" w:space="0" w:color="auto"/>
            </w:tcBorders>
            <w:shd w:val="clear" w:color="000000" w:fill="FFFFFF"/>
            <w:vAlign w:val="center"/>
            <w:hideMark/>
          </w:tcPr>
          <w:p w14:paraId="54AE9031"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2024</w:t>
            </w:r>
          </w:p>
        </w:tc>
        <w:tc>
          <w:tcPr>
            <w:tcW w:w="1330" w:type="dxa"/>
            <w:tcBorders>
              <w:top w:val="nil"/>
              <w:left w:val="nil"/>
              <w:bottom w:val="single" w:sz="8" w:space="0" w:color="auto"/>
              <w:right w:val="dotted" w:sz="4" w:space="0" w:color="auto"/>
            </w:tcBorders>
            <w:shd w:val="clear" w:color="000000" w:fill="FFFFFF"/>
            <w:vAlign w:val="center"/>
            <w:hideMark/>
          </w:tcPr>
          <w:p w14:paraId="47DE853C"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2025</w:t>
            </w:r>
          </w:p>
        </w:tc>
        <w:tc>
          <w:tcPr>
            <w:tcW w:w="1330" w:type="dxa"/>
            <w:tcBorders>
              <w:top w:val="nil"/>
              <w:left w:val="nil"/>
              <w:bottom w:val="single" w:sz="8" w:space="0" w:color="auto"/>
              <w:right w:val="dotted" w:sz="4" w:space="0" w:color="auto"/>
            </w:tcBorders>
            <w:shd w:val="clear" w:color="000000" w:fill="FFFFFF"/>
            <w:vAlign w:val="center"/>
            <w:hideMark/>
          </w:tcPr>
          <w:p w14:paraId="3EAA3C0B"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2026</w:t>
            </w:r>
          </w:p>
        </w:tc>
        <w:tc>
          <w:tcPr>
            <w:tcW w:w="1722" w:type="dxa"/>
            <w:tcBorders>
              <w:top w:val="nil"/>
              <w:left w:val="nil"/>
              <w:bottom w:val="single" w:sz="8" w:space="0" w:color="auto"/>
              <w:right w:val="double" w:sz="6" w:space="0" w:color="auto"/>
            </w:tcBorders>
            <w:shd w:val="clear" w:color="000000" w:fill="FFFFFF"/>
            <w:vAlign w:val="center"/>
            <w:hideMark/>
          </w:tcPr>
          <w:p w14:paraId="23CE4565"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2027</w:t>
            </w:r>
          </w:p>
        </w:tc>
      </w:tr>
      <w:tr w:rsidR="00200092" w:rsidRPr="00200092" w14:paraId="7488412B" w14:textId="77777777" w:rsidTr="00200092">
        <w:trPr>
          <w:trHeight w:val="530"/>
        </w:trPr>
        <w:tc>
          <w:tcPr>
            <w:tcW w:w="7045" w:type="dxa"/>
            <w:tcBorders>
              <w:top w:val="nil"/>
              <w:left w:val="double" w:sz="6" w:space="0" w:color="auto"/>
              <w:bottom w:val="nil"/>
              <w:right w:val="dotted" w:sz="4" w:space="0" w:color="auto"/>
            </w:tcBorders>
            <w:shd w:val="clear" w:color="000000" w:fill="FFFFFF"/>
            <w:vAlign w:val="center"/>
            <w:hideMark/>
          </w:tcPr>
          <w:p w14:paraId="77CD834C" w14:textId="77777777" w:rsidR="00200092" w:rsidRPr="00200092" w:rsidRDefault="00200092" w:rsidP="00200092">
            <w:pPr>
              <w:spacing w:after="0"/>
              <w:jc w:val="left"/>
              <w:rPr>
                <w:rFonts w:eastAsia="Times New Roman" w:cs="Times New Roman"/>
                <w:szCs w:val="24"/>
              </w:rPr>
            </w:pPr>
            <w:r w:rsidRPr="00200092">
              <w:rPr>
                <w:rFonts w:eastAsia="Times New Roman" w:cs="Times New Roman"/>
                <w:szCs w:val="24"/>
              </w:rPr>
              <w:t>1. Net lending/borrowing vis-à-vis the rest of the world</w:t>
            </w:r>
          </w:p>
        </w:tc>
        <w:tc>
          <w:tcPr>
            <w:tcW w:w="1330" w:type="dxa"/>
            <w:tcBorders>
              <w:top w:val="nil"/>
              <w:left w:val="nil"/>
              <w:bottom w:val="nil"/>
              <w:right w:val="single" w:sz="8" w:space="0" w:color="auto"/>
            </w:tcBorders>
            <w:shd w:val="clear" w:color="000000" w:fill="FFFFFF"/>
            <w:vAlign w:val="center"/>
            <w:hideMark/>
          </w:tcPr>
          <w:p w14:paraId="2232F558" w14:textId="77777777" w:rsidR="00200092" w:rsidRPr="00200092" w:rsidRDefault="00200092" w:rsidP="00200092">
            <w:pPr>
              <w:spacing w:after="0"/>
              <w:jc w:val="left"/>
              <w:rPr>
                <w:rFonts w:eastAsia="Times New Roman" w:cs="Times New Roman"/>
                <w:szCs w:val="24"/>
              </w:rPr>
            </w:pPr>
            <w:r w:rsidRPr="00200092">
              <w:rPr>
                <w:rFonts w:eastAsia="Times New Roman" w:cs="Times New Roman"/>
                <w:szCs w:val="24"/>
              </w:rPr>
              <w:t>B.9</w:t>
            </w:r>
          </w:p>
        </w:tc>
        <w:tc>
          <w:tcPr>
            <w:tcW w:w="1330" w:type="dxa"/>
            <w:tcBorders>
              <w:top w:val="nil"/>
              <w:left w:val="nil"/>
              <w:bottom w:val="nil"/>
              <w:right w:val="dotted" w:sz="4" w:space="0" w:color="auto"/>
            </w:tcBorders>
            <w:shd w:val="clear" w:color="000000" w:fill="FFFFFF"/>
            <w:vAlign w:val="center"/>
            <w:hideMark/>
          </w:tcPr>
          <w:p w14:paraId="17FAF8D4"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-2,4</w:t>
            </w:r>
          </w:p>
        </w:tc>
        <w:tc>
          <w:tcPr>
            <w:tcW w:w="1330" w:type="dxa"/>
            <w:tcBorders>
              <w:top w:val="nil"/>
              <w:left w:val="nil"/>
              <w:bottom w:val="single" w:sz="4" w:space="0" w:color="auto"/>
              <w:right w:val="dotted" w:sz="4" w:space="0" w:color="auto"/>
            </w:tcBorders>
            <w:shd w:val="clear" w:color="000000" w:fill="FFFFFF"/>
            <w:vAlign w:val="center"/>
            <w:hideMark/>
          </w:tcPr>
          <w:p w14:paraId="122897EA"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-4,7</w:t>
            </w:r>
          </w:p>
        </w:tc>
        <w:tc>
          <w:tcPr>
            <w:tcW w:w="1330" w:type="dxa"/>
            <w:tcBorders>
              <w:top w:val="nil"/>
              <w:left w:val="nil"/>
              <w:bottom w:val="single" w:sz="4" w:space="0" w:color="auto"/>
              <w:right w:val="dotted" w:sz="4" w:space="0" w:color="auto"/>
            </w:tcBorders>
            <w:shd w:val="clear" w:color="000000" w:fill="FFFFFF"/>
            <w:vAlign w:val="center"/>
            <w:hideMark/>
          </w:tcPr>
          <w:p w14:paraId="3A5896A5"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-4,9</w:t>
            </w:r>
          </w:p>
        </w:tc>
        <w:tc>
          <w:tcPr>
            <w:tcW w:w="1330" w:type="dxa"/>
            <w:tcBorders>
              <w:top w:val="nil"/>
              <w:left w:val="nil"/>
              <w:bottom w:val="single" w:sz="4" w:space="0" w:color="auto"/>
              <w:right w:val="dotted" w:sz="4" w:space="0" w:color="auto"/>
            </w:tcBorders>
            <w:shd w:val="clear" w:color="000000" w:fill="FFFFFF"/>
            <w:vAlign w:val="center"/>
            <w:hideMark/>
          </w:tcPr>
          <w:p w14:paraId="7397F8FA"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-5,3</w:t>
            </w:r>
          </w:p>
        </w:tc>
        <w:tc>
          <w:tcPr>
            <w:tcW w:w="1722" w:type="dxa"/>
            <w:tcBorders>
              <w:top w:val="nil"/>
              <w:left w:val="nil"/>
              <w:bottom w:val="single" w:sz="4" w:space="0" w:color="auto"/>
              <w:right w:val="double" w:sz="6" w:space="0" w:color="auto"/>
            </w:tcBorders>
            <w:shd w:val="clear" w:color="000000" w:fill="FFFFFF"/>
            <w:vAlign w:val="center"/>
            <w:hideMark/>
          </w:tcPr>
          <w:p w14:paraId="28378223"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-4,1</w:t>
            </w:r>
          </w:p>
        </w:tc>
      </w:tr>
      <w:tr w:rsidR="00200092" w:rsidRPr="00200092" w14:paraId="04C89ED1" w14:textId="77777777" w:rsidTr="00200092">
        <w:trPr>
          <w:trHeight w:val="324"/>
        </w:trPr>
        <w:tc>
          <w:tcPr>
            <w:tcW w:w="7045" w:type="dxa"/>
            <w:tcBorders>
              <w:top w:val="single" w:sz="4" w:space="0" w:color="auto"/>
              <w:left w:val="double" w:sz="6" w:space="0" w:color="auto"/>
              <w:bottom w:val="dotted" w:sz="4" w:space="0" w:color="auto"/>
              <w:right w:val="dotted" w:sz="4" w:space="0" w:color="auto"/>
            </w:tcBorders>
            <w:shd w:val="clear" w:color="000000" w:fill="FFFFFF"/>
            <w:vAlign w:val="center"/>
            <w:hideMark/>
          </w:tcPr>
          <w:p w14:paraId="2A390143" w14:textId="2C609D52" w:rsidR="00200092" w:rsidRPr="00200092" w:rsidRDefault="00200092" w:rsidP="00200092">
            <w:pPr>
              <w:spacing w:after="0"/>
              <w:jc w:val="left"/>
              <w:rPr>
                <w:rFonts w:eastAsia="Times New Roman" w:cs="Times New Roman"/>
                <w:i/>
                <w:iCs/>
                <w:szCs w:val="24"/>
              </w:rPr>
            </w:pPr>
            <w:bookmarkStart w:id="57" w:name="RANGE!C7"/>
            <w:r w:rsidRPr="00200092">
              <w:rPr>
                <w:rFonts w:eastAsia="Times New Roman" w:cs="Times New Roman"/>
                <w:i/>
                <w:iCs/>
                <w:szCs w:val="24"/>
              </w:rPr>
              <w:t xml:space="preserve">of which: </w:t>
            </w:r>
            <w:bookmarkEnd w:id="57"/>
          </w:p>
        </w:tc>
        <w:tc>
          <w:tcPr>
            <w:tcW w:w="1330" w:type="dxa"/>
            <w:tcBorders>
              <w:top w:val="single" w:sz="4" w:space="0" w:color="auto"/>
              <w:left w:val="nil"/>
              <w:bottom w:val="dotted" w:sz="4" w:space="0" w:color="auto"/>
              <w:right w:val="single" w:sz="8" w:space="0" w:color="auto"/>
            </w:tcBorders>
            <w:shd w:val="clear" w:color="000000" w:fill="FFFFFF"/>
            <w:vAlign w:val="center"/>
            <w:hideMark/>
          </w:tcPr>
          <w:p w14:paraId="67F23DE1" w14:textId="77777777" w:rsidR="00200092" w:rsidRPr="00200092" w:rsidRDefault="00200092" w:rsidP="00200092">
            <w:pPr>
              <w:spacing w:after="0"/>
              <w:jc w:val="left"/>
              <w:rPr>
                <w:rFonts w:eastAsia="Times New Roman" w:cs="Times New Roman"/>
                <w:szCs w:val="24"/>
              </w:rPr>
            </w:pPr>
            <w:r w:rsidRPr="00200092">
              <w:rPr>
                <w:rFonts w:eastAsia="Times New Roman" w:cs="Times New Roman"/>
                <w:szCs w:val="24"/>
              </w:rPr>
              <w:t> </w:t>
            </w:r>
          </w:p>
        </w:tc>
        <w:tc>
          <w:tcPr>
            <w:tcW w:w="1330" w:type="dxa"/>
            <w:tcBorders>
              <w:top w:val="single" w:sz="4" w:space="0" w:color="auto"/>
              <w:left w:val="nil"/>
              <w:bottom w:val="dotted" w:sz="4" w:space="0" w:color="auto"/>
              <w:right w:val="dotted" w:sz="4" w:space="0" w:color="auto"/>
            </w:tcBorders>
            <w:shd w:val="clear" w:color="000000" w:fill="FFFFFF"/>
            <w:vAlign w:val="center"/>
            <w:hideMark/>
          </w:tcPr>
          <w:p w14:paraId="533CD913"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 </w:t>
            </w:r>
          </w:p>
        </w:tc>
        <w:tc>
          <w:tcPr>
            <w:tcW w:w="1330" w:type="dxa"/>
            <w:tcBorders>
              <w:top w:val="nil"/>
              <w:left w:val="nil"/>
              <w:bottom w:val="dotted" w:sz="4" w:space="0" w:color="auto"/>
              <w:right w:val="dotted" w:sz="4" w:space="0" w:color="auto"/>
            </w:tcBorders>
            <w:shd w:val="clear" w:color="auto" w:fill="auto"/>
            <w:noWrap/>
            <w:vAlign w:val="center"/>
            <w:hideMark/>
          </w:tcPr>
          <w:p w14:paraId="60607CCD" w14:textId="77777777" w:rsidR="00200092" w:rsidRPr="00200092" w:rsidRDefault="00200092" w:rsidP="00200092">
            <w:pPr>
              <w:spacing w:after="0"/>
              <w:jc w:val="left"/>
              <w:rPr>
                <w:rFonts w:ascii="Arial" w:eastAsia="Times New Roman" w:hAnsi="Arial" w:cs="Arial"/>
                <w:szCs w:val="24"/>
              </w:rPr>
            </w:pPr>
            <w:r w:rsidRPr="00200092">
              <w:rPr>
                <w:rFonts w:ascii="Arial" w:eastAsia="Times New Roman" w:hAnsi="Arial" w:cs="Arial"/>
                <w:szCs w:val="24"/>
              </w:rPr>
              <w:t> </w:t>
            </w:r>
          </w:p>
        </w:tc>
        <w:tc>
          <w:tcPr>
            <w:tcW w:w="1330" w:type="dxa"/>
            <w:tcBorders>
              <w:top w:val="nil"/>
              <w:left w:val="nil"/>
              <w:bottom w:val="dotted" w:sz="4" w:space="0" w:color="auto"/>
              <w:right w:val="dotted" w:sz="4" w:space="0" w:color="auto"/>
            </w:tcBorders>
            <w:shd w:val="clear" w:color="auto" w:fill="auto"/>
            <w:noWrap/>
            <w:vAlign w:val="center"/>
            <w:hideMark/>
          </w:tcPr>
          <w:p w14:paraId="70A0A893" w14:textId="77777777" w:rsidR="00200092" w:rsidRPr="00200092" w:rsidRDefault="00200092" w:rsidP="00200092">
            <w:pPr>
              <w:spacing w:after="0"/>
              <w:jc w:val="left"/>
              <w:rPr>
                <w:rFonts w:ascii="Arial" w:eastAsia="Times New Roman" w:hAnsi="Arial" w:cs="Arial"/>
                <w:szCs w:val="24"/>
              </w:rPr>
            </w:pPr>
            <w:r w:rsidRPr="00200092">
              <w:rPr>
                <w:rFonts w:ascii="Arial" w:eastAsia="Times New Roman" w:hAnsi="Arial" w:cs="Arial"/>
                <w:szCs w:val="24"/>
              </w:rPr>
              <w:t> </w:t>
            </w:r>
          </w:p>
        </w:tc>
        <w:tc>
          <w:tcPr>
            <w:tcW w:w="1330" w:type="dxa"/>
            <w:tcBorders>
              <w:top w:val="nil"/>
              <w:left w:val="nil"/>
              <w:bottom w:val="dotted" w:sz="4" w:space="0" w:color="auto"/>
              <w:right w:val="dotted" w:sz="4" w:space="0" w:color="auto"/>
            </w:tcBorders>
            <w:shd w:val="clear" w:color="auto" w:fill="auto"/>
            <w:noWrap/>
            <w:vAlign w:val="center"/>
            <w:hideMark/>
          </w:tcPr>
          <w:p w14:paraId="5E700304" w14:textId="77777777" w:rsidR="00200092" w:rsidRPr="00200092" w:rsidRDefault="00200092" w:rsidP="00200092">
            <w:pPr>
              <w:spacing w:after="0"/>
              <w:jc w:val="left"/>
              <w:rPr>
                <w:rFonts w:ascii="Arial" w:eastAsia="Times New Roman" w:hAnsi="Arial" w:cs="Arial"/>
                <w:szCs w:val="24"/>
              </w:rPr>
            </w:pPr>
            <w:r w:rsidRPr="00200092">
              <w:rPr>
                <w:rFonts w:ascii="Arial" w:eastAsia="Times New Roman" w:hAnsi="Arial" w:cs="Arial"/>
                <w:szCs w:val="24"/>
              </w:rPr>
              <w:t> </w:t>
            </w:r>
          </w:p>
        </w:tc>
        <w:tc>
          <w:tcPr>
            <w:tcW w:w="1722" w:type="dxa"/>
            <w:tcBorders>
              <w:top w:val="nil"/>
              <w:left w:val="nil"/>
              <w:bottom w:val="dotted" w:sz="4" w:space="0" w:color="auto"/>
              <w:right w:val="double" w:sz="6" w:space="0" w:color="auto"/>
            </w:tcBorders>
            <w:shd w:val="clear" w:color="000000" w:fill="FFFFFF"/>
            <w:vAlign w:val="center"/>
            <w:hideMark/>
          </w:tcPr>
          <w:p w14:paraId="0A3094C9"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 </w:t>
            </w:r>
          </w:p>
        </w:tc>
      </w:tr>
      <w:tr w:rsidR="00200092" w:rsidRPr="00200092" w14:paraId="729B35DA" w14:textId="77777777" w:rsidTr="00200092">
        <w:trPr>
          <w:trHeight w:val="530"/>
        </w:trPr>
        <w:tc>
          <w:tcPr>
            <w:tcW w:w="7045" w:type="dxa"/>
            <w:tcBorders>
              <w:top w:val="nil"/>
              <w:left w:val="double" w:sz="6" w:space="0" w:color="auto"/>
              <w:bottom w:val="dotted" w:sz="4" w:space="0" w:color="auto"/>
              <w:right w:val="dotted" w:sz="4" w:space="0" w:color="auto"/>
            </w:tcBorders>
            <w:shd w:val="clear" w:color="000000" w:fill="FFFFFF"/>
            <w:vAlign w:val="center"/>
            <w:hideMark/>
          </w:tcPr>
          <w:p w14:paraId="1F816975" w14:textId="45F03E31" w:rsidR="00200092" w:rsidRPr="00200092" w:rsidRDefault="00200092" w:rsidP="00200092">
            <w:pPr>
              <w:spacing w:after="0"/>
              <w:jc w:val="left"/>
              <w:rPr>
                <w:rFonts w:eastAsia="Times New Roman" w:cs="Times New Roman"/>
                <w:i/>
                <w:iCs/>
                <w:szCs w:val="24"/>
              </w:rPr>
            </w:pPr>
            <w:bookmarkStart w:id="58" w:name="RANGE!C8"/>
            <w:r w:rsidRPr="00200092">
              <w:rPr>
                <w:rFonts w:eastAsia="Times New Roman" w:cs="Times New Roman"/>
                <w:i/>
                <w:iCs/>
                <w:szCs w:val="24"/>
              </w:rPr>
              <w:t>- Balance of goods and services</w:t>
            </w:r>
            <w:bookmarkEnd w:id="58"/>
          </w:p>
        </w:tc>
        <w:tc>
          <w:tcPr>
            <w:tcW w:w="1330" w:type="dxa"/>
            <w:tcBorders>
              <w:top w:val="nil"/>
              <w:left w:val="nil"/>
              <w:bottom w:val="dotted" w:sz="4" w:space="0" w:color="auto"/>
              <w:right w:val="single" w:sz="8" w:space="0" w:color="auto"/>
            </w:tcBorders>
            <w:shd w:val="clear" w:color="000000" w:fill="FFFFFF"/>
            <w:vAlign w:val="center"/>
            <w:hideMark/>
          </w:tcPr>
          <w:p w14:paraId="42B76374" w14:textId="77777777" w:rsidR="00200092" w:rsidRPr="00200092" w:rsidRDefault="00200092" w:rsidP="00200092">
            <w:pPr>
              <w:spacing w:after="0"/>
              <w:jc w:val="center"/>
              <w:rPr>
                <w:rFonts w:eastAsia="Times New Roman" w:cs="Times New Roman"/>
                <w:i/>
                <w:iCs/>
                <w:szCs w:val="24"/>
              </w:rPr>
            </w:pPr>
            <w:r w:rsidRPr="00200092">
              <w:rPr>
                <w:rFonts w:eastAsia="Times New Roman" w:cs="Times New Roman"/>
                <w:i/>
                <w:iCs/>
                <w:szCs w:val="24"/>
              </w:rPr>
              <w:t> </w:t>
            </w:r>
          </w:p>
        </w:tc>
        <w:tc>
          <w:tcPr>
            <w:tcW w:w="1330" w:type="dxa"/>
            <w:tcBorders>
              <w:top w:val="nil"/>
              <w:left w:val="nil"/>
              <w:bottom w:val="dotted" w:sz="4" w:space="0" w:color="auto"/>
              <w:right w:val="dotted" w:sz="4" w:space="0" w:color="auto"/>
            </w:tcBorders>
            <w:shd w:val="clear" w:color="000000" w:fill="FFFFFF"/>
            <w:vAlign w:val="center"/>
            <w:hideMark/>
          </w:tcPr>
          <w:p w14:paraId="106F2A97"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-4,7</w:t>
            </w:r>
          </w:p>
        </w:tc>
        <w:tc>
          <w:tcPr>
            <w:tcW w:w="1330" w:type="dxa"/>
            <w:tcBorders>
              <w:top w:val="nil"/>
              <w:left w:val="nil"/>
              <w:bottom w:val="dotted" w:sz="4" w:space="0" w:color="auto"/>
              <w:right w:val="dotted" w:sz="4" w:space="0" w:color="auto"/>
            </w:tcBorders>
            <w:shd w:val="clear" w:color="000000" w:fill="FFFFFF"/>
            <w:vAlign w:val="center"/>
            <w:hideMark/>
          </w:tcPr>
          <w:p w14:paraId="13C1A758"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-5,9</w:t>
            </w:r>
          </w:p>
        </w:tc>
        <w:tc>
          <w:tcPr>
            <w:tcW w:w="1330" w:type="dxa"/>
            <w:tcBorders>
              <w:top w:val="nil"/>
              <w:left w:val="nil"/>
              <w:bottom w:val="dotted" w:sz="4" w:space="0" w:color="auto"/>
              <w:right w:val="dotted" w:sz="4" w:space="0" w:color="auto"/>
            </w:tcBorders>
            <w:shd w:val="clear" w:color="000000" w:fill="FFFFFF"/>
            <w:vAlign w:val="center"/>
            <w:hideMark/>
          </w:tcPr>
          <w:p w14:paraId="073D8F33"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-6,3</w:t>
            </w:r>
          </w:p>
        </w:tc>
        <w:tc>
          <w:tcPr>
            <w:tcW w:w="1330" w:type="dxa"/>
            <w:tcBorders>
              <w:top w:val="nil"/>
              <w:left w:val="nil"/>
              <w:bottom w:val="dotted" w:sz="4" w:space="0" w:color="auto"/>
              <w:right w:val="dotted" w:sz="4" w:space="0" w:color="auto"/>
            </w:tcBorders>
            <w:shd w:val="clear" w:color="000000" w:fill="FFFFFF"/>
            <w:vAlign w:val="center"/>
            <w:hideMark/>
          </w:tcPr>
          <w:p w14:paraId="5FAB3BCB"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-6,5</w:t>
            </w:r>
          </w:p>
        </w:tc>
        <w:tc>
          <w:tcPr>
            <w:tcW w:w="1722" w:type="dxa"/>
            <w:tcBorders>
              <w:top w:val="nil"/>
              <w:left w:val="nil"/>
              <w:bottom w:val="dotted" w:sz="4" w:space="0" w:color="auto"/>
              <w:right w:val="double" w:sz="6" w:space="0" w:color="auto"/>
            </w:tcBorders>
            <w:shd w:val="clear" w:color="000000" w:fill="FFFFFF"/>
            <w:vAlign w:val="center"/>
            <w:hideMark/>
          </w:tcPr>
          <w:p w14:paraId="4721B14A"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-5,0</w:t>
            </w:r>
          </w:p>
        </w:tc>
      </w:tr>
      <w:tr w:rsidR="00200092" w:rsidRPr="00200092" w14:paraId="570C2D27" w14:textId="77777777" w:rsidTr="00200092">
        <w:trPr>
          <w:trHeight w:val="530"/>
        </w:trPr>
        <w:tc>
          <w:tcPr>
            <w:tcW w:w="7045" w:type="dxa"/>
            <w:tcBorders>
              <w:top w:val="nil"/>
              <w:left w:val="double" w:sz="6" w:space="0" w:color="auto"/>
              <w:bottom w:val="dotted" w:sz="4" w:space="0" w:color="auto"/>
              <w:right w:val="dotted" w:sz="4" w:space="0" w:color="auto"/>
            </w:tcBorders>
            <w:shd w:val="clear" w:color="000000" w:fill="FFFFFF"/>
            <w:vAlign w:val="center"/>
            <w:hideMark/>
          </w:tcPr>
          <w:p w14:paraId="476DE175" w14:textId="2C30D8AE" w:rsidR="00200092" w:rsidRPr="00200092" w:rsidRDefault="00200092" w:rsidP="00200092">
            <w:pPr>
              <w:spacing w:after="0"/>
              <w:jc w:val="left"/>
              <w:rPr>
                <w:rFonts w:eastAsia="Times New Roman" w:cs="Times New Roman"/>
                <w:i/>
                <w:iCs/>
                <w:szCs w:val="24"/>
              </w:rPr>
            </w:pPr>
            <w:bookmarkStart w:id="59" w:name="RANGE!C9"/>
            <w:r w:rsidRPr="00200092">
              <w:rPr>
                <w:rFonts w:eastAsia="Times New Roman" w:cs="Times New Roman"/>
                <w:i/>
                <w:iCs/>
                <w:szCs w:val="24"/>
              </w:rPr>
              <w:t>- Balance of primary incomes and transfers</w:t>
            </w:r>
            <w:bookmarkEnd w:id="59"/>
          </w:p>
        </w:tc>
        <w:tc>
          <w:tcPr>
            <w:tcW w:w="1330" w:type="dxa"/>
            <w:tcBorders>
              <w:top w:val="nil"/>
              <w:left w:val="nil"/>
              <w:bottom w:val="dotted" w:sz="4" w:space="0" w:color="auto"/>
              <w:right w:val="single" w:sz="8" w:space="0" w:color="auto"/>
            </w:tcBorders>
            <w:shd w:val="clear" w:color="000000" w:fill="FFFFFF"/>
            <w:vAlign w:val="center"/>
            <w:hideMark/>
          </w:tcPr>
          <w:p w14:paraId="5D6F29AE" w14:textId="77777777" w:rsidR="00200092" w:rsidRPr="00200092" w:rsidRDefault="00200092" w:rsidP="00200092">
            <w:pPr>
              <w:spacing w:after="0"/>
              <w:jc w:val="center"/>
              <w:rPr>
                <w:rFonts w:eastAsia="Times New Roman" w:cs="Times New Roman"/>
                <w:i/>
                <w:iCs/>
                <w:szCs w:val="24"/>
              </w:rPr>
            </w:pPr>
            <w:r w:rsidRPr="00200092">
              <w:rPr>
                <w:rFonts w:eastAsia="Times New Roman" w:cs="Times New Roman"/>
                <w:i/>
                <w:iCs/>
                <w:szCs w:val="24"/>
              </w:rPr>
              <w:t> </w:t>
            </w:r>
          </w:p>
        </w:tc>
        <w:tc>
          <w:tcPr>
            <w:tcW w:w="1330" w:type="dxa"/>
            <w:tcBorders>
              <w:top w:val="nil"/>
              <w:left w:val="nil"/>
              <w:bottom w:val="dotted" w:sz="4" w:space="0" w:color="auto"/>
              <w:right w:val="dotted" w:sz="4" w:space="0" w:color="auto"/>
            </w:tcBorders>
            <w:shd w:val="clear" w:color="000000" w:fill="FFFFFF"/>
            <w:vAlign w:val="center"/>
            <w:hideMark/>
          </w:tcPr>
          <w:p w14:paraId="0C9EF2CC"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2,3</w:t>
            </w:r>
          </w:p>
        </w:tc>
        <w:tc>
          <w:tcPr>
            <w:tcW w:w="1330" w:type="dxa"/>
            <w:tcBorders>
              <w:top w:val="nil"/>
              <w:left w:val="nil"/>
              <w:bottom w:val="dotted" w:sz="4" w:space="0" w:color="auto"/>
              <w:right w:val="dotted" w:sz="4" w:space="0" w:color="auto"/>
            </w:tcBorders>
            <w:shd w:val="clear" w:color="000000" w:fill="FFFFFF"/>
            <w:vAlign w:val="center"/>
            <w:hideMark/>
          </w:tcPr>
          <w:p w14:paraId="48D535E1"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1,2</w:t>
            </w:r>
          </w:p>
        </w:tc>
        <w:tc>
          <w:tcPr>
            <w:tcW w:w="1330" w:type="dxa"/>
            <w:tcBorders>
              <w:top w:val="nil"/>
              <w:left w:val="nil"/>
              <w:bottom w:val="dotted" w:sz="4" w:space="0" w:color="auto"/>
              <w:right w:val="dotted" w:sz="4" w:space="0" w:color="auto"/>
            </w:tcBorders>
            <w:shd w:val="clear" w:color="000000" w:fill="FFFFFF"/>
            <w:vAlign w:val="center"/>
            <w:hideMark/>
          </w:tcPr>
          <w:p w14:paraId="3680D44D"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1,4</w:t>
            </w:r>
          </w:p>
        </w:tc>
        <w:tc>
          <w:tcPr>
            <w:tcW w:w="1330" w:type="dxa"/>
            <w:tcBorders>
              <w:top w:val="nil"/>
              <w:left w:val="nil"/>
              <w:bottom w:val="dotted" w:sz="4" w:space="0" w:color="auto"/>
              <w:right w:val="dotted" w:sz="4" w:space="0" w:color="auto"/>
            </w:tcBorders>
            <w:shd w:val="clear" w:color="000000" w:fill="FFFFFF"/>
            <w:vAlign w:val="center"/>
            <w:hideMark/>
          </w:tcPr>
          <w:p w14:paraId="075D6677"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1,2</w:t>
            </w:r>
          </w:p>
        </w:tc>
        <w:tc>
          <w:tcPr>
            <w:tcW w:w="1722" w:type="dxa"/>
            <w:tcBorders>
              <w:top w:val="nil"/>
              <w:left w:val="nil"/>
              <w:bottom w:val="dotted" w:sz="4" w:space="0" w:color="auto"/>
              <w:right w:val="double" w:sz="6" w:space="0" w:color="auto"/>
            </w:tcBorders>
            <w:shd w:val="clear" w:color="000000" w:fill="FFFFFF"/>
            <w:vAlign w:val="center"/>
            <w:hideMark/>
          </w:tcPr>
          <w:p w14:paraId="2530AA90"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0,9</w:t>
            </w:r>
          </w:p>
        </w:tc>
      </w:tr>
      <w:tr w:rsidR="00200092" w:rsidRPr="00200092" w14:paraId="1D610D0A" w14:textId="77777777" w:rsidTr="00200092">
        <w:trPr>
          <w:trHeight w:val="530"/>
        </w:trPr>
        <w:tc>
          <w:tcPr>
            <w:tcW w:w="7045" w:type="dxa"/>
            <w:tcBorders>
              <w:top w:val="nil"/>
              <w:left w:val="double" w:sz="6" w:space="0" w:color="auto"/>
              <w:bottom w:val="nil"/>
              <w:right w:val="dotted" w:sz="4" w:space="0" w:color="auto"/>
            </w:tcBorders>
            <w:shd w:val="clear" w:color="000000" w:fill="FFFFFF"/>
            <w:vAlign w:val="center"/>
            <w:hideMark/>
          </w:tcPr>
          <w:p w14:paraId="092D1F04" w14:textId="708F7451" w:rsidR="00200092" w:rsidRPr="00200092" w:rsidRDefault="00200092" w:rsidP="00200092">
            <w:pPr>
              <w:spacing w:after="0"/>
              <w:jc w:val="left"/>
              <w:rPr>
                <w:rFonts w:eastAsia="Times New Roman" w:cs="Times New Roman"/>
                <w:i/>
                <w:iCs/>
                <w:szCs w:val="24"/>
              </w:rPr>
            </w:pPr>
            <w:bookmarkStart w:id="60" w:name="RANGE!C10"/>
            <w:r w:rsidRPr="00200092">
              <w:rPr>
                <w:rFonts w:eastAsia="Times New Roman" w:cs="Times New Roman"/>
                <w:i/>
                <w:iCs/>
                <w:szCs w:val="24"/>
              </w:rPr>
              <w:t>- Capital account</w:t>
            </w:r>
            <w:bookmarkEnd w:id="60"/>
          </w:p>
        </w:tc>
        <w:tc>
          <w:tcPr>
            <w:tcW w:w="1330" w:type="dxa"/>
            <w:tcBorders>
              <w:top w:val="nil"/>
              <w:left w:val="nil"/>
              <w:bottom w:val="nil"/>
              <w:right w:val="single" w:sz="8" w:space="0" w:color="auto"/>
            </w:tcBorders>
            <w:shd w:val="clear" w:color="000000" w:fill="FFFFFF"/>
            <w:vAlign w:val="center"/>
            <w:hideMark/>
          </w:tcPr>
          <w:p w14:paraId="230B9ADF" w14:textId="77777777" w:rsidR="00200092" w:rsidRPr="00200092" w:rsidRDefault="00200092" w:rsidP="00200092">
            <w:pPr>
              <w:spacing w:after="0"/>
              <w:jc w:val="center"/>
              <w:rPr>
                <w:rFonts w:eastAsia="Times New Roman" w:cs="Times New Roman"/>
                <w:i/>
                <w:iCs/>
                <w:szCs w:val="24"/>
              </w:rPr>
            </w:pPr>
            <w:r w:rsidRPr="00200092">
              <w:rPr>
                <w:rFonts w:eastAsia="Times New Roman" w:cs="Times New Roman"/>
                <w:i/>
                <w:iCs/>
                <w:szCs w:val="24"/>
              </w:rPr>
              <w:t> </w:t>
            </w:r>
          </w:p>
        </w:tc>
        <w:tc>
          <w:tcPr>
            <w:tcW w:w="1330" w:type="dxa"/>
            <w:tcBorders>
              <w:top w:val="nil"/>
              <w:left w:val="nil"/>
              <w:bottom w:val="single" w:sz="4" w:space="0" w:color="auto"/>
              <w:right w:val="dotted" w:sz="4" w:space="0" w:color="auto"/>
            </w:tcBorders>
            <w:shd w:val="clear" w:color="000000" w:fill="FFFFFF"/>
            <w:vAlign w:val="center"/>
            <w:hideMark/>
          </w:tcPr>
          <w:p w14:paraId="0F411C41"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0,0</w:t>
            </w:r>
          </w:p>
        </w:tc>
        <w:tc>
          <w:tcPr>
            <w:tcW w:w="1330" w:type="dxa"/>
            <w:tcBorders>
              <w:top w:val="nil"/>
              <w:left w:val="nil"/>
              <w:bottom w:val="single" w:sz="4" w:space="0" w:color="auto"/>
              <w:right w:val="dotted" w:sz="4" w:space="0" w:color="auto"/>
            </w:tcBorders>
            <w:shd w:val="clear" w:color="000000" w:fill="FFFFFF"/>
            <w:vAlign w:val="center"/>
            <w:hideMark/>
          </w:tcPr>
          <w:p w14:paraId="4FE5A8C7"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0,0</w:t>
            </w:r>
          </w:p>
        </w:tc>
        <w:tc>
          <w:tcPr>
            <w:tcW w:w="1330" w:type="dxa"/>
            <w:tcBorders>
              <w:top w:val="nil"/>
              <w:left w:val="nil"/>
              <w:bottom w:val="single" w:sz="4" w:space="0" w:color="auto"/>
              <w:right w:val="dotted" w:sz="4" w:space="0" w:color="auto"/>
            </w:tcBorders>
            <w:shd w:val="clear" w:color="000000" w:fill="FFFFFF"/>
            <w:vAlign w:val="center"/>
            <w:hideMark/>
          </w:tcPr>
          <w:p w14:paraId="3888B8DA"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0,0</w:t>
            </w:r>
          </w:p>
        </w:tc>
        <w:tc>
          <w:tcPr>
            <w:tcW w:w="1330" w:type="dxa"/>
            <w:tcBorders>
              <w:top w:val="nil"/>
              <w:left w:val="nil"/>
              <w:bottom w:val="single" w:sz="4" w:space="0" w:color="auto"/>
              <w:right w:val="dotted" w:sz="4" w:space="0" w:color="auto"/>
            </w:tcBorders>
            <w:shd w:val="clear" w:color="000000" w:fill="FFFFFF"/>
            <w:vAlign w:val="center"/>
            <w:hideMark/>
          </w:tcPr>
          <w:p w14:paraId="702865E0"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0,0</w:t>
            </w:r>
          </w:p>
        </w:tc>
        <w:tc>
          <w:tcPr>
            <w:tcW w:w="1722" w:type="dxa"/>
            <w:tcBorders>
              <w:top w:val="nil"/>
              <w:left w:val="nil"/>
              <w:bottom w:val="single" w:sz="4" w:space="0" w:color="auto"/>
              <w:right w:val="double" w:sz="6" w:space="0" w:color="auto"/>
            </w:tcBorders>
            <w:shd w:val="clear" w:color="000000" w:fill="FFFFFF"/>
            <w:vAlign w:val="center"/>
            <w:hideMark/>
          </w:tcPr>
          <w:p w14:paraId="58D924AE"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0,0</w:t>
            </w:r>
          </w:p>
        </w:tc>
      </w:tr>
      <w:tr w:rsidR="00200092" w:rsidRPr="00200092" w14:paraId="6B840540" w14:textId="77777777" w:rsidTr="00200092">
        <w:trPr>
          <w:trHeight w:val="530"/>
        </w:trPr>
        <w:tc>
          <w:tcPr>
            <w:tcW w:w="7045" w:type="dxa"/>
            <w:tcBorders>
              <w:top w:val="single" w:sz="4" w:space="0" w:color="auto"/>
              <w:left w:val="double" w:sz="6" w:space="0" w:color="auto"/>
              <w:bottom w:val="dotted" w:sz="4" w:space="0" w:color="auto"/>
              <w:right w:val="dotted" w:sz="4" w:space="0" w:color="auto"/>
            </w:tcBorders>
            <w:shd w:val="clear" w:color="000000" w:fill="FFFFFF"/>
            <w:vAlign w:val="center"/>
            <w:hideMark/>
          </w:tcPr>
          <w:p w14:paraId="2F3E0CB4" w14:textId="42EA78DF" w:rsidR="00200092" w:rsidRPr="00200092" w:rsidRDefault="00200092" w:rsidP="00200092">
            <w:pPr>
              <w:spacing w:after="0"/>
              <w:jc w:val="left"/>
              <w:rPr>
                <w:rFonts w:eastAsia="Times New Roman" w:cs="Times New Roman"/>
                <w:szCs w:val="24"/>
              </w:rPr>
            </w:pPr>
            <w:bookmarkStart w:id="61" w:name="RANGE!C11"/>
            <w:r w:rsidRPr="00200092">
              <w:rPr>
                <w:rFonts w:eastAsia="Times New Roman" w:cs="Times New Roman"/>
                <w:szCs w:val="24"/>
              </w:rPr>
              <w:t xml:space="preserve">2. Net lending/borrowing of the private sector </w:t>
            </w:r>
            <w:bookmarkEnd w:id="61"/>
          </w:p>
        </w:tc>
        <w:tc>
          <w:tcPr>
            <w:tcW w:w="1330" w:type="dxa"/>
            <w:tcBorders>
              <w:top w:val="single" w:sz="4" w:space="0" w:color="auto"/>
              <w:left w:val="nil"/>
              <w:bottom w:val="dotted" w:sz="4" w:space="0" w:color="auto"/>
              <w:right w:val="single" w:sz="8" w:space="0" w:color="auto"/>
            </w:tcBorders>
            <w:shd w:val="clear" w:color="000000" w:fill="FFFFFF"/>
            <w:vAlign w:val="center"/>
            <w:hideMark/>
          </w:tcPr>
          <w:p w14:paraId="7A7A2795"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B.9/ EDP B.9</w:t>
            </w:r>
          </w:p>
        </w:tc>
        <w:tc>
          <w:tcPr>
            <w:tcW w:w="1330" w:type="dxa"/>
            <w:tcBorders>
              <w:top w:val="nil"/>
              <w:left w:val="nil"/>
              <w:bottom w:val="dotted" w:sz="4" w:space="0" w:color="auto"/>
              <w:right w:val="dotted" w:sz="4" w:space="0" w:color="auto"/>
            </w:tcBorders>
            <w:shd w:val="clear" w:color="000000" w:fill="FFFFFF"/>
            <w:vAlign w:val="center"/>
            <w:hideMark/>
          </w:tcPr>
          <w:p w14:paraId="3B4D894C"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-0,3</w:t>
            </w:r>
          </w:p>
        </w:tc>
        <w:tc>
          <w:tcPr>
            <w:tcW w:w="1330" w:type="dxa"/>
            <w:tcBorders>
              <w:top w:val="nil"/>
              <w:left w:val="nil"/>
              <w:bottom w:val="dotted" w:sz="4" w:space="0" w:color="auto"/>
              <w:right w:val="dotted" w:sz="4" w:space="0" w:color="auto"/>
            </w:tcBorders>
            <w:shd w:val="clear" w:color="000000" w:fill="FFFFFF"/>
            <w:vAlign w:val="center"/>
            <w:hideMark/>
          </w:tcPr>
          <w:p w14:paraId="2899005A"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-2,0</w:t>
            </w:r>
          </w:p>
        </w:tc>
        <w:tc>
          <w:tcPr>
            <w:tcW w:w="1330" w:type="dxa"/>
            <w:tcBorders>
              <w:top w:val="nil"/>
              <w:left w:val="nil"/>
              <w:bottom w:val="dotted" w:sz="4" w:space="0" w:color="auto"/>
              <w:right w:val="dotted" w:sz="4" w:space="0" w:color="auto"/>
            </w:tcBorders>
            <w:shd w:val="clear" w:color="000000" w:fill="FFFFFF"/>
            <w:vAlign w:val="center"/>
            <w:hideMark/>
          </w:tcPr>
          <w:p w14:paraId="10AF4B13"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-1,9</w:t>
            </w:r>
          </w:p>
        </w:tc>
        <w:tc>
          <w:tcPr>
            <w:tcW w:w="1330" w:type="dxa"/>
            <w:tcBorders>
              <w:top w:val="nil"/>
              <w:left w:val="nil"/>
              <w:bottom w:val="dotted" w:sz="4" w:space="0" w:color="auto"/>
              <w:right w:val="dotted" w:sz="4" w:space="0" w:color="auto"/>
            </w:tcBorders>
            <w:shd w:val="clear" w:color="000000" w:fill="FFFFFF"/>
            <w:vAlign w:val="center"/>
            <w:hideMark/>
          </w:tcPr>
          <w:p w14:paraId="2FDFCB3B"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-2,3</w:t>
            </w:r>
          </w:p>
        </w:tc>
        <w:tc>
          <w:tcPr>
            <w:tcW w:w="1722" w:type="dxa"/>
            <w:tcBorders>
              <w:top w:val="nil"/>
              <w:left w:val="nil"/>
              <w:bottom w:val="dotted" w:sz="4" w:space="0" w:color="auto"/>
              <w:right w:val="double" w:sz="6" w:space="0" w:color="auto"/>
            </w:tcBorders>
            <w:shd w:val="clear" w:color="000000" w:fill="FFFFFF"/>
            <w:vAlign w:val="center"/>
            <w:hideMark/>
          </w:tcPr>
          <w:p w14:paraId="37845A2B"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-1,1</w:t>
            </w:r>
          </w:p>
        </w:tc>
      </w:tr>
      <w:tr w:rsidR="00200092" w:rsidRPr="00200092" w14:paraId="2DD5A26C" w14:textId="77777777" w:rsidTr="00200092">
        <w:trPr>
          <w:trHeight w:val="530"/>
        </w:trPr>
        <w:tc>
          <w:tcPr>
            <w:tcW w:w="7045" w:type="dxa"/>
            <w:tcBorders>
              <w:top w:val="nil"/>
              <w:left w:val="double" w:sz="6" w:space="0" w:color="auto"/>
              <w:bottom w:val="nil"/>
              <w:right w:val="dotted" w:sz="4" w:space="0" w:color="auto"/>
            </w:tcBorders>
            <w:shd w:val="clear" w:color="000000" w:fill="FFFFFF"/>
            <w:vAlign w:val="center"/>
            <w:hideMark/>
          </w:tcPr>
          <w:p w14:paraId="42CA5C17" w14:textId="77777777" w:rsidR="00200092" w:rsidRPr="00200092" w:rsidRDefault="00200092" w:rsidP="00200092">
            <w:pPr>
              <w:spacing w:after="0"/>
              <w:jc w:val="left"/>
              <w:rPr>
                <w:rFonts w:eastAsia="Times New Roman" w:cs="Times New Roman"/>
                <w:szCs w:val="24"/>
              </w:rPr>
            </w:pPr>
            <w:r w:rsidRPr="00200092">
              <w:rPr>
                <w:rFonts w:eastAsia="Times New Roman" w:cs="Times New Roman"/>
                <w:szCs w:val="24"/>
              </w:rPr>
              <w:t xml:space="preserve">3. Net lending/borrowing of general government </w:t>
            </w:r>
          </w:p>
        </w:tc>
        <w:tc>
          <w:tcPr>
            <w:tcW w:w="1330" w:type="dxa"/>
            <w:tcBorders>
              <w:top w:val="nil"/>
              <w:left w:val="nil"/>
              <w:bottom w:val="nil"/>
              <w:right w:val="single" w:sz="8" w:space="0" w:color="auto"/>
            </w:tcBorders>
            <w:shd w:val="clear" w:color="000000" w:fill="FFFFFF"/>
            <w:vAlign w:val="center"/>
            <w:hideMark/>
          </w:tcPr>
          <w:p w14:paraId="683BB14D"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 </w:t>
            </w:r>
          </w:p>
        </w:tc>
        <w:tc>
          <w:tcPr>
            <w:tcW w:w="1330" w:type="dxa"/>
            <w:tcBorders>
              <w:top w:val="nil"/>
              <w:left w:val="nil"/>
              <w:bottom w:val="single" w:sz="4" w:space="0" w:color="auto"/>
              <w:right w:val="dotted" w:sz="4" w:space="0" w:color="auto"/>
            </w:tcBorders>
            <w:shd w:val="clear" w:color="000000" w:fill="FFFFFF"/>
            <w:vAlign w:val="center"/>
            <w:hideMark/>
          </w:tcPr>
          <w:p w14:paraId="550DB3BC"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-2,1</w:t>
            </w:r>
          </w:p>
        </w:tc>
        <w:tc>
          <w:tcPr>
            <w:tcW w:w="1330" w:type="dxa"/>
            <w:tcBorders>
              <w:top w:val="nil"/>
              <w:left w:val="nil"/>
              <w:bottom w:val="single" w:sz="4" w:space="0" w:color="auto"/>
              <w:right w:val="dotted" w:sz="4" w:space="0" w:color="auto"/>
            </w:tcBorders>
            <w:shd w:val="clear" w:color="000000" w:fill="FFFFFF"/>
            <w:vAlign w:val="center"/>
            <w:hideMark/>
          </w:tcPr>
          <w:p w14:paraId="09B50832"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-2,7</w:t>
            </w:r>
          </w:p>
        </w:tc>
        <w:tc>
          <w:tcPr>
            <w:tcW w:w="1330" w:type="dxa"/>
            <w:tcBorders>
              <w:top w:val="nil"/>
              <w:left w:val="nil"/>
              <w:bottom w:val="single" w:sz="4" w:space="0" w:color="auto"/>
              <w:right w:val="dotted" w:sz="4" w:space="0" w:color="auto"/>
            </w:tcBorders>
            <w:shd w:val="clear" w:color="000000" w:fill="FFFFFF"/>
            <w:vAlign w:val="center"/>
            <w:hideMark/>
          </w:tcPr>
          <w:p w14:paraId="010811ED"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-3,0</w:t>
            </w:r>
          </w:p>
        </w:tc>
        <w:tc>
          <w:tcPr>
            <w:tcW w:w="1330" w:type="dxa"/>
            <w:tcBorders>
              <w:top w:val="nil"/>
              <w:left w:val="nil"/>
              <w:bottom w:val="single" w:sz="4" w:space="0" w:color="auto"/>
              <w:right w:val="dotted" w:sz="4" w:space="0" w:color="auto"/>
            </w:tcBorders>
            <w:shd w:val="clear" w:color="000000" w:fill="FFFFFF"/>
            <w:vAlign w:val="center"/>
            <w:hideMark/>
          </w:tcPr>
          <w:p w14:paraId="2DA46792"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-3,0</w:t>
            </w:r>
          </w:p>
        </w:tc>
        <w:tc>
          <w:tcPr>
            <w:tcW w:w="1722" w:type="dxa"/>
            <w:tcBorders>
              <w:top w:val="nil"/>
              <w:left w:val="nil"/>
              <w:bottom w:val="single" w:sz="4" w:space="0" w:color="auto"/>
              <w:right w:val="double" w:sz="6" w:space="0" w:color="auto"/>
            </w:tcBorders>
            <w:shd w:val="clear" w:color="000000" w:fill="FFFFFF"/>
            <w:vAlign w:val="center"/>
            <w:hideMark/>
          </w:tcPr>
          <w:p w14:paraId="172627E8"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-3,0</w:t>
            </w:r>
          </w:p>
        </w:tc>
      </w:tr>
      <w:tr w:rsidR="00200092" w:rsidRPr="00200092" w14:paraId="15232AC8" w14:textId="77777777" w:rsidTr="00200092">
        <w:trPr>
          <w:trHeight w:val="530"/>
        </w:trPr>
        <w:tc>
          <w:tcPr>
            <w:tcW w:w="7045" w:type="dxa"/>
            <w:tcBorders>
              <w:top w:val="single" w:sz="4" w:space="0" w:color="auto"/>
              <w:left w:val="double" w:sz="6" w:space="0" w:color="auto"/>
              <w:bottom w:val="double" w:sz="6" w:space="0" w:color="auto"/>
              <w:right w:val="dotted" w:sz="4" w:space="0" w:color="auto"/>
            </w:tcBorders>
            <w:shd w:val="clear" w:color="000000" w:fill="FFFFFF"/>
            <w:vAlign w:val="center"/>
            <w:hideMark/>
          </w:tcPr>
          <w:p w14:paraId="77C4CEBA" w14:textId="77777777" w:rsidR="00200092" w:rsidRPr="00200092" w:rsidRDefault="00200092" w:rsidP="00200092">
            <w:pPr>
              <w:spacing w:after="0"/>
              <w:jc w:val="left"/>
              <w:rPr>
                <w:rFonts w:eastAsia="Times New Roman" w:cs="Times New Roman"/>
                <w:szCs w:val="24"/>
              </w:rPr>
            </w:pPr>
            <w:r w:rsidRPr="00200092">
              <w:rPr>
                <w:rFonts w:eastAsia="Times New Roman" w:cs="Times New Roman"/>
                <w:szCs w:val="24"/>
              </w:rPr>
              <w:t xml:space="preserve">4. Statistical discrepancy </w:t>
            </w:r>
          </w:p>
        </w:tc>
        <w:tc>
          <w:tcPr>
            <w:tcW w:w="1330" w:type="dxa"/>
            <w:tcBorders>
              <w:top w:val="single" w:sz="4" w:space="0" w:color="auto"/>
              <w:left w:val="nil"/>
              <w:bottom w:val="double" w:sz="6" w:space="0" w:color="auto"/>
              <w:right w:val="single" w:sz="8" w:space="0" w:color="auto"/>
            </w:tcBorders>
            <w:shd w:val="clear" w:color="000000" w:fill="FFFFFF"/>
            <w:vAlign w:val="center"/>
            <w:hideMark/>
          </w:tcPr>
          <w:p w14:paraId="543BB4AF" w14:textId="77777777" w:rsidR="00200092" w:rsidRPr="00200092" w:rsidRDefault="00200092" w:rsidP="00200092">
            <w:pPr>
              <w:spacing w:after="0"/>
              <w:jc w:val="center"/>
              <w:rPr>
                <w:rFonts w:eastAsia="Times New Roman" w:cs="Times New Roman"/>
                <w:szCs w:val="24"/>
              </w:rPr>
            </w:pPr>
            <w:r w:rsidRPr="00200092">
              <w:rPr>
                <w:rFonts w:eastAsia="Times New Roman" w:cs="Times New Roman"/>
                <w:szCs w:val="24"/>
              </w:rPr>
              <w:t> </w:t>
            </w:r>
          </w:p>
        </w:tc>
        <w:tc>
          <w:tcPr>
            <w:tcW w:w="1330" w:type="dxa"/>
            <w:tcBorders>
              <w:top w:val="nil"/>
              <w:left w:val="nil"/>
              <w:bottom w:val="double" w:sz="6" w:space="0" w:color="auto"/>
              <w:right w:val="dotted" w:sz="4" w:space="0" w:color="auto"/>
            </w:tcBorders>
            <w:shd w:val="clear" w:color="000000" w:fill="FFFFFF"/>
            <w:vAlign w:val="center"/>
            <w:hideMark/>
          </w:tcPr>
          <w:p w14:paraId="118F9098"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0,0</w:t>
            </w:r>
          </w:p>
        </w:tc>
        <w:tc>
          <w:tcPr>
            <w:tcW w:w="1330" w:type="dxa"/>
            <w:tcBorders>
              <w:top w:val="nil"/>
              <w:left w:val="nil"/>
              <w:bottom w:val="double" w:sz="6" w:space="0" w:color="auto"/>
              <w:right w:val="dotted" w:sz="4" w:space="0" w:color="auto"/>
            </w:tcBorders>
            <w:shd w:val="clear" w:color="000000" w:fill="FFFFFF"/>
            <w:vAlign w:val="center"/>
            <w:hideMark/>
          </w:tcPr>
          <w:p w14:paraId="4BAAC3BA"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0,0</w:t>
            </w:r>
          </w:p>
        </w:tc>
        <w:tc>
          <w:tcPr>
            <w:tcW w:w="1330" w:type="dxa"/>
            <w:tcBorders>
              <w:top w:val="nil"/>
              <w:left w:val="nil"/>
              <w:bottom w:val="double" w:sz="6" w:space="0" w:color="auto"/>
              <w:right w:val="dotted" w:sz="4" w:space="0" w:color="auto"/>
            </w:tcBorders>
            <w:shd w:val="clear" w:color="000000" w:fill="FFFFFF"/>
            <w:vAlign w:val="center"/>
            <w:hideMark/>
          </w:tcPr>
          <w:p w14:paraId="71238C5C"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0,0</w:t>
            </w:r>
          </w:p>
        </w:tc>
        <w:tc>
          <w:tcPr>
            <w:tcW w:w="1330" w:type="dxa"/>
            <w:tcBorders>
              <w:top w:val="nil"/>
              <w:left w:val="nil"/>
              <w:bottom w:val="double" w:sz="6" w:space="0" w:color="auto"/>
              <w:right w:val="dotted" w:sz="4" w:space="0" w:color="auto"/>
            </w:tcBorders>
            <w:shd w:val="clear" w:color="000000" w:fill="FFFFFF"/>
            <w:vAlign w:val="center"/>
            <w:hideMark/>
          </w:tcPr>
          <w:p w14:paraId="7BCCA4CC"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0,0</w:t>
            </w:r>
          </w:p>
        </w:tc>
        <w:tc>
          <w:tcPr>
            <w:tcW w:w="1722" w:type="dxa"/>
            <w:tcBorders>
              <w:top w:val="nil"/>
              <w:left w:val="nil"/>
              <w:bottom w:val="double" w:sz="6" w:space="0" w:color="auto"/>
              <w:right w:val="double" w:sz="6" w:space="0" w:color="auto"/>
            </w:tcBorders>
            <w:shd w:val="clear" w:color="000000" w:fill="FFFFFF"/>
            <w:vAlign w:val="center"/>
            <w:hideMark/>
          </w:tcPr>
          <w:p w14:paraId="74DB1E37" w14:textId="77777777" w:rsidR="00200092" w:rsidRPr="00200092" w:rsidRDefault="00200092" w:rsidP="00200092">
            <w:pPr>
              <w:spacing w:after="0"/>
              <w:jc w:val="right"/>
              <w:rPr>
                <w:rFonts w:eastAsia="Times New Roman" w:cs="Times New Roman"/>
                <w:szCs w:val="24"/>
              </w:rPr>
            </w:pPr>
            <w:r w:rsidRPr="00200092">
              <w:rPr>
                <w:rFonts w:eastAsia="Times New Roman" w:cs="Times New Roman"/>
                <w:szCs w:val="24"/>
              </w:rPr>
              <w:t>0,0</w:t>
            </w:r>
          </w:p>
        </w:tc>
      </w:tr>
    </w:tbl>
    <w:p w14:paraId="28B37765" w14:textId="38438DC3" w:rsidR="00200092" w:rsidRDefault="00200092" w:rsidP="00200092">
      <w:pPr>
        <w:jc w:val="left"/>
      </w:pPr>
      <w:r>
        <w:fldChar w:fldCharType="end"/>
      </w:r>
    </w:p>
    <w:p w14:paraId="0342DCA6" w14:textId="77777777" w:rsidR="00200092" w:rsidRPr="00200092" w:rsidRDefault="00200092" w:rsidP="00200092">
      <w:r w:rsidRPr="00200092">
        <w:t>Table 1e:  GDP, investment and gross value added</w:t>
      </w:r>
    </w:p>
    <w:p w14:paraId="5F0D3C88" w14:textId="7A02EBDB" w:rsidR="00200092" w:rsidRDefault="00200092" w:rsidP="00200092">
      <w:pPr>
        <w:tabs>
          <w:tab w:val="left" w:pos="857"/>
        </w:tabs>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"Tab1e-GDP, I, VA!R5C3:R14C9" </w:instrText>
      </w:r>
      <w:r>
        <w:instrText xml:space="preserve">\a \f 4 \h  \* MERGEFORMAT </w:instrText>
      </w:r>
      <w:r>
        <w:fldChar w:fldCharType="separate"/>
      </w:r>
    </w:p>
    <w:tbl>
      <w:tblPr>
        <w:tblW w:w="15426" w:type="dxa"/>
        <w:tblLook w:val="04A0" w:firstRow="1" w:lastRow="0" w:firstColumn="1" w:lastColumn="0" w:noHBand="0" w:noVBand="1"/>
      </w:tblPr>
      <w:tblGrid>
        <w:gridCol w:w="7239"/>
        <w:gridCol w:w="1342"/>
        <w:gridCol w:w="1474"/>
        <w:gridCol w:w="1342"/>
        <w:gridCol w:w="1342"/>
        <w:gridCol w:w="1342"/>
        <w:gridCol w:w="1345"/>
      </w:tblGrid>
      <w:tr w:rsidR="00200092" w:rsidRPr="00200092" w14:paraId="795C65A3" w14:textId="77777777" w:rsidTr="00200092">
        <w:trPr>
          <w:trHeight w:val="260"/>
        </w:trPr>
        <w:tc>
          <w:tcPr>
            <w:tcW w:w="7239" w:type="dxa"/>
            <w:tcBorders>
              <w:top w:val="double" w:sz="6" w:space="0" w:color="auto"/>
              <w:left w:val="double" w:sz="6" w:space="0" w:color="auto"/>
              <w:bottom w:val="nil"/>
              <w:right w:val="dotted" w:sz="4" w:space="0" w:color="auto"/>
            </w:tcBorders>
            <w:shd w:val="clear" w:color="000000" w:fill="FFFFFF"/>
            <w:vAlign w:val="bottom"/>
            <w:hideMark/>
          </w:tcPr>
          <w:p w14:paraId="5754FD8D" w14:textId="234311C3" w:rsidR="00200092" w:rsidRPr="00200092" w:rsidRDefault="00200092" w:rsidP="00200092">
            <w:pPr>
              <w:spacing w:after="0"/>
              <w:jc w:val="left"/>
              <w:rPr>
                <w:rFonts w:eastAsia="Times New Roman" w:cs="Times New Roman"/>
                <w:sz w:val="20"/>
                <w:szCs w:val="20"/>
              </w:rPr>
            </w:pPr>
            <w:r w:rsidRPr="00200092">
              <w:rPr>
                <w:rFonts w:eastAsia="Times New Roman" w:cs="Times New Roman"/>
                <w:sz w:val="20"/>
                <w:szCs w:val="20"/>
              </w:rPr>
              <w:t> </w:t>
            </w:r>
          </w:p>
        </w:tc>
        <w:tc>
          <w:tcPr>
            <w:tcW w:w="1342" w:type="dxa"/>
            <w:tcBorders>
              <w:top w:val="double" w:sz="6" w:space="0" w:color="auto"/>
              <w:left w:val="nil"/>
              <w:bottom w:val="nil"/>
              <w:right w:val="double" w:sz="6" w:space="0" w:color="auto"/>
            </w:tcBorders>
            <w:shd w:val="clear" w:color="000000" w:fill="FFFFFF"/>
            <w:vAlign w:val="bottom"/>
            <w:hideMark/>
          </w:tcPr>
          <w:p w14:paraId="728FE449" w14:textId="77777777" w:rsidR="00200092" w:rsidRPr="00200092" w:rsidRDefault="00200092" w:rsidP="00200092">
            <w:pPr>
              <w:spacing w:after="0"/>
              <w:jc w:val="left"/>
              <w:rPr>
                <w:rFonts w:eastAsia="Times New Roman" w:cs="Times New Roman"/>
                <w:sz w:val="20"/>
                <w:szCs w:val="20"/>
              </w:rPr>
            </w:pPr>
            <w:r w:rsidRPr="00200092">
              <w:rPr>
                <w:rFonts w:eastAsia="Times New Roman" w:cs="Times New Roman"/>
                <w:sz w:val="20"/>
                <w:szCs w:val="20"/>
              </w:rPr>
              <w:t>ESA Code</w:t>
            </w:r>
          </w:p>
        </w:tc>
        <w:tc>
          <w:tcPr>
            <w:tcW w:w="1474" w:type="dxa"/>
            <w:tcBorders>
              <w:top w:val="double" w:sz="6" w:space="0" w:color="auto"/>
              <w:left w:val="nil"/>
              <w:bottom w:val="nil"/>
              <w:right w:val="dotted" w:sz="4" w:space="0" w:color="auto"/>
            </w:tcBorders>
            <w:shd w:val="clear" w:color="000000" w:fill="FFFFFF"/>
            <w:hideMark/>
          </w:tcPr>
          <w:p w14:paraId="1535AB19"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Year</w:t>
            </w:r>
          </w:p>
        </w:tc>
        <w:tc>
          <w:tcPr>
            <w:tcW w:w="1342" w:type="dxa"/>
            <w:tcBorders>
              <w:top w:val="double" w:sz="6" w:space="0" w:color="auto"/>
              <w:left w:val="nil"/>
              <w:bottom w:val="nil"/>
              <w:right w:val="dotted" w:sz="4" w:space="0" w:color="auto"/>
            </w:tcBorders>
            <w:shd w:val="clear" w:color="000000" w:fill="FFFFFF"/>
            <w:hideMark/>
          </w:tcPr>
          <w:p w14:paraId="46F1AB2F"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Year</w:t>
            </w:r>
          </w:p>
        </w:tc>
        <w:tc>
          <w:tcPr>
            <w:tcW w:w="1342" w:type="dxa"/>
            <w:tcBorders>
              <w:top w:val="double" w:sz="6" w:space="0" w:color="auto"/>
              <w:left w:val="nil"/>
              <w:bottom w:val="nil"/>
              <w:right w:val="dotted" w:sz="4" w:space="0" w:color="auto"/>
            </w:tcBorders>
            <w:shd w:val="clear" w:color="000000" w:fill="FFFFFF"/>
            <w:hideMark/>
          </w:tcPr>
          <w:p w14:paraId="40410064"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Year</w:t>
            </w:r>
          </w:p>
        </w:tc>
        <w:tc>
          <w:tcPr>
            <w:tcW w:w="1342" w:type="dxa"/>
            <w:tcBorders>
              <w:top w:val="double" w:sz="6" w:space="0" w:color="auto"/>
              <w:left w:val="nil"/>
              <w:bottom w:val="nil"/>
              <w:right w:val="dotted" w:sz="4" w:space="0" w:color="auto"/>
            </w:tcBorders>
            <w:shd w:val="clear" w:color="000000" w:fill="FFFFFF"/>
            <w:hideMark/>
          </w:tcPr>
          <w:p w14:paraId="18B8DFC3"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Year</w:t>
            </w:r>
          </w:p>
        </w:tc>
        <w:tc>
          <w:tcPr>
            <w:tcW w:w="1342" w:type="dxa"/>
            <w:tcBorders>
              <w:top w:val="double" w:sz="6" w:space="0" w:color="auto"/>
              <w:left w:val="nil"/>
              <w:bottom w:val="nil"/>
              <w:right w:val="double" w:sz="6" w:space="0" w:color="auto"/>
            </w:tcBorders>
            <w:shd w:val="clear" w:color="000000" w:fill="FFFFFF"/>
            <w:hideMark/>
          </w:tcPr>
          <w:p w14:paraId="076CF0BE"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Year</w:t>
            </w:r>
          </w:p>
        </w:tc>
      </w:tr>
      <w:tr w:rsidR="00200092" w:rsidRPr="00200092" w14:paraId="73F55421" w14:textId="77777777" w:rsidTr="00200092">
        <w:trPr>
          <w:trHeight w:val="252"/>
        </w:trPr>
        <w:tc>
          <w:tcPr>
            <w:tcW w:w="7239" w:type="dxa"/>
            <w:tcBorders>
              <w:top w:val="nil"/>
              <w:left w:val="double" w:sz="6" w:space="0" w:color="auto"/>
              <w:bottom w:val="nil"/>
              <w:right w:val="dotted" w:sz="4" w:space="0" w:color="auto"/>
            </w:tcBorders>
            <w:shd w:val="clear" w:color="000000" w:fill="FFFFFF"/>
            <w:vAlign w:val="bottom"/>
            <w:hideMark/>
          </w:tcPr>
          <w:p w14:paraId="68B41C64" w14:textId="77777777" w:rsidR="00200092" w:rsidRPr="00200092" w:rsidRDefault="00200092" w:rsidP="00200092">
            <w:pPr>
              <w:spacing w:after="0"/>
              <w:jc w:val="left"/>
              <w:rPr>
                <w:rFonts w:eastAsia="Times New Roman" w:cs="Times New Roman"/>
                <w:sz w:val="20"/>
                <w:szCs w:val="20"/>
              </w:rPr>
            </w:pPr>
            <w:r w:rsidRPr="00200092">
              <w:rPr>
                <w:rFonts w:eastAsia="Times New Roman" w:cs="Times New Roman"/>
                <w:sz w:val="20"/>
                <w:szCs w:val="20"/>
              </w:rPr>
              <w:t> </w:t>
            </w:r>
          </w:p>
        </w:tc>
        <w:tc>
          <w:tcPr>
            <w:tcW w:w="1342" w:type="dxa"/>
            <w:tcBorders>
              <w:top w:val="nil"/>
              <w:left w:val="nil"/>
              <w:bottom w:val="nil"/>
              <w:right w:val="double" w:sz="6" w:space="0" w:color="auto"/>
            </w:tcBorders>
            <w:shd w:val="clear" w:color="000000" w:fill="FFFFFF"/>
            <w:vAlign w:val="bottom"/>
            <w:hideMark/>
          </w:tcPr>
          <w:p w14:paraId="60B22408" w14:textId="77777777" w:rsidR="00200092" w:rsidRPr="00200092" w:rsidRDefault="00200092" w:rsidP="00200092">
            <w:pPr>
              <w:spacing w:after="0"/>
              <w:jc w:val="left"/>
              <w:rPr>
                <w:rFonts w:eastAsia="Times New Roman" w:cs="Times New Roman"/>
                <w:sz w:val="20"/>
                <w:szCs w:val="20"/>
              </w:rPr>
            </w:pPr>
            <w:r w:rsidRPr="00200092">
              <w:rPr>
                <w:rFonts w:eastAsia="Times New Roman" w:cs="Times New Roman"/>
                <w:sz w:val="20"/>
                <w:szCs w:val="20"/>
              </w:rPr>
              <w:t> </w:t>
            </w:r>
          </w:p>
        </w:tc>
        <w:tc>
          <w:tcPr>
            <w:tcW w:w="1474" w:type="dxa"/>
            <w:tcBorders>
              <w:top w:val="nil"/>
              <w:left w:val="nil"/>
              <w:bottom w:val="nil"/>
              <w:right w:val="dotted" w:sz="4" w:space="0" w:color="auto"/>
            </w:tcBorders>
            <w:shd w:val="clear" w:color="000000" w:fill="FFFFFF"/>
            <w:hideMark/>
          </w:tcPr>
          <w:p w14:paraId="2D1D42D7"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2023</w:t>
            </w:r>
          </w:p>
        </w:tc>
        <w:tc>
          <w:tcPr>
            <w:tcW w:w="1342" w:type="dxa"/>
            <w:tcBorders>
              <w:top w:val="nil"/>
              <w:left w:val="nil"/>
              <w:bottom w:val="nil"/>
              <w:right w:val="dotted" w:sz="4" w:space="0" w:color="auto"/>
            </w:tcBorders>
            <w:shd w:val="clear" w:color="000000" w:fill="FFFFFF"/>
            <w:hideMark/>
          </w:tcPr>
          <w:p w14:paraId="5699F637"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2024</w:t>
            </w:r>
          </w:p>
        </w:tc>
        <w:tc>
          <w:tcPr>
            <w:tcW w:w="1342" w:type="dxa"/>
            <w:tcBorders>
              <w:top w:val="nil"/>
              <w:left w:val="nil"/>
              <w:bottom w:val="nil"/>
              <w:right w:val="dotted" w:sz="4" w:space="0" w:color="auto"/>
            </w:tcBorders>
            <w:shd w:val="clear" w:color="000000" w:fill="FFFFFF"/>
            <w:hideMark/>
          </w:tcPr>
          <w:p w14:paraId="6B877A17"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2025</w:t>
            </w:r>
          </w:p>
        </w:tc>
        <w:tc>
          <w:tcPr>
            <w:tcW w:w="1342" w:type="dxa"/>
            <w:tcBorders>
              <w:top w:val="nil"/>
              <w:left w:val="nil"/>
              <w:bottom w:val="nil"/>
              <w:right w:val="dotted" w:sz="4" w:space="0" w:color="auto"/>
            </w:tcBorders>
            <w:shd w:val="clear" w:color="000000" w:fill="FFFFFF"/>
            <w:hideMark/>
          </w:tcPr>
          <w:p w14:paraId="4763A397"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2026</w:t>
            </w:r>
          </w:p>
        </w:tc>
        <w:tc>
          <w:tcPr>
            <w:tcW w:w="1342" w:type="dxa"/>
            <w:tcBorders>
              <w:top w:val="nil"/>
              <w:left w:val="nil"/>
              <w:bottom w:val="nil"/>
              <w:right w:val="double" w:sz="6" w:space="0" w:color="auto"/>
            </w:tcBorders>
            <w:shd w:val="clear" w:color="000000" w:fill="FFFFFF"/>
            <w:hideMark/>
          </w:tcPr>
          <w:p w14:paraId="5487AC99"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2027</w:t>
            </w:r>
          </w:p>
        </w:tc>
      </w:tr>
      <w:tr w:rsidR="00200092" w:rsidRPr="00200092" w14:paraId="6D17765C" w14:textId="77777777" w:rsidTr="00200092">
        <w:trPr>
          <w:trHeight w:val="243"/>
        </w:trPr>
        <w:tc>
          <w:tcPr>
            <w:tcW w:w="15426" w:type="dxa"/>
            <w:gridSpan w:val="7"/>
            <w:tcBorders>
              <w:top w:val="single" w:sz="4" w:space="0" w:color="auto"/>
              <w:left w:val="double" w:sz="6" w:space="0" w:color="auto"/>
              <w:bottom w:val="single" w:sz="4" w:space="0" w:color="auto"/>
              <w:right w:val="double" w:sz="6" w:space="0" w:color="000000"/>
            </w:tcBorders>
            <w:shd w:val="clear" w:color="000000" w:fill="FFFFFF"/>
            <w:vAlign w:val="bottom"/>
            <w:hideMark/>
          </w:tcPr>
          <w:p w14:paraId="25A95B12" w14:textId="77777777" w:rsidR="00200092" w:rsidRPr="00200092" w:rsidRDefault="00200092" w:rsidP="00200092">
            <w:pPr>
              <w:spacing w:after="0"/>
              <w:jc w:val="center"/>
              <w:rPr>
                <w:rFonts w:eastAsia="Times New Roman" w:cs="Times New Roman"/>
                <w:b/>
                <w:bCs/>
                <w:sz w:val="20"/>
                <w:szCs w:val="20"/>
              </w:rPr>
            </w:pPr>
            <w:r w:rsidRPr="00200092">
              <w:rPr>
                <w:rFonts w:eastAsia="Times New Roman" w:cs="Times New Roman"/>
                <w:b/>
                <w:bCs/>
                <w:sz w:val="20"/>
                <w:szCs w:val="20"/>
              </w:rPr>
              <w:t>GDP and investment</w:t>
            </w:r>
          </w:p>
        </w:tc>
      </w:tr>
      <w:tr w:rsidR="00200092" w:rsidRPr="00200092" w14:paraId="42B4930A" w14:textId="77777777" w:rsidTr="00200092">
        <w:trPr>
          <w:trHeight w:val="293"/>
        </w:trPr>
        <w:tc>
          <w:tcPr>
            <w:tcW w:w="7239" w:type="dxa"/>
            <w:tcBorders>
              <w:top w:val="nil"/>
              <w:left w:val="double" w:sz="6" w:space="0" w:color="auto"/>
              <w:bottom w:val="dotted" w:sz="4" w:space="0" w:color="auto"/>
              <w:right w:val="dotted" w:sz="4" w:space="0" w:color="auto"/>
            </w:tcBorders>
            <w:shd w:val="clear" w:color="000000" w:fill="FFFFFF"/>
            <w:vAlign w:val="bottom"/>
            <w:hideMark/>
          </w:tcPr>
          <w:p w14:paraId="3824A9CC" w14:textId="77777777" w:rsidR="00200092" w:rsidRPr="00200092" w:rsidRDefault="00200092" w:rsidP="00200092">
            <w:pPr>
              <w:spacing w:after="0"/>
              <w:jc w:val="left"/>
              <w:rPr>
                <w:rFonts w:eastAsia="Times New Roman" w:cs="Times New Roman"/>
                <w:sz w:val="20"/>
                <w:szCs w:val="20"/>
              </w:rPr>
            </w:pPr>
            <w:r w:rsidRPr="00200092">
              <w:rPr>
                <w:rFonts w:eastAsia="Times New Roman" w:cs="Times New Roman"/>
                <w:sz w:val="20"/>
                <w:szCs w:val="20"/>
              </w:rPr>
              <w:t xml:space="preserve">GDP </w:t>
            </w:r>
            <w:r w:rsidRPr="00200092">
              <w:rPr>
                <w:rFonts w:eastAsia="Times New Roman" w:cs="Times New Roman"/>
                <w:i/>
                <w:iCs/>
                <w:sz w:val="20"/>
                <w:szCs w:val="20"/>
              </w:rPr>
              <w:t>level</w:t>
            </w:r>
            <w:r w:rsidRPr="00200092">
              <w:rPr>
                <w:rFonts w:eastAsia="Times New Roman" w:cs="Times New Roman"/>
                <w:sz w:val="20"/>
                <w:szCs w:val="20"/>
              </w:rPr>
              <w:t xml:space="preserve"> at </w:t>
            </w:r>
            <w:r w:rsidRPr="00200092">
              <w:rPr>
                <w:rFonts w:eastAsia="Times New Roman" w:cs="Times New Roman"/>
                <w:i/>
                <w:iCs/>
                <w:sz w:val="20"/>
                <w:szCs w:val="20"/>
              </w:rPr>
              <w:t xml:space="preserve">current </w:t>
            </w:r>
            <w:r w:rsidRPr="00200092">
              <w:rPr>
                <w:rFonts w:eastAsia="Times New Roman" w:cs="Times New Roman"/>
                <w:sz w:val="20"/>
                <w:szCs w:val="20"/>
              </w:rPr>
              <w:t>market prices (in domestic currency)</w:t>
            </w:r>
          </w:p>
        </w:tc>
        <w:tc>
          <w:tcPr>
            <w:tcW w:w="1342" w:type="dxa"/>
            <w:tcBorders>
              <w:top w:val="nil"/>
              <w:left w:val="nil"/>
              <w:bottom w:val="dotted" w:sz="4" w:space="0" w:color="auto"/>
              <w:right w:val="nil"/>
            </w:tcBorders>
            <w:shd w:val="clear" w:color="000000" w:fill="FFFFFF"/>
            <w:vAlign w:val="bottom"/>
            <w:hideMark/>
          </w:tcPr>
          <w:p w14:paraId="7192D30B"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B1g</w:t>
            </w:r>
          </w:p>
        </w:tc>
        <w:tc>
          <w:tcPr>
            <w:tcW w:w="1474" w:type="dxa"/>
            <w:tcBorders>
              <w:top w:val="nil"/>
              <w:left w:val="double" w:sz="6" w:space="0" w:color="auto"/>
              <w:bottom w:val="dotted" w:sz="4" w:space="0" w:color="auto"/>
              <w:right w:val="dotted" w:sz="4" w:space="0" w:color="auto"/>
            </w:tcBorders>
            <w:shd w:val="clear" w:color="000000" w:fill="FFFFFF"/>
            <w:vAlign w:val="bottom"/>
            <w:hideMark/>
          </w:tcPr>
          <w:p w14:paraId="28B74854"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8.817,8</w:t>
            </w:r>
          </w:p>
        </w:tc>
        <w:tc>
          <w:tcPr>
            <w:tcW w:w="1342" w:type="dxa"/>
            <w:tcBorders>
              <w:top w:val="nil"/>
              <w:left w:val="nil"/>
              <w:bottom w:val="dotted" w:sz="4" w:space="0" w:color="auto"/>
              <w:right w:val="dotted" w:sz="4" w:space="0" w:color="auto"/>
            </w:tcBorders>
            <w:shd w:val="clear" w:color="000000" w:fill="FFFFFF"/>
            <w:vAlign w:val="bottom"/>
            <w:hideMark/>
          </w:tcPr>
          <w:p w14:paraId="1A5E97C2"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9.604,8</w:t>
            </w:r>
          </w:p>
        </w:tc>
        <w:tc>
          <w:tcPr>
            <w:tcW w:w="1342" w:type="dxa"/>
            <w:tcBorders>
              <w:top w:val="nil"/>
              <w:left w:val="nil"/>
              <w:bottom w:val="dotted" w:sz="4" w:space="0" w:color="auto"/>
              <w:right w:val="dotted" w:sz="4" w:space="0" w:color="auto"/>
            </w:tcBorders>
            <w:shd w:val="clear" w:color="000000" w:fill="FFFFFF"/>
            <w:vAlign w:val="bottom"/>
            <w:hideMark/>
          </w:tcPr>
          <w:p w14:paraId="39F0ADC4"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10.328,9</w:t>
            </w:r>
          </w:p>
        </w:tc>
        <w:tc>
          <w:tcPr>
            <w:tcW w:w="1342" w:type="dxa"/>
            <w:tcBorders>
              <w:top w:val="nil"/>
              <w:left w:val="nil"/>
              <w:bottom w:val="dotted" w:sz="4" w:space="0" w:color="auto"/>
              <w:right w:val="dotted" w:sz="4" w:space="0" w:color="auto"/>
            </w:tcBorders>
            <w:shd w:val="clear" w:color="000000" w:fill="FFFFFF"/>
            <w:vAlign w:val="bottom"/>
            <w:hideMark/>
          </w:tcPr>
          <w:p w14:paraId="61470C32"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11.087,6</w:t>
            </w:r>
          </w:p>
        </w:tc>
        <w:tc>
          <w:tcPr>
            <w:tcW w:w="1342" w:type="dxa"/>
            <w:tcBorders>
              <w:top w:val="nil"/>
              <w:left w:val="nil"/>
              <w:bottom w:val="dotted" w:sz="4" w:space="0" w:color="auto"/>
              <w:right w:val="double" w:sz="6" w:space="0" w:color="auto"/>
            </w:tcBorders>
            <w:shd w:val="clear" w:color="000000" w:fill="FFFFFF"/>
            <w:vAlign w:val="bottom"/>
            <w:hideMark/>
          </w:tcPr>
          <w:p w14:paraId="7DABCBC0"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11.993,1</w:t>
            </w:r>
          </w:p>
        </w:tc>
      </w:tr>
      <w:tr w:rsidR="00200092" w:rsidRPr="00200092" w14:paraId="2C7D8850" w14:textId="77777777" w:rsidTr="00200092">
        <w:trPr>
          <w:trHeight w:val="293"/>
        </w:trPr>
        <w:tc>
          <w:tcPr>
            <w:tcW w:w="7239" w:type="dxa"/>
            <w:tcBorders>
              <w:top w:val="nil"/>
              <w:left w:val="double" w:sz="6" w:space="0" w:color="auto"/>
              <w:bottom w:val="nil"/>
              <w:right w:val="dotted" w:sz="4" w:space="0" w:color="auto"/>
            </w:tcBorders>
            <w:shd w:val="clear" w:color="000000" w:fill="FFFFFF"/>
            <w:vAlign w:val="bottom"/>
            <w:hideMark/>
          </w:tcPr>
          <w:p w14:paraId="2479BE13" w14:textId="77777777" w:rsidR="00200092" w:rsidRPr="00200092" w:rsidRDefault="00200092" w:rsidP="00200092">
            <w:pPr>
              <w:spacing w:after="0"/>
              <w:jc w:val="left"/>
              <w:rPr>
                <w:rFonts w:eastAsia="Times New Roman" w:cs="Times New Roman"/>
                <w:sz w:val="20"/>
                <w:szCs w:val="20"/>
              </w:rPr>
            </w:pPr>
            <w:r w:rsidRPr="00200092">
              <w:rPr>
                <w:rFonts w:eastAsia="Times New Roman" w:cs="Times New Roman"/>
                <w:sz w:val="20"/>
                <w:szCs w:val="20"/>
              </w:rPr>
              <w:t>Investment ratio (% of GDP)</w:t>
            </w:r>
          </w:p>
        </w:tc>
        <w:tc>
          <w:tcPr>
            <w:tcW w:w="1342" w:type="dxa"/>
            <w:tcBorders>
              <w:top w:val="nil"/>
              <w:left w:val="nil"/>
              <w:bottom w:val="nil"/>
              <w:right w:val="nil"/>
            </w:tcBorders>
            <w:shd w:val="clear" w:color="000000" w:fill="FFFFFF"/>
            <w:vAlign w:val="bottom"/>
            <w:hideMark/>
          </w:tcPr>
          <w:p w14:paraId="6D7DB7C4"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 </w:t>
            </w:r>
          </w:p>
        </w:tc>
        <w:tc>
          <w:tcPr>
            <w:tcW w:w="1474" w:type="dxa"/>
            <w:tcBorders>
              <w:top w:val="nil"/>
              <w:left w:val="double" w:sz="6" w:space="0" w:color="auto"/>
              <w:bottom w:val="nil"/>
              <w:right w:val="dotted" w:sz="4" w:space="0" w:color="auto"/>
            </w:tcBorders>
            <w:shd w:val="clear" w:color="000000" w:fill="FFFFFF"/>
            <w:vAlign w:val="bottom"/>
            <w:hideMark/>
          </w:tcPr>
          <w:p w14:paraId="0AFFC461"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23,4</w:t>
            </w:r>
          </w:p>
        </w:tc>
        <w:tc>
          <w:tcPr>
            <w:tcW w:w="1342" w:type="dxa"/>
            <w:tcBorders>
              <w:top w:val="nil"/>
              <w:left w:val="nil"/>
              <w:bottom w:val="nil"/>
              <w:right w:val="dotted" w:sz="4" w:space="0" w:color="auto"/>
            </w:tcBorders>
            <w:shd w:val="clear" w:color="000000" w:fill="FFFFFF"/>
            <w:vAlign w:val="bottom"/>
            <w:hideMark/>
          </w:tcPr>
          <w:p w14:paraId="111D7F8E"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24,5</w:t>
            </w:r>
          </w:p>
        </w:tc>
        <w:tc>
          <w:tcPr>
            <w:tcW w:w="1342" w:type="dxa"/>
            <w:tcBorders>
              <w:top w:val="nil"/>
              <w:left w:val="nil"/>
              <w:bottom w:val="nil"/>
              <w:right w:val="dotted" w:sz="4" w:space="0" w:color="auto"/>
            </w:tcBorders>
            <w:shd w:val="clear" w:color="000000" w:fill="FFFFFF"/>
            <w:vAlign w:val="bottom"/>
            <w:hideMark/>
          </w:tcPr>
          <w:p w14:paraId="33B3148C"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25,4</w:t>
            </w:r>
          </w:p>
        </w:tc>
        <w:tc>
          <w:tcPr>
            <w:tcW w:w="1342" w:type="dxa"/>
            <w:tcBorders>
              <w:top w:val="nil"/>
              <w:left w:val="nil"/>
              <w:bottom w:val="nil"/>
              <w:right w:val="dotted" w:sz="4" w:space="0" w:color="auto"/>
            </w:tcBorders>
            <w:shd w:val="clear" w:color="000000" w:fill="FFFFFF"/>
            <w:vAlign w:val="bottom"/>
            <w:hideMark/>
          </w:tcPr>
          <w:p w14:paraId="78280DE8"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26,1</w:t>
            </w:r>
          </w:p>
        </w:tc>
        <w:tc>
          <w:tcPr>
            <w:tcW w:w="1342" w:type="dxa"/>
            <w:tcBorders>
              <w:top w:val="nil"/>
              <w:left w:val="nil"/>
              <w:bottom w:val="nil"/>
              <w:right w:val="double" w:sz="6" w:space="0" w:color="auto"/>
            </w:tcBorders>
            <w:shd w:val="clear" w:color="000000" w:fill="FFFFFF"/>
            <w:vAlign w:val="bottom"/>
            <w:hideMark/>
          </w:tcPr>
          <w:p w14:paraId="33AA6F53"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26,5</w:t>
            </w:r>
          </w:p>
        </w:tc>
      </w:tr>
      <w:tr w:rsidR="00200092" w:rsidRPr="00200092" w14:paraId="34F42C7B" w14:textId="77777777" w:rsidTr="00200092">
        <w:trPr>
          <w:trHeight w:val="293"/>
        </w:trPr>
        <w:tc>
          <w:tcPr>
            <w:tcW w:w="15426" w:type="dxa"/>
            <w:gridSpan w:val="7"/>
            <w:tcBorders>
              <w:top w:val="single" w:sz="4" w:space="0" w:color="auto"/>
              <w:left w:val="double" w:sz="6" w:space="0" w:color="auto"/>
              <w:bottom w:val="single" w:sz="4" w:space="0" w:color="auto"/>
              <w:right w:val="double" w:sz="6" w:space="0" w:color="000000"/>
            </w:tcBorders>
            <w:shd w:val="clear" w:color="000000" w:fill="FFFFFF"/>
            <w:vAlign w:val="bottom"/>
            <w:hideMark/>
          </w:tcPr>
          <w:p w14:paraId="66E331A3" w14:textId="77777777" w:rsidR="00200092" w:rsidRPr="00200092" w:rsidRDefault="00200092" w:rsidP="00200092">
            <w:pPr>
              <w:spacing w:after="0"/>
              <w:jc w:val="center"/>
              <w:rPr>
                <w:rFonts w:eastAsia="Times New Roman" w:cs="Times New Roman"/>
                <w:b/>
                <w:bCs/>
                <w:sz w:val="20"/>
                <w:szCs w:val="20"/>
              </w:rPr>
            </w:pPr>
            <w:r w:rsidRPr="00200092">
              <w:rPr>
                <w:rFonts w:eastAsia="Times New Roman" w:cs="Times New Roman"/>
                <w:b/>
                <w:bCs/>
                <w:sz w:val="20"/>
                <w:szCs w:val="20"/>
              </w:rPr>
              <w:t>Growth of Gross Value Added, percentage changes at constant prices</w:t>
            </w:r>
          </w:p>
        </w:tc>
      </w:tr>
      <w:tr w:rsidR="00200092" w:rsidRPr="00200092" w14:paraId="60EE2399" w14:textId="77777777" w:rsidTr="00200092">
        <w:trPr>
          <w:trHeight w:val="293"/>
        </w:trPr>
        <w:tc>
          <w:tcPr>
            <w:tcW w:w="7239" w:type="dxa"/>
            <w:tcBorders>
              <w:top w:val="nil"/>
              <w:left w:val="double" w:sz="6" w:space="0" w:color="auto"/>
              <w:bottom w:val="dotted" w:sz="4" w:space="0" w:color="auto"/>
              <w:right w:val="dotted" w:sz="4" w:space="0" w:color="auto"/>
            </w:tcBorders>
            <w:shd w:val="clear" w:color="000000" w:fill="FFFFFF"/>
            <w:vAlign w:val="bottom"/>
            <w:hideMark/>
          </w:tcPr>
          <w:p w14:paraId="165B449A" w14:textId="77777777" w:rsidR="00200092" w:rsidRPr="00200092" w:rsidRDefault="00200092" w:rsidP="00200092">
            <w:pPr>
              <w:spacing w:after="0"/>
              <w:jc w:val="left"/>
              <w:rPr>
                <w:rFonts w:eastAsia="Times New Roman" w:cs="Times New Roman"/>
                <w:sz w:val="20"/>
                <w:szCs w:val="20"/>
              </w:rPr>
            </w:pPr>
            <w:r w:rsidRPr="00200092">
              <w:rPr>
                <w:rFonts w:eastAsia="Times New Roman" w:cs="Times New Roman"/>
                <w:sz w:val="20"/>
                <w:szCs w:val="20"/>
              </w:rPr>
              <w:t xml:space="preserve">1. Agriculture </w:t>
            </w:r>
          </w:p>
        </w:tc>
        <w:tc>
          <w:tcPr>
            <w:tcW w:w="1342" w:type="dxa"/>
            <w:tcBorders>
              <w:top w:val="nil"/>
              <w:left w:val="nil"/>
              <w:bottom w:val="dotted" w:sz="4" w:space="0" w:color="auto"/>
              <w:right w:val="nil"/>
            </w:tcBorders>
            <w:shd w:val="clear" w:color="000000" w:fill="FFFFFF"/>
            <w:vAlign w:val="bottom"/>
            <w:hideMark/>
          </w:tcPr>
          <w:p w14:paraId="46637A39"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 </w:t>
            </w:r>
          </w:p>
        </w:tc>
        <w:tc>
          <w:tcPr>
            <w:tcW w:w="1474" w:type="dxa"/>
            <w:tcBorders>
              <w:top w:val="nil"/>
              <w:left w:val="double" w:sz="6" w:space="0" w:color="auto"/>
              <w:bottom w:val="dotted" w:sz="4" w:space="0" w:color="auto"/>
              <w:right w:val="dotted" w:sz="4" w:space="0" w:color="auto"/>
            </w:tcBorders>
            <w:shd w:val="clear" w:color="000000" w:fill="FFFFFF"/>
            <w:vAlign w:val="bottom"/>
            <w:hideMark/>
          </w:tcPr>
          <w:p w14:paraId="7154B1F9"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7,4</w:t>
            </w:r>
          </w:p>
        </w:tc>
        <w:tc>
          <w:tcPr>
            <w:tcW w:w="1342" w:type="dxa"/>
            <w:tcBorders>
              <w:top w:val="nil"/>
              <w:left w:val="nil"/>
              <w:bottom w:val="dotted" w:sz="4" w:space="0" w:color="auto"/>
              <w:right w:val="dotted" w:sz="4" w:space="0" w:color="auto"/>
            </w:tcBorders>
            <w:shd w:val="clear" w:color="000000" w:fill="FFFFFF"/>
            <w:vAlign w:val="bottom"/>
            <w:hideMark/>
          </w:tcPr>
          <w:p w14:paraId="593C926B"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-4,2</w:t>
            </w:r>
          </w:p>
        </w:tc>
        <w:tc>
          <w:tcPr>
            <w:tcW w:w="1342" w:type="dxa"/>
            <w:tcBorders>
              <w:top w:val="nil"/>
              <w:left w:val="nil"/>
              <w:bottom w:val="dotted" w:sz="4" w:space="0" w:color="auto"/>
              <w:right w:val="dotted" w:sz="4" w:space="0" w:color="auto"/>
            </w:tcBorders>
            <w:shd w:val="clear" w:color="000000" w:fill="FFFFFF"/>
            <w:vAlign w:val="bottom"/>
            <w:hideMark/>
          </w:tcPr>
          <w:p w14:paraId="03CA018B"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4,2</w:t>
            </w:r>
          </w:p>
        </w:tc>
        <w:tc>
          <w:tcPr>
            <w:tcW w:w="1342" w:type="dxa"/>
            <w:tcBorders>
              <w:top w:val="nil"/>
              <w:left w:val="nil"/>
              <w:bottom w:val="dotted" w:sz="4" w:space="0" w:color="auto"/>
              <w:right w:val="dotted" w:sz="4" w:space="0" w:color="auto"/>
            </w:tcBorders>
            <w:shd w:val="clear" w:color="000000" w:fill="FFFFFF"/>
            <w:vAlign w:val="bottom"/>
            <w:hideMark/>
          </w:tcPr>
          <w:p w14:paraId="77A9EFD5"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0,0</w:t>
            </w:r>
          </w:p>
        </w:tc>
        <w:tc>
          <w:tcPr>
            <w:tcW w:w="1342" w:type="dxa"/>
            <w:tcBorders>
              <w:top w:val="nil"/>
              <w:left w:val="nil"/>
              <w:bottom w:val="dotted" w:sz="4" w:space="0" w:color="auto"/>
              <w:right w:val="double" w:sz="6" w:space="0" w:color="auto"/>
            </w:tcBorders>
            <w:shd w:val="clear" w:color="000000" w:fill="FFFFFF"/>
            <w:vAlign w:val="bottom"/>
            <w:hideMark/>
          </w:tcPr>
          <w:p w14:paraId="4D62C360"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0,0</w:t>
            </w:r>
          </w:p>
        </w:tc>
      </w:tr>
      <w:tr w:rsidR="00200092" w:rsidRPr="00200092" w14:paraId="74F4DFA7" w14:textId="77777777" w:rsidTr="00200092">
        <w:trPr>
          <w:trHeight w:val="293"/>
        </w:trPr>
        <w:tc>
          <w:tcPr>
            <w:tcW w:w="7239" w:type="dxa"/>
            <w:tcBorders>
              <w:top w:val="nil"/>
              <w:left w:val="double" w:sz="6" w:space="0" w:color="auto"/>
              <w:bottom w:val="dotted" w:sz="4" w:space="0" w:color="auto"/>
              <w:right w:val="dotted" w:sz="4" w:space="0" w:color="auto"/>
            </w:tcBorders>
            <w:shd w:val="clear" w:color="000000" w:fill="FFFFFF"/>
            <w:vAlign w:val="bottom"/>
            <w:hideMark/>
          </w:tcPr>
          <w:p w14:paraId="2AD889BD" w14:textId="77777777" w:rsidR="00200092" w:rsidRPr="00200092" w:rsidRDefault="00200092" w:rsidP="00200092">
            <w:pPr>
              <w:spacing w:after="0"/>
              <w:jc w:val="left"/>
              <w:rPr>
                <w:rFonts w:eastAsia="Times New Roman" w:cs="Times New Roman"/>
                <w:sz w:val="20"/>
                <w:szCs w:val="20"/>
              </w:rPr>
            </w:pPr>
            <w:r w:rsidRPr="00200092">
              <w:rPr>
                <w:rFonts w:eastAsia="Times New Roman" w:cs="Times New Roman"/>
                <w:sz w:val="20"/>
                <w:szCs w:val="20"/>
              </w:rPr>
              <w:t>2. Industry (excluding construction)</w:t>
            </w:r>
          </w:p>
        </w:tc>
        <w:tc>
          <w:tcPr>
            <w:tcW w:w="1342" w:type="dxa"/>
            <w:tcBorders>
              <w:top w:val="nil"/>
              <w:left w:val="nil"/>
              <w:bottom w:val="dotted" w:sz="4" w:space="0" w:color="auto"/>
              <w:right w:val="nil"/>
            </w:tcBorders>
            <w:shd w:val="clear" w:color="000000" w:fill="FFFFFF"/>
            <w:vAlign w:val="bottom"/>
            <w:hideMark/>
          </w:tcPr>
          <w:p w14:paraId="5028D361"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 </w:t>
            </w:r>
          </w:p>
        </w:tc>
        <w:tc>
          <w:tcPr>
            <w:tcW w:w="1474" w:type="dxa"/>
            <w:tcBorders>
              <w:top w:val="nil"/>
              <w:left w:val="double" w:sz="6" w:space="0" w:color="auto"/>
              <w:bottom w:val="dotted" w:sz="4" w:space="0" w:color="auto"/>
              <w:right w:val="dotted" w:sz="4" w:space="0" w:color="auto"/>
            </w:tcBorders>
            <w:shd w:val="clear" w:color="000000" w:fill="FFFFFF"/>
            <w:vAlign w:val="bottom"/>
            <w:hideMark/>
          </w:tcPr>
          <w:p w14:paraId="49420129"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2,1</w:t>
            </w:r>
          </w:p>
        </w:tc>
        <w:tc>
          <w:tcPr>
            <w:tcW w:w="1342" w:type="dxa"/>
            <w:tcBorders>
              <w:top w:val="nil"/>
              <w:left w:val="nil"/>
              <w:bottom w:val="dotted" w:sz="4" w:space="0" w:color="auto"/>
              <w:right w:val="dotted" w:sz="4" w:space="0" w:color="auto"/>
            </w:tcBorders>
            <w:shd w:val="clear" w:color="000000" w:fill="FFFFFF"/>
            <w:vAlign w:val="bottom"/>
            <w:hideMark/>
          </w:tcPr>
          <w:p w14:paraId="04336255"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2,8</w:t>
            </w:r>
          </w:p>
        </w:tc>
        <w:tc>
          <w:tcPr>
            <w:tcW w:w="1342" w:type="dxa"/>
            <w:tcBorders>
              <w:top w:val="nil"/>
              <w:left w:val="nil"/>
              <w:bottom w:val="dotted" w:sz="4" w:space="0" w:color="auto"/>
              <w:right w:val="dotted" w:sz="4" w:space="0" w:color="auto"/>
            </w:tcBorders>
            <w:shd w:val="clear" w:color="000000" w:fill="FFFFFF"/>
            <w:vAlign w:val="bottom"/>
            <w:hideMark/>
          </w:tcPr>
          <w:p w14:paraId="42500197"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4,0</w:t>
            </w:r>
          </w:p>
        </w:tc>
        <w:tc>
          <w:tcPr>
            <w:tcW w:w="1342" w:type="dxa"/>
            <w:tcBorders>
              <w:top w:val="nil"/>
              <w:left w:val="nil"/>
              <w:bottom w:val="dotted" w:sz="4" w:space="0" w:color="auto"/>
              <w:right w:val="dotted" w:sz="4" w:space="0" w:color="auto"/>
            </w:tcBorders>
            <w:shd w:val="clear" w:color="000000" w:fill="FFFFFF"/>
            <w:vAlign w:val="bottom"/>
            <w:hideMark/>
          </w:tcPr>
          <w:p w14:paraId="1259C5DD"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4,3</w:t>
            </w:r>
          </w:p>
        </w:tc>
        <w:tc>
          <w:tcPr>
            <w:tcW w:w="1342" w:type="dxa"/>
            <w:tcBorders>
              <w:top w:val="nil"/>
              <w:left w:val="nil"/>
              <w:bottom w:val="dotted" w:sz="4" w:space="0" w:color="auto"/>
              <w:right w:val="double" w:sz="6" w:space="0" w:color="auto"/>
            </w:tcBorders>
            <w:shd w:val="clear" w:color="000000" w:fill="FFFFFF"/>
            <w:vAlign w:val="bottom"/>
            <w:hideMark/>
          </w:tcPr>
          <w:p w14:paraId="1908781E"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4,8</w:t>
            </w:r>
          </w:p>
        </w:tc>
      </w:tr>
      <w:tr w:rsidR="00200092" w:rsidRPr="00200092" w14:paraId="47BDBC99" w14:textId="77777777" w:rsidTr="00200092">
        <w:trPr>
          <w:trHeight w:val="293"/>
        </w:trPr>
        <w:tc>
          <w:tcPr>
            <w:tcW w:w="7239" w:type="dxa"/>
            <w:tcBorders>
              <w:top w:val="nil"/>
              <w:left w:val="double" w:sz="6" w:space="0" w:color="auto"/>
              <w:bottom w:val="dotted" w:sz="4" w:space="0" w:color="auto"/>
              <w:right w:val="dotted" w:sz="4" w:space="0" w:color="auto"/>
            </w:tcBorders>
            <w:shd w:val="clear" w:color="000000" w:fill="FFFFFF"/>
            <w:vAlign w:val="bottom"/>
            <w:hideMark/>
          </w:tcPr>
          <w:p w14:paraId="7134F1D1" w14:textId="77777777" w:rsidR="00200092" w:rsidRPr="00200092" w:rsidRDefault="00200092" w:rsidP="00200092">
            <w:pPr>
              <w:spacing w:after="0"/>
              <w:jc w:val="left"/>
              <w:rPr>
                <w:rFonts w:eastAsia="Times New Roman" w:cs="Times New Roman"/>
                <w:sz w:val="20"/>
                <w:szCs w:val="20"/>
              </w:rPr>
            </w:pPr>
            <w:r w:rsidRPr="00200092">
              <w:rPr>
                <w:rFonts w:eastAsia="Times New Roman" w:cs="Times New Roman"/>
                <w:sz w:val="20"/>
                <w:szCs w:val="20"/>
              </w:rPr>
              <w:t>3. Construction</w:t>
            </w:r>
          </w:p>
        </w:tc>
        <w:tc>
          <w:tcPr>
            <w:tcW w:w="1342" w:type="dxa"/>
            <w:tcBorders>
              <w:top w:val="nil"/>
              <w:left w:val="nil"/>
              <w:bottom w:val="dotted" w:sz="4" w:space="0" w:color="auto"/>
              <w:right w:val="nil"/>
            </w:tcBorders>
            <w:shd w:val="clear" w:color="000000" w:fill="FFFFFF"/>
            <w:vAlign w:val="bottom"/>
            <w:hideMark/>
          </w:tcPr>
          <w:p w14:paraId="172DCB5A"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 </w:t>
            </w:r>
          </w:p>
        </w:tc>
        <w:tc>
          <w:tcPr>
            <w:tcW w:w="1474" w:type="dxa"/>
            <w:tcBorders>
              <w:top w:val="nil"/>
              <w:left w:val="double" w:sz="6" w:space="0" w:color="auto"/>
              <w:bottom w:val="dotted" w:sz="4" w:space="0" w:color="auto"/>
              <w:right w:val="dotted" w:sz="4" w:space="0" w:color="auto"/>
            </w:tcBorders>
            <w:shd w:val="clear" w:color="000000" w:fill="FFFFFF"/>
            <w:vAlign w:val="bottom"/>
            <w:hideMark/>
          </w:tcPr>
          <w:p w14:paraId="52DEE8E0"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10,5</w:t>
            </w:r>
          </w:p>
        </w:tc>
        <w:tc>
          <w:tcPr>
            <w:tcW w:w="1342" w:type="dxa"/>
            <w:tcBorders>
              <w:top w:val="nil"/>
              <w:left w:val="nil"/>
              <w:bottom w:val="dotted" w:sz="4" w:space="0" w:color="auto"/>
              <w:right w:val="dotted" w:sz="4" w:space="0" w:color="auto"/>
            </w:tcBorders>
            <w:shd w:val="clear" w:color="000000" w:fill="FFFFFF"/>
            <w:vAlign w:val="bottom"/>
            <w:hideMark/>
          </w:tcPr>
          <w:p w14:paraId="4C98C785"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9,1</w:t>
            </w:r>
          </w:p>
        </w:tc>
        <w:tc>
          <w:tcPr>
            <w:tcW w:w="1342" w:type="dxa"/>
            <w:tcBorders>
              <w:top w:val="nil"/>
              <w:left w:val="nil"/>
              <w:bottom w:val="dotted" w:sz="4" w:space="0" w:color="auto"/>
              <w:right w:val="dotted" w:sz="4" w:space="0" w:color="auto"/>
            </w:tcBorders>
            <w:shd w:val="clear" w:color="000000" w:fill="FFFFFF"/>
            <w:vAlign w:val="bottom"/>
            <w:hideMark/>
          </w:tcPr>
          <w:p w14:paraId="1C2B139C"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8,4</w:t>
            </w:r>
          </w:p>
        </w:tc>
        <w:tc>
          <w:tcPr>
            <w:tcW w:w="1342" w:type="dxa"/>
            <w:tcBorders>
              <w:top w:val="nil"/>
              <w:left w:val="nil"/>
              <w:bottom w:val="dotted" w:sz="4" w:space="0" w:color="auto"/>
              <w:right w:val="dotted" w:sz="4" w:space="0" w:color="auto"/>
            </w:tcBorders>
            <w:shd w:val="clear" w:color="000000" w:fill="FFFFFF"/>
            <w:vAlign w:val="bottom"/>
            <w:hideMark/>
          </w:tcPr>
          <w:p w14:paraId="3B9BF66D"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7,3</w:t>
            </w:r>
          </w:p>
        </w:tc>
        <w:tc>
          <w:tcPr>
            <w:tcW w:w="1342" w:type="dxa"/>
            <w:tcBorders>
              <w:top w:val="nil"/>
              <w:left w:val="nil"/>
              <w:bottom w:val="dotted" w:sz="4" w:space="0" w:color="auto"/>
              <w:right w:val="double" w:sz="6" w:space="0" w:color="auto"/>
            </w:tcBorders>
            <w:shd w:val="clear" w:color="000000" w:fill="FFFFFF"/>
            <w:vAlign w:val="bottom"/>
            <w:hideMark/>
          </w:tcPr>
          <w:p w14:paraId="69499A9F"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7,2</w:t>
            </w:r>
          </w:p>
        </w:tc>
      </w:tr>
      <w:tr w:rsidR="00200092" w:rsidRPr="00200092" w14:paraId="08904F69" w14:textId="77777777" w:rsidTr="00200092">
        <w:trPr>
          <w:trHeight w:val="293"/>
        </w:trPr>
        <w:tc>
          <w:tcPr>
            <w:tcW w:w="7239" w:type="dxa"/>
            <w:tcBorders>
              <w:top w:val="nil"/>
              <w:left w:val="double" w:sz="6" w:space="0" w:color="auto"/>
              <w:bottom w:val="double" w:sz="6" w:space="0" w:color="auto"/>
              <w:right w:val="dotted" w:sz="4" w:space="0" w:color="auto"/>
            </w:tcBorders>
            <w:shd w:val="clear" w:color="000000" w:fill="FFFFFF"/>
            <w:vAlign w:val="bottom"/>
            <w:hideMark/>
          </w:tcPr>
          <w:p w14:paraId="54F91691" w14:textId="77777777" w:rsidR="00200092" w:rsidRPr="00200092" w:rsidRDefault="00200092" w:rsidP="00200092">
            <w:pPr>
              <w:spacing w:after="0"/>
              <w:jc w:val="left"/>
              <w:rPr>
                <w:rFonts w:eastAsia="Times New Roman" w:cs="Times New Roman"/>
                <w:sz w:val="20"/>
                <w:szCs w:val="20"/>
              </w:rPr>
            </w:pPr>
            <w:r w:rsidRPr="00200092">
              <w:rPr>
                <w:rFonts w:eastAsia="Times New Roman" w:cs="Times New Roman"/>
                <w:sz w:val="20"/>
                <w:szCs w:val="20"/>
              </w:rPr>
              <w:t>4. Services</w:t>
            </w:r>
          </w:p>
        </w:tc>
        <w:tc>
          <w:tcPr>
            <w:tcW w:w="1342" w:type="dxa"/>
            <w:tcBorders>
              <w:top w:val="nil"/>
              <w:left w:val="nil"/>
              <w:bottom w:val="double" w:sz="6" w:space="0" w:color="auto"/>
              <w:right w:val="nil"/>
            </w:tcBorders>
            <w:shd w:val="clear" w:color="000000" w:fill="FFFFFF"/>
            <w:vAlign w:val="bottom"/>
            <w:hideMark/>
          </w:tcPr>
          <w:p w14:paraId="72E3A279"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 </w:t>
            </w:r>
          </w:p>
        </w:tc>
        <w:tc>
          <w:tcPr>
            <w:tcW w:w="1474" w:type="dxa"/>
            <w:tcBorders>
              <w:top w:val="nil"/>
              <w:left w:val="double" w:sz="6" w:space="0" w:color="auto"/>
              <w:bottom w:val="double" w:sz="6" w:space="0" w:color="auto"/>
              <w:right w:val="dotted" w:sz="4" w:space="0" w:color="auto"/>
            </w:tcBorders>
            <w:shd w:val="clear" w:color="000000" w:fill="FFFFFF"/>
            <w:vAlign w:val="bottom"/>
            <w:hideMark/>
          </w:tcPr>
          <w:p w14:paraId="21DCE815"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5,1</w:t>
            </w:r>
          </w:p>
        </w:tc>
        <w:tc>
          <w:tcPr>
            <w:tcW w:w="1342" w:type="dxa"/>
            <w:tcBorders>
              <w:top w:val="nil"/>
              <w:left w:val="nil"/>
              <w:bottom w:val="double" w:sz="6" w:space="0" w:color="auto"/>
              <w:right w:val="dotted" w:sz="4" w:space="0" w:color="auto"/>
            </w:tcBorders>
            <w:shd w:val="clear" w:color="000000" w:fill="FFFFFF"/>
            <w:vAlign w:val="bottom"/>
            <w:hideMark/>
          </w:tcPr>
          <w:p w14:paraId="32C0254D"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4,3</w:t>
            </w:r>
          </w:p>
        </w:tc>
        <w:tc>
          <w:tcPr>
            <w:tcW w:w="1342" w:type="dxa"/>
            <w:tcBorders>
              <w:top w:val="nil"/>
              <w:left w:val="nil"/>
              <w:bottom w:val="double" w:sz="6" w:space="0" w:color="auto"/>
              <w:right w:val="dotted" w:sz="4" w:space="0" w:color="auto"/>
            </w:tcBorders>
            <w:shd w:val="clear" w:color="000000" w:fill="FFFFFF"/>
            <w:vAlign w:val="bottom"/>
            <w:hideMark/>
          </w:tcPr>
          <w:p w14:paraId="1063D33E"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4,0</w:t>
            </w:r>
          </w:p>
        </w:tc>
        <w:tc>
          <w:tcPr>
            <w:tcW w:w="1342" w:type="dxa"/>
            <w:tcBorders>
              <w:top w:val="nil"/>
              <w:left w:val="nil"/>
              <w:bottom w:val="double" w:sz="6" w:space="0" w:color="auto"/>
              <w:right w:val="dotted" w:sz="4" w:space="0" w:color="auto"/>
            </w:tcBorders>
            <w:shd w:val="clear" w:color="000000" w:fill="FFFFFF"/>
            <w:vAlign w:val="bottom"/>
            <w:hideMark/>
          </w:tcPr>
          <w:p w14:paraId="60ABA3F3"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4,1</w:t>
            </w:r>
          </w:p>
        </w:tc>
        <w:tc>
          <w:tcPr>
            <w:tcW w:w="1342" w:type="dxa"/>
            <w:tcBorders>
              <w:top w:val="nil"/>
              <w:left w:val="nil"/>
              <w:bottom w:val="double" w:sz="6" w:space="0" w:color="auto"/>
              <w:right w:val="double" w:sz="6" w:space="0" w:color="auto"/>
            </w:tcBorders>
            <w:shd w:val="clear" w:color="000000" w:fill="FFFFFF"/>
            <w:vAlign w:val="bottom"/>
            <w:hideMark/>
          </w:tcPr>
          <w:p w14:paraId="33BD847C" w14:textId="77777777" w:rsidR="00200092" w:rsidRPr="00200092" w:rsidRDefault="00200092" w:rsidP="00200092">
            <w:pPr>
              <w:spacing w:after="0"/>
              <w:jc w:val="center"/>
              <w:rPr>
                <w:rFonts w:eastAsia="Times New Roman" w:cs="Times New Roman"/>
                <w:sz w:val="20"/>
                <w:szCs w:val="20"/>
              </w:rPr>
            </w:pPr>
            <w:r w:rsidRPr="00200092">
              <w:rPr>
                <w:rFonts w:eastAsia="Times New Roman" w:cs="Times New Roman"/>
                <w:sz w:val="20"/>
                <w:szCs w:val="20"/>
              </w:rPr>
              <w:t>5,4</w:t>
            </w:r>
          </w:p>
        </w:tc>
      </w:tr>
    </w:tbl>
    <w:p w14:paraId="3CA26F21" w14:textId="623F8B7C" w:rsidR="003E371D" w:rsidRDefault="00200092" w:rsidP="003E371D">
      <w:pPr>
        <w:tabs>
          <w:tab w:val="left" w:pos="857"/>
          <w:tab w:val="left" w:pos="917"/>
        </w:tabs>
      </w:pPr>
      <w:r>
        <w:fldChar w:fldCharType="end"/>
      </w:r>
      <w:r>
        <w:tab/>
      </w:r>
      <w:r w:rsidR="003E371D">
        <w:tab/>
      </w:r>
    </w:p>
    <w:p w14:paraId="1561A598" w14:textId="77777777" w:rsidR="003E371D" w:rsidRPr="003E371D" w:rsidRDefault="003E371D" w:rsidP="003E371D">
      <w:pPr>
        <w:spacing w:after="0"/>
        <w:jc w:val="left"/>
        <w:rPr>
          <w:rFonts w:eastAsia="Times New Roman" w:cs="Times New Roman"/>
          <w:bCs/>
          <w:szCs w:val="24"/>
        </w:rPr>
      </w:pPr>
      <w:r w:rsidRPr="003E371D">
        <w:rPr>
          <w:rFonts w:eastAsia="Times New Roman" w:cs="Times New Roman"/>
          <w:bCs/>
          <w:szCs w:val="24"/>
        </w:rPr>
        <w:lastRenderedPageBreak/>
        <w:t>Table 1f:  External sector developments</w:t>
      </w:r>
    </w:p>
    <w:p w14:paraId="48E63A4C" w14:textId="77777777" w:rsidR="003E371D" w:rsidRDefault="003E371D">
      <w:pPr>
        <w:spacing w:after="160" w:line="259" w:lineRule="auto"/>
        <w:jc w:val="left"/>
      </w:pPr>
    </w:p>
    <w:p w14:paraId="2801A3CB" w14:textId="775996F5" w:rsidR="003E371D" w:rsidRDefault="003E371D">
      <w:pPr>
        <w:spacing w:after="160" w:line="259" w:lineRule="auto"/>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Tab1f-Ext.balance!R4C3:R33C9 </w:instrText>
      </w:r>
      <w:r>
        <w:instrText xml:space="preserve">\a \f 4 \h  \* MERGEFORMAT </w:instrText>
      </w:r>
      <w:r>
        <w:fldChar w:fldCharType="separate"/>
      </w:r>
    </w:p>
    <w:tbl>
      <w:tblPr>
        <w:tblW w:w="15173" w:type="dxa"/>
        <w:tblLook w:val="04A0" w:firstRow="1" w:lastRow="0" w:firstColumn="1" w:lastColumn="0" w:noHBand="0" w:noVBand="1"/>
      </w:tblPr>
      <w:tblGrid>
        <w:gridCol w:w="6475"/>
        <w:gridCol w:w="1890"/>
        <w:gridCol w:w="1528"/>
        <w:gridCol w:w="1320"/>
        <w:gridCol w:w="1320"/>
        <w:gridCol w:w="1320"/>
        <w:gridCol w:w="1320"/>
      </w:tblGrid>
      <w:tr w:rsidR="003E371D" w:rsidRPr="003E371D" w14:paraId="498D17FF" w14:textId="77777777" w:rsidTr="003E371D">
        <w:trPr>
          <w:trHeight w:val="269"/>
        </w:trPr>
        <w:tc>
          <w:tcPr>
            <w:tcW w:w="6475" w:type="dxa"/>
            <w:tcBorders>
              <w:top w:val="double" w:sz="6" w:space="0" w:color="auto"/>
              <w:left w:val="double" w:sz="6" w:space="0" w:color="auto"/>
              <w:bottom w:val="nil"/>
              <w:right w:val="single" w:sz="8" w:space="0" w:color="auto"/>
            </w:tcBorders>
            <w:shd w:val="clear" w:color="000000" w:fill="FFFFFF"/>
            <w:vAlign w:val="bottom"/>
            <w:hideMark/>
          </w:tcPr>
          <w:p w14:paraId="1D3EBDDB" w14:textId="734137AC"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Billion Euro unless otherwise indicated</w:t>
            </w:r>
          </w:p>
        </w:tc>
        <w:tc>
          <w:tcPr>
            <w:tcW w:w="1890" w:type="dxa"/>
            <w:tcBorders>
              <w:top w:val="double" w:sz="6" w:space="0" w:color="auto"/>
              <w:left w:val="nil"/>
              <w:bottom w:val="nil"/>
              <w:right w:val="single" w:sz="8" w:space="0" w:color="auto"/>
            </w:tcBorders>
            <w:shd w:val="clear" w:color="000000" w:fill="FFFFFF"/>
            <w:vAlign w:val="bottom"/>
            <w:hideMark/>
          </w:tcPr>
          <w:p w14:paraId="0B064D82"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 </w:t>
            </w:r>
          </w:p>
        </w:tc>
        <w:tc>
          <w:tcPr>
            <w:tcW w:w="1528" w:type="dxa"/>
            <w:tcBorders>
              <w:top w:val="double" w:sz="6" w:space="0" w:color="auto"/>
              <w:left w:val="nil"/>
              <w:bottom w:val="nil"/>
              <w:right w:val="dotted" w:sz="4" w:space="0" w:color="auto"/>
            </w:tcBorders>
            <w:shd w:val="clear" w:color="000000" w:fill="FFFFFF"/>
            <w:hideMark/>
          </w:tcPr>
          <w:p w14:paraId="0BD82AA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Year</w:t>
            </w:r>
          </w:p>
        </w:tc>
        <w:tc>
          <w:tcPr>
            <w:tcW w:w="1320" w:type="dxa"/>
            <w:tcBorders>
              <w:top w:val="double" w:sz="6" w:space="0" w:color="auto"/>
              <w:left w:val="nil"/>
              <w:bottom w:val="nil"/>
              <w:right w:val="dotted" w:sz="4" w:space="0" w:color="auto"/>
            </w:tcBorders>
            <w:shd w:val="clear" w:color="000000" w:fill="FFFFFF"/>
            <w:hideMark/>
          </w:tcPr>
          <w:p w14:paraId="7EE81104"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Year</w:t>
            </w:r>
          </w:p>
        </w:tc>
        <w:tc>
          <w:tcPr>
            <w:tcW w:w="1320" w:type="dxa"/>
            <w:tcBorders>
              <w:top w:val="double" w:sz="6" w:space="0" w:color="auto"/>
              <w:left w:val="nil"/>
              <w:bottom w:val="nil"/>
              <w:right w:val="dotted" w:sz="4" w:space="0" w:color="auto"/>
            </w:tcBorders>
            <w:shd w:val="clear" w:color="000000" w:fill="FFFFFF"/>
            <w:hideMark/>
          </w:tcPr>
          <w:p w14:paraId="27E1BEF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Year</w:t>
            </w:r>
          </w:p>
        </w:tc>
        <w:tc>
          <w:tcPr>
            <w:tcW w:w="1320" w:type="dxa"/>
            <w:tcBorders>
              <w:top w:val="double" w:sz="6" w:space="0" w:color="auto"/>
              <w:left w:val="nil"/>
              <w:bottom w:val="nil"/>
              <w:right w:val="dotted" w:sz="4" w:space="0" w:color="auto"/>
            </w:tcBorders>
            <w:shd w:val="clear" w:color="000000" w:fill="FFFFFF"/>
            <w:hideMark/>
          </w:tcPr>
          <w:p w14:paraId="1A66DA07"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Year</w:t>
            </w:r>
          </w:p>
        </w:tc>
        <w:tc>
          <w:tcPr>
            <w:tcW w:w="1320" w:type="dxa"/>
            <w:tcBorders>
              <w:top w:val="double" w:sz="6" w:space="0" w:color="auto"/>
              <w:left w:val="nil"/>
              <w:bottom w:val="nil"/>
              <w:right w:val="double" w:sz="6" w:space="0" w:color="auto"/>
            </w:tcBorders>
            <w:shd w:val="clear" w:color="000000" w:fill="FFFFFF"/>
            <w:hideMark/>
          </w:tcPr>
          <w:p w14:paraId="76C6F40A"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Year</w:t>
            </w:r>
          </w:p>
        </w:tc>
      </w:tr>
      <w:tr w:rsidR="003E371D" w:rsidRPr="003E371D" w14:paraId="4F400026" w14:textId="77777777" w:rsidTr="003E371D">
        <w:trPr>
          <w:trHeight w:val="216"/>
        </w:trPr>
        <w:tc>
          <w:tcPr>
            <w:tcW w:w="6475" w:type="dxa"/>
            <w:tcBorders>
              <w:top w:val="nil"/>
              <w:left w:val="double" w:sz="6" w:space="0" w:color="auto"/>
              <w:bottom w:val="double" w:sz="6" w:space="0" w:color="auto"/>
              <w:right w:val="single" w:sz="8" w:space="0" w:color="auto"/>
            </w:tcBorders>
            <w:shd w:val="clear" w:color="000000" w:fill="FFFFFF"/>
            <w:vAlign w:val="bottom"/>
            <w:hideMark/>
          </w:tcPr>
          <w:p w14:paraId="44DE6EEC"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 </w:t>
            </w:r>
          </w:p>
        </w:tc>
        <w:tc>
          <w:tcPr>
            <w:tcW w:w="1890" w:type="dxa"/>
            <w:tcBorders>
              <w:top w:val="nil"/>
              <w:left w:val="nil"/>
              <w:bottom w:val="double" w:sz="6" w:space="0" w:color="auto"/>
              <w:right w:val="single" w:sz="8" w:space="0" w:color="auto"/>
            </w:tcBorders>
            <w:shd w:val="clear" w:color="000000" w:fill="FFFFFF"/>
            <w:vAlign w:val="bottom"/>
            <w:hideMark/>
          </w:tcPr>
          <w:p w14:paraId="2452330C"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 </w:t>
            </w:r>
          </w:p>
        </w:tc>
        <w:tc>
          <w:tcPr>
            <w:tcW w:w="1528" w:type="dxa"/>
            <w:tcBorders>
              <w:top w:val="nil"/>
              <w:left w:val="nil"/>
              <w:bottom w:val="double" w:sz="6" w:space="0" w:color="auto"/>
              <w:right w:val="dotted" w:sz="4" w:space="0" w:color="auto"/>
            </w:tcBorders>
            <w:shd w:val="clear" w:color="000000" w:fill="FFFFFF"/>
            <w:hideMark/>
          </w:tcPr>
          <w:p w14:paraId="007D08A3"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2023</w:t>
            </w:r>
          </w:p>
        </w:tc>
        <w:tc>
          <w:tcPr>
            <w:tcW w:w="1320" w:type="dxa"/>
            <w:tcBorders>
              <w:top w:val="nil"/>
              <w:left w:val="nil"/>
              <w:bottom w:val="double" w:sz="6" w:space="0" w:color="auto"/>
              <w:right w:val="dotted" w:sz="4" w:space="0" w:color="auto"/>
            </w:tcBorders>
            <w:shd w:val="clear" w:color="000000" w:fill="FFFFFF"/>
            <w:hideMark/>
          </w:tcPr>
          <w:p w14:paraId="57C10E4F"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2024</w:t>
            </w:r>
          </w:p>
        </w:tc>
        <w:tc>
          <w:tcPr>
            <w:tcW w:w="1320" w:type="dxa"/>
            <w:tcBorders>
              <w:top w:val="nil"/>
              <w:left w:val="nil"/>
              <w:bottom w:val="double" w:sz="6" w:space="0" w:color="auto"/>
              <w:right w:val="dotted" w:sz="4" w:space="0" w:color="auto"/>
            </w:tcBorders>
            <w:shd w:val="clear" w:color="000000" w:fill="FFFFFF"/>
            <w:hideMark/>
          </w:tcPr>
          <w:p w14:paraId="244ED647"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2025</w:t>
            </w:r>
          </w:p>
        </w:tc>
        <w:tc>
          <w:tcPr>
            <w:tcW w:w="1320" w:type="dxa"/>
            <w:tcBorders>
              <w:top w:val="nil"/>
              <w:left w:val="nil"/>
              <w:bottom w:val="double" w:sz="6" w:space="0" w:color="auto"/>
              <w:right w:val="dotted" w:sz="4" w:space="0" w:color="auto"/>
            </w:tcBorders>
            <w:shd w:val="clear" w:color="000000" w:fill="FFFFFF"/>
            <w:hideMark/>
          </w:tcPr>
          <w:p w14:paraId="7F7F1E1B"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2026</w:t>
            </w:r>
          </w:p>
        </w:tc>
        <w:tc>
          <w:tcPr>
            <w:tcW w:w="1320" w:type="dxa"/>
            <w:tcBorders>
              <w:top w:val="nil"/>
              <w:left w:val="nil"/>
              <w:bottom w:val="double" w:sz="6" w:space="0" w:color="auto"/>
              <w:right w:val="double" w:sz="6" w:space="0" w:color="auto"/>
            </w:tcBorders>
            <w:shd w:val="clear" w:color="000000" w:fill="FFFFFF"/>
            <w:hideMark/>
          </w:tcPr>
          <w:p w14:paraId="4AB2FA7A"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2027</w:t>
            </w:r>
          </w:p>
        </w:tc>
      </w:tr>
      <w:tr w:rsidR="003E371D" w:rsidRPr="003E371D" w14:paraId="4E9689DD"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655285DF"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1. Current account balance</w:t>
            </w:r>
            <w:r w:rsidRPr="003E371D">
              <w:rPr>
                <w:rFonts w:eastAsia="Times New Roman" w:cs="Times New Roman"/>
                <w:b/>
                <w:bCs/>
                <w:sz w:val="20"/>
                <w:szCs w:val="20"/>
              </w:rPr>
              <w:t xml:space="preserve"> </w:t>
            </w:r>
            <w:r w:rsidRPr="003E371D">
              <w:rPr>
                <w:rFonts w:eastAsia="Times New Roman" w:cs="Times New Roman"/>
                <w:sz w:val="20"/>
                <w:szCs w:val="20"/>
              </w:rPr>
              <w:t>(% of GDP)</w:t>
            </w:r>
          </w:p>
        </w:tc>
        <w:tc>
          <w:tcPr>
            <w:tcW w:w="1890" w:type="dxa"/>
            <w:tcBorders>
              <w:top w:val="nil"/>
              <w:left w:val="nil"/>
              <w:bottom w:val="dotted" w:sz="4" w:space="0" w:color="auto"/>
              <w:right w:val="single" w:sz="8" w:space="0" w:color="auto"/>
            </w:tcBorders>
            <w:shd w:val="clear" w:color="000000" w:fill="FFFFFF"/>
            <w:hideMark/>
          </w:tcPr>
          <w:p w14:paraId="29E6B493"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 of GDP</w:t>
            </w:r>
          </w:p>
        </w:tc>
        <w:tc>
          <w:tcPr>
            <w:tcW w:w="1528" w:type="dxa"/>
            <w:tcBorders>
              <w:top w:val="nil"/>
              <w:left w:val="nil"/>
              <w:bottom w:val="dotted" w:sz="4" w:space="0" w:color="auto"/>
              <w:right w:val="dotted" w:sz="4" w:space="0" w:color="auto"/>
            </w:tcBorders>
            <w:shd w:val="clear" w:color="000000" w:fill="FFFFFF"/>
            <w:hideMark/>
          </w:tcPr>
          <w:p w14:paraId="12AA28D9"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-2,4</w:t>
            </w:r>
          </w:p>
        </w:tc>
        <w:tc>
          <w:tcPr>
            <w:tcW w:w="1320" w:type="dxa"/>
            <w:tcBorders>
              <w:top w:val="nil"/>
              <w:left w:val="nil"/>
              <w:bottom w:val="dotted" w:sz="4" w:space="0" w:color="auto"/>
              <w:right w:val="dotted" w:sz="4" w:space="0" w:color="auto"/>
            </w:tcBorders>
            <w:shd w:val="clear" w:color="000000" w:fill="FFFFFF"/>
            <w:hideMark/>
          </w:tcPr>
          <w:p w14:paraId="24EDBE3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-4,7</w:t>
            </w:r>
          </w:p>
        </w:tc>
        <w:tc>
          <w:tcPr>
            <w:tcW w:w="1320" w:type="dxa"/>
            <w:tcBorders>
              <w:top w:val="nil"/>
              <w:left w:val="nil"/>
              <w:bottom w:val="dotted" w:sz="4" w:space="0" w:color="auto"/>
              <w:right w:val="dotted" w:sz="4" w:space="0" w:color="auto"/>
            </w:tcBorders>
            <w:shd w:val="clear" w:color="000000" w:fill="FFFFFF"/>
            <w:hideMark/>
          </w:tcPr>
          <w:p w14:paraId="4FA6EBF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-4,9</w:t>
            </w:r>
          </w:p>
        </w:tc>
        <w:tc>
          <w:tcPr>
            <w:tcW w:w="1320" w:type="dxa"/>
            <w:tcBorders>
              <w:top w:val="nil"/>
              <w:left w:val="nil"/>
              <w:bottom w:val="dotted" w:sz="4" w:space="0" w:color="auto"/>
              <w:right w:val="dotted" w:sz="4" w:space="0" w:color="auto"/>
            </w:tcBorders>
            <w:shd w:val="clear" w:color="000000" w:fill="FFFFFF"/>
            <w:hideMark/>
          </w:tcPr>
          <w:p w14:paraId="51B848F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-5,3</w:t>
            </w:r>
          </w:p>
        </w:tc>
        <w:tc>
          <w:tcPr>
            <w:tcW w:w="1320" w:type="dxa"/>
            <w:tcBorders>
              <w:top w:val="nil"/>
              <w:left w:val="nil"/>
              <w:bottom w:val="dotted" w:sz="4" w:space="0" w:color="auto"/>
              <w:right w:val="double" w:sz="6" w:space="0" w:color="auto"/>
            </w:tcBorders>
            <w:shd w:val="clear" w:color="000000" w:fill="FFFFFF"/>
            <w:hideMark/>
          </w:tcPr>
          <w:p w14:paraId="25D3EF78"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-4,1</w:t>
            </w:r>
          </w:p>
        </w:tc>
      </w:tr>
      <w:tr w:rsidR="003E371D" w:rsidRPr="003E371D" w14:paraId="1D12A392"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0033B0C4"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2. Export of goods</w:t>
            </w:r>
          </w:p>
        </w:tc>
        <w:tc>
          <w:tcPr>
            <w:tcW w:w="1890" w:type="dxa"/>
            <w:tcBorders>
              <w:top w:val="nil"/>
              <w:left w:val="nil"/>
              <w:bottom w:val="dotted" w:sz="4" w:space="0" w:color="auto"/>
              <w:right w:val="single" w:sz="8" w:space="0" w:color="auto"/>
            </w:tcBorders>
            <w:shd w:val="clear" w:color="000000" w:fill="FFFFFF"/>
            <w:hideMark/>
          </w:tcPr>
          <w:p w14:paraId="5A10FBA2"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58926B0A"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27,9</w:t>
            </w:r>
          </w:p>
        </w:tc>
        <w:tc>
          <w:tcPr>
            <w:tcW w:w="1320" w:type="dxa"/>
            <w:tcBorders>
              <w:top w:val="nil"/>
              <w:left w:val="nil"/>
              <w:bottom w:val="dotted" w:sz="4" w:space="0" w:color="auto"/>
              <w:right w:val="dotted" w:sz="4" w:space="0" w:color="auto"/>
            </w:tcBorders>
            <w:shd w:val="clear" w:color="000000" w:fill="FFFFFF"/>
            <w:hideMark/>
          </w:tcPr>
          <w:p w14:paraId="04214A29"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29,0</w:t>
            </w:r>
          </w:p>
        </w:tc>
        <w:tc>
          <w:tcPr>
            <w:tcW w:w="1320" w:type="dxa"/>
            <w:tcBorders>
              <w:top w:val="nil"/>
              <w:left w:val="nil"/>
              <w:bottom w:val="dotted" w:sz="4" w:space="0" w:color="auto"/>
              <w:right w:val="dotted" w:sz="4" w:space="0" w:color="auto"/>
            </w:tcBorders>
            <w:shd w:val="clear" w:color="000000" w:fill="FFFFFF"/>
            <w:hideMark/>
          </w:tcPr>
          <w:p w14:paraId="0C26AD1D"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31,1</w:t>
            </w:r>
          </w:p>
        </w:tc>
        <w:tc>
          <w:tcPr>
            <w:tcW w:w="1320" w:type="dxa"/>
            <w:tcBorders>
              <w:top w:val="nil"/>
              <w:left w:val="nil"/>
              <w:bottom w:val="dotted" w:sz="4" w:space="0" w:color="auto"/>
              <w:right w:val="dotted" w:sz="4" w:space="0" w:color="auto"/>
            </w:tcBorders>
            <w:shd w:val="clear" w:color="000000" w:fill="FFFFFF"/>
            <w:hideMark/>
          </w:tcPr>
          <w:p w14:paraId="42CBD713"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32,6</w:t>
            </w:r>
          </w:p>
        </w:tc>
        <w:tc>
          <w:tcPr>
            <w:tcW w:w="1320" w:type="dxa"/>
            <w:tcBorders>
              <w:top w:val="nil"/>
              <w:left w:val="nil"/>
              <w:bottom w:val="dotted" w:sz="4" w:space="0" w:color="auto"/>
              <w:right w:val="double" w:sz="6" w:space="0" w:color="auto"/>
            </w:tcBorders>
            <w:shd w:val="clear" w:color="000000" w:fill="FFFFFF"/>
            <w:hideMark/>
          </w:tcPr>
          <w:p w14:paraId="2106CDD2"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34,9</w:t>
            </w:r>
          </w:p>
        </w:tc>
      </w:tr>
      <w:tr w:rsidR="003E371D" w:rsidRPr="003E371D" w14:paraId="3885A9D5"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6F19C6F1"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 xml:space="preserve">3. Import of goods </w:t>
            </w:r>
          </w:p>
        </w:tc>
        <w:tc>
          <w:tcPr>
            <w:tcW w:w="1890" w:type="dxa"/>
            <w:tcBorders>
              <w:top w:val="nil"/>
              <w:left w:val="nil"/>
              <w:bottom w:val="dotted" w:sz="4" w:space="0" w:color="auto"/>
              <w:right w:val="single" w:sz="8" w:space="0" w:color="auto"/>
            </w:tcBorders>
            <w:shd w:val="clear" w:color="000000" w:fill="FFFFFF"/>
            <w:hideMark/>
          </w:tcPr>
          <w:p w14:paraId="4AF20083"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410A9042"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34,6</w:t>
            </w:r>
          </w:p>
        </w:tc>
        <w:tc>
          <w:tcPr>
            <w:tcW w:w="1320" w:type="dxa"/>
            <w:tcBorders>
              <w:top w:val="nil"/>
              <w:left w:val="nil"/>
              <w:bottom w:val="dotted" w:sz="4" w:space="0" w:color="auto"/>
              <w:right w:val="dotted" w:sz="4" w:space="0" w:color="auto"/>
            </w:tcBorders>
            <w:shd w:val="clear" w:color="000000" w:fill="FFFFFF"/>
            <w:hideMark/>
          </w:tcPr>
          <w:p w14:paraId="4D4D18A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36,5</w:t>
            </w:r>
          </w:p>
        </w:tc>
        <w:tc>
          <w:tcPr>
            <w:tcW w:w="1320" w:type="dxa"/>
            <w:tcBorders>
              <w:top w:val="nil"/>
              <w:left w:val="nil"/>
              <w:bottom w:val="dotted" w:sz="4" w:space="0" w:color="auto"/>
              <w:right w:val="dotted" w:sz="4" w:space="0" w:color="auto"/>
            </w:tcBorders>
            <w:shd w:val="clear" w:color="000000" w:fill="FFFFFF"/>
            <w:hideMark/>
          </w:tcPr>
          <w:p w14:paraId="21B8A9D9"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39,4</w:t>
            </w:r>
          </w:p>
        </w:tc>
        <w:tc>
          <w:tcPr>
            <w:tcW w:w="1320" w:type="dxa"/>
            <w:tcBorders>
              <w:top w:val="nil"/>
              <w:left w:val="nil"/>
              <w:bottom w:val="dotted" w:sz="4" w:space="0" w:color="auto"/>
              <w:right w:val="dotted" w:sz="4" w:space="0" w:color="auto"/>
            </w:tcBorders>
            <w:shd w:val="clear" w:color="000000" w:fill="FFFFFF"/>
            <w:hideMark/>
          </w:tcPr>
          <w:p w14:paraId="4458AD1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41,6</w:t>
            </w:r>
          </w:p>
        </w:tc>
        <w:tc>
          <w:tcPr>
            <w:tcW w:w="1320" w:type="dxa"/>
            <w:tcBorders>
              <w:top w:val="nil"/>
              <w:left w:val="nil"/>
              <w:bottom w:val="dotted" w:sz="4" w:space="0" w:color="auto"/>
              <w:right w:val="double" w:sz="6" w:space="0" w:color="auto"/>
            </w:tcBorders>
            <w:shd w:val="clear" w:color="000000" w:fill="FFFFFF"/>
            <w:hideMark/>
          </w:tcPr>
          <w:p w14:paraId="18F6361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44,0</w:t>
            </w:r>
          </w:p>
        </w:tc>
      </w:tr>
      <w:tr w:rsidR="003E371D" w:rsidRPr="003E371D" w14:paraId="309B193D"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7AD120EC"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4. Trade balance</w:t>
            </w:r>
          </w:p>
        </w:tc>
        <w:tc>
          <w:tcPr>
            <w:tcW w:w="1890" w:type="dxa"/>
            <w:tcBorders>
              <w:top w:val="nil"/>
              <w:left w:val="nil"/>
              <w:bottom w:val="dotted" w:sz="4" w:space="0" w:color="auto"/>
              <w:right w:val="single" w:sz="8" w:space="0" w:color="auto"/>
            </w:tcBorders>
            <w:shd w:val="clear" w:color="000000" w:fill="FFFFFF"/>
            <w:hideMark/>
          </w:tcPr>
          <w:p w14:paraId="43E9080D"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5DE6C08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-6,6</w:t>
            </w:r>
          </w:p>
        </w:tc>
        <w:tc>
          <w:tcPr>
            <w:tcW w:w="1320" w:type="dxa"/>
            <w:tcBorders>
              <w:top w:val="nil"/>
              <w:left w:val="nil"/>
              <w:bottom w:val="dotted" w:sz="4" w:space="0" w:color="auto"/>
              <w:right w:val="dotted" w:sz="4" w:space="0" w:color="auto"/>
            </w:tcBorders>
            <w:shd w:val="clear" w:color="000000" w:fill="FFFFFF"/>
            <w:hideMark/>
          </w:tcPr>
          <w:p w14:paraId="7875B54A"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-7,5</w:t>
            </w:r>
          </w:p>
        </w:tc>
        <w:tc>
          <w:tcPr>
            <w:tcW w:w="1320" w:type="dxa"/>
            <w:tcBorders>
              <w:top w:val="nil"/>
              <w:left w:val="nil"/>
              <w:bottom w:val="dotted" w:sz="4" w:space="0" w:color="auto"/>
              <w:right w:val="dotted" w:sz="4" w:space="0" w:color="auto"/>
            </w:tcBorders>
            <w:shd w:val="clear" w:color="000000" w:fill="FFFFFF"/>
            <w:hideMark/>
          </w:tcPr>
          <w:p w14:paraId="56B8D07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-8,3</w:t>
            </w:r>
          </w:p>
        </w:tc>
        <w:tc>
          <w:tcPr>
            <w:tcW w:w="1320" w:type="dxa"/>
            <w:tcBorders>
              <w:top w:val="nil"/>
              <w:left w:val="nil"/>
              <w:bottom w:val="dotted" w:sz="4" w:space="0" w:color="auto"/>
              <w:right w:val="dotted" w:sz="4" w:space="0" w:color="auto"/>
            </w:tcBorders>
            <w:shd w:val="clear" w:color="000000" w:fill="FFFFFF"/>
            <w:hideMark/>
          </w:tcPr>
          <w:p w14:paraId="0B2162EF"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-9,0</w:t>
            </w:r>
          </w:p>
        </w:tc>
        <w:tc>
          <w:tcPr>
            <w:tcW w:w="1320" w:type="dxa"/>
            <w:tcBorders>
              <w:top w:val="nil"/>
              <w:left w:val="nil"/>
              <w:bottom w:val="dotted" w:sz="4" w:space="0" w:color="auto"/>
              <w:right w:val="double" w:sz="6" w:space="0" w:color="auto"/>
            </w:tcBorders>
            <w:shd w:val="clear" w:color="000000" w:fill="FFFFFF"/>
            <w:hideMark/>
          </w:tcPr>
          <w:p w14:paraId="1ADD232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-9,1</w:t>
            </w:r>
          </w:p>
        </w:tc>
      </w:tr>
      <w:tr w:rsidR="003E371D" w:rsidRPr="003E371D" w14:paraId="5CF1C32C"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49241339"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5. Export of services</w:t>
            </w:r>
          </w:p>
        </w:tc>
        <w:tc>
          <w:tcPr>
            <w:tcW w:w="1890" w:type="dxa"/>
            <w:tcBorders>
              <w:top w:val="nil"/>
              <w:left w:val="nil"/>
              <w:bottom w:val="dotted" w:sz="4" w:space="0" w:color="auto"/>
              <w:right w:val="single" w:sz="8" w:space="0" w:color="auto"/>
            </w:tcBorders>
            <w:shd w:val="clear" w:color="000000" w:fill="FFFFFF"/>
            <w:hideMark/>
          </w:tcPr>
          <w:p w14:paraId="0802584A"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5D01B58B"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13,1</w:t>
            </w:r>
          </w:p>
        </w:tc>
        <w:tc>
          <w:tcPr>
            <w:tcW w:w="1320" w:type="dxa"/>
            <w:tcBorders>
              <w:top w:val="nil"/>
              <w:left w:val="nil"/>
              <w:bottom w:val="dotted" w:sz="4" w:space="0" w:color="auto"/>
              <w:right w:val="dotted" w:sz="4" w:space="0" w:color="auto"/>
            </w:tcBorders>
            <w:shd w:val="clear" w:color="000000" w:fill="FFFFFF"/>
            <w:hideMark/>
          </w:tcPr>
          <w:p w14:paraId="259E8B3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14,4</w:t>
            </w:r>
          </w:p>
        </w:tc>
        <w:tc>
          <w:tcPr>
            <w:tcW w:w="1320" w:type="dxa"/>
            <w:tcBorders>
              <w:top w:val="nil"/>
              <w:left w:val="nil"/>
              <w:bottom w:val="dotted" w:sz="4" w:space="0" w:color="auto"/>
              <w:right w:val="dotted" w:sz="4" w:space="0" w:color="auto"/>
            </w:tcBorders>
            <w:shd w:val="clear" w:color="000000" w:fill="FFFFFF"/>
            <w:hideMark/>
          </w:tcPr>
          <w:p w14:paraId="4E4F57C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16,0</w:t>
            </w:r>
          </w:p>
        </w:tc>
        <w:tc>
          <w:tcPr>
            <w:tcW w:w="1320" w:type="dxa"/>
            <w:tcBorders>
              <w:top w:val="nil"/>
              <w:left w:val="nil"/>
              <w:bottom w:val="dotted" w:sz="4" w:space="0" w:color="auto"/>
              <w:right w:val="dotted" w:sz="4" w:space="0" w:color="auto"/>
            </w:tcBorders>
            <w:shd w:val="clear" w:color="000000" w:fill="FFFFFF"/>
            <w:hideMark/>
          </w:tcPr>
          <w:p w14:paraId="54E854B9"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17,8</w:t>
            </w:r>
          </w:p>
        </w:tc>
        <w:tc>
          <w:tcPr>
            <w:tcW w:w="1320" w:type="dxa"/>
            <w:tcBorders>
              <w:top w:val="nil"/>
              <w:left w:val="nil"/>
              <w:bottom w:val="dotted" w:sz="4" w:space="0" w:color="auto"/>
              <w:right w:val="double" w:sz="6" w:space="0" w:color="auto"/>
            </w:tcBorders>
            <w:shd w:val="clear" w:color="000000" w:fill="FFFFFF"/>
            <w:hideMark/>
          </w:tcPr>
          <w:p w14:paraId="700723B5"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20,8</w:t>
            </w:r>
          </w:p>
        </w:tc>
      </w:tr>
      <w:tr w:rsidR="003E371D" w:rsidRPr="003E371D" w14:paraId="00F15ECF"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41D968E5"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6. Import of services</w:t>
            </w:r>
          </w:p>
        </w:tc>
        <w:tc>
          <w:tcPr>
            <w:tcW w:w="1890" w:type="dxa"/>
            <w:tcBorders>
              <w:top w:val="nil"/>
              <w:left w:val="nil"/>
              <w:bottom w:val="dotted" w:sz="4" w:space="0" w:color="auto"/>
              <w:right w:val="single" w:sz="8" w:space="0" w:color="auto"/>
            </w:tcBorders>
            <w:shd w:val="clear" w:color="000000" w:fill="FFFFFF"/>
            <w:hideMark/>
          </w:tcPr>
          <w:p w14:paraId="4C99E0F9"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46588ABF"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10,0</w:t>
            </w:r>
          </w:p>
        </w:tc>
        <w:tc>
          <w:tcPr>
            <w:tcW w:w="1320" w:type="dxa"/>
            <w:tcBorders>
              <w:top w:val="nil"/>
              <w:left w:val="nil"/>
              <w:bottom w:val="dotted" w:sz="4" w:space="0" w:color="auto"/>
              <w:right w:val="dotted" w:sz="4" w:space="0" w:color="auto"/>
            </w:tcBorders>
            <w:shd w:val="clear" w:color="000000" w:fill="FFFFFF"/>
            <w:hideMark/>
          </w:tcPr>
          <w:p w14:paraId="4DCF968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11,7</w:t>
            </w:r>
          </w:p>
        </w:tc>
        <w:tc>
          <w:tcPr>
            <w:tcW w:w="1320" w:type="dxa"/>
            <w:tcBorders>
              <w:top w:val="nil"/>
              <w:left w:val="nil"/>
              <w:bottom w:val="dotted" w:sz="4" w:space="0" w:color="auto"/>
              <w:right w:val="dotted" w:sz="4" w:space="0" w:color="auto"/>
            </w:tcBorders>
            <w:shd w:val="clear" w:color="000000" w:fill="FFFFFF"/>
            <w:hideMark/>
          </w:tcPr>
          <w:p w14:paraId="2FCDB9E4"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13,3</w:t>
            </w:r>
          </w:p>
        </w:tc>
        <w:tc>
          <w:tcPr>
            <w:tcW w:w="1320" w:type="dxa"/>
            <w:tcBorders>
              <w:top w:val="nil"/>
              <w:left w:val="nil"/>
              <w:bottom w:val="dotted" w:sz="4" w:space="0" w:color="auto"/>
              <w:right w:val="dotted" w:sz="4" w:space="0" w:color="auto"/>
            </w:tcBorders>
            <w:shd w:val="clear" w:color="000000" w:fill="FFFFFF"/>
            <w:hideMark/>
          </w:tcPr>
          <w:p w14:paraId="0261304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15,0</w:t>
            </w:r>
          </w:p>
        </w:tc>
        <w:tc>
          <w:tcPr>
            <w:tcW w:w="1320" w:type="dxa"/>
            <w:tcBorders>
              <w:top w:val="nil"/>
              <w:left w:val="nil"/>
              <w:bottom w:val="dotted" w:sz="4" w:space="0" w:color="auto"/>
              <w:right w:val="double" w:sz="6" w:space="0" w:color="auto"/>
            </w:tcBorders>
            <w:shd w:val="clear" w:color="000000" w:fill="FFFFFF"/>
            <w:hideMark/>
          </w:tcPr>
          <w:p w14:paraId="6586D6F5"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16,8</w:t>
            </w:r>
          </w:p>
        </w:tc>
      </w:tr>
      <w:tr w:rsidR="003E371D" w:rsidRPr="003E371D" w14:paraId="2DEA730C"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46CEE199"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7. Service balance</w:t>
            </w:r>
          </w:p>
        </w:tc>
        <w:tc>
          <w:tcPr>
            <w:tcW w:w="1890" w:type="dxa"/>
            <w:tcBorders>
              <w:top w:val="nil"/>
              <w:left w:val="nil"/>
              <w:bottom w:val="dotted" w:sz="4" w:space="0" w:color="auto"/>
              <w:right w:val="single" w:sz="8" w:space="0" w:color="auto"/>
            </w:tcBorders>
            <w:shd w:val="clear" w:color="000000" w:fill="FFFFFF"/>
            <w:hideMark/>
          </w:tcPr>
          <w:p w14:paraId="09B17F7B"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797448E7"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3,1</w:t>
            </w:r>
          </w:p>
        </w:tc>
        <w:tc>
          <w:tcPr>
            <w:tcW w:w="1320" w:type="dxa"/>
            <w:tcBorders>
              <w:top w:val="nil"/>
              <w:left w:val="nil"/>
              <w:bottom w:val="dotted" w:sz="4" w:space="0" w:color="auto"/>
              <w:right w:val="dotted" w:sz="4" w:space="0" w:color="auto"/>
            </w:tcBorders>
            <w:shd w:val="clear" w:color="000000" w:fill="FFFFFF"/>
            <w:hideMark/>
          </w:tcPr>
          <w:p w14:paraId="7D1DC119"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2,7</w:t>
            </w:r>
          </w:p>
        </w:tc>
        <w:tc>
          <w:tcPr>
            <w:tcW w:w="1320" w:type="dxa"/>
            <w:tcBorders>
              <w:top w:val="nil"/>
              <w:left w:val="nil"/>
              <w:bottom w:val="dotted" w:sz="4" w:space="0" w:color="auto"/>
              <w:right w:val="dotted" w:sz="4" w:space="0" w:color="auto"/>
            </w:tcBorders>
            <w:shd w:val="clear" w:color="000000" w:fill="FFFFFF"/>
            <w:hideMark/>
          </w:tcPr>
          <w:p w14:paraId="7985CD98"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2,7</w:t>
            </w:r>
          </w:p>
        </w:tc>
        <w:tc>
          <w:tcPr>
            <w:tcW w:w="1320" w:type="dxa"/>
            <w:tcBorders>
              <w:top w:val="nil"/>
              <w:left w:val="nil"/>
              <w:bottom w:val="dotted" w:sz="4" w:space="0" w:color="auto"/>
              <w:right w:val="dotted" w:sz="4" w:space="0" w:color="auto"/>
            </w:tcBorders>
            <w:shd w:val="clear" w:color="000000" w:fill="FFFFFF"/>
            <w:hideMark/>
          </w:tcPr>
          <w:p w14:paraId="1D2D479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2,8</w:t>
            </w:r>
          </w:p>
        </w:tc>
        <w:tc>
          <w:tcPr>
            <w:tcW w:w="1320" w:type="dxa"/>
            <w:tcBorders>
              <w:top w:val="nil"/>
              <w:left w:val="nil"/>
              <w:bottom w:val="dotted" w:sz="4" w:space="0" w:color="auto"/>
              <w:right w:val="double" w:sz="6" w:space="0" w:color="auto"/>
            </w:tcBorders>
            <w:shd w:val="clear" w:color="000000" w:fill="FFFFFF"/>
            <w:hideMark/>
          </w:tcPr>
          <w:p w14:paraId="6D213490"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4,0</w:t>
            </w:r>
          </w:p>
        </w:tc>
      </w:tr>
      <w:tr w:rsidR="003E371D" w:rsidRPr="003E371D" w14:paraId="29B5C21F"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164C5B38"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8. Net interest payments from abroad</w:t>
            </w:r>
          </w:p>
        </w:tc>
        <w:tc>
          <w:tcPr>
            <w:tcW w:w="1890" w:type="dxa"/>
            <w:tcBorders>
              <w:top w:val="nil"/>
              <w:left w:val="nil"/>
              <w:bottom w:val="dotted" w:sz="4" w:space="0" w:color="auto"/>
              <w:right w:val="single" w:sz="8" w:space="0" w:color="auto"/>
            </w:tcBorders>
            <w:shd w:val="clear" w:color="000000" w:fill="FFFFFF"/>
            <w:hideMark/>
          </w:tcPr>
          <w:p w14:paraId="0A542E3E"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5A7EAB28"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-1,3</w:t>
            </w:r>
          </w:p>
        </w:tc>
        <w:tc>
          <w:tcPr>
            <w:tcW w:w="1320" w:type="dxa"/>
            <w:tcBorders>
              <w:top w:val="nil"/>
              <w:left w:val="nil"/>
              <w:bottom w:val="dotted" w:sz="4" w:space="0" w:color="auto"/>
              <w:right w:val="dotted" w:sz="4" w:space="0" w:color="auto"/>
            </w:tcBorders>
            <w:shd w:val="clear" w:color="000000" w:fill="FFFFFF"/>
            <w:hideMark/>
          </w:tcPr>
          <w:p w14:paraId="487904EF"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-1,6</w:t>
            </w:r>
          </w:p>
        </w:tc>
        <w:tc>
          <w:tcPr>
            <w:tcW w:w="1320" w:type="dxa"/>
            <w:tcBorders>
              <w:top w:val="nil"/>
              <w:left w:val="nil"/>
              <w:bottom w:val="dotted" w:sz="4" w:space="0" w:color="auto"/>
              <w:right w:val="dotted" w:sz="4" w:space="0" w:color="auto"/>
            </w:tcBorders>
            <w:shd w:val="clear" w:color="000000" w:fill="FFFFFF"/>
            <w:hideMark/>
          </w:tcPr>
          <w:p w14:paraId="65BF11C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-1,6</w:t>
            </w:r>
          </w:p>
        </w:tc>
        <w:tc>
          <w:tcPr>
            <w:tcW w:w="1320" w:type="dxa"/>
            <w:tcBorders>
              <w:top w:val="nil"/>
              <w:left w:val="nil"/>
              <w:bottom w:val="dotted" w:sz="4" w:space="0" w:color="auto"/>
              <w:right w:val="dotted" w:sz="4" w:space="0" w:color="auto"/>
            </w:tcBorders>
            <w:shd w:val="clear" w:color="000000" w:fill="FFFFFF"/>
            <w:hideMark/>
          </w:tcPr>
          <w:p w14:paraId="6E19C7A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-1,3</w:t>
            </w:r>
          </w:p>
        </w:tc>
        <w:tc>
          <w:tcPr>
            <w:tcW w:w="1320" w:type="dxa"/>
            <w:tcBorders>
              <w:top w:val="nil"/>
              <w:left w:val="nil"/>
              <w:bottom w:val="dotted" w:sz="4" w:space="0" w:color="auto"/>
              <w:right w:val="double" w:sz="6" w:space="0" w:color="auto"/>
            </w:tcBorders>
            <w:shd w:val="clear" w:color="000000" w:fill="FFFFFF"/>
            <w:hideMark/>
          </w:tcPr>
          <w:p w14:paraId="6E0DFD27"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-1,1</w:t>
            </w:r>
          </w:p>
        </w:tc>
      </w:tr>
      <w:tr w:rsidR="003E371D" w:rsidRPr="003E371D" w14:paraId="7E393011"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3CE4E9F7"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9. Other net factor income from abroad</w:t>
            </w:r>
          </w:p>
        </w:tc>
        <w:tc>
          <w:tcPr>
            <w:tcW w:w="1890" w:type="dxa"/>
            <w:tcBorders>
              <w:top w:val="nil"/>
              <w:left w:val="nil"/>
              <w:bottom w:val="dotted" w:sz="4" w:space="0" w:color="auto"/>
              <w:right w:val="single" w:sz="8" w:space="0" w:color="auto"/>
            </w:tcBorders>
            <w:shd w:val="clear" w:color="000000" w:fill="FFFFFF"/>
            <w:hideMark/>
          </w:tcPr>
          <w:p w14:paraId="34F0863E"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0A5AC66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-2,6</w:t>
            </w:r>
          </w:p>
        </w:tc>
        <w:tc>
          <w:tcPr>
            <w:tcW w:w="1320" w:type="dxa"/>
            <w:tcBorders>
              <w:top w:val="nil"/>
              <w:left w:val="nil"/>
              <w:bottom w:val="dotted" w:sz="4" w:space="0" w:color="auto"/>
              <w:right w:val="dotted" w:sz="4" w:space="0" w:color="auto"/>
            </w:tcBorders>
            <w:shd w:val="clear" w:color="000000" w:fill="FFFFFF"/>
            <w:hideMark/>
          </w:tcPr>
          <w:p w14:paraId="5779202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-3,1</w:t>
            </w:r>
          </w:p>
        </w:tc>
        <w:tc>
          <w:tcPr>
            <w:tcW w:w="1320" w:type="dxa"/>
            <w:tcBorders>
              <w:top w:val="nil"/>
              <w:left w:val="nil"/>
              <w:bottom w:val="dotted" w:sz="4" w:space="0" w:color="auto"/>
              <w:right w:val="dotted" w:sz="4" w:space="0" w:color="auto"/>
            </w:tcBorders>
            <w:shd w:val="clear" w:color="000000" w:fill="FFFFFF"/>
            <w:hideMark/>
          </w:tcPr>
          <w:p w14:paraId="5CD33263"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-2,7</w:t>
            </w:r>
          </w:p>
        </w:tc>
        <w:tc>
          <w:tcPr>
            <w:tcW w:w="1320" w:type="dxa"/>
            <w:tcBorders>
              <w:top w:val="nil"/>
              <w:left w:val="nil"/>
              <w:bottom w:val="dotted" w:sz="4" w:space="0" w:color="auto"/>
              <w:right w:val="dotted" w:sz="4" w:space="0" w:color="auto"/>
            </w:tcBorders>
            <w:shd w:val="clear" w:color="000000" w:fill="FFFFFF"/>
            <w:hideMark/>
          </w:tcPr>
          <w:p w14:paraId="2D40DEFA"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-3,1</w:t>
            </w:r>
          </w:p>
        </w:tc>
        <w:tc>
          <w:tcPr>
            <w:tcW w:w="1320" w:type="dxa"/>
            <w:tcBorders>
              <w:top w:val="nil"/>
              <w:left w:val="nil"/>
              <w:bottom w:val="dotted" w:sz="4" w:space="0" w:color="auto"/>
              <w:right w:val="double" w:sz="6" w:space="0" w:color="auto"/>
            </w:tcBorders>
            <w:shd w:val="clear" w:color="000000" w:fill="FFFFFF"/>
            <w:hideMark/>
          </w:tcPr>
          <w:p w14:paraId="2CB6DC9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-3,6</w:t>
            </w:r>
          </w:p>
        </w:tc>
      </w:tr>
      <w:tr w:rsidR="003E371D" w:rsidRPr="003E371D" w14:paraId="639D2AD0"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72F60A9D"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10. Current transfers</w:t>
            </w:r>
          </w:p>
        </w:tc>
        <w:tc>
          <w:tcPr>
            <w:tcW w:w="1890" w:type="dxa"/>
            <w:tcBorders>
              <w:top w:val="nil"/>
              <w:left w:val="nil"/>
              <w:bottom w:val="dotted" w:sz="4" w:space="0" w:color="auto"/>
              <w:right w:val="single" w:sz="8" w:space="0" w:color="auto"/>
            </w:tcBorders>
            <w:shd w:val="clear" w:color="000000" w:fill="FFFFFF"/>
            <w:hideMark/>
          </w:tcPr>
          <w:p w14:paraId="64020E69"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3DEFC935"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5,6</w:t>
            </w:r>
          </w:p>
        </w:tc>
        <w:tc>
          <w:tcPr>
            <w:tcW w:w="1320" w:type="dxa"/>
            <w:tcBorders>
              <w:top w:val="nil"/>
              <w:left w:val="nil"/>
              <w:bottom w:val="dotted" w:sz="4" w:space="0" w:color="auto"/>
              <w:right w:val="dotted" w:sz="4" w:space="0" w:color="auto"/>
            </w:tcBorders>
            <w:shd w:val="clear" w:color="000000" w:fill="FFFFFF"/>
            <w:hideMark/>
          </w:tcPr>
          <w:p w14:paraId="3306C1C8"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5,6</w:t>
            </w:r>
          </w:p>
        </w:tc>
        <w:tc>
          <w:tcPr>
            <w:tcW w:w="1320" w:type="dxa"/>
            <w:tcBorders>
              <w:top w:val="nil"/>
              <w:left w:val="nil"/>
              <w:bottom w:val="dotted" w:sz="4" w:space="0" w:color="auto"/>
              <w:right w:val="dotted" w:sz="4" w:space="0" w:color="auto"/>
            </w:tcBorders>
            <w:shd w:val="clear" w:color="000000" w:fill="FFFFFF"/>
            <w:hideMark/>
          </w:tcPr>
          <w:p w14:paraId="2544F318"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5,6</w:t>
            </w:r>
          </w:p>
        </w:tc>
        <w:tc>
          <w:tcPr>
            <w:tcW w:w="1320" w:type="dxa"/>
            <w:tcBorders>
              <w:top w:val="nil"/>
              <w:left w:val="nil"/>
              <w:bottom w:val="dotted" w:sz="4" w:space="0" w:color="auto"/>
              <w:right w:val="dotted" w:sz="4" w:space="0" w:color="auto"/>
            </w:tcBorders>
            <w:shd w:val="clear" w:color="000000" w:fill="FFFFFF"/>
            <w:hideMark/>
          </w:tcPr>
          <w:p w14:paraId="612EA699"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5,6</w:t>
            </w:r>
          </w:p>
        </w:tc>
        <w:tc>
          <w:tcPr>
            <w:tcW w:w="1320" w:type="dxa"/>
            <w:tcBorders>
              <w:top w:val="nil"/>
              <w:left w:val="nil"/>
              <w:bottom w:val="dotted" w:sz="4" w:space="0" w:color="auto"/>
              <w:right w:val="double" w:sz="6" w:space="0" w:color="auto"/>
            </w:tcBorders>
            <w:shd w:val="clear" w:color="000000" w:fill="FFFFFF"/>
            <w:hideMark/>
          </w:tcPr>
          <w:p w14:paraId="55BA3557"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5,6</w:t>
            </w:r>
          </w:p>
        </w:tc>
      </w:tr>
      <w:tr w:rsidR="003E371D" w:rsidRPr="003E371D" w14:paraId="3B192CF0"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1F805018" w14:textId="77777777" w:rsidR="003E371D" w:rsidRPr="003E371D" w:rsidRDefault="003E371D" w:rsidP="003E371D">
            <w:pPr>
              <w:spacing w:after="0"/>
              <w:jc w:val="left"/>
              <w:rPr>
                <w:rFonts w:eastAsia="Times New Roman" w:cs="Times New Roman"/>
                <w:i/>
                <w:iCs/>
                <w:sz w:val="20"/>
                <w:szCs w:val="20"/>
              </w:rPr>
            </w:pPr>
            <w:r w:rsidRPr="003E371D">
              <w:rPr>
                <w:rFonts w:eastAsia="Times New Roman" w:cs="Times New Roman"/>
                <w:i/>
                <w:iCs/>
                <w:sz w:val="20"/>
                <w:szCs w:val="20"/>
              </w:rPr>
              <w:t>11. Of which</w:t>
            </w:r>
            <w:r w:rsidRPr="003E371D">
              <w:rPr>
                <w:rFonts w:eastAsia="Times New Roman" w:cs="Times New Roman"/>
                <w:sz w:val="20"/>
                <w:szCs w:val="20"/>
              </w:rPr>
              <w:t xml:space="preserve"> from EU</w:t>
            </w:r>
          </w:p>
        </w:tc>
        <w:tc>
          <w:tcPr>
            <w:tcW w:w="1890" w:type="dxa"/>
            <w:tcBorders>
              <w:top w:val="nil"/>
              <w:left w:val="nil"/>
              <w:bottom w:val="dotted" w:sz="4" w:space="0" w:color="auto"/>
              <w:right w:val="single" w:sz="8" w:space="0" w:color="auto"/>
            </w:tcBorders>
            <w:shd w:val="clear" w:color="000000" w:fill="FFFFFF"/>
            <w:hideMark/>
          </w:tcPr>
          <w:p w14:paraId="188D7D17"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0704A31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3,5</w:t>
            </w:r>
          </w:p>
        </w:tc>
        <w:tc>
          <w:tcPr>
            <w:tcW w:w="1320" w:type="dxa"/>
            <w:tcBorders>
              <w:top w:val="nil"/>
              <w:left w:val="nil"/>
              <w:bottom w:val="dotted" w:sz="4" w:space="0" w:color="auto"/>
              <w:right w:val="dotted" w:sz="4" w:space="0" w:color="auto"/>
            </w:tcBorders>
            <w:shd w:val="clear" w:color="000000" w:fill="FFFFFF"/>
            <w:hideMark/>
          </w:tcPr>
          <w:p w14:paraId="57F07022"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3,7</w:t>
            </w:r>
          </w:p>
        </w:tc>
        <w:tc>
          <w:tcPr>
            <w:tcW w:w="1320" w:type="dxa"/>
            <w:tcBorders>
              <w:top w:val="nil"/>
              <w:left w:val="nil"/>
              <w:bottom w:val="dotted" w:sz="4" w:space="0" w:color="auto"/>
              <w:right w:val="dotted" w:sz="4" w:space="0" w:color="auto"/>
            </w:tcBorders>
            <w:shd w:val="clear" w:color="000000" w:fill="FFFFFF"/>
            <w:hideMark/>
          </w:tcPr>
          <w:p w14:paraId="3E0AA197"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3,8</w:t>
            </w:r>
          </w:p>
        </w:tc>
        <w:tc>
          <w:tcPr>
            <w:tcW w:w="1320" w:type="dxa"/>
            <w:tcBorders>
              <w:top w:val="nil"/>
              <w:left w:val="nil"/>
              <w:bottom w:val="dotted" w:sz="4" w:space="0" w:color="auto"/>
              <w:right w:val="dotted" w:sz="4" w:space="0" w:color="auto"/>
            </w:tcBorders>
            <w:shd w:val="clear" w:color="000000" w:fill="FFFFFF"/>
            <w:hideMark/>
          </w:tcPr>
          <w:p w14:paraId="38E60482"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3,9</w:t>
            </w:r>
          </w:p>
        </w:tc>
        <w:tc>
          <w:tcPr>
            <w:tcW w:w="1320" w:type="dxa"/>
            <w:tcBorders>
              <w:top w:val="nil"/>
              <w:left w:val="nil"/>
              <w:bottom w:val="dotted" w:sz="4" w:space="0" w:color="auto"/>
              <w:right w:val="double" w:sz="6" w:space="0" w:color="auto"/>
            </w:tcBorders>
            <w:shd w:val="clear" w:color="000000" w:fill="FFFFFF"/>
            <w:hideMark/>
          </w:tcPr>
          <w:p w14:paraId="6B47C338"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3,9</w:t>
            </w:r>
          </w:p>
        </w:tc>
      </w:tr>
      <w:tr w:rsidR="003E371D" w:rsidRPr="003E371D" w14:paraId="7C160CA2"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4FDDB4C0"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12. Current account balance</w:t>
            </w:r>
          </w:p>
        </w:tc>
        <w:tc>
          <w:tcPr>
            <w:tcW w:w="1890" w:type="dxa"/>
            <w:tcBorders>
              <w:top w:val="nil"/>
              <w:left w:val="nil"/>
              <w:bottom w:val="dotted" w:sz="4" w:space="0" w:color="auto"/>
              <w:right w:val="single" w:sz="8" w:space="0" w:color="auto"/>
            </w:tcBorders>
            <w:shd w:val="clear" w:color="000000" w:fill="FFFFFF"/>
            <w:hideMark/>
          </w:tcPr>
          <w:p w14:paraId="076C011F"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5573ADCB"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-1,8</w:t>
            </w:r>
          </w:p>
        </w:tc>
        <w:tc>
          <w:tcPr>
            <w:tcW w:w="1320" w:type="dxa"/>
            <w:tcBorders>
              <w:top w:val="nil"/>
              <w:left w:val="nil"/>
              <w:bottom w:val="dotted" w:sz="4" w:space="0" w:color="auto"/>
              <w:right w:val="dotted" w:sz="4" w:space="0" w:color="auto"/>
            </w:tcBorders>
            <w:shd w:val="clear" w:color="000000" w:fill="FFFFFF"/>
            <w:hideMark/>
          </w:tcPr>
          <w:p w14:paraId="51DF330A"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-3,9</w:t>
            </w:r>
          </w:p>
        </w:tc>
        <w:tc>
          <w:tcPr>
            <w:tcW w:w="1320" w:type="dxa"/>
            <w:tcBorders>
              <w:top w:val="nil"/>
              <w:left w:val="nil"/>
              <w:bottom w:val="dotted" w:sz="4" w:space="0" w:color="auto"/>
              <w:right w:val="dotted" w:sz="4" w:space="0" w:color="auto"/>
            </w:tcBorders>
            <w:shd w:val="clear" w:color="000000" w:fill="FFFFFF"/>
            <w:hideMark/>
          </w:tcPr>
          <w:p w14:paraId="7AB5EEDB"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-4,3</w:t>
            </w:r>
          </w:p>
        </w:tc>
        <w:tc>
          <w:tcPr>
            <w:tcW w:w="1320" w:type="dxa"/>
            <w:tcBorders>
              <w:top w:val="nil"/>
              <w:left w:val="nil"/>
              <w:bottom w:val="dotted" w:sz="4" w:space="0" w:color="auto"/>
              <w:right w:val="dotted" w:sz="4" w:space="0" w:color="auto"/>
            </w:tcBorders>
            <w:shd w:val="clear" w:color="000000" w:fill="FFFFFF"/>
            <w:hideMark/>
          </w:tcPr>
          <w:p w14:paraId="30993ACD"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-5,0</w:t>
            </w:r>
          </w:p>
        </w:tc>
        <w:tc>
          <w:tcPr>
            <w:tcW w:w="1320" w:type="dxa"/>
            <w:tcBorders>
              <w:top w:val="nil"/>
              <w:left w:val="nil"/>
              <w:bottom w:val="dotted" w:sz="4" w:space="0" w:color="auto"/>
              <w:right w:val="double" w:sz="6" w:space="0" w:color="auto"/>
            </w:tcBorders>
            <w:shd w:val="clear" w:color="000000" w:fill="FFFFFF"/>
            <w:hideMark/>
          </w:tcPr>
          <w:p w14:paraId="01718C0A"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-4,2</w:t>
            </w:r>
          </w:p>
        </w:tc>
      </w:tr>
      <w:tr w:rsidR="003E371D" w:rsidRPr="003E371D" w14:paraId="6362E08D"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74EF9B1C"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13. Capital and financial account</w:t>
            </w:r>
          </w:p>
        </w:tc>
        <w:tc>
          <w:tcPr>
            <w:tcW w:w="1890" w:type="dxa"/>
            <w:tcBorders>
              <w:top w:val="nil"/>
              <w:left w:val="nil"/>
              <w:bottom w:val="dotted" w:sz="4" w:space="0" w:color="auto"/>
              <w:right w:val="single" w:sz="8" w:space="0" w:color="auto"/>
            </w:tcBorders>
            <w:shd w:val="clear" w:color="000000" w:fill="FFFFFF"/>
            <w:hideMark/>
          </w:tcPr>
          <w:p w14:paraId="271E7B15"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57649C7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1,6</w:t>
            </w:r>
          </w:p>
        </w:tc>
        <w:tc>
          <w:tcPr>
            <w:tcW w:w="1320" w:type="dxa"/>
            <w:tcBorders>
              <w:top w:val="nil"/>
              <w:left w:val="nil"/>
              <w:bottom w:val="dotted" w:sz="4" w:space="0" w:color="auto"/>
              <w:right w:val="dotted" w:sz="4" w:space="0" w:color="auto"/>
            </w:tcBorders>
            <w:shd w:val="clear" w:color="000000" w:fill="FFFFFF"/>
            <w:hideMark/>
          </w:tcPr>
          <w:p w14:paraId="49D4224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4,6</w:t>
            </w:r>
          </w:p>
        </w:tc>
        <w:tc>
          <w:tcPr>
            <w:tcW w:w="1320" w:type="dxa"/>
            <w:tcBorders>
              <w:top w:val="nil"/>
              <w:left w:val="nil"/>
              <w:bottom w:val="dotted" w:sz="4" w:space="0" w:color="auto"/>
              <w:right w:val="dotted" w:sz="4" w:space="0" w:color="auto"/>
            </w:tcBorders>
            <w:shd w:val="clear" w:color="000000" w:fill="FFFFFF"/>
            <w:hideMark/>
          </w:tcPr>
          <w:p w14:paraId="6A34DB55"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4,3</w:t>
            </w:r>
          </w:p>
        </w:tc>
        <w:tc>
          <w:tcPr>
            <w:tcW w:w="1320" w:type="dxa"/>
            <w:tcBorders>
              <w:top w:val="nil"/>
              <w:left w:val="nil"/>
              <w:bottom w:val="dotted" w:sz="4" w:space="0" w:color="auto"/>
              <w:right w:val="dotted" w:sz="4" w:space="0" w:color="auto"/>
            </w:tcBorders>
            <w:shd w:val="clear" w:color="000000" w:fill="FFFFFF"/>
            <w:hideMark/>
          </w:tcPr>
          <w:p w14:paraId="08CF3349"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5,0</w:t>
            </w:r>
          </w:p>
        </w:tc>
        <w:tc>
          <w:tcPr>
            <w:tcW w:w="1320" w:type="dxa"/>
            <w:tcBorders>
              <w:top w:val="nil"/>
              <w:left w:val="nil"/>
              <w:bottom w:val="dotted" w:sz="4" w:space="0" w:color="auto"/>
              <w:right w:val="double" w:sz="6" w:space="0" w:color="auto"/>
            </w:tcBorders>
            <w:shd w:val="clear" w:color="000000" w:fill="FFFFFF"/>
            <w:hideMark/>
          </w:tcPr>
          <w:p w14:paraId="0FEF1E1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4,2</w:t>
            </w:r>
          </w:p>
        </w:tc>
      </w:tr>
      <w:tr w:rsidR="003E371D" w:rsidRPr="003E371D" w14:paraId="3EF5596B"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634D6CE5"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14. Foreign direct investment</w:t>
            </w:r>
          </w:p>
        </w:tc>
        <w:tc>
          <w:tcPr>
            <w:tcW w:w="1890" w:type="dxa"/>
            <w:tcBorders>
              <w:top w:val="nil"/>
              <w:left w:val="nil"/>
              <w:bottom w:val="dotted" w:sz="4" w:space="0" w:color="auto"/>
              <w:right w:val="single" w:sz="8" w:space="0" w:color="auto"/>
            </w:tcBorders>
            <w:shd w:val="clear" w:color="000000" w:fill="FFFFFF"/>
            <w:hideMark/>
          </w:tcPr>
          <w:p w14:paraId="2C5767B5"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30324E6A"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4,3</w:t>
            </w:r>
          </w:p>
        </w:tc>
        <w:tc>
          <w:tcPr>
            <w:tcW w:w="1320" w:type="dxa"/>
            <w:tcBorders>
              <w:top w:val="nil"/>
              <w:left w:val="nil"/>
              <w:bottom w:val="dotted" w:sz="4" w:space="0" w:color="auto"/>
              <w:right w:val="dotted" w:sz="4" w:space="0" w:color="auto"/>
            </w:tcBorders>
            <w:shd w:val="clear" w:color="000000" w:fill="FFFFFF"/>
            <w:hideMark/>
          </w:tcPr>
          <w:p w14:paraId="14F7132D"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4,3</w:t>
            </w:r>
          </w:p>
        </w:tc>
        <w:tc>
          <w:tcPr>
            <w:tcW w:w="1320" w:type="dxa"/>
            <w:tcBorders>
              <w:top w:val="nil"/>
              <w:left w:val="nil"/>
              <w:bottom w:val="dotted" w:sz="4" w:space="0" w:color="auto"/>
              <w:right w:val="dotted" w:sz="4" w:space="0" w:color="auto"/>
            </w:tcBorders>
            <w:shd w:val="clear" w:color="000000" w:fill="FFFFFF"/>
            <w:hideMark/>
          </w:tcPr>
          <w:p w14:paraId="65A75094"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4,5</w:t>
            </w:r>
          </w:p>
        </w:tc>
        <w:tc>
          <w:tcPr>
            <w:tcW w:w="1320" w:type="dxa"/>
            <w:tcBorders>
              <w:top w:val="nil"/>
              <w:left w:val="nil"/>
              <w:bottom w:val="dotted" w:sz="4" w:space="0" w:color="auto"/>
              <w:right w:val="dotted" w:sz="4" w:space="0" w:color="auto"/>
            </w:tcBorders>
            <w:shd w:val="clear" w:color="000000" w:fill="FFFFFF"/>
            <w:hideMark/>
          </w:tcPr>
          <w:p w14:paraId="5ECB368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4,4</w:t>
            </w:r>
          </w:p>
        </w:tc>
        <w:tc>
          <w:tcPr>
            <w:tcW w:w="1320" w:type="dxa"/>
            <w:tcBorders>
              <w:top w:val="nil"/>
              <w:left w:val="nil"/>
              <w:bottom w:val="dotted" w:sz="4" w:space="0" w:color="auto"/>
              <w:right w:val="double" w:sz="6" w:space="0" w:color="auto"/>
            </w:tcBorders>
            <w:shd w:val="clear" w:color="000000" w:fill="FFFFFF"/>
            <w:hideMark/>
          </w:tcPr>
          <w:p w14:paraId="34F89192"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4,4</w:t>
            </w:r>
          </w:p>
        </w:tc>
      </w:tr>
      <w:tr w:rsidR="003E371D" w:rsidRPr="003E371D" w14:paraId="1ACF525B"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65742D5E"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15. Foreign reserves</w:t>
            </w:r>
          </w:p>
        </w:tc>
        <w:tc>
          <w:tcPr>
            <w:tcW w:w="1890" w:type="dxa"/>
            <w:tcBorders>
              <w:top w:val="nil"/>
              <w:left w:val="nil"/>
              <w:bottom w:val="dotted" w:sz="4" w:space="0" w:color="auto"/>
              <w:right w:val="single" w:sz="8" w:space="0" w:color="auto"/>
            </w:tcBorders>
            <w:shd w:val="clear" w:color="000000" w:fill="FFFFFF"/>
            <w:hideMark/>
          </w:tcPr>
          <w:p w14:paraId="34FD64A3"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780A93D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24,9</w:t>
            </w:r>
          </w:p>
        </w:tc>
        <w:tc>
          <w:tcPr>
            <w:tcW w:w="1320" w:type="dxa"/>
            <w:tcBorders>
              <w:top w:val="nil"/>
              <w:left w:val="nil"/>
              <w:bottom w:val="dotted" w:sz="4" w:space="0" w:color="auto"/>
              <w:right w:val="dotted" w:sz="4" w:space="0" w:color="auto"/>
            </w:tcBorders>
            <w:shd w:val="clear" w:color="000000" w:fill="FFFFFF"/>
            <w:hideMark/>
          </w:tcPr>
          <w:p w14:paraId="48D7462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29,0</w:t>
            </w:r>
          </w:p>
        </w:tc>
        <w:tc>
          <w:tcPr>
            <w:tcW w:w="1320" w:type="dxa"/>
            <w:tcBorders>
              <w:top w:val="nil"/>
              <w:left w:val="nil"/>
              <w:bottom w:val="dotted" w:sz="4" w:space="0" w:color="auto"/>
              <w:right w:val="dotted" w:sz="4" w:space="0" w:color="auto"/>
            </w:tcBorders>
            <w:shd w:val="clear" w:color="000000" w:fill="FFFFFF"/>
            <w:hideMark/>
          </w:tcPr>
          <w:p w14:paraId="05ABEB84"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31,8</w:t>
            </w:r>
          </w:p>
        </w:tc>
        <w:tc>
          <w:tcPr>
            <w:tcW w:w="1320" w:type="dxa"/>
            <w:tcBorders>
              <w:top w:val="nil"/>
              <w:left w:val="nil"/>
              <w:bottom w:val="dotted" w:sz="4" w:space="0" w:color="auto"/>
              <w:right w:val="dotted" w:sz="4" w:space="0" w:color="auto"/>
            </w:tcBorders>
            <w:shd w:val="clear" w:color="000000" w:fill="FFFFFF"/>
            <w:hideMark/>
          </w:tcPr>
          <w:p w14:paraId="2F76DF27"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33,9</w:t>
            </w:r>
          </w:p>
        </w:tc>
        <w:tc>
          <w:tcPr>
            <w:tcW w:w="1320" w:type="dxa"/>
            <w:tcBorders>
              <w:top w:val="nil"/>
              <w:left w:val="nil"/>
              <w:bottom w:val="dotted" w:sz="4" w:space="0" w:color="auto"/>
              <w:right w:val="double" w:sz="6" w:space="0" w:color="auto"/>
            </w:tcBorders>
            <w:shd w:val="clear" w:color="000000" w:fill="FFFFFF"/>
            <w:hideMark/>
          </w:tcPr>
          <w:p w14:paraId="7E5B977B"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35,2</w:t>
            </w:r>
          </w:p>
        </w:tc>
      </w:tr>
      <w:tr w:rsidR="003E371D" w:rsidRPr="003E371D" w14:paraId="1EAC3358"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1E972C86"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16. Foreign debt</w:t>
            </w:r>
          </w:p>
        </w:tc>
        <w:tc>
          <w:tcPr>
            <w:tcW w:w="1890" w:type="dxa"/>
            <w:tcBorders>
              <w:top w:val="nil"/>
              <w:left w:val="nil"/>
              <w:bottom w:val="dotted" w:sz="4" w:space="0" w:color="auto"/>
              <w:right w:val="single" w:sz="8" w:space="0" w:color="auto"/>
            </w:tcBorders>
            <w:shd w:val="clear" w:color="000000" w:fill="FFFFFF"/>
            <w:hideMark/>
          </w:tcPr>
          <w:p w14:paraId="2893E4C0"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4CBB6BF2"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17,5</w:t>
            </w:r>
          </w:p>
        </w:tc>
        <w:tc>
          <w:tcPr>
            <w:tcW w:w="1320" w:type="dxa"/>
            <w:tcBorders>
              <w:top w:val="nil"/>
              <w:left w:val="nil"/>
              <w:bottom w:val="dotted" w:sz="4" w:space="0" w:color="auto"/>
              <w:right w:val="dotted" w:sz="4" w:space="0" w:color="auto"/>
            </w:tcBorders>
            <w:shd w:val="clear" w:color="000000" w:fill="FFFFFF"/>
            <w:hideMark/>
          </w:tcPr>
          <w:p w14:paraId="4D2906B8"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18,1</w:t>
            </w:r>
          </w:p>
        </w:tc>
        <w:tc>
          <w:tcPr>
            <w:tcW w:w="1320" w:type="dxa"/>
            <w:tcBorders>
              <w:top w:val="nil"/>
              <w:left w:val="nil"/>
              <w:bottom w:val="dotted" w:sz="4" w:space="0" w:color="auto"/>
              <w:right w:val="dotted" w:sz="4" w:space="0" w:color="auto"/>
            </w:tcBorders>
            <w:shd w:val="clear" w:color="000000" w:fill="FFFFFF"/>
            <w:hideMark/>
          </w:tcPr>
          <w:p w14:paraId="39F3989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19,2</w:t>
            </w:r>
          </w:p>
        </w:tc>
        <w:tc>
          <w:tcPr>
            <w:tcW w:w="1320" w:type="dxa"/>
            <w:tcBorders>
              <w:top w:val="nil"/>
              <w:left w:val="nil"/>
              <w:bottom w:val="dotted" w:sz="4" w:space="0" w:color="auto"/>
              <w:right w:val="dotted" w:sz="4" w:space="0" w:color="auto"/>
            </w:tcBorders>
            <w:shd w:val="clear" w:color="000000" w:fill="FFFFFF"/>
            <w:hideMark/>
          </w:tcPr>
          <w:p w14:paraId="513180D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20,9</w:t>
            </w:r>
          </w:p>
        </w:tc>
        <w:tc>
          <w:tcPr>
            <w:tcW w:w="1320" w:type="dxa"/>
            <w:tcBorders>
              <w:top w:val="nil"/>
              <w:left w:val="nil"/>
              <w:bottom w:val="dotted" w:sz="4" w:space="0" w:color="auto"/>
              <w:right w:val="double" w:sz="6" w:space="0" w:color="auto"/>
            </w:tcBorders>
            <w:shd w:val="clear" w:color="000000" w:fill="FFFFFF"/>
            <w:hideMark/>
          </w:tcPr>
          <w:p w14:paraId="73299E5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21,5</w:t>
            </w:r>
          </w:p>
        </w:tc>
      </w:tr>
      <w:tr w:rsidR="003E371D" w:rsidRPr="003E371D" w14:paraId="4838C0A7"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4F3A723D" w14:textId="77777777" w:rsidR="003E371D" w:rsidRPr="003E371D" w:rsidRDefault="003E371D" w:rsidP="003E371D">
            <w:pPr>
              <w:spacing w:after="0"/>
              <w:jc w:val="left"/>
              <w:rPr>
                <w:rFonts w:eastAsia="Times New Roman" w:cs="Times New Roman"/>
                <w:i/>
                <w:iCs/>
                <w:sz w:val="20"/>
                <w:szCs w:val="20"/>
              </w:rPr>
            </w:pPr>
            <w:r w:rsidRPr="003E371D">
              <w:rPr>
                <w:rFonts w:eastAsia="Times New Roman" w:cs="Times New Roman"/>
                <w:i/>
                <w:iCs/>
                <w:sz w:val="20"/>
                <w:szCs w:val="20"/>
              </w:rPr>
              <w:t>17. Of which</w:t>
            </w:r>
            <w:r w:rsidRPr="003E371D">
              <w:rPr>
                <w:rFonts w:eastAsia="Times New Roman" w:cs="Times New Roman"/>
                <w:szCs w:val="24"/>
              </w:rPr>
              <w:t>:</w:t>
            </w:r>
            <w:r w:rsidRPr="003E371D">
              <w:rPr>
                <w:rFonts w:eastAsia="Times New Roman" w:cs="Times New Roman"/>
                <w:sz w:val="20"/>
                <w:szCs w:val="20"/>
              </w:rPr>
              <w:t xml:space="preserve"> public</w:t>
            </w:r>
          </w:p>
        </w:tc>
        <w:tc>
          <w:tcPr>
            <w:tcW w:w="1890" w:type="dxa"/>
            <w:tcBorders>
              <w:top w:val="nil"/>
              <w:left w:val="nil"/>
              <w:bottom w:val="dotted" w:sz="4" w:space="0" w:color="auto"/>
              <w:right w:val="single" w:sz="8" w:space="0" w:color="auto"/>
            </w:tcBorders>
            <w:shd w:val="clear" w:color="000000" w:fill="FFFFFF"/>
            <w:hideMark/>
          </w:tcPr>
          <w:p w14:paraId="103D5BA4"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1CF14F03"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3,5</w:t>
            </w:r>
          </w:p>
        </w:tc>
        <w:tc>
          <w:tcPr>
            <w:tcW w:w="1320" w:type="dxa"/>
            <w:tcBorders>
              <w:top w:val="nil"/>
              <w:left w:val="nil"/>
              <w:bottom w:val="dotted" w:sz="4" w:space="0" w:color="auto"/>
              <w:right w:val="dotted" w:sz="4" w:space="0" w:color="auto"/>
            </w:tcBorders>
            <w:shd w:val="clear" w:color="000000" w:fill="FFFFFF"/>
            <w:hideMark/>
          </w:tcPr>
          <w:p w14:paraId="7070F4E9"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3,0</w:t>
            </w:r>
          </w:p>
        </w:tc>
        <w:tc>
          <w:tcPr>
            <w:tcW w:w="1320" w:type="dxa"/>
            <w:tcBorders>
              <w:top w:val="nil"/>
              <w:left w:val="nil"/>
              <w:bottom w:val="dotted" w:sz="4" w:space="0" w:color="auto"/>
              <w:right w:val="dotted" w:sz="4" w:space="0" w:color="auto"/>
            </w:tcBorders>
            <w:shd w:val="clear" w:color="000000" w:fill="FFFFFF"/>
            <w:hideMark/>
          </w:tcPr>
          <w:p w14:paraId="38709225"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2,7</w:t>
            </w:r>
          </w:p>
        </w:tc>
        <w:tc>
          <w:tcPr>
            <w:tcW w:w="1320" w:type="dxa"/>
            <w:tcBorders>
              <w:top w:val="nil"/>
              <w:left w:val="nil"/>
              <w:bottom w:val="dotted" w:sz="4" w:space="0" w:color="auto"/>
              <w:right w:val="dotted" w:sz="4" w:space="0" w:color="auto"/>
            </w:tcBorders>
            <w:shd w:val="clear" w:color="000000" w:fill="FFFFFF"/>
            <w:hideMark/>
          </w:tcPr>
          <w:p w14:paraId="51A366E3"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2,9</w:t>
            </w:r>
          </w:p>
        </w:tc>
        <w:tc>
          <w:tcPr>
            <w:tcW w:w="1320" w:type="dxa"/>
            <w:tcBorders>
              <w:top w:val="nil"/>
              <w:left w:val="nil"/>
              <w:bottom w:val="dotted" w:sz="4" w:space="0" w:color="auto"/>
              <w:right w:val="double" w:sz="6" w:space="0" w:color="auto"/>
            </w:tcBorders>
            <w:shd w:val="clear" w:color="000000" w:fill="FFFFFF"/>
            <w:hideMark/>
          </w:tcPr>
          <w:p w14:paraId="04AEFD5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2,2</w:t>
            </w:r>
          </w:p>
        </w:tc>
      </w:tr>
      <w:tr w:rsidR="003E371D" w:rsidRPr="003E371D" w14:paraId="6CD8056A"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4443914C" w14:textId="77777777" w:rsidR="003E371D" w:rsidRPr="003E371D" w:rsidRDefault="003E371D" w:rsidP="003E371D">
            <w:pPr>
              <w:spacing w:after="0"/>
              <w:jc w:val="left"/>
              <w:rPr>
                <w:rFonts w:eastAsia="Times New Roman" w:cs="Times New Roman"/>
                <w:i/>
                <w:iCs/>
                <w:sz w:val="20"/>
                <w:szCs w:val="20"/>
              </w:rPr>
            </w:pPr>
            <w:r w:rsidRPr="003E371D">
              <w:rPr>
                <w:rFonts w:eastAsia="Times New Roman" w:cs="Times New Roman"/>
                <w:i/>
                <w:iCs/>
                <w:sz w:val="20"/>
                <w:szCs w:val="20"/>
              </w:rPr>
              <w:t xml:space="preserve">18. O/w: </w:t>
            </w:r>
            <w:r w:rsidRPr="003E371D">
              <w:rPr>
                <w:rFonts w:eastAsia="Times New Roman" w:cs="Times New Roman"/>
                <w:sz w:val="20"/>
                <w:szCs w:val="20"/>
              </w:rPr>
              <w:t>foreign currency denominated</w:t>
            </w:r>
          </w:p>
        </w:tc>
        <w:tc>
          <w:tcPr>
            <w:tcW w:w="1890" w:type="dxa"/>
            <w:tcBorders>
              <w:top w:val="nil"/>
              <w:left w:val="nil"/>
              <w:bottom w:val="dotted" w:sz="4" w:space="0" w:color="auto"/>
              <w:right w:val="single" w:sz="8" w:space="0" w:color="auto"/>
            </w:tcBorders>
            <w:shd w:val="clear" w:color="000000" w:fill="FFFFFF"/>
            <w:hideMark/>
          </w:tcPr>
          <w:p w14:paraId="6F29E726"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dotted" w:sz="4" w:space="0" w:color="auto"/>
              <w:right w:val="dotted" w:sz="4" w:space="0" w:color="auto"/>
            </w:tcBorders>
            <w:shd w:val="clear" w:color="000000" w:fill="FFFFFF"/>
            <w:hideMark/>
          </w:tcPr>
          <w:p w14:paraId="35959524"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16,1</w:t>
            </w:r>
          </w:p>
        </w:tc>
        <w:tc>
          <w:tcPr>
            <w:tcW w:w="1320" w:type="dxa"/>
            <w:tcBorders>
              <w:top w:val="nil"/>
              <w:left w:val="nil"/>
              <w:bottom w:val="dotted" w:sz="4" w:space="0" w:color="auto"/>
              <w:right w:val="dotted" w:sz="4" w:space="0" w:color="auto"/>
            </w:tcBorders>
            <w:shd w:val="clear" w:color="000000" w:fill="FFFFFF"/>
            <w:hideMark/>
          </w:tcPr>
          <w:p w14:paraId="4687552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16,7</w:t>
            </w:r>
          </w:p>
        </w:tc>
        <w:tc>
          <w:tcPr>
            <w:tcW w:w="1320" w:type="dxa"/>
            <w:tcBorders>
              <w:top w:val="nil"/>
              <w:left w:val="nil"/>
              <w:bottom w:val="dotted" w:sz="4" w:space="0" w:color="auto"/>
              <w:right w:val="dotted" w:sz="4" w:space="0" w:color="auto"/>
            </w:tcBorders>
            <w:shd w:val="clear" w:color="000000" w:fill="FFFFFF"/>
            <w:hideMark/>
          </w:tcPr>
          <w:p w14:paraId="50D99EAA"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17,6</w:t>
            </w:r>
          </w:p>
        </w:tc>
        <w:tc>
          <w:tcPr>
            <w:tcW w:w="1320" w:type="dxa"/>
            <w:tcBorders>
              <w:top w:val="nil"/>
              <w:left w:val="nil"/>
              <w:bottom w:val="dotted" w:sz="4" w:space="0" w:color="auto"/>
              <w:right w:val="dotted" w:sz="4" w:space="0" w:color="auto"/>
            </w:tcBorders>
            <w:shd w:val="clear" w:color="000000" w:fill="FFFFFF"/>
            <w:hideMark/>
          </w:tcPr>
          <w:p w14:paraId="47A8CB2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19,2</w:t>
            </w:r>
          </w:p>
        </w:tc>
        <w:tc>
          <w:tcPr>
            <w:tcW w:w="1320" w:type="dxa"/>
            <w:tcBorders>
              <w:top w:val="nil"/>
              <w:left w:val="nil"/>
              <w:bottom w:val="dotted" w:sz="4" w:space="0" w:color="auto"/>
              <w:right w:val="double" w:sz="6" w:space="0" w:color="auto"/>
            </w:tcBorders>
            <w:shd w:val="clear" w:color="000000" w:fill="FFFFFF"/>
            <w:hideMark/>
          </w:tcPr>
          <w:p w14:paraId="318595F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19,8</w:t>
            </w:r>
          </w:p>
        </w:tc>
      </w:tr>
      <w:tr w:rsidR="003E371D" w:rsidRPr="003E371D" w14:paraId="45F48156" w14:textId="77777777" w:rsidTr="003E371D">
        <w:trPr>
          <w:trHeight w:val="244"/>
        </w:trPr>
        <w:tc>
          <w:tcPr>
            <w:tcW w:w="6475" w:type="dxa"/>
            <w:tcBorders>
              <w:top w:val="nil"/>
              <w:left w:val="double" w:sz="6" w:space="0" w:color="auto"/>
              <w:bottom w:val="single" w:sz="4" w:space="0" w:color="auto"/>
              <w:right w:val="single" w:sz="8" w:space="0" w:color="auto"/>
            </w:tcBorders>
            <w:shd w:val="clear" w:color="000000" w:fill="FFFFFF"/>
            <w:hideMark/>
          </w:tcPr>
          <w:p w14:paraId="3654B309" w14:textId="77777777" w:rsidR="003E371D" w:rsidRPr="003E371D" w:rsidRDefault="003E371D" w:rsidP="003E371D">
            <w:pPr>
              <w:spacing w:after="0"/>
              <w:jc w:val="left"/>
              <w:rPr>
                <w:rFonts w:eastAsia="Times New Roman" w:cs="Times New Roman"/>
                <w:i/>
                <w:iCs/>
                <w:sz w:val="20"/>
                <w:szCs w:val="20"/>
              </w:rPr>
            </w:pPr>
            <w:r w:rsidRPr="003E371D">
              <w:rPr>
                <w:rFonts w:eastAsia="Times New Roman" w:cs="Times New Roman"/>
                <w:i/>
                <w:iCs/>
                <w:sz w:val="20"/>
                <w:szCs w:val="20"/>
              </w:rPr>
              <w:t xml:space="preserve">19.O/w: </w:t>
            </w:r>
            <w:r w:rsidRPr="003E371D">
              <w:rPr>
                <w:rFonts w:eastAsia="Times New Roman" w:cs="Times New Roman"/>
                <w:sz w:val="20"/>
                <w:szCs w:val="20"/>
              </w:rPr>
              <w:t>repayments due</w:t>
            </w:r>
            <w:r w:rsidRPr="003E371D">
              <w:rPr>
                <w:rFonts w:eastAsia="Times New Roman" w:cs="Times New Roman"/>
                <w:i/>
                <w:iCs/>
                <w:sz w:val="20"/>
                <w:szCs w:val="20"/>
              </w:rPr>
              <w:t xml:space="preserve"> </w:t>
            </w:r>
          </w:p>
        </w:tc>
        <w:tc>
          <w:tcPr>
            <w:tcW w:w="1890" w:type="dxa"/>
            <w:tcBorders>
              <w:top w:val="nil"/>
              <w:left w:val="nil"/>
              <w:bottom w:val="single" w:sz="4" w:space="0" w:color="auto"/>
              <w:right w:val="single" w:sz="8" w:space="0" w:color="auto"/>
            </w:tcBorders>
            <w:shd w:val="clear" w:color="000000" w:fill="FFFFFF"/>
            <w:hideMark/>
          </w:tcPr>
          <w:p w14:paraId="6A65401A"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bn EUR</w:t>
            </w:r>
          </w:p>
        </w:tc>
        <w:tc>
          <w:tcPr>
            <w:tcW w:w="1528" w:type="dxa"/>
            <w:tcBorders>
              <w:top w:val="nil"/>
              <w:left w:val="nil"/>
              <w:bottom w:val="single" w:sz="4" w:space="0" w:color="auto"/>
              <w:right w:val="dotted" w:sz="4" w:space="0" w:color="auto"/>
            </w:tcBorders>
            <w:shd w:val="clear" w:color="000000" w:fill="FFFFFF"/>
            <w:hideMark/>
          </w:tcPr>
          <w:p w14:paraId="49590B7F"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5,2</w:t>
            </w:r>
          </w:p>
        </w:tc>
        <w:tc>
          <w:tcPr>
            <w:tcW w:w="1320" w:type="dxa"/>
            <w:tcBorders>
              <w:top w:val="nil"/>
              <w:left w:val="nil"/>
              <w:bottom w:val="single" w:sz="4" w:space="0" w:color="auto"/>
              <w:right w:val="dotted" w:sz="4" w:space="0" w:color="auto"/>
            </w:tcBorders>
            <w:shd w:val="clear" w:color="000000" w:fill="FFFFFF"/>
            <w:hideMark/>
          </w:tcPr>
          <w:p w14:paraId="781AF01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7,8</w:t>
            </w:r>
          </w:p>
        </w:tc>
        <w:tc>
          <w:tcPr>
            <w:tcW w:w="1320" w:type="dxa"/>
            <w:tcBorders>
              <w:top w:val="nil"/>
              <w:left w:val="nil"/>
              <w:bottom w:val="single" w:sz="4" w:space="0" w:color="auto"/>
              <w:right w:val="dotted" w:sz="4" w:space="0" w:color="auto"/>
            </w:tcBorders>
            <w:shd w:val="clear" w:color="000000" w:fill="FFFFFF"/>
            <w:hideMark/>
          </w:tcPr>
          <w:p w14:paraId="3C7A4E5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5,8</w:t>
            </w:r>
          </w:p>
        </w:tc>
        <w:tc>
          <w:tcPr>
            <w:tcW w:w="1320" w:type="dxa"/>
            <w:tcBorders>
              <w:top w:val="nil"/>
              <w:left w:val="nil"/>
              <w:bottom w:val="single" w:sz="4" w:space="0" w:color="auto"/>
              <w:right w:val="dotted" w:sz="4" w:space="0" w:color="auto"/>
            </w:tcBorders>
            <w:shd w:val="clear" w:color="000000" w:fill="FFFFFF"/>
            <w:hideMark/>
          </w:tcPr>
          <w:p w14:paraId="3B1D5114"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5,5</w:t>
            </w:r>
          </w:p>
        </w:tc>
        <w:tc>
          <w:tcPr>
            <w:tcW w:w="1320" w:type="dxa"/>
            <w:tcBorders>
              <w:top w:val="nil"/>
              <w:left w:val="nil"/>
              <w:bottom w:val="single" w:sz="4" w:space="0" w:color="auto"/>
              <w:right w:val="double" w:sz="6" w:space="0" w:color="auto"/>
            </w:tcBorders>
            <w:shd w:val="clear" w:color="000000" w:fill="FFFFFF"/>
            <w:hideMark/>
          </w:tcPr>
          <w:p w14:paraId="6EBC3970"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6,2</w:t>
            </w:r>
          </w:p>
        </w:tc>
      </w:tr>
      <w:tr w:rsidR="003E371D" w:rsidRPr="003E371D" w14:paraId="49AC1FCF"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50129FA0"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21. Exchange rate vis-à-vis EUR (annual average)[1]</w:t>
            </w:r>
          </w:p>
        </w:tc>
        <w:tc>
          <w:tcPr>
            <w:tcW w:w="1890" w:type="dxa"/>
            <w:tcBorders>
              <w:top w:val="nil"/>
              <w:left w:val="nil"/>
              <w:bottom w:val="dotted" w:sz="4" w:space="0" w:color="auto"/>
              <w:right w:val="single" w:sz="8" w:space="0" w:color="auto"/>
            </w:tcBorders>
            <w:shd w:val="clear" w:color="000000" w:fill="FFFFFF"/>
            <w:hideMark/>
          </w:tcPr>
          <w:p w14:paraId="75829FBA"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NCU/EUR</w:t>
            </w:r>
          </w:p>
        </w:tc>
        <w:tc>
          <w:tcPr>
            <w:tcW w:w="1528" w:type="dxa"/>
            <w:tcBorders>
              <w:top w:val="nil"/>
              <w:left w:val="nil"/>
              <w:bottom w:val="dotted" w:sz="4" w:space="0" w:color="auto"/>
              <w:right w:val="dotted" w:sz="4" w:space="0" w:color="auto"/>
            </w:tcBorders>
            <w:shd w:val="clear" w:color="000000" w:fill="FFFFFF"/>
            <w:hideMark/>
          </w:tcPr>
          <w:p w14:paraId="2F36A44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117,3</w:t>
            </w:r>
          </w:p>
        </w:tc>
        <w:tc>
          <w:tcPr>
            <w:tcW w:w="1320" w:type="dxa"/>
            <w:tcBorders>
              <w:top w:val="nil"/>
              <w:left w:val="nil"/>
              <w:bottom w:val="dotted" w:sz="4" w:space="0" w:color="auto"/>
              <w:right w:val="dotted" w:sz="4" w:space="0" w:color="auto"/>
            </w:tcBorders>
            <w:shd w:val="clear" w:color="000000" w:fill="FFFFFF"/>
            <w:hideMark/>
          </w:tcPr>
          <w:p w14:paraId="5E48D517"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117,1</w:t>
            </w:r>
          </w:p>
        </w:tc>
        <w:tc>
          <w:tcPr>
            <w:tcW w:w="1320" w:type="dxa"/>
            <w:tcBorders>
              <w:top w:val="nil"/>
              <w:left w:val="nil"/>
              <w:bottom w:val="dotted" w:sz="4" w:space="0" w:color="auto"/>
              <w:right w:val="dotted" w:sz="4" w:space="0" w:color="auto"/>
            </w:tcBorders>
            <w:shd w:val="clear" w:color="000000" w:fill="FFFFFF"/>
            <w:hideMark/>
          </w:tcPr>
          <w:p w14:paraId="2B23AE05"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tted" w:sz="4" w:space="0" w:color="auto"/>
            </w:tcBorders>
            <w:shd w:val="clear" w:color="000000" w:fill="FFFFFF"/>
            <w:hideMark/>
          </w:tcPr>
          <w:p w14:paraId="12D7C76B"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uble" w:sz="6" w:space="0" w:color="auto"/>
            </w:tcBorders>
            <w:shd w:val="clear" w:color="000000" w:fill="FFFFFF"/>
            <w:hideMark/>
          </w:tcPr>
          <w:p w14:paraId="7B09FFED"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r>
      <w:tr w:rsidR="003E371D" w:rsidRPr="003E371D" w14:paraId="58CFE2CD"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6B4D13A6" w14:textId="77777777" w:rsidR="003E371D" w:rsidRPr="003E371D" w:rsidRDefault="003E371D" w:rsidP="003E371D">
            <w:pPr>
              <w:spacing w:after="0"/>
              <w:jc w:val="left"/>
              <w:rPr>
                <w:rFonts w:eastAsia="Times New Roman" w:cs="Times New Roman"/>
                <w:i/>
                <w:iCs/>
                <w:sz w:val="20"/>
                <w:szCs w:val="20"/>
              </w:rPr>
            </w:pPr>
            <w:r w:rsidRPr="003E371D">
              <w:rPr>
                <w:rFonts w:eastAsia="Times New Roman" w:cs="Times New Roman"/>
                <w:i/>
                <w:iCs/>
                <w:sz w:val="20"/>
                <w:szCs w:val="20"/>
              </w:rPr>
              <w:t xml:space="preserve">      p.m. Exchange rate vis-à-vis EUR (annual average)</w:t>
            </w:r>
          </w:p>
        </w:tc>
        <w:tc>
          <w:tcPr>
            <w:tcW w:w="1890" w:type="dxa"/>
            <w:tcBorders>
              <w:top w:val="nil"/>
              <w:left w:val="nil"/>
              <w:bottom w:val="dotted" w:sz="4" w:space="0" w:color="auto"/>
              <w:right w:val="single" w:sz="8" w:space="0" w:color="auto"/>
            </w:tcBorders>
            <w:shd w:val="clear" w:color="000000" w:fill="FFFFFF"/>
            <w:hideMark/>
          </w:tcPr>
          <w:p w14:paraId="06F7C424" w14:textId="77777777" w:rsidR="003E371D" w:rsidRPr="003E371D" w:rsidRDefault="003E371D" w:rsidP="003E371D">
            <w:pPr>
              <w:spacing w:after="0"/>
              <w:jc w:val="center"/>
              <w:rPr>
                <w:rFonts w:eastAsia="Times New Roman" w:cs="Times New Roman"/>
                <w:i/>
                <w:iCs/>
                <w:sz w:val="16"/>
                <w:szCs w:val="16"/>
              </w:rPr>
            </w:pPr>
            <w:r w:rsidRPr="003E371D">
              <w:rPr>
                <w:rFonts w:eastAsia="Times New Roman" w:cs="Times New Roman"/>
                <w:i/>
                <w:iCs/>
                <w:sz w:val="16"/>
                <w:szCs w:val="16"/>
              </w:rPr>
              <w:t>%, year-on-year</w:t>
            </w:r>
          </w:p>
        </w:tc>
        <w:tc>
          <w:tcPr>
            <w:tcW w:w="1528" w:type="dxa"/>
            <w:tcBorders>
              <w:top w:val="nil"/>
              <w:left w:val="nil"/>
              <w:bottom w:val="dotted" w:sz="4" w:space="0" w:color="auto"/>
              <w:right w:val="dotted" w:sz="4" w:space="0" w:color="auto"/>
            </w:tcBorders>
            <w:shd w:val="clear" w:color="000000" w:fill="FFFFFF"/>
            <w:hideMark/>
          </w:tcPr>
          <w:p w14:paraId="6A2C3DDE" w14:textId="77777777" w:rsidR="003E371D" w:rsidRPr="003E371D" w:rsidRDefault="003E371D" w:rsidP="003E371D">
            <w:pPr>
              <w:spacing w:after="0"/>
              <w:jc w:val="center"/>
              <w:rPr>
                <w:rFonts w:eastAsia="Times New Roman" w:cs="Times New Roman"/>
                <w:i/>
                <w:iCs/>
                <w:sz w:val="20"/>
                <w:szCs w:val="20"/>
              </w:rPr>
            </w:pPr>
            <w:r w:rsidRPr="003E371D">
              <w:rPr>
                <w:rFonts w:eastAsia="Times New Roman" w:cs="Times New Roman"/>
                <w:i/>
                <w:iCs/>
                <w:sz w:val="20"/>
                <w:szCs w:val="20"/>
              </w:rPr>
              <w:t>-0,2</w:t>
            </w:r>
          </w:p>
        </w:tc>
        <w:tc>
          <w:tcPr>
            <w:tcW w:w="1320" w:type="dxa"/>
            <w:tcBorders>
              <w:top w:val="nil"/>
              <w:left w:val="nil"/>
              <w:bottom w:val="dotted" w:sz="4" w:space="0" w:color="auto"/>
              <w:right w:val="dotted" w:sz="4" w:space="0" w:color="auto"/>
            </w:tcBorders>
            <w:shd w:val="clear" w:color="000000" w:fill="FFFFFF"/>
            <w:hideMark/>
          </w:tcPr>
          <w:p w14:paraId="3E4E4E9B" w14:textId="77777777" w:rsidR="003E371D" w:rsidRPr="003E371D" w:rsidRDefault="003E371D" w:rsidP="003E371D">
            <w:pPr>
              <w:spacing w:after="0"/>
              <w:jc w:val="center"/>
              <w:rPr>
                <w:rFonts w:eastAsia="Times New Roman" w:cs="Times New Roman"/>
                <w:i/>
                <w:iCs/>
                <w:sz w:val="20"/>
                <w:szCs w:val="20"/>
              </w:rPr>
            </w:pPr>
            <w:r w:rsidRPr="003E371D">
              <w:rPr>
                <w:rFonts w:eastAsia="Times New Roman" w:cs="Times New Roman"/>
                <w:i/>
                <w:iCs/>
                <w:sz w:val="20"/>
                <w:szCs w:val="20"/>
              </w:rPr>
              <w:t>-0,1</w:t>
            </w:r>
          </w:p>
        </w:tc>
        <w:tc>
          <w:tcPr>
            <w:tcW w:w="1320" w:type="dxa"/>
            <w:tcBorders>
              <w:top w:val="nil"/>
              <w:left w:val="nil"/>
              <w:bottom w:val="dotted" w:sz="4" w:space="0" w:color="auto"/>
              <w:right w:val="dotted" w:sz="4" w:space="0" w:color="auto"/>
            </w:tcBorders>
            <w:shd w:val="clear" w:color="000000" w:fill="FFFFFF"/>
            <w:hideMark/>
          </w:tcPr>
          <w:p w14:paraId="5D2A6BCB" w14:textId="77777777" w:rsidR="003E371D" w:rsidRPr="003E371D" w:rsidRDefault="003E371D" w:rsidP="003E371D">
            <w:pPr>
              <w:spacing w:after="0"/>
              <w:jc w:val="center"/>
              <w:rPr>
                <w:rFonts w:eastAsia="Times New Roman" w:cs="Times New Roman"/>
                <w:i/>
                <w:iCs/>
                <w:sz w:val="20"/>
                <w:szCs w:val="20"/>
              </w:rPr>
            </w:pPr>
            <w:r w:rsidRPr="003E371D">
              <w:rPr>
                <w:rFonts w:eastAsia="Times New Roman" w:cs="Times New Roman"/>
                <w:i/>
                <w:iCs/>
                <w:sz w:val="20"/>
                <w:szCs w:val="20"/>
              </w:rPr>
              <w:t>:</w:t>
            </w:r>
          </w:p>
        </w:tc>
        <w:tc>
          <w:tcPr>
            <w:tcW w:w="1320" w:type="dxa"/>
            <w:tcBorders>
              <w:top w:val="nil"/>
              <w:left w:val="nil"/>
              <w:bottom w:val="dotted" w:sz="4" w:space="0" w:color="auto"/>
              <w:right w:val="dotted" w:sz="4" w:space="0" w:color="auto"/>
            </w:tcBorders>
            <w:shd w:val="clear" w:color="000000" w:fill="FFFFFF"/>
            <w:hideMark/>
          </w:tcPr>
          <w:p w14:paraId="3F7642A2" w14:textId="77777777" w:rsidR="003E371D" w:rsidRPr="003E371D" w:rsidRDefault="003E371D" w:rsidP="003E371D">
            <w:pPr>
              <w:spacing w:after="0"/>
              <w:jc w:val="center"/>
              <w:rPr>
                <w:rFonts w:eastAsia="Times New Roman" w:cs="Times New Roman"/>
                <w:i/>
                <w:iCs/>
                <w:sz w:val="20"/>
                <w:szCs w:val="20"/>
              </w:rPr>
            </w:pPr>
            <w:r w:rsidRPr="003E371D">
              <w:rPr>
                <w:rFonts w:eastAsia="Times New Roman" w:cs="Times New Roman"/>
                <w:i/>
                <w:iCs/>
                <w:sz w:val="20"/>
                <w:szCs w:val="20"/>
              </w:rPr>
              <w:t>:</w:t>
            </w:r>
          </w:p>
        </w:tc>
        <w:tc>
          <w:tcPr>
            <w:tcW w:w="1320" w:type="dxa"/>
            <w:tcBorders>
              <w:top w:val="nil"/>
              <w:left w:val="nil"/>
              <w:bottom w:val="dotted" w:sz="4" w:space="0" w:color="auto"/>
              <w:right w:val="double" w:sz="6" w:space="0" w:color="auto"/>
            </w:tcBorders>
            <w:shd w:val="clear" w:color="000000" w:fill="FFFFFF"/>
            <w:hideMark/>
          </w:tcPr>
          <w:p w14:paraId="36E70C4E" w14:textId="77777777" w:rsidR="003E371D" w:rsidRPr="003E371D" w:rsidRDefault="003E371D" w:rsidP="003E371D">
            <w:pPr>
              <w:spacing w:after="0"/>
              <w:jc w:val="center"/>
              <w:rPr>
                <w:rFonts w:eastAsia="Times New Roman" w:cs="Times New Roman"/>
                <w:i/>
                <w:iCs/>
                <w:sz w:val="20"/>
                <w:szCs w:val="20"/>
              </w:rPr>
            </w:pPr>
            <w:r w:rsidRPr="003E371D">
              <w:rPr>
                <w:rFonts w:eastAsia="Times New Roman" w:cs="Times New Roman"/>
                <w:i/>
                <w:iCs/>
                <w:sz w:val="20"/>
                <w:szCs w:val="20"/>
              </w:rPr>
              <w:t>:</w:t>
            </w:r>
          </w:p>
        </w:tc>
      </w:tr>
      <w:tr w:rsidR="003E371D" w:rsidRPr="003E371D" w14:paraId="635119D2"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3A3CC3D7"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20. Exchange rate vis-à-vis EUR (end-year)[2]</w:t>
            </w:r>
          </w:p>
        </w:tc>
        <w:tc>
          <w:tcPr>
            <w:tcW w:w="1890" w:type="dxa"/>
            <w:tcBorders>
              <w:top w:val="nil"/>
              <w:left w:val="nil"/>
              <w:bottom w:val="dotted" w:sz="4" w:space="0" w:color="auto"/>
              <w:right w:val="single" w:sz="8" w:space="0" w:color="auto"/>
            </w:tcBorders>
            <w:shd w:val="clear" w:color="000000" w:fill="FFFFFF"/>
            <w:hideMark/>
          </w:tcPr>
          <w:p w14:paraId="4831E220"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NCU/EUR</w:t>
            </w:r>
          </w:p>
        </w:tc>
        <w:tc>
          <w:tcPr>
            <w:tcW w:w="1528" w:type="dxa"/>
            <w:tcBorders>
              <w:top w:val="nil"/>
              <w:left w:val="nil"/>
              <w:bottom w:val="dotted" w:sz="4" w:space="0" w:color="auto"/>
              <w:right w:val="dotted" w:sz="4" w:space="0" w:color="auto"/>
            </w:tcBorders>
            <w:shd w:val="clear" w:color="000000" w:fill="FFFFFF"/>
            <w:hideMark/>
          </w:tcPr>
          <w:p w14:paraId="3CBCC95B"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117,2</w:t>
            </w:r>
          </w:p>
        </w:tc>
        <w:tc>
          <w:tcPr>
            <w:tcW w:w="1320" w:type="dxa"/>
            <w:tcBorders>
              <w:top w:val="nil"/>
              <w:left w:val="nil"/>
              <w:bottom w:val="dotted" w:sz="4" w:space="0" w:color="auto"/>
              <w:right w:val="dotted" w:sz="4" w:space="0" w:color="auto"/>
            </w:tcBorders>
            <w:shd w:val="clear" w:color="000000" w:fill="FFFFFF"/>
            <w:hideMark/>
          </w:tcPr>
          <w:p w14:paraId="318578D5"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117,0</w:t>
            </w:r>
          </w:p>
        </w:tc>
        <w:tc>
          <w:tcPr>
            <w:tcW w:w="1320" w:type="dxa"/>
            <w:tcBorders>
              <w:top w:val="nil"/>
              <w:left w:val="nil"/>
              <w:bottom w:val="dotted" w:sz="4" w:space="0" w:color="auto"/>
              <w:right w:val="dotted" w:sz="4" w:space="0" w:color="auto"/>
            </w:tcBorders>
            <w:shd w:val="clear" w:color="000000" w:fill="FFFFFF"/>
            <w:hideMark/>
          </w:tcPr>
          <w:p w14:paraId="687955DF"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tted" w:sz="4" w:space="0" w:color="auto"/>
            </w:tcBorders>
            <w:shd w:val="clear" w:color="000000" w:fill="FFFFFF"/>
            <w:hideMark/>
          </w:tcPr>
          <w:p w14:paraId="11E04BB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uble" w:sz="6" w:space="0" w:color="auto"/>
            </w:tcBorders>
            <w:shd w:val="clear" w:color="000000" w:fill="FFFFFF"/>
            <w:hideMark/>
          </w:tcPr>
          <w:p w14:paraId="64C48C8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r>
      <w:tr w:rsidR="003E371D" w:rsidRPr="003E371D" w14:paraId="1FD3F3C3"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39587F41" w14:textId="77777777" w:rsidR="003E371D" w:rsidRPr="003E371D" w:rsidRDefault="003E371D" w:rsidP="003E371D">
            <w:pPr>
              <w:spacing w:after="0"/>
              <w:jc w:val="left"/>
              <w:rPr>
                <w:rFonts w:eastAsia="Times New Roman" w:cs="Times New Roman"/>
                <w:i/>
                <w:iCs/>
                <w:sz w:val="20"/>
                <w:szCs w:val="20"/>
              </w:rPr>
            </w:pPr>
            <w:r w:rsidRPr="003E371D">
              <w:rPr>
                <w:rFonts w:eastAsia="Times New Roman" w:cs="Times New Roman"/>
                <w:i/>
                <w:iCs/>
                <w:sz w:val="20"/>
                <w:szCs w:val="20"/>
              </w:rPr>
              <w:t xml:space="preserve">      p.m. Exchange rate vis-à-vis EUR (end-year)</w:t>
            </w:r>
          </w:p>
        </w:tc>
        <w:tc>
          <w:tcPr>
            <w:tcW w:w="1890" w:type="dxa"/>
            <w:tcBorders>
              <w:top w:val="nil"/>
              <w:left w:val="nil"/>
              <w:bottom w:val="single" w:sz="4" w:space="0" w:color="auto"/>
              <w:right w:val="single" w:sz="8" w:space="0" w:color="auto"/>
            </w:tcBorders>
            <w:shd w:val="clear" w:color="000000" w:fill="FFFFFF"/>
            <w:hideMark/>
          </w:tcPr>
          <w:p w14:paraId="1316C505" w14:textId="77777777" w:rsidR="003E371D" w:rsidRPr="003E371D" w:rsidRDefault="003E371D" w:rsidP="003E371D">
            <w:pPr>
              <w:spacing w:after="0"/>
              <w:jc w:val="center"/>
              <w:rPr>
                <w:rFonts w:eastAsia="Times New Roman" w:cs="Times New Roman"/>
                <w:i/>
                <w:iCs/>
                <w:sz w:val="16"/>
                <w:szCs w:val="16"/>
              </w:rPr>
            </w:pPr>
            <w:r w:rsidRPr="003E371D">
              <w:rPr>
                <w:rFonts w:eastAsia="Times New Roman" w:cs="Times New Roman"/>
                <w:i/>
                <w:iCs/>
                <w:sz w:val="16"/>
                <w:szCs w:val="16"/>
              </w:rPr>
              <w:t>%, year-on-year</w:t>
            </w:r>
          </w:p>
        </w:tc>
        <w:tc>
          <w:tcPr>
            <w:tcW w:w="1528" w:type="dxa"/>
            <w:tcBorders>
              <w:top w:val="nil"/>
              <w:left w:val="nil"/>
              <w:bottom w:val="dotted" w:sz="4" w:space="0" w:color="auto"/>
              <w:right w:val="dotted" w:sz="4" w:space="0" w:color="auto"/>
            </w:tcBorders>
            <w:shd w:val="clear" w:color="000000" w:fill="FFFFFF"/>
            <w:hideMark/>
          </w:tcPr>
          <w:p w14:paraId="6B911393" w14:textId="77777777" w:rsidR="003E371D" w:rsidRPr="003E371D" w:rsidRDefault="003E371D" w:rsidP="003E371D">
            <w:pPr>
              <w:spacing w:after="0"/>
              <w:jc w:val="center"/>
              <w:rPr>
                <w:rFonts w:eastAsia="Times New Roman" w:cs="Times New Roman"/>
                <w:i/>
                <w:iCs/>
                <w:sz w:val="20"/>
                <w:szCs w:val="20"/>
              </w:rPr>
            </w:pPr>
            <w:r w:rsidRPr="003E371D">
              <w:rPr>
                <w:rFonts w:eastAsia="Times New Roman" w:cs="Times New Roman"/>
                <w:i/>
                <w:iCs/>
                <w:sz w:val="20"/>
                <w:szCs w:val="20"/>
              </w:rPr>
              <w:t>-0,1</w:t>
            </w:r>
          </w:p>
        </w:tc>
        <w:tc>
          <w:tcPr>
            <w:tcW w:w="1320" w:type="dxa"/>
            <w:tcBorders>
              <w:top w:val="nil"/>
              <w:left w:val="nil"/>
              <w:bottom w:val="dotted" w:sz="4" w:space="0" w:color="auto"/>
              <w:right w:val="dotted" w:sz="4" w:space="0" w:color="auto"/>
            </w:tcBorders>
            <w:shd w:val="clear" w:color="000000" w:fill="FFFFFF"/>
            <w:hideMark/>
          </w:tcPr>
          <w:p w14:paraId="37A8E889" w14:textId="77777777" w:rsidR="003E371D" w:rsidRPr="003E371D" w:rsidRDefault="003E371D" w:rsidP="003E371D">
            <w:pPr>
              <w:spacing w:after="0"/>
              <w:jc w:val="center"/>
              <w:rPr>
                <w:rFonts w:eastAsia="Times New Roman" w:cs="Times New Roman"/>
                <w:i/>
                <w:iCs/>
                <w:sz w:val="20"/>
                <w:szCs w:val="20"/>
              </w:rPr>
            </w:pPr>
            <w:r w:rsidRPr="003E371D">
              <w:rPr>
                <w:rFonts w:eastAsia="Times New Roman" w:cs="Times New Roman"/>
                <w:i/>
                <w:iCs/>
                <w:sz w:val="20"/>
                <w:szCs w:val="20"/>
              </w:rPr>
              <w:t>-0,1</w:t>
            </w:r>
          </w:p>
        </w:tc>
        <w:tc>
          <w:tcPr>
            <w:tcW w:w="1320" w:type="dxa"/>
            <w:tcBorders>
              <w:top w:val="nil"/>
              <w:left w:val="nil"/>
              <w:bottom w:val="dotted" w:sz="4" w:space="0" w:color="auto"/>
              <w:right w:val="dotted" w:sz="4" w:space="0" w:color="auto"/>
            </w:tcBorders>
            <w:shd w:val="clear" w:color="000000" w:fill="FFFFFF"/>
            <w:hideMark/>
          </w:tcPr>
          <w:p w14:paraId="65EDAC9B" w14:textId="77777777" w:rsidR="003E371D" w:rsidRPr="003E371D" w:rsidRDefault="003E371D" w:rsidP="003E371D">
            <w:pPr>
              <w:spacing w:after="0"/>
              <w:jc w:val="center"/>
              <w:rPr>
                <w:rFonts w:eastAsia="Times New Roman" w:cs="Times New Roman"/>
                <w:i/>
                <w:iCs/>
                <w:sz w:val="20"/>
                <w:szCs w:val="20"/>
              </w:rPr>
            </w:pPr>
            <w:r w:rsidRPr="003E371D">
              <w:rPr>
                <w:rFonts w:eastAsia="Times New Roman" w:cs="Times New Roman"/>
                <w:i/>
                <w:iCs/>
                <w:sz w:val="20"/>
                <w:szCs w:val="20"/>
              </w:rPr>
              <w:t>:</w:t>
            </w:r>
          </w:p>
        </w:tc>
        <w:tc>
          <w:tcPr>
            <w:tcW w:w="1320" w:type="dxa"/>
            <w:tcBorders>
              <w:top w:val="nil"/>
              <w:left w:val="nil"/>
              <w:bottom w:val="dotted" w:sz="4" w:space="0" w:color="auto"/>
              <w:right w:val="dotted" w:sz="4" w:space="0" w:color="auto"/>
            </w:tcBorders>
            <w:shd w:val="clear" w:color="000000" w:fill="FFFFFF"/>
            <w:hideMark/>
          </w:tcPr>
          <w:p w14:paraId="6A03922B" w14:textId="77777777" w:rsidR="003E371D" w:rsidRPr="003E371D" w:rsidRDefault="003E371D" w:rsidP="003E371D">
            <w:pPr>
              <w:spacing w:after="0"/>
              <w:jc w:val="center"/>
              <w:rPr>
                <w:rFonts w:eastAsia="Times New Roman" w:cs="Times New Roman"/>
                <w:i/>
                <w:iCs/>
                <w:sz w:val="20"/>
                <w:szCs w:val="20"/>
              </w:rPr>
            </w:pPr>
            <w:r w:rsidRPr="003E371D">
              <w:rPr>
                <w:rFonts w:eastAsia="Times New Roman" w:cs="Times New Roman"/>
                <w:i/>
                <w:iCs/>
                <w:sz w:val="20"/>
                <w:szCs w:val="20"/>
              </w:rPr>
              <w:t>:</w:t>
            </w:r>
          </w:p>
        </w:tc>
        <w:tc>
          <w:tcPr>
            <w:tcW w:w="1320" w:type="dxa"/>
            <w:tcBorders>
              <w:top w:val="nil"/>
              <w:left w:val="nil"/>
              <w:bottom w:val="dotted" w:sz="4" w:space="0" w:color="auto"/>
              <w:right w:val="double" w:sz="6" w:space="0" w:color="auto"/>
            </w:tcBorders>
            <w:shd w:val="clear" w:color="000000" w:fill="FFFFFF"/>
            <w:hideMark/>
          </w:tcPr>
          <w:p w14:paraId="260B6FFD" w14:textId="77777777" w:rsidR="003E371D" w:rsidRPr="003E371D" w:rsidRDefault="003E371D" w:rsidP="003E371D">
            <w:pPr>
              <w:spacing w:after="0"/>
              <w:jc w:val="center"/>
              <w:rPr>
                <w:rFonts w:eastAsia="Times New Roman" w:cs="Times New Roman"/>
                <w:i/>
                <w:iCs/>
                <w:sz w:val="20"/>
                <w:szCs w:val="20"/>
              </w:rPr>
            </w:pPr>
            <w:r w:rsidRPr="003E371D">
              <w:rPr>
                <w:rFonts w:eastAsia="Times New Roman" w:cs="Times New Roman"/>
                <w:i/>
                <w:iCs/>
                <w:sz w:val="20"/>
                <w:szCs w:val="20"/>
              </w:rPr>
              <w:t>:</w:t>
            </w:r>
          </w:p>
        </w:tc>
      </w:tr>
      <w:tr w:rsidR="003E371D" w:rsidRPr="003E371D" w14:paraId="2388B6F6" w14:textId="77777777" w:rsidTr="003E371D">
        <w:trPr>
          <w:trHeight w:val="244"/>
        </w:trPr>
        <w:tc>
          <w:tcPr>
            <w:tcW w:w="6475" w:type="dxa"/>
            <w:tcBorders>
              <w:top w:val="single" w:sz="4" w:space="0" w:color="auto"/>
              <w:left w:val="double" w:sz="6" w:space="0" w:color="auto"/>
              <w:bottom w:val="dotted" w:sz="4" w:space="0" w:color="auto"/>
              <w:right w:val="single" w:sz="8" w:space="0" w:color="auto"/>
            </w:tcBorders>
            <w:shd w:val="clear" w:color="000000" w:fill="FFFFFF"/>
            <w:hideMark/>
          </w:tcPr>
          <w:p w14:paraId="213B31D2"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22. Net foreign saving</w:t>
            </w:r>
          </w:p>
        </w:tc>
        <w:tc>
          <w:tcPr>
            <w:tcW w:w="1890" w:type="dxa"/>
            <w:tcBorders>
              <w:top w:val="nil"/>
              <w:left w:val="nil"/>
              <w:bottom w:val="nil"/>
              <w:right w:val="nil"/>
            </w:tcBorders>
            <w:shd w:val="clear" w:color="000000" w:fill="FFFFFF"/>
            <w:hideMark/>
          </w:tcPr>
          <w:p w14:paraId="76F2FEAE"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 of GDP</w:t>
            </w:r>
          </w:p>
        </w:tc>
        <w:tc>
          <w:tcPr>
            <w:tcW w:w="1528" w:type="dxa"/>
            <w:tcBorders>
              <w:top w:val="single" w:sz="4" w:space="0" w:color="auto"/>
              <w:left w:val="single" w:sz="8" w:space="0" w:color="auto"/>
              <w:bottom w:val="dotted" w:sz="4" w:space="0" w:color="auto"/>
              <w:right w:val="dotted" w:sz="4" w:space="0" w:color="auto"/>
            </w:tcBorders>
            <w:shd w:val="clear" w:color="000000" w:fill="FFFFFF"/>
            <w:hideMark/>
          </w:tcPr>
          <w:p w14:paraId="63215EA8"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single" w:sz="4" w:space="0" w:color="auto"/>
              <w:left w:val="nil"/>
              <w:bottom w:val="dotted" w:sz="4" w:space="0" w:color="auto"/>
              <w:right w:val="dotted" w:sz="4" w:space="0" w:color="auto"/>
            </w:tcBorders>
            <w:shd w:val="clear" w:color="000000" w:fill="FFFFFF"/>
            <w:hideMark/>
          </w:tcPr>
          <w:p w14:paraId="12394034"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single" w:sz="4" w:space="0" w:color="auto"/>
              <w:left w:val="nil"/>
              <w:bottom w:val="dotted" w:sz="4" w:space="0" w:color="auto"/>
              <w:right w:val="dotted" w:sz="4" w:space="0" w:color="auto"/>
            </w:tcBorders>
            <w:shd w:val="clear" w:color="000000" w:fill="FFFFFF"/>
            <w:hideMark/>
          </w:tcPr>
          <w:p w14:paraId="3960D75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single" w:sz="4" w:space="0" w:color="auto"/>
              <w:left w:val="nil"/>
              <w:bottom w:val="dotted" w:sz="4" w:space="0" w:color="auto"/>
              <w:right w:val="dotted" w:sz="4" w:space="0" w:color="auto"/>
            </w:tcBorders>
            <w:shd w:val="clear" w:color="000000" w:fill="FFFFFF"/>
            <w:hideMark/>
          </w:tcPr>
          <w:p w14:paraId="533122C1"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single" w:sz="4" w:space="0" w:color="auto"/>
              <w:left w:val="nil"/>
              <w:bottom w:val="dotted" w:sz="4" w:space="0" w:color="auto"/>
              <w:right w:val="double" w:sz="6" w:space="0" w:color="auto"/>
            </w:tcBorders>
            <w:shd w:val="clear" w:color="000000" w:fill="FFFFFF"/>
            <w:hideMark/>
          </w:tcPr>
          <w:p w14:paraId="1F0F284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r>
      <w:tr w:rsidR="003E371D" w:rsidRPr="003E371D" w14:paraId="17852654"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4EDFB151"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23. Domestic private saving</w:t>
            </w:r>
          </w:p>
        </w:tc>
        <w:tc>
          <w:tcPr>
            <w:tcW w:w="1890" w:type="dxa"/>
            <w:tcBorders>
              <w:top w:val="dotted" w:sz="4" w:space="0" w:color="auto"/>
              <w:left w:val="nil"/>
              <w:bottom w:val="dotted" w:sz="4" w:space="0" w:color="auto"/>
              <w:right w:val="single" w:sz="8" w:space="0" w:color="auto"/>
            </w:tcBorders>
            <w:shd w:val="clear" w:color="000000" w:fill="FFFFFF"/>
            <w:hideMark/>
          </w:tcPr>
          <w:p w14:paraId="76A241DF"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 of GDP</w:t>
            </w:r>
          </w:p>
        </w:tc>
        <w:tc>
          <w:tcPr>
            <w:tcW w:w="1528" w:type="dxa"/>
            <w:tcBorders>
              <w:top w:val="nil"/>
              <w:left w:val="nil"/>
              <w:bottom w:val="dotted" w:sz="4" w:space="0" w:color="auto"/>
              <w:right w:val="dotted" w:sz="4" w:space="0" w:color="auto"/>
            </w:tcBorders>
            <w:shd w:val="clear" w:color="000000" w:fill="FFFFFF"/>
            <w:hideMark/>
          </w:tcPr>
          <w:p w14:paraId="49C5F2D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tted" w:sz="4" w:space="0" w:color="auto"/>
            </w:tcBorders>
            <w:shd w:val="clear" w:color="000000" w:fill="FFFFFF"/>
            <w:hideMark/>
          </w:tcPr>
          <w:p w14:paraId="4A02BCA9"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tted" w:sz="4" w:space="0" w:color="auto"/>
            </w:tcBorders>
            <w:shd w:val="clear" w:color="000000" w:fill="FFFFFF"/>
            <w:hideMark/>
          </w:tcPr>
          <w:p w14:paraId="660C77F5"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tted" w:sz="4" w:space="0" w:color="auto"/>
            </w:tcBorders>
            <w:shd w:val="clear" w:color="000000" w:fill="FFFFFF"/>
            <w:hideMark/>
          </w:tcPr>
          <w:p w14:paraId="0762E6A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uble" w:sz="6" w:space="0" w:color="auto"/>
            </w:tcBorders>
            <w:shd w:val="clear" w:color="000000" w:fill="FFFFFF"/>
            <w:hideMark/>
          </w:tcPr>
          <w:p w14:paraId="783800D7"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r>
      <w:tr w:rsidR="003E371D" w:rsidRPr="003E371D" w14:paraId="38CAD34B"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6A1C1F7B"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 xml:space="preserve">24. Domestic private investment </w:t>
            </w:r>
          </w:p>
        </w:tc>
        <w:tc>
          <w:tcPr>
            <w:tcW w:w="1890" w:type="dxa"/>
            <w:tcBorders>
              <w:top w:val="nil"/>
              <w:left w:val="nil"/>
              <w:bottom w:val="dotted" w:sz="4" w:space="0" w:color="auto"/>
              <w:right w:val="single" w:sz="8" w:space="0" w:color="auto"/>
            </w:tcBorders>
            <w:shd w:val="clear" w:color="000000" w:fill="FFFFFF"/>
            <w:hideMark/>
          </w:tcPr>
          <w:p w14:paraId="53F0B003"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 of GDP</w:t>
            </w:r>
          </w:p>
        </w:tc>
        <w:tc>
          <w:tcPr>
            <w:tcW w:w="1528" w:type="dxa"/>
            <w:tcBorders>
              <w:top w:val="nil"/>
              <w:left w:val="nil"/>
              <w:bottom w:val="dotted" w:sz="4" w:space="0" w:color="auto"/>
              <w:right w:val="dotted" w:sz="4" w:space="0" w:color="auto"/>
            </w:tcBorders>
            <w:shd w:val="clear" w:color="000000" w:fill="FFFFFF"/>
            <w:hideMark/>
          </w:tcPr>
          <w:p w14:paraId="539D465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tted" w:sz="4" w:space="0" w:color="auto"/>
            </w:tcBorders>
            <w:shd w:val="clear" w:color="000000" w:fill="FFFFFF"/>
            <w:hideMark/>
          </w:tcPr>
          <w:p w14:paraId="53A177D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tted" w:sz="4" w:space="0" w:color="auto"/>
            </w:tcBorders>
            <w:shd w:val="clear" w:color="000000" w:fill="FFFFFF"/>
            <w:hideMark/>
          </w:tcPr>
          <w:p w14:paraId="747F37F6"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tted" w:sz="4" w:space="0" w:color="auto"/>
            </w:tcBorders>
            <w:shd w:val="clear" w:color="000000" w:fill="FFFFFF"/>
            <w:hideMark/>
          </w:tcPr>
          <w:p w14:paraId="4F92D5CC"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uble" w:sz="6" w:space="0" w:color="auto"/>
            </w:tcBorders>
            <w:shd w:val="clear" w:color="000000" w:fill="FFFFFF"/>
            <w:hideMark/>
          </w:tcPr>
          <w:p w14:paraId="4F20CFA5"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r>
      <w:tr w:rsidR="003E371D" w:rsidRPr="003E371D" w14:paraId="756C7071" w14:textId="77777777" w:rsidTr="003E371D">
        <w:trPr>
          <w:trHeight w:val="244"/>
        </w:trPr>
        <w:tc>
          <w:tcPr>
            <w:tcW w:w="6475" w:type="dxa"/>
            <w:tcBorders>
              <w:top w:val="nil"/>
              <w:left w:val="double" w:sz="6" w:space="0" w:color="auto"/>
              <w:bottom w:val="dotted" w:sz="4" w:space="0" w:color="auto"/>
              <w:right w:val="single" w:sz="8" w:space="0" w:color="auto"/>
            </w:tcBorders>
            <w:shd w:val="clear" w:color="000000" w:fill="FFFFFF"/>
            <w:hideMark/>
          </w:tcPr>
          <w:p w14:paraId="5818C2BB"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 xml:space="preserve">25. Domestic public saving </w:t>
            </w:r>
          </w:p>
        </w:tc>
        <w:tc>
          <w:tcPr>
            <w:tcW w:w="1890" w:type="dxa"/>
            <w:tcBorders>
              <w:top w:val="nil"/>
              <w:left w:val="nil"/>
              <w:bottom w:val="dotted" w:sz="4" w:space="0" w:color="auto"/>
              <w:right w:val="single" w:sz="8" w:space="0" w:color="auto"/>
            </w:tcBorders>
            <w:shd w:val="clear" w:color="000000" w:fill="FFFFFF"/>
            <w:hideMark/>
          </w:tcPr>
          <w:p w14:paraId="48F35BA5"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 of GDP</w:t>
            </w:r>
          </w:p>
        </w:tc>
        <w:tc>
          <w:tcPr>
            <w:tcW w:w="1528" w:type="dxa"/>
            <w:tcBorders>
              <w:top w:val="nil"/>
              <w:left w:val="nil"/>
              <w:bottom w:val="dotted" w:sz="4" w:space="0" w:color="auto"/>
              <w:right w:val="dotted" w:sz="4" w:space="0" w:color="auto"/>
            </w:tcBorders>
            <w:shd w:val="clear" w:color="000000" w:fill="FFFFFF"/>
            <w:hideMark/>
          </w:tcPr>
          <w:p w14:paraId="3B0FAF5E"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tted" w:sz="4" w:space="0" w:color="auto"/>
            </w:tcBorders>
            <w:shd w:val="clear" w:color="000000" w:fill="FFFFFF"/>
            <w:hideMark/>
          </w:tcPr>
          <w:p w14:paraId="63C78E99"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tted" w:sz="4" w:space="0" w:color="auto"/>
            </w:tcBorders>
            <w:shd w:val="clear" w:color="000000" w:fill="FFFFFF"/>
            <w:hideMark/>
          </w:tcPr>
          <w:p w14:paraId="79B68189"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tted" w:sz="4" w:space="0" w:color="auto"/>
            </w:tcBorders>
            <w:shd w:val="clear" w:color="000000" w:fill="FFFFFF"/>
            <w:hideMark/>
          </w:tcPr>
          <w:p w14:paraId="69944B92"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tted" w:sz="4" w:space="0" w:color="auto"/>
              <w:right w:val="double" w:sz="6" w:space="0" w:color="auto"/>
            </w:tcBorders>
            <w:shd w:val="clear" w:color="000000" w:fill="FFFFFF"/>
            <w:hideMark/>
          </w:tcPr>
          <w:p w14:paraId="792401F8"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r>
      <w:tr w:rsidR="003E371D" w:rsidRPr="003E371D" w14:paraId="24B29D17" w14:textId="77777777" w:rsidTr="003E371D">
        <w:trPr>
          <w:trHeight w:val="244"/>
        </w:trPr>
        <w:tc>
          <w:tcPr>
            <w:tcW w:w="6475" w:type="dxa"/>
            <w:tcBorders>
              <w:top w:val="nil"/>
              <w:left w:val="double" w:sz="6" w:space="0" w:color="auto"/>
              <w:bottom w:val="double" w:sz="6" w:space="0" w:color="auto"/>
              <w:right w:val="single" w:sz="8" w:space="0" w:color="auto"/>
            </w:tcBorders>
            <w:shd w:val="clear" w:color="000000" w:fill="FFFFFF"/>
            <w:hideMark/>
          </w:tcPr>
          <w:p w14:paraId="5C2287E0"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 xml:space="preserve">26. Domestic public investment </w:t>
            </w:r>
          </w:p>
        </w:tc>
        <w:tc>
          <w:tcPr>
            <w:tcW w:w="1890" w:type="dxa"/>
            <w:tcBorders>
              <w:top w:val="nil"/>
              <w:left w:val="nil"/>
              <w:bottom w:val="double" w:sz="6" w:space="0" w:color="auto"/>
              <w:right w:val="single" w:sz="8" w:space="0" w:color="auto"/>
            </w:tcBorders>
            <w:shd w:val="clear" w:color="000000" w:fill="FFFFFF"/>
            <w:hideMark/>
          </w:tcPr>
          <w:p w14:paraId="33C37AB6" w14:textId="77777777" w:rsidR="003E371D" w:rsidRPr="003E371D" w:rsidRDefault="003E371D" w:rsidP="003E371D">
            <w:pPr>
              <w:spacing w:after="0"/>
              <w:jc w:val="center"/>
              <w:rPr>
                <w:rFonts w:eastAsia="Times New Roman" w:cs="Times New Roman"/>
                <w:sz w:val="16"/>
                <w:szCs w:val="16"/>
              </w:rPr>
            </w:pPr>
            <w:r w:rsidRPr="003E371D">
              <w:rPr>
                <w:rFonts w:eastAsia="Times New Roman" w:cs="Times New Roman"/>
                <w:sz w:val="16"/>
                <w:szCs w:val="16"/>
              </w:rPr>
              <w:t>% of GDP</w:t>
            </w:r>
          </w:p>
        </w:tc>
        <w:tc>
          <w:tcPr>
            <w:tcW w:w="1528" w:type="dxa"/>
            <w:tcBorders>
              <w:top w:val="nil"/>
              <w:left w:val="nil"/>
              <w:bottom w:val="double" w:sz="6" w:space="0" w:color="auto"/>
              <w:right w:val="dotted" w:sz="4" w:space="0" w:color="auto"/>
            </w:tcBorders>
            <w:shd w:val="clear" w:color="000000" w:fill="FFFFFF"/>
            <w:hideMark/>
          </w:tcPr>
          <w:p w14:paraId="6D4765E4"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uble" w:sz="6" w:space="0" w:color="auto"/>
              <w:right w:val="dotted" w:sz="4" w:space="0" w:color="auto"/>
            </w:tcBorders>
            <w:shd w:val="clear" w:color="000000" w:fill="FFFFFF"/>
            <w:hideMark/>
          </w:tcPr>
          <w:p w14:paraId="671CCA7F"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uble" w:sz="6" w:space="0" w:color="auto"/>
              <w:right w:val="dotted" w:sz="4" w:space="0" w:color="auto"/>
            </w:tcBorders>
            <w:shd w:val="clear" w:color="000000" w:fill="FFFFFF"/>
            <w:hideMark/>
          </w:tcPr>
          <w:p w14:paraId="56914EEA"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uble" w:sz="6" w:space="0" w:color="auto"/>
              <w:right w:val="dotted" w:sz="4" w:space="0" w:color="auto"/>
            </w:tcBorders>
            <w:shd w:val="clear" w:color="000000" w:fill="FFFFFF"/>
            <w:hideMark/>
          </w:tcPr>
          <w:p w14:paraId="1F8D4C9D"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c>
          <w:tcPr>
            <w:tcW w:w="1320" w:type="dxa"/>
            <w:tcBorders>
              <w:top w:val="nil"/>
              <w:left w:val="nil"/>
              <w:bottom w:val="double" w:sz="6" w:space="0" w:color="auto"/>
              <w:right w:val="double" w:sz="6" w:space="0" w:color="auto"/>
            </w:tcBorders>
            <w:shd w:val="clear" w:color="000000" w:fill="FFFFFF"/>
            <w:hideMark/>
          </w:tcPr>
          <w:p w14:paraId="0AC0E234" w14:textId="77777777" w:rsidR="003E371D" w:rsidRPr="003E371D" w:rsidRDefault="003E371D" w:rsidP="003E371D">
            <w:pPr>
              <w:spacing w:after="0"/>
              <w:jc w:val="center"/>
              <w:rPr>
                <w:rFonts w:eastAsia="Times New Roman" w:cs="Times New Roman"/>
                <w:sz w:val="20"/>
                <w:szCs w:val="20"/>
              </w:rPr>
            </w:pPr>
            <w:r w:rsidRPr="003E371D">
              <w:rPr>
                <w:rFonts w:eastAsia="Times New Roman" w:cs="Times New Roman"/>
                <w:sz w:val="20"/>
                <w:szCs w:val="20"/>
              </w:rPr>
              <w:t>:</w:t>
            </w:r>
          </w:p>
        </w:tc>
      </w:tr>
    </w:tbl>
    <w:p w14:paraId="4C5BDFB0" w14:textId="77777777" w:rsidR="003E371D" w:rsidRDefault="003E371D">
      <w:pPr>
        <w:spacing w:after="160" w:line="259" w:lineRule="auto"/>
        <w:jc w:val="left"/>
      </w:pPr>
      <w:r>
        <w:fldChar w:fldCharType="end"/>
      </w:r>
    </w:p>
    <w:tbl>
      <w:tblPr>
        <w:tblW w:w="5000" w:type="dxa"/>
        <w:tblLook w:val="04A0" w:firstRow="1" w:lastRow="0" w:firstColumn="1" w:lastColumn="0" w:noHBand="0" w:noVBand="1"/>
      </w:tblPr>
      <w:tblGrid>
        <w:gridCol w:w="5000"/>
      </w:tblGrid>
      <w:tr w:rsidR="003E371D" w:rsidRPr="003E371D" w14:paraId="7651912F" w14:textId="77777777" w:rsidTr="003E371D">
        <w:trPr>
          <w:trHeight w:val="258"/>
        </w:trPr>
        <w:tc>
          <w:tcPr>
            <w:tcW w:w="5000" w:type="dxa"/>
            <w:tcBorders>
              <w:top w:val="nil"/>
              <w:left w:val="nil"/>
              <w:bottom w:val="nil"/>
              <w:right w:val="nil"/>
            </w:tcBorders>
            <w:shd w:val="clear" w:color="000000" w:fill="FFFFFF"/>
            <w:hideMark/>
          </w:tcPr>
          <w:p w14:paraId="7BA14E9B"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[1] average January-October 2024</w:t>
            </w:r>
          </w:p>
        </w:tc>
      </w:tr>
      <w:tr w:rsidR="003E371D" w:rsidRPr="003E371D" w14:paraId="34C673D2" w14:textId="77777777" w:rsidTr="003E371D">
        <w:trPr>
          <w:trHeight w:val="258"/>
        </w:trPr>
        <w:tc>
          <w:tcPr>
            <w:tcW w:w="5000" w:type="dxa"/>
            <w:tcBorders>
              <w:top w:val="nil"/>
              <w:left w:val="nil"/>
              <w:bottom w:val="nil"/>
              <w:right w:val="nil"/>
            </w:tcBorders>
            <w:shd w:val="clear" w:color="000000" w:fill="FFFFFF"/>
            <w:hideMark/>
          </w:tcPr>
          <w:p w14:paraId="323BA219" w14:textId="77777777" w:rsidR="003E371D" w:rsidRPr="003E371D" w:rsidRDefault="003E371D" w:rsidP="003E371D">
            <w:pPr>
              <w:spacing w:after="0"/>
              <w:jc w:val="left"/>
              <w:rPr>
                <w:rFonts w:eastAsia="Times New Roman" w:cs="Times New Roman"/>
                <w:sz w:val="20"/>
                <w:szCs w:val="20"/>
              </w:rPr>
            </w:pPr>
            <w:r w:rsidRPr="003E371D">
              <w:rPr>
                <w:rFonts w:eastAsia="Times New Roman" w:cs="Times New Roman"/>
                <w:sz w:val="20"/>
                <w:szCs w:val="20"/>
              </w:rPr>
              <w:t>[2] end-October 2024</w:t>
            </w:r>
          </w:p>
        </w:tc>
      </w:tr>
    </w:tbl>
    <w:p w14:paraId="3DCBF5AC" w14:textId="113F819B" w:rsidR="003E371D" w:rsidRDefault="003E371D">
      <w:pPr>
        <w:spacing w:after="160" w:line="259" w:lineRule="auto"/>
        <w:jc w:val="left"/>
      </w:pPr>
    </w:p>
    <w:p w14:paraId="0505174D" w14:textId="77777777" w:rsidR="00171837" w:rsidRPr="00171837" w:rsidRDefault="00171837" w:rsidP="00171837">
      <w:pPr>
        <w:spacing w:after="0"/>
        <w:jc w:val="left"/>
        <w:rPr>
          <w:rFonts w:eastAsia="Times New Roman" w:cs="Times New Roman"/>
          <w:bCs/>
          <w:szCs w:val="24"/>
        </w:rPr>
      </w:pPr>
      <w:r w:rsidRPr="00171837">
        <w:rPr>
          <w:rFonts w:eastAsia="Times New Roman" w:cs="Times New Roman"/>
          <w:bCs/>
          <w:szCs w:val="24"/>
        </w:rPr>
        <w:lastRenderedPageBreak/>
        <w:t xml:space="preserve">Table 1g: Sustainability indicators </w:t>
      </w:r>
    </w:p>
    <w:p w14:paraId="11F238E9" w14:textId="77777777" w:rsidR="00171837" w:rsidRDefault="00171837">
      <w:pPr>
        <w:spacing w:after="160" w:line="259" w:lineRule="auto"/>
        <w:jc w:val="left"/>
      </w:pPr>
    </w:p>
    <w:p w14:paraId="62DEF783" w14:textId="600401C3" w:rsidR="00171837" w:rsidRDefault="00171837">
      <w:pPr>
        <w:spacing w:after="160" w:line="259" w:lineRule="auto"/>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Tab1g-Sustainability!R4C2:R13C8 </w:instrText>
      </w:r>
      <w:r>
        <w:instrText xml:space="preserve">\a \f 4 \h  \* MERGEFORMAT </w:instrText>
      </w:r>
      <w:r>
        <w:fldChar w:fldCharType="separate"/>
      </w:r>
    </w:p>
    <w:tbl>
      <w:tblPr>
        <w:tblW w:w="15217" w:type="dxa"/>
        <w:tblLook w:val="04A0" w:firstRow="1" w:lastRow="0" w:firstColumn="1" w:lastColumn="0" w:noHBand="0" w:noVBand="1"/>
      </w:tblPr>
      <w:tblGrid>
        <w:gridCol w:w="5635"/>
        <w:gridCol w:w="1702"/>
        <w:gridCol w:w="1576"/>
        <w:gridCol w:w="1576"/>
        <w:gridCol w:w="1576"/>
        <w:gridCol w:w="1576"/>
        <w:gridCol w:w="1576"/>
      </w:tblGrid>
      <w:tr w:rsidR="00171837" w:rsidRPr="00171837" w14:paraId="5AEB8DA3" w14:textId="77777777" w:rsidTr="00171837">
        <w:trPr>
          <w:trHeight w:val="326"/>
        </w:trPr>
        <w:tc>
          <w:tcPr>
            <w:tcW w:w="5635" w:type="dxa"/>
            <w:vMerge w:val="restart"/>
            <w:tcBorders>
              <w:top w:val="double" w:sz="6" w:space="0" w:color="auto"/>
              <w:left w:val="double" w:sz="6" w:space="0" w:color="auto"/>
              <w:bottom w:val="single" w:sz="8" w:space="0" w:color="000000"/>
              <w:right w:val="dotted" w:sz="4" w:space="0" w:color="auto"/>
            </w:tcBorders>
            <w:shd w:val="clear" w:color="000000" w:fill="FFFFFF"/>
            <w:vAlign w:val="bottom"/>
            <w:hideMark/>
          </w:tcPr>
          <w:p w14:paraId="1686E29E" w14:textId="5584CDFB" w:rsidR="00171837" w:rsidRPr="00171837" w:rsidRDefault="00171837" w:rsidP="00171837">
            <w:pPr>
              <w:spacing w:after="0"/>
              <w:jc w:val="left"/>
              <w:rPr>
                <w:rFonts w:eastAsia="Times New Roman" w:cs="Times New Roman"/>
                <w:sz w:val="20"/>
                <w:szCs w:val="20"/>
              </w:rPr>
            </w:pPr>
            <w:r w:rsidRPr="00171837">
              <w:rPr>
                <w:rFonts w:eastAsia="Times New Roman" w:cs="Times New Roman"/>
                <w:sz w:val="20"/>
                <w:szCs w:val="20"/>
              </w:rPr>
              <w:t> </w:t>
            </w:r>
          </w:p>
        </w:tc>
        <w:tc>
          <w:tcPr>
            <w:tcW w:w="1702" w:type="dxa"/>
            <w:vMerge w:val="restart"/>
            <w:tcBorders>
              <w:top w:val="double" w:sz="6" w:space="0" w:color="auto"/>
              <w:left w:val="dotted" w:sz="4" w:space="0" w:color="auto"/>
              <w:bottom w:val="single" w:sz="8" w:space="0" w:color="000000"/>
              <w:right w:val="single" w:sz="8" w:space="0" w:color="auto"/>
            </w:tcBorders>
            <w:shd w:val="clear" w:color="000000" w:fill="FFFFFF"/>
            <w:hideMark/>
          </w:tcPr>
          <w:p w14:paraId="4FB09300" w14:textId="77777777" w:rsidR="00171837" w:rsidRPr="00171837" w:rsidRDefault="00171837" w:rsidP="00171837">
            <w:pPr>
              <w:spacing w:after="0"/>
              <w:jc w:val="center"/>
              <w:rPr>
                <w:rFonts w:eastAsia="Times New Roman" w:cs="Times New Roman"/>
                <w:sz w:val="20"/>
                <w:szCs w:val="20"/>
              </w:rPr>
            </w:pPr>
            <w:r w:rsidRPr="00171837">
              <w:rPr>
                <w:rFonts w:eastAsia="Times New Roman" w:cs="Times New Roman"/>
                <w:sz w:val="20"/>
                <w:szCs w:val="20"/>
              </w:rPr>
              <w:t>Dimension</w:t>
            </w:r>
          </w:p>
        </w:tc>
        <w:tc>
          <w:tcPr>
            <w:tcW w:w="1576" w:type="dxa"/>
            <w:tcBorders>
              <w:top w:val="double" w:sz="6" w:space="0" w:color="auto"/>
              <w:left w:val="nil"/>
              <w:bottom w:val="nil"/>
              <w:right w:val="dotted" w:sz="4" w:space="0" w:color="auto"/>
            </w:tcBorders>
            <w:shd w:val="clear" w:color="000000" w:fill="FFFFFF"/>
            <w:vAlign w:val="bottom"/>
            <w:hideMark/>
          </w:tcPr>
          <w:p w14:paraId="44044B67" w14:textId="77777777" w:rsidR="00171837" w:rsidRPr="00171837" w:rsidRDefault="00171837" w:rsidP="00171837">
            <w:pPr>
              <w:spacing w:after="0"/>
              <w:jc w:val="center"/>
              <w:rPr>
                <w:rFonts w:eastAsia="Times New Roman" w:cs="Times New Roman"/>
                <w:sz w:val="20"/>
                <w:szCs w:val="20"/>
              </w:rPr>
            </w:pPr>
            <w:r w:rsidRPr="00171837">
              <w:rPr>
                <w:rFonts w:eastAsia="Times New Roman" w:cs="Times New Roman"/>
                <w:sz w:val="20"/>
                <w:szCs w:val="20"/>
              </w:rPr>
              <w:t>Year</w:t>
            </w:r>
          </w:p>
        </w:tc>
        <w:tc>
          <w:tcPr>
            <w:tcW w:w="1576" w:type="dxa"/>
            <w:tcBorders>
              <w:top w:val="double" w:sz="6" w:space="0" w:color="auto"/>
              <w:left w:val="nil"/>
              <w:bottom w:val="nil"/>
              <w:right w:val="dotted" w:sz="4" w:space="0" w:color="auto"/>
            </w:tcBorders>
            <w:shd w:val="clear" w:color="000000" w:fill="FFFFFF"/>
            <w:vAlign w:val="bottom"/>
            <w:hideMark/>
          </w:tcPr>
          <w:p w14:paraId="73CD978A" w14:textId="77777777" w:rsidR="00171837" w:rsidRPr="00171837" w:rsidRDefault="00171837" w:rsidP="00171837">
            <w:pPr>
              <w:spacing w:after="0"/>
              <w:jc w:val="center"/>
              <w:rPr>
                <w:rFonts w:eastAsia="Times New Roman" w:cs="Times New Roman"/>
                <w:sz w:val="20"/>
                <w:szCs w:val="20"/>
              </w:rPr>
            </w:pPr>
            <w:r w:rsidRPr="00171837">
              <w:rPr>
                <w:rFonts w:eastAsia="Times New Roman" w:cs="Times New Roman"/>
                <w:sz w:val="20"/>
                <w:szCs w:val="20"/>
              </w:rPr>
              <w:t>Year</w:t>
            </w:r>
          </w:p>
        </w:tc>
        <w:tc>
          <w:tcPr>
            <w:tcW w:w="1576" w:type="dxa"/>
            <w:tcBorders>
              <w:top w:val="double" w:sz="6" w:space="0" w:color="auto"/>
              <w:left w:val="nil"/>
              <w:bottom w:val="nil"/>
              <w:right w:val="dotted" w:sz="4" w:space="0" w:color="auto"/>
            </w:tcBorders>
            <w:shd w:val="clear" w:color="000000" w:fill="FFFFFF"/>
            <w:vAlign w:val="bottom"/>
            <w:hideMark/>
          </w:tcPr>
          <w:p w14:paraId="313B8344" w14:textId="77777777" w:rsidR="00171837" w:rsidRPr="00171837" w:rsidRDefault="00171837" w:rsidP="00171837">
            <w:pPr>
              <w:spacing w:after="0"/>
              <w:jc w:val="center"/>
              <w:rPr>
                <w:rFonts w:eastAsia="Times New Roman" w:cs="Times New Roman"/>
                <w:sz w:val="20"/>
                <w:szCs w:val="20"/>
              </w:rPr>
            </w:pPr>
            <w:r w:rsidRPr="00171837">
              <w:rPr>
                <w:rFonts w:eastAsia="Times New Roman" w:cs="Times New Roman"/>
                <w:sz w:val="20"/>
                <w:szCs w:val="20"/>
              </w:rPr>
              <w:t>Year</w:t>
            </w:r>
          </w:p>
        </w:tc>
        <w:tc>
          <w:tcPr>
            <w:tcW w:w="1576" w:type="dxa"/>
            <w:tcBorders>
              <w:top w:val="double" w:sz="6" w:space="0" w:color="auto"/>
              <w:left w:val="nil"/>
              <w:bottom w:val="nil"/>
              <w:right w:val="dotted" w:sz="4" w:space="0" w:color="auto"/>
            </w:tcBorders>
            <w:shd w:val="clear" w:color="000000" w:fill="FFFFFF"/>
            <w:vAlign w:val="bottom"/>
            <w:hideMark/>
          </w:tcPr>
          <w:p w14:paraId="5327A48A" w14:textId="77777777" w:rsidR="00171837" w:rsidRPr="00171837" w:rsidRDefault="00171837" w:rsidP="00171837">
            <w:pPr>
              <w:spacing w:after="0"/>
              <w:jc w:val="center"/>
              <w:rPr>
                <w:rFonts w:eastAsia="Times New Roman" w:cs="Times New Roman"/>
                <w:sz w:val="20"/>
                <w:szCs w:val="20"/>
              </w:rPr>
            </w:pPr>
            <w:r w:rsidRPr="00171837">
              <w:rPr>
                <w:rFonts w:eastAsia="Times New Roman" w:cs="Times New Roman"/>
                <w:sz w:val="20"/>
                <w:szCs w:val="20"/>
              </w:rPr>
              <w:t>Year</w:t>
            </w:r>
          </w:p>
        </w:tc>
        <w:tc>
          <w:tcPr>
            <w:tcW w:w="1576" w:type="dxa"/>
            <w:tcBorders>
              <w:top w:val="double" w:sz="6" w:space="0" w:color="auto"/>
              <w:left w:val="nil"/>
              <w:bottom w:val="nil"/>
              <w:right w:val="double" w:sz="6" w:space="0" w:color="auto"/>
            </w:tcBorders>
            <w:shd w:val="clear" w:color="000000" w:fill="FFFFFF"/>
            <w:vAlign w:val="bottom"/>
            <w:hideMark/>
          </w:tcPr>
          <w:p w14:paraId="32E01DFF" w14:textId="77777777" w:rsidR="00171837" w:rsidRPr="00171837" w:rsidRDefault="00171837" w:rsidP="00171837">
            <w:pPr>
              <w:spacing w:after="0"/>
              <w:jc w:val="center"/>
              <w:rPr>
                <w:rFonts w:eastAsia="Times New Roman" w:cs="Times New Roman"/>
                <w:sz w:val="20"/>
                <w:szCs w:val="20"/>
              </w:rPr>
            </w:pPr>
            <w:r w:rsidRPr="00171837">
              <w:rPr>
                <w:rFonts w:eastAsia="Times New Roman" w:cs="Times New Roman"/>
                <w:sz w:val="20"/>
                <w:szCs w:val="20"/>
              </w:rPr>
              <w:t>Year</w:t>
            </w:r>
          </w:p>
        </w:tc>
      </w:tr>
      <w:tr w:rsidR="00171837" w:rsidRPr="00171837" w14:paraId="0B0B14D6" w14:textId="77777777" w:rsidTr="00171837">
        <w:trPr>
          <w:trHeight w:val="326"/>
        </w:trPr>
        <w:tc>
          <w:tcPr>
            <w:tcW w:w="5635" w:type="dxa"/>
            <w:vMerge/>
            <w:tcBorders>
              <w:top w:val="double" w:sz="6" w:space="0" w:color="auto"/>
              <w:left w:val="double" w:sz="6" w:space="0" w:color="auto"/>
              <w:bottom w:val="single" w:sz="8" w:space="0" w:color="000000"/>
              <w:right w:val="dotted" w:sz="4" w:space="0" w:color="auto"/>
            </w:tcBorders>
            <w:vAlign w:val="center"/>
            <w:hideMark/>
          </w:tcPr>
          <w:p w14:paraId="19A5836E" w14:textId="77777777" w:rsidR="00171837" w:rsidRPr="00171837" w:rsidRDefault="00171837" w:rsidP="00171837">
            <w:pPr>
              <w:spacing w:after="0"/>
              <w:jc w:val="left"/>
              <w:rPr>
                <w:rFonts w:eastAsia="Times New Roman" w:cs="Times New Roman"/>
                <w:sz w:val="20"/>
                <w:szCs w:val="20"/>
              </w:rPr>
            </w:pPr>
          </w:p>
        </w:tc>
        <w:tc>
          <w:tcPr>
            <w:tcW w:w="1702" w:type="dxa"/>
            <w:vMerge/>
            <w:tcBorders>
              <w:top w:val="double" w:sz="6" w:space="0" w:color="auto"/>
              <w:left w:val="dotted" w:sz="4" w:space="0" w:color="auto"/>
              <w:bottom w:val="single" w:sz="8" w:space="0" w:color="000000"/>
              <w:right w:val="single" w:sz="8" w:space="0" w:color="auto"/>
            </w:tcBorders>
            <w:vAlign w:val="center"/>
            <w:hideMark/>
          </w:tcPr>
          <w:p w14:paraId="7DAFC4EF" w14:textId="77777777" w:rsidR="00171837" w:rsidRPr="00171837" w:rsidRDefault="00171837" w:rsidP="00171837">
            <w:pPr>
              <w:spacing w:after="0"/>
              <w:jc w:val="left"/>
              <w:rPr>
                <w:rFonts w:eastAsia="Times New Roman" w:cs="Times New Roman"/>
                <w:sz w:val="20"/>
                <w:szCs w:val="20"/>
              </w:rPr>
            </w:pPr>
          </w:p>
        </w:tc>
        <w:tc>
          <w:tcPr>
            <w:tcW w:w="1576" w:type="dxa"/>
            <w:tcBorders>
              <w:top w:val="nil"/>
              <w:left w:val="nil"/>
              <w:bottom w:val="single" w:sz="8" w:space="0" w:color="000000"/>
              <w:right w:val="dotted" w:sz="4" w:space="0" w:color="auto"/>
            </w:tcBorders>
            <w:shd w:val="clear" w:color="000000" w:fill="FFFFFF"/>
            <w:vAlign w:val="bottom"/>
            <w:hideMark/>
          </w:tcPr>
          <w:p w14:paraId="5B230AF2" w14:textId="77777777" w:rsidR="00171837" w:rsidRPr="00171837" w:rsidRDefault="00171837" w:rsidP="00171837">
            <w:pPr>
              <w:spacing w:after="0"/>
              <w:jc w:val="center"/>
              <w:rPr>
                <w:rFonts w:eastAsia="Times New Roman" w:cs="Times New Roman"/>
                <w:sz w:val="20"/>
                <w:szCs w:val="20"/>
              </w:rPr>
            </w:pPr>
            <w:r w:rsidRPr="00171837">
              <w:rPr>
                <w:rFonts w:eastAsia="Times New Roman" w:cs="Times New Roman"/>
                <w:sz w:val="20"/>
                <w:szCs w:val="20"/>
              </w:rPr>
              <w:t>2020</w:t>
            </w:r>
          </w:p>
        </w:tc>
        <w:tc>
          <w:tcPr>
            <w:tcW w:w="1576" w:type="dxa"/>
            <w:tcBorders>
              <w:top w:val="nil"/>
              <w:left w:val="nil"/>
              <w:bottom w:val="single" w:sz="8" w:space="0" w:color="000000"/>
              <w:right w:val="dotted" w:sz="4" w:space="0" w:color="auto"/>
            </w:tcBorders>
            <w:shd w:val="clear" w:color="000000" w:fill="FFFFFF"/>
            <w:vAlign w:val="bottom"/>
            <w:hideMark/>
          </w:tcPr>
          <w:p w14:paraId="6A67C525" w14:textId="77777777" w:rsidR="00171837" w:rsidRPr="00171837" w:rsidRDefault="00171837" w:rsidP="00171837">
            <w:pPr>
              <w:spacing w:after="0"/>
              <w:jc w:val="center"/>
              <w:rPr>
                <w:rFonts w:eastAsia="Times New Roman" w:cs="Times New Roman"/>
                <w:sz w:val="20"/>
                <w:szCs w:val="20"/>
              </w:rPr>
            </w:pPr>
            <w:r w:rsidRPr="00171837">
              <w:rPr>
                <w:rFonts w:eastAsia="Times New Roman" w:cs="Times New Roman"/>
                <w:sz w:val="20"/>
                <w:szCs w:val="20"/>
              </w:rPr>
              <w:t>2021</w:t>
            </w:r>
          </w:p>
        </w:tc>
        <w:tc>
          <w:tcPr>
            <w:tcW w:w="1576" w:type="dxa"/>
            <w:tcBorders>
              <w:top w:val="nil"/>
              <w:left w:val="nil"/>
              <w:bottom w:val="single" w:sz="8" w:space="0" w:color="000000"/>
              <w:right w:val="dotted" w:sz="4" w:space="0" w:color="auto"/>
            </w:tcBorders>
            <w:shd w:val="clear" w:color="000000" w:fill="FFFFFF"/>
            <w:vAlign w:val="bottom"/>
            <w:hideMark/>
          </w:tcPr>
          <w:p w14:paraId="2A03177A" w14:textId="77777777" w:rsidR="00171837" w:rsidRPr="00171837" w:rsidRDefault="00171837" w:rsidP="00171837">
            <w:pPr>
              <w:spacing w:after="0"/>
              <w:jc w:val="center"/>
              <w:rPr>
                <w:rFonts w:eastAsia="Times New Roman" w:cs="Times New Roman"/>
                <w:sz w:val="20"/>
                <w:szCs w:val="20"/>
              </w:rPr>
            </w:pPr>
            <w:r w:rsidRPr="00171837">
              <w:rPr>
                <w:rFonts w:eastAsia="Times New Roman" w:cs="Times New Roman"/>
                <w:sz w:val="20"/>
                <w:szCs w:val="20"/>
              </w:rPr>
              <w:t>2022</w:t>
            </w:r>
          </w:p>
        </w:tc>
        <w:tc>
          <w:tcPr>
            <w:tcW w:w="1576" w:type="dxa"/>
            <w:tcBorders>
              <w:top w:val="nil"/>
              <w:left w:val="nil"/>
              <w:bottom w:val="single" w:sz="8" w:space="0" w:color="000000"/>
              <w:right w:val="dotted" w:sz="4" w:space="0" w:color="auto"/>
            </w:tcBorders>
            <w:shd w:val="clear" w:color="000000" w:fill="FFFFFF"/>
            <w:vAlign w:val="bottom"/>
            <w:hideMark/>
          </w:tcPr>
          <w:p w14:paraId="53A86089" w14:textId="77777777" w:rsidR="00171837" w:rsidRPr="00171837" w:rsidRDefault="00171837" w:rsidP="00171837">
            <w:pPr>
              <w:spacing w:after="0"/>
              <w:jc w:val="center"/>
              <w:rPr>
                <w:rFonts w:eastAsia="Times New Roman" w:cs="Times New Roman"/>
                <w:sz w:val="20"/>
                <w:szCs w:val="20"/>
              </w:rPr>
            </w:pPr>
            <w:r w:rsidRPr="00171837">
              <w:rPr>
                <w:rFonts w:eastAsia="Times New Roman" w:cs="Times New Roman"/>
                <w:sz w:val="20"/>
                <w:szCs w:val="20"/>
              </w:rPr>
              <w:t>2023</w:t>
            </w:r>
          </w:p>
        </w:tc>
        <w:tc>
          <w:tcPr>
            <w:tcW w:w="1576" w:type="dxa"/>
            <w:tcBorders>
              <w:top w:val="nil"/>
              <w:left w:val="nil"/>
              <w:bottom w:val="single" w:sz="8" w:space="0" w:color="000000"/>
              <w:right w:val="double" w:sz="6" w:space="0" w:color="auto"/>
            </w:tcBorders>
            <w:shd w:val="clear" w:color="000000" w:fill="FFFFFF"/>
            <w:vAlign w:val="bottom"/>
            <w:hideMark/>
          </w:tcPr>
          <w:p w14:paraId="7D8C50F7" w14:textId="77777777" w:rsidR="00171837" w:rsidRPr="00171837" w:rsidRDefault="00171837" w:rsidP="00171837">
            <w:pPr>
              <w:spacing w:after="0"/>
              <w:jc w:val="center"/>
              <w:rPr>
                <w:rFonts w:eastAsia="Times New Roman" w:cs="Times New Roman"/>
                <w:sz w:val="20"/>
                <w:szCs w:val="20"/>
              </w:rPr>
            </w:pPr>
            <w:r w:rsidRPr="00171837">
              <w:rPr>
                <w:rFonts w:eastAsia="Times New Roman" w:cs="Times New Roman"/>
                <w:sz w:val="20"/>
                <w:szCs w:val="20"/>
              </w:rPr>
              <w:t>2024</w:t>
            </w:r>
          </w:p>
        </w:tc>
      </w:tr>
      <w:tr w:rsidR="00171837" w:rsidRPr="00171837" w14:paraId="0755683C" w14:textId="77777777" w:rsidTr="00171837">
        <w:trPr>
          <w:trHeight w:val="326"/>
        </w:trPr>
        <w:tc>
          <w:tcPr>
            <w:tcW w:w="5635" w:type="dxa"/>
            <w:tcBorders>
              <w:top w:val="nil"/>
              <w:left w:val="double" w:sz="6" w:space="0" w:color="auto"/>
              <w:bottom w:val="dotted" w:sz="4" w:space="0" w:color="auto"/>
              <w:right w:val="dotted" w:sz="4" w:space="0" w:color="auto"/>
            </w:tcBorders>
            <w:shd w:val="clear" w:color="000000" w:fill="FFFFFF"/>
            <w:hideMark/>
          </w:tcPr>
          <w:p w14:paraId="432B0805" w14:textId="77777777" w:rsidR="00171837" w:rsidRPr="00171837" w:rsidRDefault="00171837" w:rsidP="00171837">
            <w:pPr>
              <w:spacing w:after="0"/>
              <w:ind w:firstLineChars="100" w:firstLine="200"/>
              <w:jc w:val="left"/>
              <w:rPr>
                <w:rFonts w:eastAsia="Times New Roman" w:cs="Times New Roman"/>
                <w:sz w:val="20"/>
                <w:szCs w:val="20"/>
              </w:rPr>
            </w:pPr>
            <w:r w:rsidRPr="00171837">
              <w:rPr>
                <w:rFonts w:eastAsia="Times New Roman" w:cs="Times New Roman"/>
                <w:sz w:val="20"/>
                <w:szCs w:val="20"/>
              </w:rPr>
              <w:t xml:space="preserve">1. Current Account Balance </w:t>
            </w:r>
          </w:p>
        </w:tc>
        <w:tc>
          <w:tcPr>
            <w:tcW w:w="1702" w:type="dxa"/>
            <w:tcBorders>
              <w:top w:val="nil"/>
              <w:left w:val="nil"/>
              <w:bottom w:val="dotted" w:sz="4" w:space="0" w:color="auto"/>
              <w:right w:val="single" w:sz="8" w:space="0" w:color="auto"/>
            </w:tcBorders>
            <w:shd w:val="clear" w:color="000000" w:fill="FFFFFF"/>
            <w:hideMark/>
          </w:tcPr>
          <w:p w14:paraId="64DF7D15" w14:textId="77777777" w:rsidR="00171837" w:rsidRPr="00171837" w:rsidRDefault="00171837" w:rsidP="00171837">
            <w:pPr>
              <w:spacing w:after="0"/>
              <w:jc w:val="center"/>
              <w:rPr>
                <w:rFonts w:eastAsia="Times New Roman" w:cs="Times New Roman"/>
                <w:sz w:val="18"/>
                <w:szCs w:val="18"/>
              </w:rPr>
            </w:pPr>
            <w:r w:rsidRPr="00171837">
              <w:rPr>
                <w:rFonts w:eastAsia="Times New Roman" w:cs="Times New Roman"/>
                <w:sz w:val="18"/>
                <w:szCs w:val="18"/>
              </w:rPr>
              <w:t>% of GDP</w:t>
            </w:r>
          </w:p>
        </w:tc>
        <w:tc>
          <w:tcPr>
            <w:tcW w:w="1576" w:type="dxa"/>
            <w:tcBorders>
              <w:top w:val="nil"/>
              <w:left w:val="nil"/>
              <w:bottom w:val="dotted" w:sz="4" w:space="0" w:color="auto"/>
              <w:right w:val="dotted" w:sz="4" w:space="0" w:color="auto"/>
            </w:tcBorders>
            <w:shd w:val="clear" w:color="000000" w:fill="FFFFFF"/>
            <w:vAlign w:val="center"/>
            <w:hideMark/>
          </w:tcPr>
          <w:p w14:paraId="6CCE8397"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-3,9</w:t>
            </w:r>
          </w:p>
        </w:tc>
        <w:tc>
          <w:tcPr>
            <w:tcW w:w="1576" w:type="dxa"/>
            <w:tcBorders>
              <w:top w:val="nil"/>
              <w:left w:val="nil"/>
              <w:bottom w:val="dotted" w:sz="4" w:space="0" w:color="auto"/>
              <w:right w:val="dotted" w:sz="4" w:space="0" w:color="auto"/>
            </w:tcBorders>
            <w:shd w:val="clear" w:color="000000" w:fill="FFFFFF"/>
            <w:vAlign w:val="center"/>
            <w:hideMark/>
          </w:tcPr>
          <w:p w14:paraId="499B2673"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-4,1</w:t>
            </w:r>
          </w:p>
        </w:tc>
        <w:tc>
          <w:tcPr>
            <w:tcW w:w="1576" w:type="dxa"/>
            <w:tcBorders>
              <w:top w:val="nil"/>
              <w:left w:val="nil"/>
              <w:bottom w:val="dotted" w:sz="4" w:space="0" w:color="auto"/>
              <w:right w:val="dotted" w:sz="4" w:space="0" w:color="auto"/>
            </w:tcBorders>
            <w:shd w:val="clear" w:color="000000" w:fill="FFFFFF"/>
            <w:vAlign w:val="center"/>
            <w:hideMark/>
          </w:tcPr>
          <w:p w14:paraId="601EE783"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-6,6</w:t>
            </w:r>
          </w:p>
        </w:tc>
        <w:tc>
          <w:tcPr>
            <w:tcW w:w="1576" w:type="dxa"/>
            <w:tcBorders>
              <w:top w:val="nil"/>
              <w:left w:val="nil"/>
              <w:bottom w:val="dotted" w:sz="4" w:space="0" w:color="auto"/>
              <w:right w:val="dotted" w:sz="4" w:space="0" w:color="auto"/>
            </w:tcBorders>
            <w:shd w:val="clear" w:color="000000" w:fill="FFFFFF"/>
            <w:vAlign w:val="center"/>
            <w:hideMark/>
          </w:tcPr>
          <w:p w14:paraId="1CA46F59"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-2,4</w:t>
            </w:r>
          </w:p>
        </w:tc>
        <w:tc>
          <w:tcPr>
            <w:tcW w:w="1576" w:type="dxa"/>
            <w:tcBorders>
              <w:top w:val="nil"/>
              <w:left w:val="nil"/>
              <w:bottom w:val="dotted" w:sz="4" w:space="0" w:color="auto"/>
              <w:right w:val="double" w:sz="6" w:space="0" w:color="auto"/>
            </w:tcBorders>
            <w:shd w:val="clear" w:color="000000" w:fill="FFFFFF"/>
            <w:vAlign w:val="center"/>
            <w:hideMark/>
          </w:tcPr>
          <w:p w14:paraId="6B506C3E"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-4,7</w:t>
            </w:r>
          </w:p>
        </w:tc>
      </w:tr>
      <w:tr w:rsidR="00171837" w:rsidRPr="00171837" w14:paraId="66469D92" w14:textId="77777777" w:rsidTr="00171837">
        <w:trPr>
          <w:trHeight w:val="326"/>
        </w:trPr>
        <w:tc>
          <w:tcPr>
            <w:tcW w:w="5635" w:type="dxa"/>
            <w:tcBorders>
              <w:top w:val="nil"/>
              <w:left w:val="double" w:sz="6" w:space="0" w:color="auto"/>
              <w:bottom w:val="dotted" w:sz="4" w:space="0" w:color="auto"/>
              <w:right w:val="dotted" w:sz="4" w:space="0" w:color="auto"/>
            </w:tcBorders>
            <w:shd w:val="clear" w:color="000000" w:fill="FFFFFF"/>
            <w:hideMark/>
          </w:tcPr>
          <w:p w14:paraId="728C73E0" w14:textId="77777777" w:rsidR="00171837" w:rsidRPr="00171837" w:rsidRDefault="00171837" w:rsidP="00171837">
            <w:pPr>
              <w:spacing w:after="0"/>
              <w:ind w:firstLineChars="100" w:firstLine="200"/>
              <w:jc w:val="left"/>
              <w:rPr>
                <w:rFonts w:eastAsia="Times New Roman" w:cs="Times New Roman"/>
                <w:sz w:val="20"/>
                <w:szCs w:val="20"/>
              </w:rPr>
            </w:pPr>
            <w:r w:rsidRPr="00171837">
              <w:rPr>
                <w:rFonts w:eastAsia="Times New Roman" w:cs="Times New Roman"/>
                <w:sz w:val="20"/>
                <w:szCs w:val="20"/>
              </w:rPr>
              <w:t>2. Net International Investment Position</w:t>
            </w:r>
          </w:p>
        </w:tc>
        <w:tc>
          <w:tcPr>
            <w:tcW w:w="1702" w:type="dxa"/>
            <w:tcBorders>
              <w:top w:val="nil"/>
              <w:left w:val="nil"/>
              <w:bottom w:val="dotted" w:sz="4" w:space="0" w:color="auto"/>
              <w:right w:val="single" w:sz="8" w:space="0" w:color="auto"/>
            </w:tcBorders>
            <w:shd w:val="clear" w:color="000000" w:fill="FFFFFF"/>
            <w:hideMark/>
          </w:tcPr>
          <w:p w14:paraId="11464D6B" w14:textId="77777777" w:rsidR="00171837" w:rsidRPr="00171837" w:rsidRDefault="00171837" w:rsidP="00171837">
            <w:pPr>
              <w:spacing w:after="0"/>
              <w:jc w:val="center"/>
              <w:rPr>
                <w:rFonts w:eastAsia="Times New Roman" w:cs="Times New Roman"/>
                <w:sz w:val="18"/>
                <w:szCs w:val="18"/>
              </w:rPr>
            </w:pPr>
            <w:r w:rsidRPr="00171837">
              <w:rPr>
                <w:rFonts w:eastAsia="Times New Roman" w:cs="Times New Roman"/>
                <w:sz w:val="18"/>
                <w:szCs w:val="18"/>
              </w:rPr>
              <w:t>% of GDP</w:t>
            </w:r>
          </w:p>
        </w:tc>
        <w:tc>
          <w:tcPr>
            <w:tcW w:w="1576" w:type="dxa"/>
            <w:tcBorders>
              <w:top w:val="nil"/>
              <w:left w:val="nil"/>
              <w:bottom w:val="dotted" w:sz="4" w:space="0" w:color="auto"/>
              <w:right w:val="dotted" w:sz="4" w:space="0" w:color="auto"/>
            </w:tcBorders>
            <w:shd w:val="clear" w:color="000000" w:fill="FFFFFF"/>
            <w:vAlign w:val="center"/>
            <w:hideMark/>
          </w:tcPr>
          <w:p w14:paraId="5114AADB"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-86,2</w:t>
            </w:r>
          </w:p>
        </w:tc>
        <w:tc>
          <w:tcPr>
            <w:tcW w:w="1576" w:type="dxa"/>
            <w:tcBorders>
              <w:top w:val="nil"/>
              <w:left w:val="nil"/>
              <w:bottom w:val="dotted" w:sz="4" w:space="0" w:color="auto"/>
              <w:right w:val="dotted" w:sz="4" w:space="0" w:color="auto"/>
            </w:tcBorders>
            <w:shd w:val="clear" w:color="000000" w:fill="FFFFFF"/>
            <w:vAlign w:val="center"/>
            <w:hideMark/>
          </w:tcPr>
          <w:p w14:paraId="20EB7B1D"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-79,2</w:t>
            </w:r>
          </w:p>
        </w:tc>
        <w:tc>
          <w:tcPr>
            <w:tcW w:w="1576" w:type="dxa"/>
            <w:tcBorders>
              <w:top w:val="nil"/>
              <w:left w:val="nil"/>
              <w:bottom w:val="dotted" w:sz="4" w:space="0" w:color="auto"/>
              <w:right w:val="dotted" w:sz="4" w:space="0" w:color="auto"/>
            </w:tcBorders>
            <w:shd w:val="clear" w:color="000000" w:fill="FFFFFF"/>
            <w:vAlign w:val="center"/>
            <w:hideMark/>
          </w:tcPr>
          <w:p w14:paraId="04DEBC10"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-77,8</w:t>
            </w:r>
          </w:p>
        </w:tc>
        <w:tc>
          <w:tcPr>
            <w:tcW w:w="1576" w:type="dxa"/>
            <w:tcBorders>
              <w:top w:val="nil"/>
              <w:left w:val="nil"/>
              <w:bottom w:val="dotted" w:sz="4" w:space="0" w:color="auto"/>
              <w:right w:val="dotted" w:sz="4" w:space="0" w:color="auto"/>
            </w:tcBorders>
            <w:shd w:val="clear" w:color="000000" w:fill="FFFFFF"/>
            <w:vAlign w:val="center"/>
            <w:hideMark/>
          </w:tcPr>
          <w:p w14:paraId="6FE171F3"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-66,6</w:t>
            </w:r>
          </w:p>
        </w:tc>
        <w:tc>
          <w:tcPr>
            <w:tcW w:w="1576" w:type="dxa"/>
            <w:tcBorders>
              <w:top w:val="nil"/>
              <w:left w:val="nil"/>
              <w:bottom w:val="dotted" w:sz="4" w:space="0" w:color="auto"/>
              <w:right w:val="double" w:sz="6" w:space="0" w:color="auto"/>
            </w:tcBorders>
            <w:shd w:val="clear" w:color="000000" w:fill="FFFFFF"/>
            <w:vAlign w:val="center"/>
            <w:hideMark/>
          </w:tcPr>
          <w:p w14:paraId="36DD63B3"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w:t>
            </w:r>
          </w:p>
        </w:tc>
      </w:tr>
      <w:tr w:rsidR="00171837" w:rsidRPr="00171837" w14:paraId="366DBC06" w14:textId="77777777" w:rsidTr="00171837">
        <w:trPr>
          <w:trHeight w:val="326"/>
        </w:trPr>
        <w:tc>
          <w:tcPr>
            <w:tcW w:w="5635" w:type="dxa"/>
            <w:tcBorders>
              <w:top w:val="nil"/>
              <w:left w:val="double" w:sz="6" w:space="0" w:color="auto"/>
              <w:bottom w:val="dotted" w:sz="4" w:space="0" w:color="auto"/>
              <w:right w:val="dotted" w:sz="4" w:space="0" w:color="auto"/>
            </w:tcBorders>
            <w:shd w:val="clear" w:color="000000" w:fill="FFFFFF"/>
            <w:hideMark/>
          </w:tcPr>
          <w:p w14:paraId="3E17D82F" w14:textId="77777777" w:rsidR="00171837" w:rsidRPr="00171837" w:rsidRDefault="00171837" w:rsidP="00171837">
            <w:pPr>
              <w:spacing w:after="0"/>
              <w:ind w:firstLineChars="100" w:firstLine="200"/>
              <w:jc w:val="left"/>
              <w:rPr>
                <w:rFonts w:eastAsia="Times New Roman" w:cs="Times New Roman"/>
                <w:sz w:val="20"/>
                <w:szCs w:val="20"/>
              </w:rPr>
            </w:pPr>
            <w:r w:rsidRPr="00171837">
              <w:rPr>
                <w:rFonts w:eastAsia="Times New Roman" w:cs="Times New Roman"/>
                <w:sz w:val="20"/>
                <w:szCs w:val="20"/>
              </w:rPr>
              <w:t>3. Export market shares</w:t>
            </w:r>
          </w:p>
        </w:tc>
        <w:tc>
          <w:tcPr>
            <w:tcW w:w="1702" w:type="dxa"/>
            <w:tcBorders>
              <w:top w:val="nil"/>
              <w:left w:val="nil"/>
              <w:bottom w:val="dotted" w:sz="4" w:space="0" w:color="auto"/>
              <w:right w:val="single" w:sz="8" w:space="0" w:color="auto"/>
            </w:tcBorders>
            <w:shd w:val="clear" w:color="000000" w:fill="FFFFFF"/>
            <w:hideMark/>
          </w:tcPr>
          <w:p w14:paraId="33CD5D5D" w14:textId="77777777" w:rsidR="00171837" w:rsidRPr="00171837" w:rsidRDefault="00171837" w:rsidP="00171837">
            <w:pPr>
              <w:spacing w:after="0"/>
              <w:jc w:val="center"/>
              <w:rPr>
                <w:rFonts w:eastAsia="Times New Roman" w:cs="Times New Roman"/>
                <w:sz w:val="18"/>
                <w:szCs w:val="18"/>
              </w:rPr>
            </w:pPr>
            <w:r w:rsidRPr="00171837">
              <w:rPr>
                <w:rFonts w:eastAsia="Times New Roman" w:cs="Times New Roman"/>
                <w:sz w:val="18"/>
                <w:szCs w:val="18"/>
              </w:rPr>
              <w:t>%, yoy</w:t>
            </w:r>
          </w:p>
        </w:tc>
        <w:tc>
          <w:tcPr>
            <w:tcW w:w="1576" w:type="dxa"/>
            <w:tcBorders>
              <w:top w:val="nil"/>
              <w:left w:val="nil"/>
              <w:bottom w:val="dotted" w:sz="4" w:space="0" w:color="auto"/>
              <w:right w:val="dotted" w:sz="4" w:space="0" w:color="auto"/>
            </w:tcBorders>
            <w:shd w:val="clear" w:color="000000" w:fill="FFFFFF"/>
            <w:vAlign w:val="center"/>
            <w:hideMark/>
          </w:tcPr>
          <w:p w14:paraId="68838DE7"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w:t>
            </w:r>
          </w:p>
        </w:tc>
        <w:tc>
          <w:tcPr>
            <w:tcW w:w="1576" w:type="dxa"/>
            <w:tcBorders>
              <w:top w:val="nil"/>
              <w:left w:val="nil"/>
              <w:bottom w:val="dotted" w:sz="4" w:space="0" w:color="auto"/>
              <w:right w:val="dotted" w:sz="4" w:space="0" w:color="auto"/>
            </w:tcBorders>
            <w:shd w:val="clear" w:color="000000" w:fill="FFFFFF"/>
            <w:vAlign w:val="center"/>
            <w:hideMark/>
          </w:tcPr>
          <w:p w14:paraId="19E7BDF2"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w:t>
            </w:r>
          </w:p>
        </w:tc>
        <w:tc>
          <w:tcPr>
            <w:tcW w:w="1576" w:type="dxa"/>
            <w:tcBorders>
              <w:top w:val="nil"/>
              <w:left w:val="nil"/>
              <w:bottom w:val="dotted" w:sz="4" w:space="0" w:color="auto"/>
              <w:right w:val="dotted" w:sz="4" w:space="0" w:color="auto"/>
            </w:tcBorders>
            <w:shd w:val="clear" w:color="000000" w:fill="FFFFFF"/>
            <w:vAlign w:val="center"/>
            <w:hideMark/>
          </w:tcPr>
          <w:p w14:paraId="6A6EBD63"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w:t>
            </w:r>
          </w:p>
        </w:tc>
        <w:tc>
          <w:tcPr>
            <w:tcW w:w="1576" w:type="dxa"/>
            <w:tcBorders>
              <w:top w:val="nil"/>
              <w:left w:val="nil"/>
              <w:bottom w:val="dotted" w:sz="4" w:space="0" w:color="auto"/>
              <w:right w:val="dotted" w:sz="4" w:space="0" w:color="auto"/>
            </w:tcBorders>
            <w:shd w:val="clear" w:color="000000" w:fill="FFFFFF"/>
            <w:vAlign w:val="center"/>
            <w:hideMark/>
          </w:tcPr>
          <w:p w14:paraId="35645BF4"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w:t>
            </w:r>
          </w:p>
        </w:tc>
        <w:tc>
          <w:tcPr>
            <w:tcW w:w="1576" w:type="dxa"/>
            <w:tcBorders>
              <w:top w:val="nil"/>
              <w:left w:val="nil"/>
              <w:bottom w:val="dotted" w:sz="4" w:space="0" w:color="auto"/>
              <w:right w:val="double" w:sz="6" w:space="0" w:color="auto"/>
            </w:tcBorders>
            <w:shd w:val="clear" w:color="000000" w:fill="FFFFFF"/>
            <w:vAlign w:val="center"/>
            <w:hideMark/>
          </w:tcPr>
          <w:p w14:paraId="66286313"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w:t>
            </w:r>
          </w:p>
        </w:tc>
      </w:tr>
      <w:tr w:rsidR="00171837" w:rsidRPr="00171837" w14:paraId="6DD3DB96" w14:textId="77777777" w:rsidTr="00171837">
        <w:trPr>
          <w:trHeight w:val="326"/>
        </w:trPr>
        <w:tc>
          <w:tcPr>
            <w:tcW w:w="5635" w:type="dxa"/>
            <w:tcBorders>
              <w:top w:val="nil"/>
              <w:left w:val="double" w:sz="6" w:space="0" w:color="auto"/>
              <w:bottom w:val="dotted" w:sz="4" w:space="0" w:color="auto"/>
              <w:right w:val="dotted" w:sz="4" w:space="0" w:color="auto"/>
            </w:tcBorders>
            <w:shd w:val="clear" w:color="000000" w:fill="FFFFFF"/>
            <w:hideMark/>
          </w:tcPr>
          <w:p w14:paraId="2AD31024" w14:textId="77777777" w:rsidR="00171837" w:rsidRPr="00171837" w:rsidRDefault="00171837" w:rsidP="00171837">
            <w:pPr>
              <w:spacing w:after="0"/>
              <w:ind w:firstLineChars="100" w:firstLine="200"/>
              <w:jc w:val="left"/>
              <w:rPr>
                <w:rFonts w:eastAsia="Times New Roman" w:cs="Times New Roman"/>
                <w:sz w:val="20"/>
                <w:szCs w:val="20"/>
              </w:rPr>
            </w:pPr>
            <w:r w:rsidRPr="00171837">
              <w:rPr>
                <w:rFonts w:eastAsia="Times New Roman" w:cs="Times New Roman"/>
                <w:sz w:val="20"/>
                <w:szCs w:val="20"/>
              </w:rPr>
              <w:t>4. Real Effective Exchange Rate [1]</w:t>
            </w:r>
          </w:p>
        </w:tc>
        <w:tc>
          <w:tcPr>
            <w:tcW w:w="1702" w:type="dxa"/>
            <w:tcBorders>
              <w:top w:val="nil"/>
              <w:left w:val="nil"/>
              <w:bottom w:val="dotted" w:sz="4" w:space="0" w:color="auto"/>
              <w:right w:val="single" w:sz="8" w:space="0" w:color="auto"/>
            </w:tcBorders>
            <w:shd w:val="clear" w:color="000000" w:fill="FFFFFF"/>
            <w:hideMark/>
          </w:tcPr>
          <w:p w14:paraId="7E1F065F" w14:textId="77777777" w:rsidR="00171837" w:rsidRPr="00171837" w:rsidRDefault="00171837" w:rsidP="00171837">
            <w:pPr>
              <w:spacing w:after="0"/>
              <w:jc w:val="center"/>
              <w:rPr>
                <w:rFonts w:eastAsia="Times New Roman" w:cs="Times New Roman"/>
                <w:sz w:val="18"/>
                <w:szCs w:val="18"/>
              </w:rPr>
            </w:pPr>
            <w:r w:rsidRPr="00171837">
              <w:rPr>
                <w:rFonts w:eastAsia="Times New Roman" w:cs="Times New Roman"/>
                <w:sz w:val="18"/>
                <w:szCs w:val="18"/>
              </w:rPr>
              <w:t>%, yoy</w:t>
            </w:r>
          </w:p>
        </w:tc>
        <w:tc>
          <w:tcPr>
            <w:tcW w:w="1576" w:type="dxa"/>
            <w:tcBorders>
              <w:top w:val="nil"/>
              <w:left w:val="nil"/>
              <w:bottom w:val="dotted" w:sz="4" w:space="0" w:color="auto"/>
              <w:right w:val="dotted" w:sz="4" w:space="0" w:color="auto"/>
            </w:tcBorders>
            <w:shd w:val="clear" w:color="000000" w:fill="FFFFFF"/>
            <w:vAlign w:val="center"/>
            <w:hideMark/>
          </w:tcPr>
          <w:p w14:paraId="07446DCA"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1,7</w:t>
            </w:r>
          </w:p>
        </w:tc>
        <w:tc>
          <w:tcPr>
            <w:tcW w:w="1576" w:type="dxa"/>
            <w:tcBorders>
              <w:top w:val="nil"/>
              <w:left w:val="nil"/>
              <w:bottom w:val="dotted" w:sz="4" w:space="0" w:color="auto"/>
              <w:right w:val="dotted" w:sz="4" w:space="0" w:color="auto"/>
            </w:tcBorders>
            <w:shd w:val="clear" w:color="000000" w:fill="FFFFFF"/>
            <w:vAlign w:val="center"/>
            <w:hideMark/>
          </w:tcPr>
          <w:p w14:paraId="67349AD9"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1,8</w:t>
            </w:r>
          </w:p>
        </w:tc>
        <w:tc>
          <w:tcPr>
            <w:tcW w:w="1576" w:type="dxa"/>
            <w:tcBorders>
              <w:top w:val="nil"/>
              <w:left w:val="nil"/>
              <w:bottom w:val="dotted" w:sz="4" w:space="0" w:color="auto"/>
              <w:right w:val="dotted" w:sz="4" w:space="0" w:color="auto"/>
            </w:tcBorders>
            <w:shd w:val="clear" w:color="000000" w:fill="FFFFFF"/>
            <w:vAlign w:val="center"/>
            <w:hideMark/>
          </w:tcPr>
          <w:p w14:paraId="68256713"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1,0</w:t>
            </w:r>
          </w:p>
        </w:tc>
        <w:tc>
          <w:tcPr>
            <w:tcW w:w="1576" w:type="dxa"/>
            <w:tcBorders>
              <w:top w:val="nil"/>
              <w:left w:val="nil"/>
              <w:bottom w:val="dotted" w:sz="4" w:space="0" w:color="auto"/>
              <w:right w:val="dotted" w:sz="4" w:space="0" w:color="auto"/>
            </w:tcBorders>
            <w:shd w:val="clear" w:color="000000" w:fill="FFFFFF"/>
            <w:vAlign w:val="center"/>
            <w:hideMark/>
          </w:tcPr>
          <w:p w14:paraId="7DF0217C"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7,7</w:t>
            </w:r>
          </w:p>
        </w:tc>
        <w:tc>
          <w:tcPr>
            <w:tcW w:w="1576" w:type="dxa"/>
            <w:tcBorders>
              <w:top w:val="nil"/>
              <w:left w:val="nil"/>
              <w:bottom w:val="dotted" w:sz="4" w:space="0" w:color="auto"/>
              <w:right w:val="double" w:sz="6" w:space="0" w:color="auto"/>
            </w:tcBorders>
            <w:shd w:val="clear" w:color="000000" w:fill="FFFFFF"/>
            <w:vAlign w:val="center"/>
            <w:hideMark/>
          </w:tcPr>
          <w:p w14:paraId="00418D3C"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2,1</w:t>
            </w:r>
          </w:p>
        </w:tc>
      </w:tr>
      <w:tr w:rsidR="00171837" w:rsidRPr="00171837" w14:paraId="2B289AA3" w14:textId="77777777" w:rsidTr="00171837">
        <w:trPr>
          <w:trHeight w:val="326"/>
        </w:trPr>
        <w:tc>
          <w:tcPr>
            <w:tcW w:w="5635" w:type="dxa"/>
            <w:tcBorders>
              <w:top w:val="nil"/>
              <w:left w:val="double" w:sz="6" w:space="0" w:color="auto"/>
              <w:bottom w:val="dotted" w:sz="4" w:space="0" w:color="auto"/>
              <w:right w:val="dotted" w:sz="4" w:space="0" w:color="auto"/>
            </w:tcBorders>
            <w:shd w:val="clear" w:color="000000" w:fill="FFFFFF"/>
            <w:hideMark/>
          </w:tcPr>
          <w:p w14:paraId="739BEA73" w14:textId="77777777" w:rsidR="00171837" w:rsidRPr="00171837" w:rsidRDefault="00171837" w:rsidP="00171837">
            <w:pPr>
              <w:spacing w:after="0"/>
              <w:ind w:firstLineChars="100" w:firstLine="200"/>
              <w:jc w:val="left"/>
              <w:rPr>
                <w:rFonts w:eastAsia="Times New Roman" w:cs="Times New Roman"/>
                <w:sz w:val="20"/>
                <w:szCs w:val="20"/>
              </w:rPr>
            </w:pPr>
            <w:r w:rsidRPr="00171837">
              <w:rPr>
                <w:rFonts w:eastAsia="Times New Roman" w:cs="Times New Roman"/>
                <w:sz w:val="20"/>
                <w:szCs w:val="20"/>
              </w:rPr>
              <w:t>5. Nominal Unit Labour Costs</w:t>
            </w:r>
          </w:p>
        </w:tc>
        <w:tc>
          <w:tcPr>
            <w:tcW w:w="1702" w:type="dxa"/>
            <w:tcBorders>
              <w:top w:val="nil"/>
              <w:left w:val="nil"/>
              <w:bottom w:val="dotted" w:sz="4" w:space="0" w:color="auto"/>
              <w:right w:val="single" w:sz="8" w:space="0" w:color="auto"/>
            </w:tcBorders>
            <w:shd w:val="clear" w:color="000000" w:fill="FFFFFF"/>
            <w:hideMark/>
          </w:tcPr>
          <w:p w14:paraId="3F7E27A7" w14:textId="77777777" w:rsidR="00171837" w:rsidRPr="00171837" w:rsidRDefault="00171837" w:rsidP="00171837">
            <w:pPr>
              <w:spacing w:after="0"/>
              <w:jc w:val="center"/>
              <w:rPr>
                <w:rFonts w:eastAsia="Times New Roman" w:cs="Times New Roman"/>
                <w:sz w:val="18"/>
                <w:szCs w:val="18"/>
              </w:rPr>
            </w:pPr>
            <w:r w:rsidRPr="00171837">
              <w:rPr>
                <w:rFonts w:eastAsia="Times New Roman" w:cs="Times New Roman"/>
                <w:sz w:val="18"/>
                <w:szCs w:val="18"/>
              </w:rPr>
              <w:t>%, yoy</w:t>
            </w:r>
          </w:p>
        </w:tc>
        <w:tc>
          <w:tcPr>
            <w:tcW w:w="1576" w:type="dxa"/>
            <w:tcBorders>
              <w:top w:val="nil"/>
              <w:left w:val="nil"/>
              <w:bottom w:val="dotted" w:sz="4" w:space="0" w:color="auto"/>
              <w:right w:val="dotted" w:sz="4" w:space="0" w:color="auto"/>
            </w:tcBorders>
            <w:shd w:val="clear" w:color="000000" w:fill="FFFFFF"/>
            <w:vAlign w:val="center"/>
            <w:hideMark/>
          </w:tcPr>
          <w:p w14:paraId="65C3FE78"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w:t>
            </w:r>
          </w:p>
        </w:tc>
        <w:tc>
          <w:tcPr>
            <w:tcW w:w="1576" w:type="dxa"/>
            <w:tcBorders>
              <w:top w:val="nil"/>
              <w:left w:val="nil"/>
              <w:bottom w:val="dotted" w:sz="4" w:space="0" w:color="auto"/>
              <w:right w:val="dotted" w:sz="4" w:space="0" w:color="auto"/>
            </w:tcBorders>
            <w:shd w:val="clear" w:color="000000" w:fill="FFFFFF"/>
            <w:vAlign w:val="center"/>
            <w:hideMark/>
          </w:tcPr>
          <w:p w14:paraId="2B062267"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w:t>
            </w:r>
          </w:p>
        </w:tc>
        <w:tc>
          <w:tcPr>
            <w:tcW w:w="1576" w:type="dxa"/>
            <w:tcBorders>
              <w:top w:val="nil"/>
              <w:left w:val="nil"/>
              <w:bottom w:val="dotted" w:sz="4" w:space="0" w:color="auto"/>
              <w:right w:val="dotted" w:sz="4" w:space="0" w:color="auto"/>
            </w:tcBorders>
            <w:shd w:val="clear" w:color="000000" w:fill="FFFFFF"/>
            <w:vAlign w:val="center"/>
            <w:hideMark/>
          </w:tcPr>
          <w:p w14:paraId="256296F8"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w:t>
            </w:r>
          </w:p>
        </w:tc>
        <w:tc>
          <w:tcPr>
            <w:tcW w:w="1576" w:type="dxa"/>
            <w:tcBorders>
              <w:top w:val="nil"/>
              <w:left w:val="nil"/>
              <w:bottom w:val="dotted" w:sz="4" w:space="0" w:color="auto"/>
              <w:right w:val="dotted" w:sz="4" w:space="0" w:color="auto"/>
            </w:tcBorders>
            <w:shd w:val="clear" w:color="000000" w:fill="FFFFFF"/>
            <w:vAlign w:val="center"/>
            <w:hideMark/>
          </w:tcPr>
          <w:p w14:paraId="524681DB"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w:t>
            </w:r>
          </w:p>
        </w:tc>
        <w:tc>
          <w:tcPr>
            <w:tcW w:w="1576" w:type="dxa"/>
            <w:tcBorders>
              <w:top w:val="nil"/>
              <w:left w:val="nil"/>
              <w:bottom w:val="dotted" w:sz="4" w:space="0" w:color="auto"/>
              <w:right w:val="double" w:sz="6" w:space="0" w:color="auto"/>
            </w:tcBorders>
            <w:shd w:val="clear" w:color="000000" w:fill="FFFFFF"/>
            <w:vAlign w:val="center"/>
            <w:hideMark/>
          </w:tcPr>
          <w:p w14:paraId="75F09F9F"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w:t>
            </w:r>
          </w:p>
        </w:tc>
      </w:tr>
      <w:tr w:rsidR="00171837" w:rsidRPr="00171837" w14:paraId="4EDF83BF" w14:textId="77777777" w:rsidTr="00171837">
        <w:trPr>
          <w:trHeight w:val="326"/>
        </w:trPr>
        <w:tc>
          <w:tcPr>
            <w:tcW w:w="5635" w:type="dxa"/>
            <w:tcBorders>
              <w:top w:val="nil"/>
              <w:left w:val="double" w:sz="6" w:space="0" w:color="auto"/>
              <w:bottom w:val="dotted" w:sz="4" w:space="0" w:color="auto"/>
              <w:right w:val="dotted" w:sz="4" w:space="0" w:color="auto"/>
            </w:tcBorders>
            <w:shd w:val="clear" w:color="000000" w:fill="FFFFFF"/>
            <w:hideMark/>
          </w:tcPr>
          <w:p w14:paraId="4FC12D11" w14:textId="77777777" w:rsidR="00171837" w:rsidRPr="00171837" w:rsidRDefault="00171837" w:rsidP="00171837">
            <w:pPr>
              <w:spacing w:after="0"/>
              <w:ind w:firstLineChars="100" w:firstLine="200"/>
              <w:jc w:val="left"/>
              <w:rPr>
                <w:rFonts w:eastAsia="Times New Roman" w:cs="Times New Roman"/>
                <w:sz w:val="20"/>
                <w:szCs w:val="20"/>
              </w:rPr>
            </w:pPr>
            <w:r w:rsidRPr="00171837">
              <w:rPr>
                <w:rFonts w:eastAsia="Times New Roman" w:cs="Times New Roman"/>
                <w:sz w:val="20"/>
                <w:szCs w:val="20"/>
              </w:rPr>
              <w:t>6. Private sector credit flow [1]</w:t>
            </w:r>
          </w:p>
        </w:tc>
        <w:tc>
          <w:tcPr>
            <w:tcW w:w="1702" w:type="dxa"/>
            <w:tcBorders>
              <w:top w:val="nil"/>
              <w:left w:val="nil"/>
              <w:bottom w:val="dotted" w:sz="4" w:space="0" w:color="auto"/>
              <w:right w:val="single" w:sz="8" w:space="0" w:color="auto"/>
            </w:tcBorders>
            <w:shd w:val="clear" w:color="000000" w:fill="FFFFFF"/>
            <w:hideMark/>
          </w:tcPr>
          <w:p w14:paraId="40EAB473" w14:textId="77777777" w:rsidR="00171837" w:rsidRPr="00171837" w:rsidRDefault="00171837" w:rsidP="00171837">
            <w:pPr>
              <w:spacing w:after="0"/>
              <w:jc w:val="center"/>
              <w:rPr>
                <w:rFonts w:eastAsia="Times New Roman" w:cs="Times New Roman"/>
                <w:sz w:val="18"/>
                <w:szCs w:val="18"/>
              </w:rPr>
            </w:pPr>
            <w:r w:rsidRPr="00171837">
              <w:rPr>
                <w:rFonts w:eastAsia="Times New Roman" w:cs="Times New Roman"/>
                <w:sz w:val="18"/>
                <w:szCs w:val="18"/>
              </w:rPr>
              <w:t>% of GDP</w:t>
            </w:r>
          </w:p>
        </w:tc>
        <w:tc>
          <w:tcPr>
            <w:tcW w:w="1576" w:type="dxa"/>
            <w:tcBorders>
              <w:top w:val="nil"/>
              <w:left w:val="nil"/>
              <w:bottom w:val="dotted" w:sz="4" w:space="0" w:color="auto"/>
              <w:right w:val="dotted" w:sz="4" w:space="0" w:color="auto"/>
            </w:tcBorders>
            <w:shd w:val="clear" w:color="000000" w:fill="FFFFFF"/>
            <w:vAlign w:val="center"/>
            <w:hideMark/>
          </w:tcPr>
          <w:p w14:paraId="0719805D"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2,5</w:t>
            </w:r>
          </w:p>
        </w:tc>
        <w:tc>
          <w:tcPr>
            <w:tcW w:w="1576" w:type="dxa"/>
            <w:tcBorders>
              <w:top w:val="nil"/>
              <w:left w:val="nil"/>
              <w:bottom w:val="dotted" w:sz="4" w:space="0" w:color="auto"/>
              <w:right w:val="dotted" w:sz="4" w:space="0" w:color="auto"/>
            </w:tcBorders>
            <w:shd w:val="clear" w:color="000000" w:fill="FFFFFF"/>
            <w:vAlign w:val="center"/>
            <w:hideMark/>
          </w:tcPr>
          <w:p w14:paraId="785E286E"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2,3</w:t>
            </w:r>
          </w:p>
        </w:tc>
        <w:tc>
          <w:tcPr>
            <w:tcW w:w="1576" w:type="dxa"/>
            <w:tcBorders>
              <w:top w:val="nil"/>
              <w:left w:val="nil"/>
              <w:bottom w:val="dotted" w:sz="4" w:space="0" w:color="auto"/>
              <w:right w:val="dotted" w:sz="4" w:space="0" w:color="auto"/>
            </w:tcBorders>
            <w:shd w:val="clear" w:color="000000" w:fill="FFFFFF"/>
            <w:vAlign w:val="center"/>
            <w:hideMark/>
          </w:tcPr>
          <w:p w14:paraId="4F41EA16"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1,4</w:t>
            </w:r>
          </w:p>
        </w:tc>
        <w:tc>
          <w:tcPr>
            <w:tcW w:w="1576" w:type="dxa"/>
            <w:tcBorders>
              <w:top w:val="nil"/>
              <w:left w:val="nil"/>
              <w:bottom w:val="dotted" w:sz="4" w:space="0" w:color="auto"/>
              <w:right w:val="dotted" w:sz="4" w:space="0" w:color="auto"/>
            </w:tcBorders>
            <w:shd w:val="clear" w:color="000000" w:fill="FFFFFF"/>
            <w:vAlign w:val="center"/>
            <w:hideMark/>
          </w:tcPr>
          <w:p w14:paraId="2EBE3E03"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0,4</w:t>
            </w:r>
          </w:p>
        </w:tc>
        <w:tc>
          <w:tcPr>
            <w:tcW w:w="1576" w:type="dxa"/>
            <w:tcBorders>
              <w:top w:val="nil"/>
              <w:left w:val="nil"/>
              <w:bottom w:val="dotted" w:sz="4" w:space="0" w:color="auto"/>
              <w:right w:val="double" w:sz="6" w:space="0" w:color="auto"/>
            </w:tcBorders>
            <w:shd w:val="clear" w:color="000000" w:fill="FFFFFF"/>
            <w:vAlign w:val="center"/>
            <w:hideMark/>
          </w:tcPr>
          <w:p w14:paraId="535DC1C5"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1,6</w:t>
            </w:r>
          </w:p>
        </w:tc>
      </w:tr>
      <w:tr w:rsidR="00171837" w:rsidRPr="00171837" w14:paraId="7BF466D0" w14:textId="77777777" w:rsidTr="00171837">
        <w:trPr>
          <w:trHeight w:val="326"/>
        </w:trPr>
        <w:tc>
          <w:tcPr>
            <w:tcW w:w="5635" w:type="dxa"/>
            <w:tcBorders>
              <w:top w:val="nil"/>
              <w:left w:val="double" w:sz="6" w:space="0" w:color="auto"/>
              <w:bottom w:val="dotted" w:sz="4" w:space="0" w:color="auto"/>
              <w:right w:val="dotted" w:sz="4" w:space="0" w:color="auto"/>
            </w:tcBorders>
            <w:shd w:val="clear" w:color="000000" w:fill="FFFFFF"/>
            <w:hideMark/>
          </w:tcPr>
          <w:p w14:paraId="6FCE26C7" w14:textId="77777777" w:rsidR="00171837" w:rsidRPr="00171837" w:rsidRDefault="00171837" w:rsidP="00171837">
            <w:pPr>
              <w:spacing w:after="0"/>
              <w:ind w:firstLineChars="100" w:firstLine="200"/>
              <w:jc w:val="left"/>
              <w:rPr>
                <w:rFonts w:eastAsia="Times New Roman" w:cs="Times New Roman"/>
                <w:sz w:val="20"/>
                <w:szCs w:val="20"/>
              </w:rPr>
            </w:pPr>
            <w:r w:rsidRPr="00171837">
              <w:rPr>
                <w:rFonts w:eastAsia="Times New Roman" w:cs="Times New Roman"/>
                <w:sz w:val="20"/>
                <w:szCs w:val="20"/>
              </w:rPr>
              <w:t>7. Private sector debt [2]</w:t>
            </w:r>
          </w:p>
        </w:tc>
        <w:tc>
          <w:tcPr>
            <w:tcW w:w="1702" w:type="dxa"/>
            <w:tcBorders>
              <w:top w:val="nil"/>
              <w:left w:val="nil"/>
              <w:bottom w:val="dotted" w:sz="4" w:space="0" w:color="auto"/>
              <w:right w:val="single" w:sz="8" w:space="0" w:color="auto"/>
            </w:tcBorders>
            <w:shd w:val="clear" w:color="000000" w:fill="FFFFFF"/>
            <w:hideMark/>
          </w:tcPr>
          <w:p w14:paraId="52B28BD0" w14:textId="77777777" w:rsidR="00171837" w:rsidRPr="00171837" w:rsidRDefault="00171837" w:rsidP="00171837">
            <w:pPr>
              <w:spacing w:after="0"/>
              <w:jc w:val="center"/>
              <w:rPr>
                <w:rFonts w:eastAsia="Times New Roman" w:cs="Times New Roman"/>
                <w:sz w:val="18"/>
                <w:szCs w:val="18"/>
              </w:rPr>
            </w:pPr>
            <w:r w:rsidRPr="00171837">
              <w:rPr>
                <w:rFonts w:eastAsia="Times New Roman" w:cs="Times New Roman"/>
                <w:sz w:val="18"/>
                <w:szCs w:val="18"/>
              </w:rPr>
              <w:t>% of GDP</w:t>
            </w:r>
          </w:p>
        </w:tc>
        <w:tc>
          <w:tcPr>
            <w:tcW w:w="1576" w:type="dxa"/>
            <w:tcBorders>
              <w:top w:val="nil"/>
              <w:left w:val="nil"/>
              <w:bottom w:val="dotted" w:sz="4" w:space="0" w:color="auto"/>
              <w:right w:val="dotted" w:sz="4" w:space="0" w:color="auto"/>
            </w:tcBorders>
            <w:shd w:val="clear" w:color="000000" w:fill="FFFFFF"/>
            <w:vAlign w:val="center"/>
            <w:hideMark/>
          </w:tcPr>
          <w:p w14:paraId="26AA9D94"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43,2</w:t>
            </w:r>
          </w:p>
        </w:tc>
        <w:tc>
          <w:tcPr>
            <w:tcW w:w="1576" w:type="dxa"/>
            <w:tcBorders>
              <w:top w:val="nil"/>
              <w:left w:val="nil"/>
              <w:bottom w:val="dotted" w:sz="4" w:space="0" w:color="auto"/>
              <w:right w:val="dotted" w:sz="4" w:space="0" w:color="auto"/>
            </w:tcBorders>
            <w:shd w:val="clear" w:color="000000" w:fill="FFFFFF"/>
            <w:vAlign w:val="center"/>
            <w:hideMark/>
          </w:tcPr>
          <w:p w14:paraId="7A6C09A2"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41,2</w:t>
            </w:r>
          </w:p>
        </w:tc>
        <w:tc>
          <w:tcPr>
            <w:tcW w:w="1576" w:type="dxa"/>
            <w:tcBorders>
              <w:top w:val="nil"/>
              <w:left w:val="nil"/>
              <w:bottom w:val="dotted" w:sz="4" w:space="0" w:color="auto"/>
              <w:right w:val="dotted" w:sz="4" w:space="0" w:color="auto"/>
            </w:tcBorders>
            <w:shd w:val="clear" w:color="000000" w:fill="FFFFFF"/>
            <w:vAlign w:val="center"/>
            <w:hideMark/>
          </w:tcPr>
          <w:p w14:paraId="1DBA8803"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38,2</w:t>
            </w:r>
          </w:p>
        </w:tc>
        <w:tc>
          <w:tcPr>
            <w:tcW w:w="1576" w:type="dxa"/>
            <w:tcBorders>
              <w:top w:val="nil"/>
              <w:left w:val="nil"/>
              <w:bottom w:val="dotted" w:sz="4" w:space="0" w:color="auto"/>
              <w:right w:val="dotted" w:sz="4" w:space="0" w:color="auto"/>
            </w:tcBorders>
            <w:shd w:val="clear" w:color="000000" w:fill="FFFFFF"/>
            <w:vAlign w:val="center"/>
            <w:hideMark/>
          </w:tcPr>
          <w:p w14:paraId="18008DD2"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32,9</w:t>
            </w:r>
          </w:p>
        </w:tc>
        <w:tc>
          <w:tcPr>
            <w:tcW w:w="1576" w:type="dxa"/>
            <w:tcBorders>
              <w:top w:val="nil"/>
              <w:left w:val="nil"/>
              <w:bottom w:val="dotted" w:sz="4" w:space="0" w:color="auto"/>
              <w:right w:val="double" w:sz="6" w:space="0" w:color="auto"/>
            </w:tcBorders>
            <w:shd w:val="clear" w:color="000000" w:fill="FFFFFF"/>
            <w:vAlign w:val="center"/>
            <w:hideMark/>
          </w:tcPr>
          <w:p w14:paraId="684D63A4"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32,2</w:t>
            </w:r>
          </w:p>
        </w:tc>
      </w:tr>
      <w:tr w:rsidR="00171837" w:rsidRPr="00171837" w14:paraId="77716D8E" w14:textId="77777777" w:rsidTr="00171837">
        <w:trPr>
          <w:trHeight w:val="326"/>
        </w:trPr>
        <w:tc>
          <w:tcPr>
            <w:tcW w:w="5635" w:type="dxa"/>
            <w:tcBorders>
              <w:top w:val="nil"/>
              <w:left w:val="double" w:sz="6" w:space="0" w:color="auto"/>
              <w:bottom w:val="double" w:sz="6" w:space="0" w:color="auto"/>
              <w:right w:val="dotted" w:sz="4" w:space="0" w:color="auto"/>
            </w:tcBorders>
            <w:shd w:val="clear" w:color="000000" w:fill="FFFFFF"/>
            <w:hideMark/>
          </w:tcPr>
          <w:p w14:paraId="6A192A67" w14:textId="77777777" w:rsidR="00171837" w:rsidRPr="00171837" w:rsidRDefault="00171837" w:rsidP="00171837">
            <w:pPr>
              <w:spacing w:after="0"/>
              <w:ind w:firstLineChars="100" w:firstLine="200"/>
              <w:jc w:val="left"/>
              <w:rPr>
                <w:rFonts w:eastAsia="Times New Roman" w:cs="Times New Roman"/>
                <w:sz w:val="20"/>
                <w:szCs w:val="20"/>
              </w:rPr>
            </w:pPr>
            <w:r w:rsidRPr="00171837">
              <w:rPr>
                <w:rFonts w:eastAsia="Times New Roman" w:cs="Times New Roman"/>
                <w:sz w:val="20"/>
                <w:szCs w:val="20"/>
              </w:rPr>
              <w:t>8. General Government Debt</w:t>
            </w:r>
          </w:p>
        </w:tc>
        <w:tc>
          <w:tcPr>
            <w:tcW w:w="1702" w:type="dxa"/>
            <w:tcBorders>
              <w:top w:val="nil"/>
              <w:left w:val="nil"/>
              <w:bottom w:val="double" w:sz="6" w:space="0" w:color="auto"/>
              <w:right w:val="single" w:sz="8" w:space="0" w:color="auto"/>
            </w:tcBorders>
            <w:shd w:val="clear" w:color="000000" w:fill="FFFFFF"/>
            <w:hideMark/>
          </w:tcPr>
          <w:p w14:paraId="627CA089" w14:textId="77777777" w:rsidR="00171837" w:rsidRPr="00171837" w:rsidRDefault="00171837" w:rsidP="00171837">
            <w:pPr>
              <w:spacing w:after="0"/>
              <w:jc w:val="center"/>
              <w:rPr>
                <w:rFonts w:eastAsia="Times New Roman" w:cs="Times New Roman"/>
                <w:sz w:val="18"/>
                <w:szCs w:val="18"/>
              </w:rPr>
            </w:pPr>
            <w:r w:rsidRPr="00171837">
              <w:rPr>
                <w:rFonts w:eastAsia="Times New Roman" w:cs="Times New Roman"/>
                <w:sz w:val="18"/>
                <w:szCs w:val="18"/>
              </w:rPr>
              <w:t>% of GDP</w:t>
            </w:r>
          </w:p>
        </w:tc>
        <w:tc>
          <w:tcPr>
            <w:tcW w:w="1576" w:type="dxa"/>
            <w:tcBorders>
              <w:top w:val="nil"/>
              <w:left w:val="nil"/>
              <w:bottom w:val="double" w:sz="6" w:space="0" w:color="auto"/>
              <w:right w:val="dotted" w:sz="4" w:space="0" w:color="auto"/>
            </w:tcBorders>
            <w:shd w:val="clear" w:color="000000" w:fill="FFFFFF"/>
            <w:vAlign w:val="center"/>
            <w:hideMark/>
          </w:tcPr>
          <w:p w14:paraId="62278FEB"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55,2</w:t>
            </w:r>
          </w:p>
        </w:tc>
        <w:tc>
          <w:tcPr>
            <w:tcW w:w="1576" w:type="dxa"/>
            <w:tcBorders>
              <w:top w:val="nil"/>
              <w:left w:val="nil"/>
              <w:bottom w:val="double" w:sz="6" w:space="0" w:color="auto"/>
              <w:right w:val="dotted" w:sz="4" w:space="0" w:color="auto"/>
            </w:tcBorders>
            <w:shd w:val="clear" w:color="000000" w:fill="FFFFFF"/>
            <w:vAlign w:val="center"/>
            <w:hideMark/>
          </w:tcPr>
          <w:p w14:paraId="22C916A5"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54,5</w:t>
            </w:r>
          </w:p>
        </w:tc>
        <w:tc>
          <w:tcPr>
            <w:tcW w:w="1576" w:type="dxa"/>
            <w:tcBorders>
              <w:top w:val="nil"/>
              <w:left w:val="nil"/>
              <w:bottom w:val="double" w:sz="6" w:space="0" w:color="auto"/>
              <w:right w:val="dotted" w:sz="4" w:space="0" w:color="auto"/>
            </w:tcBorders>
            <w:shd w:val="clear" w:color="auto" w:fill="auto"/>
            <w:vAlign w:val="center"/>
            <w:hideMark/>
          </w:tcPr>
          <w:p w14:paraId="17767D7A"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52,9</w:t>
            </w:r>
          </w:p>
        </w:tc>
        <w:tc>
          <w:tcPr>
            <w:tcW w:w="1576" w:type="dxa"/>
            <w:tcBorders>
              <w:top w:val="nil"/>
              <w:left w:val="nil"/>
              <w:bottom w:val="double" w:sz="6" w:space="0" w:color="auto"/>
              <w:right w:val="dotted" w:sz="4" w:space="0" w:color="auto"/>
            </w:tcBorders>
            <w:shd w:val="clear" w:color="auto" w:fill="auto"/>
            <w:vAlign w:val="center"/>
            <w:hideMark/>
          </w:tcPr>
          <w:p w14:paraId="37B87A60"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48,4</w:t>
            </w:r>
          </w:p>
        </w:tc>
        <w:tc>
          <w:tcPr>
            <w:tcW w:w="1576" w:type="dxa"/>
            <w:tcBorders>
              <w:top w:val="nil"/>
              <w:left w:val="nil"/>
              <w:bottom w:val="double" w:sz="6" w:space="0" w:color="auto"/>
              <w:right w:val="double" w:sz="6" w:space="0" w:color="auto"/>
            </w:tcBorders>
            <w:shd w:val="clear" w:color="auto" w:fill="auto"/>
            <w:vAlign w:val="center"/>
            <w:hideMark/>
          </w:tcPr>
          <w:p w14:paraId="3B3B9289" w14:textId="77777777" w:rsidR="00171837" w:rsidRPr="00171837" w:rsidRDefault="00171837" w:rsidP="00171837">
            <w:pPr>
              <w:spacing w:after="0"/>
              <w:jc w:val="right"/>
              <w:rPr>
                <w:rFonts w:eastAsia="Times New Roman" w:cs="Times New Roman"/>
                <w:sz w:val="20"/>
                <w:szCs w:val="20"/>
              </w:rPr>
            </w:pPr>
            <w:r w:rsidRPr="00171837">
              <w:rPr>
                <w:rFonts w:eastAsia="Times New Roman" w:cs="Times New Roman"/>
                <w:sz w:val="20"/>
                <w:szCs w:val="20"/>
              </w:rPr>
              <w:t>47,9</w:t>
            </w:r>
          </w:p>
        </w:tc>
      </w:tr>
    </w:tbl>
    <w:p w14:paraId="4C7E16BD" w14:textId="77777777" w:rsidR="00171837" w:rsidRDefault="00171837">
      <w:pPr>
        <w:spacing w:after="160" w:line="259" w:lineRule="auto"/>
        <w:jc w:val="left"/>
      </w:pPr>
      <w:r>
        <w:fldChar w:fldCharType="end"/>
      </w:r>
    </w:p>
    <w:tbl>
      <w:tblPr>
        <w:tblW w:w="3660" w:type="dxa"/>
        <w:tblLook w:val="04A0" w:firstRow="1" w:lastRow="0" w:firstColumn="1" w:lastColumn="0" w:noHBand="0" w:noVBand="1"/>
      </w:tblPr>
      <w:tblGrid>
        <w:gridCol w:w="3660"/>
      </w:tblGrid>
      <w:tr w:rsidR="00171837" w:rsidRPr="00171837" w14:paraId="50DCADB2" w14:textId="77777777" w:rsidTr="00171837">
        <w:trPr>
          <w:trHeight w:val="320"/>
        </w:trPr>
        <w:tc>
          <w:tcPr>
            <w:tcW w:w="3660" w:type="dxa"/>
            <w:tcBorders>
              <w:top w:val="nil"/>
              <w:left w:val="nil"/>
              <w:bottom w:val="nil"/>
              <w:right w:val="nil"/>
            </w:tcBorders>
            <w:shd w:val="clear" w:color="000000" w:fill="FFFFFF"/>
            <w:noWrap/>
            <w:vAlign w:val="bottom"/>
            <w:hideMark/>
          </w:tcPr>
          <w:p w14:paraId="374E45E8" w14:textId="77777777" w:rsidR="00171837" w:rsidRPr="00171837" w:rsidRDefault="00171837" w:rsidP="00171837">
            <w:pPr>
              <w:spacing w:after="0"/>
              <w:jc w:val="left"/>
              <w:rPr>
                <w:rFonts w:eastAsia="Times New Roman" w:cs="Times New Roman"/>
                <w:sz w:val="20"/>
                <w:szCs w:val="20"/>
              </w:rPr>
            </w:pPr>
            <w:r w:rsidRPr="00171837">
              <w:rPr>
                <w:rFonts w:eastAsia="Times New Roman" w:cs="Times New Roman"/>
                <w:sz w:val="20"/>
                <w:szCs w:val="20"/>
              </w:rPr>
              <w:t>[1] January - September</w:t>
            </w:r>
          </w:p>
        </w:tc>
      </w:tr>
      <w:tr w:rsidR="00171837" w:rsidRPr="00171837" w14:paraId="544B134A" w14:textId="77777777" w:rsidTr="00171837">
        <w:trPr>
          <w:trHeight w:val="300"/>
        </w:trPr>
        <w:tc>
          <w:tcPr>
            <w:tcW w:w="3660" w:type="dxa"/>
            <w:tcBorders>
              <w:top w:val="nil"/>
              <w:left w:val="nil"/>
              <w:bottom w:val="nil"/>
              <w:right w:val="nil"/>
            </w:tcBorders>
            <w:shd w:val="clear" w:color="000000" w:fill="FFFFFF"/>
            <w:noWrap/>
            <w:vAlign w:val="bottom"/>
            <w:hideMark/>
          </w:tcPr>
          <w:p w14:paraId="3D006C64" w14:textId="77777777" w:rsidR="00171837" w:rsidRPr="00171837" w:rsidRDefault="00171837" w:rsidP="00171837">
            <w:pPr>
              <w:spacing w:after="0"/>
              <w:jc w:val="left"/>
              <w:rPr>
                <w:rFonts w:eastAsia="Times New Roman" w:cs="Times New Roman"/>
                <w:sz w:val="20"/>
                <w:szCs w:val="20"/>
              </w:rPr>
            </w:pPr>
            <w:r w:rsidRPr="00171837">
              <w:rPr>
                <w:rFonts w:eastAsia="Times New Roman" w:cs="Times New Roman"/>
                <w:sz w:val="20"/>
                <w:szCs w:val="20"/>
              </w:rPr>
              <w:t>[2] end - September</w:t>
            </w:r>
          </w:p>
        </w:tc>
      </w:tr>
    </w:tbl>
    <w:p w14:paraId="636BD646" w14:textId="77777777" w:rsidR="00C71AF4" w:rsidRDefault="00C71AF4">
      <w:pPr>
        <w:spacing w:after="160" w:line="259" w:lineRule="auto"/>
        <w:jc w:val="left"/>
      </w:pPr>
    </w:p>
    <w:p w14:paraId="433E260B" w14:textId="77777777" w:rsidR="00C71AF4" w:rsidRDefault="00C71AF4">
      <w:pPr>
        <w:spacing w:after="160" w:line="259" w:lineRule="auto"/>
        <w:jc w:val="left"/>
      </w:pPr>
      <w:r>
        <w:br w:type="page"/>
      </w:r>
    </w:p>
    <w:p w14:paraId="45E183F4" w14:textId="77777777" w:rsidR="00C71AF4" w:rsidRDefault="00C71AF4">
      <w:pPr>
        <w:spacing w:after="160" w:line="259" w:lineRule="auto"/>
        <w:jc w:val="left"/>
      </w:pPr>
      <w:r w:rsidRPr="00C71AF4">
        <w:lastRenderedPageBreak/>
        <w:t>Table 2a + 2b:  General government budgetary prospects</w:t>
      </w:r>
    </w:p>
    <w:p w14:paraId="0C06DB38" w14:textId="6D7D29BC" w:rsidR="00C71AF4" w:rsidRDefault="00C71AF4">
      <w:pPr>
        <w:spacing w:after="160" w:line="259" w:lineRule="auto"/>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data!R114C2:R137C10 </w:instrText>
      </w:r>
      <w:r>
        <w:instrText xml:space="preserve">\a \f 4 \h  \* MERGEFORMAT </w:instrText>
      </w:r>
      <w:r>
        <w:fldChar w:fldCharType="separate"/>
      </w:r>
    </w:p>
    <w:tbl>
      <w:tblPr>
        <w:tblW w:w="16101" w:type="dxa"/>
        <w:tblLook w:val="04A0" w:firstRow="1" w:lastRow="0" w:firstColumn="1" w:lastColumn="0" w:noHBand="0" w:noVBand="1"/>
      </w:tblPr>
      <w:tblGrid>
        <w:gridCol w:w="5419"/>
        <w:gridCol w:w="1356"/>
        <w:gridCol w:w="1412"/>
        <w:gridCol w:w="1300"/>
        <w:gridCol w:w="1356"/>
        <w:gridCol w:w="1375"/>
        <w:gridCol w:w="1375"/>
        <w:gridCol w:w="1375"/>
        <w:gridCol w:w="1133"/>
      </w:tblGrid>
      <w:tr w:rsidR="00C71AF4" w:rsidRPr="00C71AF4" w14:paraId="3657CF82" w14:textId="77777777" w:rsidTr="00C71AF4">
        <w:trPr>
          <w:trHeight w:val="252"/>
        </w:trPr>
        <w:tc>
          <w:tcPr>
            <w:tcW w:w="5419" w:type="dxa"/>
            <w:tcBorders>
              <w:top w:val="double" w:sz="6" w:space="0" w:color="auto"/>
              <w:left w:val="double" w:sz="6" w:space="0" w:color="auto"/>
              <w:bottom w:val="double" w:sz="6" w:space="0" w:color="auto"/>
              <w:right w:val="nil"/>
            </w:tcBorders>
            <w:shd w:val="clear" w:color="auto" w:fill="auto"/>
            <w:noWrap/>
            <w:vAlign w:val="center"/>
            <w:hideMark/>
          </w:tcPr>
          <w:p w14:paraId="2517AE5B" w14:textId="4D011F32" w:rsidR="00C71AF4" w:rsidRPr="00C71AF4" w:rsidRDefault="00C71AF4" w:rsidP="00C71AF4">
            <w:pPr>
              <w:spacing w:after="0"/>
              <w:jc w:val="left"/>
              <w:rPr>
                <w:rFonts w:eastAsia="Times New Roman" w:cs="Times New Roman"/>
                <w:b/>
                <w:bCs/>
                <w:sz w:val="20"/>
                <w:szCs w:val="20"/>
              </w:rPr>
            </w:pPr>
          </w:p>
        </w:tc>
        <w:tc>
          <w:tcPr>
            <w:tcW w:w="1356"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1888A3EA" w14:textId="77777777" w:rsidR="00C71AF4" w:rsidRPr="00C71AF4" w:rsidRDefault="00C71AF4" w:rsidP="00C71AF4">
            <w:pPr>
              <w:spacing w:after="0"/>
              <w:jc w:val="center"/>
              <w:rPr>
                <w:rFonts w:eastAsia="Times New Roman" w:cs="Times New Roman"/>
                <w:b/>
                <w:bCs/>
                <w:sz w:val="20"/>
                <w:szCs w:val="20"/>
              </w:rPr>
            </w:pPr>
            <w:r w:rsidRPr="00C71AF4">
              <w:rPr>
                <w:rFonts w:eastAsia="Times New Roman" w:cs="Times New Roman"/>
                <w:b/>
                <w:bCs/>
                <w:sz w:val="20"/>
                <w:szCs w:val="20"/>
              </w:rPr>
              <w:t>bn NCU</w:t>
            </w:r>
          </w:p>
        </w:tc>
        <w:tc>
          <w:tcPr>
            <w:tcW w:w="1412" w:type="dxa"/>
            <w:tcBorders>
              <w:top w:val="double" w:sz="6" w:space="0" w:color="auto"/>
              <w:left w:val="nil"/>
              <w:bottom w:val="double" w:sz="6" w:space="0" w:color="auto"/>
              <w:right w:val="dashed" w:sz="4" w:space="0" w:color="auto"/>
            </w:tcBorders>
            <w:shd w:val="clear" w:color="auto" w:fill="auto"/>
            <w:noWrap/>
            <w:vAlign w:val="center"/>
            <w:hideMark/>
          </w:tcPr>
          <w:p w14:paraId="4D050D17"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2022</w:t>
            </w:r>
          </w:p>
        </w:tc>
        <w:tc>
          <w:tcPr>
            <w:tcW w:w="1300" w:type="dxa"/>
            <w:tcBorders>
              <w:top w:val="double" w:sz="6" w:space="0" w:color="auto"/>
              <w:left w:val="nil"/>
              <w:bottom w:val="double" w:sz="6" w:space="0" w:color="auto"/>
              <w:right w:val="dashed" w:sz="4" w:space="0" w:color="auto"/>
            </w:tcBorders>
            <w:shd w:val="clear" w:color="auto" w:fill="auto"/>
            <w:noWrap/>
            <w:vAlign w:val="center"/>
            <w:hideMark/>
          </w:tcPr>
          <w:p w14:paraId="55D41753"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2023</w:t>
            </w:r>
          </w:p>
        </w:tc>
        <w:tc>
          <w:tcPr>
            <w:tcW w:w="1356" w:type="dxa"/>
            <w:tcBorders>
              <w:top w:val="double" w:sz="6" w:space="0" w:color="auto"/>
              <w:left w:val="nil"/>
              <w:bottom w:val="double" w:sz="6" w:space="0" w:color="auto"/>
              <w:right w:val="dashed" w:sz="4" w:space="0" w:color="auto"/>
            </w:tcBorders>
            <w:shd w:val="clear" w:color="auto" w:fill="auto"/>
            <w:noWrap/>
            <w:vAlign w:val="center"/>
            <w:hideMark/>
          </w:tcPr>
          <w:p w14:paraId="448FC18A"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2024</w:t>
            </w:r>
          </w:p>
        </w:tc>
        <w:tc>
          <w:tcPr>
            <w:tcW w:w="1375" w:type="dxa"/>
            <w:tcBorders>
              <w:top w:val="double" w:sz="6" w:space="0" w:color="auto"/>
              <w:left w:val="nil"/>
              <w:bottom w:val="double" w:sz="6" w:space="0" w:color="auto"/>
              <w:right w:val="dashed" w:sz="4" w:space="0" w:color="auto"/>
            </w:tcBorders>
            <w:shd w:val="clear" w:color="auto" w:fill="auto"/>
            <w:noWrap/>
            <w:vAlign w:val="center"/>
            <w:hideMark/>
          </w:tcPr>
          <w:p w14:paraId="5A00A4AC"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2025</w:t>
            </w:r>
          </w:p>
        </w:tc>
        <w:tc>
          <w:tcPr>
            <w:tcW w:w="1375" w:type="dxa"/>
            <w:tcBorders>
              <w:top w:val="double" w:sz="6" w:space="0" w:color="auto"/>
              <w:left w:val="nil"/>
              <w:bottom w:val="double" w:sz="6" w:space="0" w:color="auto"/>
              <w:right w:val="dashed" w:sz="4" w:space="0" w:color="auto"/>
            </w:tcBorders>
            <w:shd w:val="clear" w:color="auto" w:fill="auto"/>
            <w:noWrap/>
            <w:vAlign w:val="center"/>
            <w:hideMark/>
          </w:tcPr>
          <w:p w14:paraId="65BA36A5"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2026</w:t>
            </w:r>
          </w:p>
        </w:tc>
        <w:tc>
          <w:tcPr>
            <w:tcW w:w="1375" w:type="dxa"/>
            <w:tcBorders>
              <w:top w:val="double" w:sz="6" w:space="0" w:color="auto"/>
              <w:left w:val="nil"/>
              <w:bottom w:val="double" w:sz="6" w:space="0" w:color="auto"/>
              <w:right w:val="double" w:sz="6" w:space="0" w:color="auto"/>
            </w:tcBorders>
            <w:shd w:val="clear" w:color="auto" w:fill="auto"/>
            <w:noWrap/>
            <w:vAlign w:val="center"/>
            <w:hideMark/>
          </w:tcPr>
          <w:p w14:paraId="33CF41D1"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2027</w:t>
            </w:r>
          </w:p>
        </w:tc>
        <w:tc>
          <w:tcPr>
            <w:tcW w:w="1133" w:type="dxa"/>
            <w:tcBorders>
              <w:top w:val="nil"/>
              <w:left w:val="nil"/>
              <w:bottom w:val="nil"/>
              <w:right w:val="nil"/>
            </w:tcBorders>
            <w:shd w:val="clear" w:color="auto" w:fill="auto"/>
            <w:noWrap/>
            <w:vAlign w:val="bottom"/>
            <w:hideMark/>
          </w:tcPr>
          <w:p w14:paraId="311CBBA7"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23D2AD08" w14:textId="77777777" w:rsidTr="00C71AF4">
        <w:trPr>
          <w:trHeight w:val="244"/>
        </w:trPr>
        <w:tc>
          <w:tcPr>
            <w:tcW w:w="5419" w:type="dxa"/>
            <w:tcBorders>
              <w:top w:val="nil"/>
              <w:left w:val="double" w:sz="6" w:space="0" w:color="auto"/>
              <w:bottom w:val="single" w:sz="4" w:space="0" w:color="auto"/>
              <w:right w:val="nil"/>
            </w:tcBorders>
            <w:shd w:val="clear" w:color="auto" w:fill="auto"/>
            <w:vAlign w:val="center"/>
            <w:hideMark/>
          </w:tcPr>
          <w:p w14:paraId="61C07FE6" w14:textId="77777777" w:rsidR="00C71AF4" w:rsidRPr="00C71AF4" w:rsidRDefault="00C71AF4" w:rsidP="00C71AF4">
            <w:pPr>
              <w:spacing w:after="0"/>
              <w:jc w:val="left"/>
              <w:rPr>
                <w:rFonts w:eastAsia="Times New Roman" w:cs="Times New Roman"/>
                <w:b/>
                <w:bCs/>
                <w:sz w:val="20"/>
                <w:szCs w:val="20"/>
              </w:rPr>
            </w:pPr>
            <w:r w:rsidRPr="00C71AF4">
              <w:rPr>
                <w:rFonts w:eastAsia="Times New Roman" w:cs="Times New Roman"/>
                <w:b/>
                <w:bCs/>
                <w:sz w:val="20"/>
                <w:szCs w:val="20"/>
              </w:rPr>
              <w:t>Net lending (B9) by sub-sectors</w:t>
            </w:r>
          </w:p>
        </w:tc>
        <w:tc>
          <w:tcPr>
            <w:tcW w:w="1356" w:type="dxa"/>
            <w:tcBorders>
              <w:top w:val="nil"/>
              <w:left w:val="single" w:sz="8" w:space="0" w:color="auto"/>
              <w:bottom w:val="single" w:sz="4" w:space="0" w:color="auto"/>
              <w:right w:val="single" w:sz="8" w:space="0" w:color="auto"/>
            </w:tcBorders>
            <w:shd w:val="clear" w:color="auto" w:fill="auto"/>
            <w:vAlign w:val="center"/>
            <w:hideMark/>
          </w:tcPr>
          <w:p w14:paraId="30F773F2" w14:textId="77777777" w:rsidR="00C71AF4" w:rsidRPr="00C71AF4" w:rsidRDefault="00C71AF4" w:rsidP="00C71AF4">
            <w:pPr>
              <w:spacing w:after="0"/>
              <w:jc w:val="center"/>
              <w:rPr>
                <w:rFonts w:eastAsia="Times New Roman" w:cs="Times New Roman"/>
                <w:b/>
                <w:bCs/>
                <w:sz w:val="20"/>
                <w:szCs w:val="20"/>
              </w:rPr>
            </w:pPr>
            <w:r w:rsidRPr="00C71AF4">
              <w:rPr>
                <w:rFonts w:eastAsia="Times New Roman" w:cs="Times New Roman"/>
                <w:b/>
                <w:bCs/>
                <w:sz w:val="20"/>
                <w:szCs w:val="20"/>
              </w:rPr>
              <w:t> </w:t>
            </w:r>
          </w:p>
        </w:tc>
        <w:tc>
          <w:tcPr>
            <w:tcW w:w="1412" w:type="dxa"/>
            <w:tcBorders>
              <w:top w:val="nil"/>
              <w:left w:val="nil"/>
              <w:bottom w:val="single" w:sz="4" w:space="0" w:color="auto"/>
              <w:right w:val="nil"/>
            </w:tcBorders>
            <w:shd w:val="clear" w:color="auto" w:fill="auto"/>
            <w:vAlign w:val="center"/>
            <w:hideMark/>
          </w:tcPr>
          <w:p w14:paraId="2027D924"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00" w:type="dxa"/>
            <w:tcBorders>
              <w:top w:val="nil"/>
              <w:left w:val="nil"/>
              <w:bottom w:val="single" w:sz="4" w:space="0" w:color="auto"/>
              <w:right w:val="nil"/>
            </w:tcBorders>
            <w:shd w:val="clear" w:color="auto" w:fill="auto"/>
            <w:vAlign w:val="center"/>
            <w:hideMark/>
          </w:tcPr>
          <w:p w14:paraId="33C205D5"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56" w:type="dxa"/>
            <w:tcBorders>
              <w:top w:val="nil"/>
              <w:left w:val="nil"/>
              <w:bottom w:val="single" w:sz="4" w:space="0" w:color="auto"/>
              <w:right w:val="nil"/>
            </w:tcBorders>
            <w:shd w:val="clear" w:color="auto" w:fill="auto"/>
            <w:vAlign w:val="center"/>
            <w:hideMark/>
          </w:tcPr>
          <w:p w14:paraId="3566885B"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75" w:type="dxa"/>
            <w:tcBorders>
              <w:top w:val="nil"/>
              <w:left w:val="nil"/>
              <w:bottom w:val="single" w:sz="4" w:space="0" w:color="auto"/>
              <w:right w:val="nil"/>
            </w:tcBorders>
            <w:shd w:val="clear" w:color="auto" w:fill="auto"/>
            <w:vAlign w:val="center"/>
            <w:hideMark/>
          </w:tcPr>
          <w:p w14:paraId="3989EBF1"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75" w:type="dxa"/>
            <w:tcBorders>
              <w:top w:val="nil"/>
              <w:left w:val="nil"/>
              <w:bottom w:val="single" w:sz="4" w:space="0" w:color="auto"/>
              <w:right w:val="nil"/>
            </w:tcBorders>
            <w:shd w:val="clear" w:color="auto" w:fill="auto"/>
            <w:vAlign w:val="center"/>
            <w:hideMark/>
          </w:tcPr>
          <w:p w14:paraId="7B2D5111"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75" w:type="dxa"/>
            <w:tcBorders>
              <w:top w:val="nil"/>
              <w:left w:val="nil"/>
              <w:bottom w:val="single" w:sz="4" w:space="0" w:color="auto"/>
              <w:right w:val="double" w:sz="6" w:space="0" w:color="auto"/>
            </w:tcBorders>
            <w:shd w:val="clear" w:color="auto" w:fill="auto"/>
            <w:vAlign w:val="center"/>
            <w:hideMark/>
          </w:tcPr>
          <w:p w14:paraId="148BF52F"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133" w:type="dxa"/>
            <w:tcBorders>
              <w:top w:val="nil"/>
              <w:left w:val="nil"/>
              <w:bottom w:val="nil"/>
              <w:right w:val="nil"/>
            </w:tcBorders>
            <w:shd w:val="clear" w:color="auto" w:fill="auto"/>
            <w:noWrap/>
            <w:vAlign w:val="bottom"/>
            <w:hideMark/>
          </w:tcPr>
          <w:p w14:paraId="5849D73A"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2FB80FCD" w14:textId="77777777" w:rsidTr="00C71AF4">
        <w:trPr>
          <w:trHeight w:val="244"/>
        </w:trPr>
        <w:tc>
          <w:tcPr>
            <w:tcW w:w="5419" w:type="dxa"/>
            <w:tcBorders>
              <w:top w:val="nil"/>
              <w:left w:val="double" w:sz="6" w:space="0" w:color="auto"/>
              <w:bottom w:val="dotted" w:sz="4" w:space="0" w:color="auto"/>
              <w:right w:val="nil"/>
            </w:tcBorders>
            <w:shd w:val="clear" w:color="auto" w:fill="auto"/>
            <w:vAlign w:val="center"/>
            <w:hideMark/>
          </w:tcPr>
          <w:p w14:paraId="6444C107"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 xml:space="preserve">1. General government </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3CAE216E"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S13</w:t>
            </w:r>
          </w:p>
        </w:tc>
        <w:tc>
          <w:tcPr>
            <w:tcW w:w="1412" w:type="dxa"/>
            <w:tcBorders>
              <w:top w:val="nil"/>
              <w:left w:val="nil"/>
              <w:bottom w:val="dotted" w:sz="4" w:space="0" w:color="auto"/>
              <w:right w:val="dotted" w:sz="4" w:space="0" w:color="auto"/>
            </w:tcBorders>
            <w:shd w:val="clear" w:color="auto" w:fill="auto"/>
            <w:vAlign w:val="center"/>
            <w:hideMark/>
          </w:tcPr>
          <w:p w14:paraId="7F454469"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-224,8</w:t>
            </w:r>
          </w:p>
        </w:tc>
        <w:tc>
          <w:tcPr>
            <w:tcW w:w="1300" w:type="dxa"/>
            <w:tcBorders>
              <w:top w:val="nil"/>
              <w:left w:val="nil"/>
              <w:bottom w:val="dotted" w:sz="4" w:space="0" w:color="auto"/>
              <w:right w:val="dotted" w:sz="4" w:space="0" w:color="auto"/>
            </w:tcBorders>
            <w:shd w:val="clear" w:color="auto" w:fill="auto"/>
            <w:vAlign w:val="center"/>
            <w:hideMark/>
          </w:tcPr>
          <w:p w14:paraId="1F5E6CFA"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-181,1</w:t>
            </w:r>
          </w:p>
        </w:tc>
        <w:tc>
          <w:tcPr>
            <w:tcW w:w="1356" w:type="dxa"/>
            <w:tcBorders>
              <w:top w:val="nil"/>
              <w:left w:val="nil"/>
              <w:bottom w:val="dotted" w:sz="4" w:space="0" w:color="auto"/>
              <w:right w:val="dotted" w:sz="4" w:space="0" w:color="auto"/>
            </w:tcBorders>
            <w:shd w:val="clear" w:color="auto" w:fill="auto"/>
            <w:vAlign w:val="center"/>
            <w:hideMark/>
          </w:tcPr>
          <w:p w14:paraId="04877DFA"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-263,0</w:t>
            </w:r>
          </w:p>
        </w:tc>
        <w:tc>
          <w:tcPr>
            <w:tcW w:w="1375" w:type="dxa"/>
            <w:tcBorders>
              <w:top w:val="nil"/>
              <w:left w:val="nil"/>
              <w:bottom w:val="dotted" w:sz="4" w:space="0" w:color="auto"/>
              <w:right w:val="dotted" w:sz="4" w:space="0" w:color="auto"/>
            </w:tcBorders>
            <w:shd w:val="clear" w:color="auto" w:fill="auto"/>
            <w:vAlign w:val="center"/>
            <w:hideMark/>
          </w:tcPr>
          <w:p w14:paraId="5CF89A6A"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-314,0</w:t>
            </w:r>
          </w:p>
        </w:tc>
        <w:tc>
          <w:tcPr>
            <w:tcW w:w="1375" w:type="dxa"/>
            <w:tcBorders>
              <w:top w:val="nil"/>
              <w:left w:val="nil"/>
              <w:bottom w:val="dotted" w:sz="4" w:space="0" w:color="auto"/>
              <w:right w:val="dotted" w:sz="4" w:space="0" w:color="auto"/>
            </w:tcBorders>
            <w:shd w:val="clear" w:color="auto" w:fill="auto"/>
            <w:vAlign w:val="center"/>
            <w:hideMark/>
          </w:tcPr>
          <w:p w14:paraId="4848AFFF"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-336,0</w:t>
            </w:r>
          </w:p>
        </w:tc>
        <w:tc>
          <w:tcPr>
            <w:tcW w:w="1375" w:type="dxa"/>
            <w:tcBorders>
              <w:top w:val="nil"/>
              <w:left w:val="nil"/>
              <w:bottom w:val="dotted" w:sz="4" w:space="0" w:color="auto"/>
              <w:right w:val="double" w:sz="6" w:space="0" w:color="auto"/>
            </w:tcBorders>
            <w:shd w:val="clear" w:color="auto" w:fill="auto"/>
            <w:vAlign w:val="center"/>
            <w:hideMark/>
          </w:tcPr>
          <w:p w14:paraId="27949B29"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-360,0</w:t>
            </w:r>
          </w:p>
        </w:tc>
        <w:tc>
          <w:tcPr>
            <w:tcW w:w="1133" w:type="dxa"/>
            <w:tcBorders>
              <w:top w:val="nil"/>
              <w:left w:val="nil"/>
              <w:bottom w:val="nil"/>
              <w:right w:val="nil"/>
            </w:tcBorders>
            <w:shd w:val="clear" w:color="auto" w:fill="auto"/>
            <w:noWrap/>
            <w:vAlign w:val="bottom"/>
            <w:hideMark/>
          </w:tcPr>
          <w:p w14:paraId="0B113F5A"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168406EA" w14:textId="77777777" w:rsidTr="00C71AF4">
        <w:trPr>
          <w:trHeight w:val="244"/>
        </w:trPr>
        <w:tc>
          <w:tcPr>
            <w:tcW w:w="5419" w:type="dxa"/>
            <w:tcBorders>
              <w:top w:val="nil"/>
              <w:left w:val="double" w:sz="6" w:space="0" w:color="auto"/>
              <w:bottom w:val="dotted" w:sz="4" w:space="0" w:color="auto"/>
              <w:right w:val="nil"/>
            </w:tcBorders>
            <w:shd w:val="clear" w:color="auto" w:fill="auto"/>
            <w:vAlign w:val="center"/>
            <w:hideMark/>
          </w:tcPr>
          <w:p w14:paraId="4342F67A"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2. Central government</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7AF67956"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S1311</w:t>
            </w:r>
          </w:p>
        </w:tc>
        <w:tc>
          <w:tcPr>
            <w:tcW w:w="1412" w:type="dxa"/>
            <w:tcBorders>
              <w:top w:val="nil"/>
              <w:left w:val="nil"/>
              <w:bottom w:val="dotted" w:sz="4" w:space="0" w:color="auto"/>
              <w:right w:val="dotted" w:sz="4" w:space="0" w:color="auto"/>
            </w:tcBorders>
            <w:shd w:val="clear" w:color="auto" w:fill="auto"/>
            <w:vAlign w:val="center"/>
            <w:hideMark/>
          </w:tcPr>
          <w:p w14:paraId="5C99E255"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-233,4</w:t>
            </w:r>
          </w:p>
        </w:tc>
        <w:tc>
          <w:tcPr>
            <w:tcW w:w="1300" w:type="dxa"/>
            <w:tcBorders>
              <w:top w:val="nil"/>
              <w:left w:val="nil"/>
              <w:bottom w:val="dotted" w:sz="4" w:space="0" w:color="auto"/>
              <w:right w:val="dotted" w:sz="4" w:space="0" w:color="auto"/>
            </w:tcBorders>
            <w:shd w:val="clear" w:color="auto" w:fill="auto"/>
            <w:vAlign w:val="center"/>
            <w:hideMark/>
          </w:tcPr>
          <w:p w14:paraId="168CCE18"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-177,2</w:t>
            </w:r>
          </w:p>
        </w:tc>
        <w:tc>
          <w:tcPr>
            <w:tcW w:w="1356" w:type="dxa"/>
            <w:tcBorders>
              <w:top w:val="nil"/>
              <w:left w:val="nil"/>
              <w:bottom w:val="dotted" w:sz="4" w:space="0" w:color="auto"/>
              <w:right w:val="dotted" w:sz="4" w:space="0" w:color="auto"/>
            </w:tcBorders>
            <w:shd w:val="clear" w:color="auto" w:fill="auto"/>
            <w:vAlign w:val="center"/>
            <w:hideMark/>
          </w:tcPr>
          <w:p w14:paraId="32CB21D2"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-263,0</w:t>
            </w:r>
          </w:p>
        </w:tc>
        <w:tc>
          <w:tcPr>
            <w:tcW w:w="1375" w:type="dxa"/>
            <w:tcBorders>
              <w:top w:val="nil"/>
              <w:left w:val="nil"/>
              <w:bottom w:val="dotted" w:sz="4" w:space="0" w:color="auto"/>
              <w:right w:val="dotted" w:sz="4" w:space="0" w:color="auto"/>
            </w:tcBorders>
            <w:shd w:val="clear" w:color="auto" w:fill="auto"/>
            <w:vAlign w:val="center"/>
            <w:hideMark/>
          </w:tcPr>
          <w:p w14:paraId="35DD4A7C"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-314,0</w:t>
            </w:r>
          </w:p>
        </w:tc>
        <w:tc>
          <w:tcPr>
            <w:tcW w:w="1375" w:type="dxa"/>
            <w:tcBorders>
              <w:top w:val="nil"/>
              <w:left w:val="nil"/>
              <w:bottom w:val="dotted" w:sz="4" w:space="0" w:color="auto"/>
              <w:right w:val="dotted" w:sz="4" w:space="0" w:color="auto"/>
            </w:tcBorders>
            <w:shd w:val="clear" w:color="auto" w:fill="auto"/>
            <w:vAlign w:val="center"/>
            <w:hideMark/>
          </w:tcPr>
          <w:p w14:paraId="057F3EAF"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-336,0</w:t>
            </w:r>
          </w:p>
        </w:tc>
        <w:tc>
          <w:tcPr>
            <w:tcW w:w="1375" w:type="dxa"/>
            <w:tcBorders>
              <w:top w:val="nil"/>
              <w:left w:val="nil"/>
              <w:bottom w:val="dotted" w:sz="4" w:space="0" w:color="auto"/>
              <w:right w:val="double" w:sz="6" w:space="0" w:color="auto"/>
            </w:tcBorders>
            <w:shd w:val="clear" w:color="auto" w:fill="auto"/>
            <w:vAlign w:val="center"/>
            <w:hideMark/>
          </w:tcPr>
          <w:p w14:paraId="7D94658F"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-360,0</w:t>
            </w:r>
          </w:p>
        </w:tc>
        <w:tc>
          <w:tcPr>
            <w:tcW w:w="1133" w:type="dxa"/>
            <w:tcBorders>
              <w:top w:val="nil"/>
              <w:left w:val="nil"/>
              <w:bottom w:val="nil"/>
              <w:right w:val="nil"/>
            </w:tcBorders>
            <w:shd w:val="clear" w:color="auto" w:fill="auto"/>
            <w:noWrap/>
            <w:vAlign w:val="bottom"/>
            <w:hideMark/>
          </w:tcPr>
          <w:p w14:paraId="410922AC"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0F5C28EB" w14:textId="77777777" w:rsidTr="00C71AF4">
        <w:trPr>
          <w:trHeight w:val="244"/>
        </w:trPr>
        <w:tc>
          <w:tcPr>
            <w:tcW w:w="5419" w:type="dxa"/>
            <w:tcBorders>
              <w:top w:val="nil"/>
              <w:left w:val="double" w:sz="6" w:space="0" w:color="auto"/>
              <w:bottom w:val="dotted" w:sz="4" w:space="0" w:color="auto"/>
              <w:right w:val="nil"/>
            </w:tcBorders>
            <w:shd w:val="clear" w:color="auto" w:fill="auto"/>
            <w:vAlign w:val="center"/>
            <w:hideMark/>
          </w:tcPr>
          <w:p w14:paraId="6209FE18"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3. State government</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3465DCAD"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S1312</w:t>
            </w:r>
          </w:p>
        </w:tc>
        <w:tc>
          <w:tcPr>
            <w:tcW w:w="1412" w:type="dxa"/>
            <w:tcBorders>
              <w:top w:val="nil"/>
              <w:left w:val="nil"/>
              <w:bottom w:val="dotted" w:sz="4" w:space="0" w:color="auto"/>
              <w:right w:val="dotted" w:sz="4" w:space="0" w:color="auto"/>
            </w:tcBorders>
            <w:shd w:val="clear" w:color="auto" w:fill="auto"/>
            <w:vAlign w:val="center"/>
            <w:hideMark/>
          </w:tcPr>
          <w:p w14:paraId="42CF9949"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 </w:t>
            </w:r>
          </w:p>
        </w:tc>
        <w:tc>
          <w:tcPr>
            <w:tcW w:w="1300" w:type="dxa"/>
            <w:tcBorders>
              <w:top w:val="nil"/>
              <w:left w:val="nil"/>
              <w:bottom w:val="dotted" w:sz="4" w:space="0" w:color="auto"/>
              <w:right w:val="dotted" w:sz="4" w:space="0" w:color="auto"/>
            </w:tcBorders>
            <w:shd w:val="clear" w:color="auto" w:fill="auto"/>
            <w:vAlign w:val="center"/>
            <w:hideMark/>
          </w:tcPr>
          <w:p w14:paraId="31386774"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 </w:t>
            </w:r>
          </w:p>
        </w:tc>
        <w:tc>
          <w:tcPr>
            <w:tcW w:w="1356" w:type="dxa"/>
            <w:tcBorders>
              <w:top w:val="nil"/>
              <w:left w:val="nil"/>
              <w:bottom w:val="dotted" w:sz="4" w:space="0" w:color="auto"/>
              <w:right w:val="dotted" w:sz="4" w:space="0" w:color="auto"/>
            </w:tcBorders>
            <w:shd w:val="clear" w:color="auto" w:fill="auto"/>
            <w:vAlign w:val="center"/>
            <w:hideMark/>
          </w:tcPr>
          <w:p w14:paraId="5BE59020"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 </w:t>
            </w:r>
          </w:p>
        </w:tc>
        <w:tc>
          <w:tcPr>
            <w:tcW w:w="1375" w:type="dxa"/>
            <w:tcBorders>
              <w:top w:val="nil"/>
              <w:left w:val="nil"/>
              <w:bottom w:val="dotted" w:sz="4" w:space="0" w:color="auto"/>
              <w:right w:val="dotted" w:sz="4" w:space="0" w:color="auto"/>
            </w:tcBorders>
            <w:shd w:val="clear" w:color="auto" w:fill="auto"/>
            <w:vAlign w:val="center"/>
            <w:hideMark/>
          </w:tcPr>
          <w:p w14:paraId="10D7044E"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 </w:t>
            </w:r>
          </w:p>
        </w:tc>
        <w:tc>
          <w:tcPr>
            <w:tcW w:w="1375" w:type="dxa"/>
            <w:tcBorders>
              <w:top w:val="nil"/>
              <w:left w:val="nil"/>
              <w:bottom w:val="dotted" w:sz="4" w:space="0" w:color="auto"/>
              <w:right w:val="dotted" w:sz="4" w:space="0" w:color="auto"/>
            </w:tcBorders>
            <w:shd w:val="clear" w:color="auto" w:fill="auto"/>
            <w:vAlign w:val="center"/>
            <w:hideMark/>
          </w:tcPr>
          <w:p w14:paraId="23CCCE4C"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 </w:t>
            </w:r>
          </w:p>
        </w:tc>
        <w:tc>
          <w:tcPr>
            <w:tcW w:w="1375" w:type="dxa"/>
            <w:tcBorders>
              <w:top w:val="nil"/>
              <w:left w:val="nil"/>
              <w:bottom w:val="dotted" w:sz="4" w:space="0" w:color="auto"/>
              <w:right w:val="double" w:sz="6" w:space="0" w:color="auto"/>
            </w:tcBorders>
            <w:shd w:val="clear" w:color="auto" w:fill="auto"/>
            <w:vAlign w:val="center"/>
            <w:hideMark/>
          </w:tcPr>
          <w:p w14:paraId="031308AA"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 </w:t>
            </w:r>
          </w:p>
        </w:tc>
        <w:tc>
          <w:tcPr>
            <w:tcW w:w="1133" w:type="dxa"/>
            <w:tcBorders>
              <w:top w:val="nil"/>
              <w:left w:val="nil"/>
              <w:bottom w:val="nil"/>
              <w:right w:val="nil"/>
            </w:tcBorders>
            <w:shd w:val="clear" w:color="auto" w:fill="auto"/>
            <w:noWrap/>
            <w:vAlign w:val="bottom"/>
            <w:hideMark/>
          </w:tcPr>
          <w:p w14:paraId="0C400713"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74407C24" w14:textId="77777777" w:rsidTr="00C71AF4">
        <w:trPr>
          <w:trHeight w:val="244"/>
        </w:trPr>
        <w:tc>
          <w:tcPr>
            <w:tcW w:w="5419" w:type="dxa"/>
            <w:tcBorders>
              <w:top w:val="nil"/>
              <w:left w:val="double" w:sz="6" w:space="0" w:color="auto"/>
              <w:bottom w:val="dotted" w:sz="4" w:space="0" w:color="auto"/>
              <w:right w:val="nil"/>
            </w:tcBorders>
            <w:shd w:val="clear" w:color="auto" w:fill="auto"/>
            <w:vAlign w:val="center"/>
            <w:hideMark/>
          </w:tcPr>
          <w:p w14:paraId="5D9A6EA4"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4. Local government</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08936BC6"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S1313</w:t>
            </w:r>
          </w:p>
        </w:tc>
        <w:tc>
          <w:tcPr>
            <w:tcW w:w="1412" w:type="dxa"/>
            <w:tcBorders>
              <w:top w:val="nil"/>
              <w:left w:val="nil"/>
              <w:bottom w:val="dotted" w:sz="4" w:space="0" w:color="auto"/>
              <w:right w:val="dotted" w:sz="4" w:space="0" w:color="auto"/>
            </w:tcBorders>
            <w:shd w:val="clear" w:color="auto" w:fill="auto"/>
            <w:vAlign w:val="center"/>
            <w:hideMark/>
          </w:tcPr>
          <w:p w14:paraId="1A9A532A"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9,3</w:t>
            </w:r>
          </w:p>
        </w:tc>
        <w:tc>
          <w:tcPr>
            <w:tcW w:w="1300" w:type="dxa"/>
            <w:tcBorders>
              <w:top w:val="nil"/>
              <w:left w:val="nil"/>
              <w:bottom w:val="dotted" w:sz="4" w:space="0" w:color="auto"/>
              <w:right w:val="dotted" w:sz="4" w:space="0" w:color="auto"/>
            </w:tcBorders>
            <w:shd w:val="clear" w:color="auto" w:fill="auto"/>
            <w:vAlign w:val="center"/>
            <w:hideMark/>
          </w:tcPr>
          <w:p w14:paraId="2D7529A2"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-8,9</w:t>
            </w:r>
          </w:p>
        </w:tc>
        <w:tc>
          <w:tcPr>
            <w:tcW w:w="1356" w:type="dxa"/>
            <w:tcBorders>
              <w:top w:val="nil"/>
              <w:left w:val="nil"/>
              <w:bottom w:val="dotted" w:sz="4" w:space="0" w:color="auto"/>
              <w:right w:val="dotted" w:sz="4" w:space="0" w:color="auto"/>
            </w:tcBorders>
            <w:shd w:val="clear" w:color="auto" w:fill="auto"/>
            <w:vAlign w:val="center"/>
            <w:hideMark/>
          </w:tcPr>
          <w:p w14:paraId="02CAE83F"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0,0</w:t>
            </w:r>
          </w:p>
        </w:tc>
        <w:tc>
          <w:tcPr>
            <w:tcW w:w="1375" w:type="dxa"/>
            <w:tcBorders>
              <w:top w:val="nil"/>
              <w:left w:val="nil"/>
              <w:bottom w:val="dotted" w:sz="4" w:space="0" w:color="auto"/>
              <w:right w:val="dotted" w:sz="4" w:space="0" w:color="auto"/>
            </w:tcBorders>
            <w:shd w:val="clear" w:color="auto" w:fill="auto"/>
            <w:vAlign w:val="center"/>
            <w:hideMark/>
          </w:tcPr>
          <w:p w14:paraId="3D3C7BCC"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0,0</w:t>
            </w:r>
          </w:p>
        </w:tc>
        <w:tc>
          <w:tcPr>
            <w:tcW w:w="1375" w:type="dxa"/>
            <w:tcBorders>
              <w:top w:val="nil"/>
              <w:left w:val="nil"/>
              <w:bottom w:val="dotted" w:sz="4" w:space="0" w:color="auto"/>
              <w:right w:val="dotted" w:sz="4" w:space="0" w:color="auto"/>
            </w:tcBorders>
            <w:shd w:val="clear" w:color="auto" w:fill="auto"/>
            <w:vAlign w:val="center"/>
            <w:hideMark/>
          </w:tcPr>
          <w:p w14:paraId="546622D1"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0,0</w:t>
            </w:r>
          </w:p>
        </w:tc>
        <w:tc>
          <w:tcPr>
            <w:tcW w:w="1375" w:type="dxa"/>
            <w:tcBorders>
              <w:top w:val="nil"/>
              <w:left w:val="nil"/>
              <w:bottom w:val="dotted" w:sz="4" w:space="0" w:color="auto"/>
              <w:right w:val="double" w:sz="6" w:space="0" w:color="auto"/>
            </w:tcBorders>
            <w:shd w:val="clear" w:color="auto" w:fill="auto"/>
            <w:vAlign w:val="center"/>
            <w:hideMark/>
          </w:tcPr>
          <w:p w14:paraId="6D52975F"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0,0</w:t>
            </w:r>
          </w:p>
        </w:tc>
        <w:tc>
          <w:tcPr>
            <w:tcW w:w="1133" w:type="dxa"/>
            <w:tcBorders>
              <w:top w:val="nil"/>
              <w:left w:val="nil"/>
              <w:bottom w:val="nil"/>
              <w:right w:val="nil"/>
            </w:tcBorders>
            <w:shd w:val="clear" w:color="auto" w:fill="auto"/>
            <w:noWrap/>
            <w:vAlign w:val="bottom"/>
            <w:hideMark/>
          </w:tcPr>
          <w:p w14:paraId="1486037D"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25E85B04" w14:textId="77777777" w:rsidTr="00C71AF4">
        <w:trPr>
          <w:trHeight w:val="244"/>
        </w:trPr>
        <w:tc>
          <w:tcPr>
            <w:tcW w:w="5419" w:type="dxa"/>
            <w:tcBorders>
              <w:top w:val="nil"/>
              <w:left w:val="double" w:sz="6" w:space="0" w:color="auto"/>
              <w:bottom w:val="single" w:sz="4" w:space="0" w:color="auto"/>
              <w:right w:val="nil"/>
            </w:tcBorders>
            <w:shd w:val="clear" w:color="auto" w:fill="auto"/>
            <w:vAlign w:val="center"/>
            <w:hideMark/>
          </w:tcPr>
          <w:p w14:paraId="68E777F2"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5. Social security funds</w:t>
            </w:r>
          </w:p>
        </w:tc>
        <w:tc>
          <w:tcPr>
            <w:tcW w:w="1356" w:type="dxa"/>
            <w:tcBorders>
              <w:top w:val="nil"/>
              <w:left w:val="single" w:sz="8" w:space="0" w:color="auto"/>
              <w:bottom w:val="single" w:sz="4" w:space="0" w:color="auto"/>
              <w:right w:val="single" w:sz="8" w:space="0" w:color="auto"/>
            </w:tcBorders>
            <w:shd w:val="clear" w:color="auto" w:fill="auto"/>
            <w:vAlign w:val="center"/>
            <w:hideMark/>
          </w:tcPr>
          <w:p w14:paraId="12F17D52"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S1314</w:t>
            </w:r>
          </w:p>
        </w:tc>
        <w:tc>
          <w:tcPr>
            <w:tcW w:w="1412" w:type="dxa"/>
            <w:tcBorders>
              <w:top w:val="nil"/>
              <w:left w:val="nil"/>
              <w:bottom w:val="single" w:sz="4" w:space="0" w:color="auto"/>
              <w:right w:val="dotted" w:sz="4" w:space="0" w:color="auto"/>
            </w:tcBorders>
            <w:shd w:val="clear" w:color="auto" w:fill="auto"/>
            <w:vAlign w:val="center"/>
            <w:hideMark/>
          </w:tcPr>
          <w:p w14:paraId="556176AC"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-0,8</w:t>
            </w:r>
          </w:p>
        </w:tc>
        <w:tc>
          <w:tcPr>
            <w:tcW w:w="1300" w:type="dxa"/>
            <w:tcBorders>
              <w:top w:val="nil"/>
              <w:left w:val="nil"/>
              <w:bottom w:val="single" w:sz="4" w:space="0" w:color="auto"/>
              <w:right w:val="dotted" w:sz="4" w:space="0" w:color="auto"/>
            </w:tcBorders>
            <w:shd w:val="clear" w:color="auto" w:fill="auto"/>
            <w:vAlign w:val="center"/>
            <w:hideMark/>
          </w:tcPr>
          <w:p w14:paraId="1712940E"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5,0</w:t>
            </w:r>
          </w:p>
        </w:tc>
        <w:tc>
          <w:tcPr>
            <w:tcW w:w="1356" w:type="dxa"/>
            <w:tcBorders>
              <w:top w:val="nil"/>
              <w:left w:val="nil"/>
              <w:bottom w:val="single" w:sz="4" w:space="0" w:color="auto"/>
              <w:right w:val="dotted" w:sz="4" w:space="0" w:color="auto"/>
            </w:tcBorders>
            <w:shd w:val="clear" w:color="auto" w:fill="auto"/>
            <w:vAlign w:val="center"/>
            <w:hideMark/>
          </w:tcPr>
          <w:p w14:paraId="3EC6A252"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0,0</w:t>
            </w:r>
          </w:p>
        </w:tc>
        <w:tc>
          <w:tcPr>
            <w:tcW w:w="1375" w:type="dxa"/>
            <w:tcBorders>
              <w:top w:val="nil"/>
              <w:left w:val="nil"/>
              <w:bottom w:val="single" w:sz="4" w:space="0" w:color="auto"/>
              <w:right w:val="dotted" w:sz="4" w:space="0" w:color="auto"/>
            </w:tcBorders>
            <w:shd w:val="clear" w:color="auto" w:fill="auto"/>
            <w:vAlign w:val="center"/>
            <w:hideMark/>
          </w:tcPr>
          <w:p w14:paraId="654DF755"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0,0</w:t>
            </w:r>
          </w:p>
        </w:tc>
        <w:tc>
          <w:tcPr>
            <w:tcW w:w="1375" w:type="dxa"/>
            <w:tcBorders>
              <w:top w:val="nil"/>
              <w:left w:val="nil"/>
              <w:bottom w:val="single" w:sz="4" w:space="0" w:color="auto"/>
              <w:right w:val="dotted" w:sz="4" w:space="0" w:color="auto"/>
            </w:tcBorders>
            <w:shd w:val="clear" w:color="auto" w:fill="auto"/>
            <w:vAlign w:val="center"/>
            <w:hideMark/>
          </w:tcPr>
          <w:p w14:paraId="7B166605"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0,0</w:t>
            </w:r>
          </w:p>
        </w:tc>
        <w:tc>
          <w:tcPr>
            <w:tcW w:w="1375" w:type="dxa"/>
            <w:tcBorders>
              <w:top w:val="nil"/>
              <w:left w:val="nil"/>
              <w:bottom w:val="single" w:sz="4" w:space="0" w:color="auto"/>
              <w:right w:val="double" w:sz="6" w:space="0" w:color="auto"/>
            </w:tcBorders>
            <w:shd w:val="clear" w:color="auto" w:fill="auto"/>
            <w:vAlign w:val="center"/>
            <w:hideMark/>
          </w:tcPr>
          <w:p w14:paraId="2554CE78"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0,0</w:t>
            </w:r>
          </w:p>
        </w:tc>
        <w:tc>
          <w:tcPr>
            <w:tcW w:w="1133" w:type="dxa"/>
            <w:tcBorders>
              <w:top w:val="nil"/>
              <w:left w:val="nil"/>
              <w:bottom w:val="nil"/>
              <w:right w:val="nil"/>
            </w:tcBorders>
            <w:shd w:val="clear" w:color="auto" w:fill="auto"/>
            <w:noWrap/>
            <w:vAlign w:val="bottom"/>
            <w:hideMark/>
          </w:tcPr>
          <w:p w14:paraId="4181A6CA"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6BBFB5B8" w14:textId="77777777" w:rsidTr="00C71AF4">
        <w:trPr>
          <w:trHeight w:val="236"/>
        </w:trPr>
        <w:tc>
          <w:tcPr>
            <w:tcW w:w="5419" w:type="dxa"/>
            <w:tcBorders>
              <w:top w:val="nil"/>
              <w:left w:val="double" w:sz="6" w:space="0" w:color="auto"/>
              <w:bottom w:val="single" w:sz="4" w:space="0" w:color="auto"/>
              <w:right w:val="nil"/>
            </w:tcBorders>
            <w:shd w:val="clear" w:color="auto" w:fill="auto"/>
            <w:vAlign w:val="center"/>
            <w:hideMark/>
          </w:tcPr>
          <w:p w14:paraId="5DF874CE" w14:textId="77777777" w:rsidR="00C71AF4" w:rsidRPr="00C71AF4" w:rsidRDefault="00C71AF4" w:rsidP="00C71AF4">
            <w:pPr>
              <w:spacing w:after="0"/>
              <w:jc w:val="left"/>
              <w:rPr>
                <w:rFonts w:eastAsia="Times New Roman" w:cs="Times New Roman"/>
                <w:b/>
                <w:bCs/>
                <w:sz w:val="20"/>
                <w:szCs w:val="20"/>
              </w:rPr>
            </w:pPr>
            <w:r w:rsidRPr="00C71AF4">
              <w:rPr>
                <w:rFonts w:eastAsia="Times New Roman" w:cs="Times New Roman"/>
                <w:b/>
                <w:bCs/>
                <w:sz w:val="20"/>
                <w:szCs w:val="20"/>
              </w:rPr>
              <w:t>General government (S13)</w:t>
            </w:r>
          </w:p>
        </w:tc>
        <w:tc>
          <w:tcPr>
            <w:tcW w:w="1356" w:type="dxa"/>
            <w:tcBorders>
              <w:top w:val="nil"/>
              <w:left w:val="single" w:sz="8" w:space="0" w:color="auto"/>
              <w:bottom w:val="single" w:sz="4" w:space="0" w:color="auto"/>
              <w:right w:val="single" w:sz="8" w:space="0" w:color="auto"/>
            </w:tcBorders>
            <w:shd w:val="clear" w:color="auto" w:fill="auto"/>
            <w:vAlign w:val="center"/>
            <w:hideMark/>
          </w:tcPr>
          <w:p w14:paraId="1FA5E033" w14:textId="77777777" w:rsidR="00C71AF4" w:rsidRPr="00C71AF4" w:rsidRDefault="00C71AF4" w:rsidP="00C71AF4">
            <w:pPr>
              <w:spacing w:after="0"/>
              <w:jc w:val="center"/>
              <w:rPr>
                <w:rFonts w:eastAsia="Times New Roman" w:cs="Times New Roman"/>
                <w:b/>
                <w:bCs/>
                <w:sz w:val="20"/>
                <w:szCs w:val="20"/>
              </w:rPr>
            </w:pPr>
            <w:r w:rsidRPr="00C71AF4">
              <w:rPr>
                <w:rFonts w:eastAsia="Times New Roman" w:cs="Times New Roman"/>
                <w:b/>
                <w:bCs/>
                <w:sz w:val="20"/>
                <w:szCs w:val="20"/>
              </w:rPr>
              <w:t> </w:t>
            </w:r>
          </w:p>
        </w:tc>
        <w:tc>
          <w:tcPr>
            <w:tcW w:w="1412" w:type="dxa"/>
            <w:tcBorders>
              <w:top w:val="nil"/>
              <w:left w:val="nil"/>
              <w:bottom w:val="single" w:sz="4" w:space="0" w:color="auto"/>
              <w:right w:val="nil"/>
            </w:tcBorders>
            <w:shd w:val="clear" w:color="auto" w:fill="auto"/>
            <w:vAlign w:val="center"/>
            <w:hideMark/>
          </w:tcPr>
          <w:p w14:paraId="3996C471"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00" w:type="dxa"/>
            <w:tcBorders>
              <w:top w:val="nil"/>
              <w:left w:val="nil"/>
              <w:bottom w:val="single" w:sz="4" w:space="0" w:color="auto"/>
              <w:right w:val="nil"/>
            </w:tcBorders>
            <w:shd w:val="clear" w:color="auto" w:fill="auto"/>
            <w:vAlign w:val="center"/>
            <w:hideMark/>
          </w:tcPr>
          <w:p w14:paraId="67FAFA91"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56" w:type="dxa"/>
            <w:tcBorders>
              <w:top w:val="nil"/>
              <w:left w:val="nil"/>
              <w:bottom w:val="single" w:sz="4" w:space="0" w:color="auto"/>
              <w:right w:val="nil"/>
            </w:tcBorders>
            <w:shd w:val="clear" w:color="auto" w:fill="auto"/>
            <w:vAlign w:val="center"/>
            <w:hideMark/>
          </w:tcPr>
          <w:p w14:paraId="226B6C83"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75" w:type="dxa"/>
            <w:tcBorders>
              <w:top w:val="nil"/>
              <w:left w:val="nil"/>
              <w:bottom w:val="single" w:sz="4" w:space="0" w:color="auto"/>
              <w:right w:val="nil"/>
            </w:tcBorders>
            <w:shd w:val="clear" w:color="auto" w:fill="auto"/>
            <w:vAlign w:val="center"/>
            <w:hideMark/>
          </w:tcPr>
          <w:p w14:paraId="0E2E9D48"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75" w:type="dxa"/>
            <w:tcBorders>
              <w:top w:val="nil"/>
              <w:left w:val="nil"/>
              <w:bottom w:val="single" w:sz="4" w:space="0" w:color="auto"/>
              <w:right w:val="nil"/>
            </w:tcBorders>
            <w:shd w:val="clear" w:color="auto" w:fill="auto"/>
            <w:vAlign w:val="center"/>
            <w:hideMark/>
          </w:tcPr>
          <w:p w14:paraId="2D5495C5"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75" w:type="dxa"/>
            <w:tcBorders>
              <w:top w:val="nil"/>
              <w:left w:val="nil"/>
              <w:bottom w:val="single" w:sz="4" w:space="0" w:color="auto"/>
              <w:right w:val="double" w:sz="6" w:space="0" w:color="auto"/>
            </w:tcBorders>
            <w:shd w:val="clear" w:color="auto" w:fill="auto"/>
            <w:vAlign w:val="center"/>
            <w:hideMark/>
          </w:tcPr>
          <w:p w14:paraId="21026C67"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133" w:type="dxa"/>
            <w:tcBorders>
              <w:top w:val="nil"/>
              <w:left w:val="nil"/>
              <w:bottom w:val="nil"/>
              <w:right w:val="nil"/>
            </w:tcBorders>
            <w:shd w:val="clear" w:color="auto" w:fill="auto"/>
            <w:noWrap/>
            <w:vAlign w:val="bottom"/>
            <w:hideMark/>
          </w:tcPr>
          <w:p w14:paraId="750569FB"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46110B5B" w14:textId="77777777" w:rsidTr="00C71AF4">
        <w:trPr>
          <w:trHeight w:val="244"/>
        </w:trPr>
        <w:tc>
          <w:tcPr>
            <w:tcW w:w="5419" w:type="dxa"/>
            <w:tcBorders>
              <w:top w:val="nil"/>
              <w:left w:val="double" w:sz="6" w:space="0" w:color="auto"/>
              <w:bottom w:val="dotted" w:sz="4" w:space="0" w:color="auto"/>
              <w:right w:val="nil"/>
            </w:tcBorders>
            <w:shd w:val="clear" w:color="auto" w:fill="auto"/>
            <w:vAlign w:val="center"/>
            <w:hideMark/>
          </w:tcPr>
          <w:p w14:paraId="34AB57A5"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6. Total revenue</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2C4E1BE6"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TR</w:t>
            </w:r>
          </w:p>
        </w:tc>
        <w:tc>
          <w:tcPr>
            <w:tcW w:w="1412" w:type="dxa"/>
            <w:tcBorders>
              <w:top w:val="nil"/>
              <w:left w:val="nil"/>
              <w:bottom w:val="dotted" w:sz="4" w:space="0" w:color="auto"/>
              <w:right w:val="dotted" w:sz="4" w:space="0" w:color="auto"/>
            </w:tcBorders>
            <w:shd w:val="clear" w:color="auto" w:fill="auto"/>
            <w:vAlign w:val="center"/>
            <w:hideMark/>
          </w:tcPr>
          <w:p w14:paraId="4B9120EB"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3.103,3</w:t>
            </w:r>
          </w:p>
        </w:tc>
        <w:tc>
          <w:tcPr>
            <w:tcW w:w="1300" w:type="dxa"/>
            <w:tcBorders>
              <w:top w:val="nil"/>
              <w:left w:val="nil"/>
              <w:bottom w:val="dotted" w:sz="4" w:space="0" w:color="auto"/>
              <w:right w:val="dotted" w:sz="4" w:space="0" w:color="auto"/>
            </w:tcBorders>
            <w:shd w:val="clear" w:color="auto" w:fill="auto"/>
            <w:vAlign w:val="center"/>
            <w:hideMark/>
          </w:tcPr>
          <w:p w14:paraId="19A8B376"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3.473,3</w:t>
            </w:r>
          </w:p>
        </w:tc>
        <w:tc>
          <w:tcPr>
            <w:tcW w:w="1356" w:type="dxa"/>
            <w:tcBorders>
              <w:top w:val="nil"/>
              <w:left w:val="nil"/>
              <w:bottom w:val="dotted" w:sz="4" w:space="0" w:color="auto"/>
              <w:right w:val="dotted" w:sz="4" w:space="0" w:color="auto"/>
            </w:tcBorders>
            <w:shd w:val="clear" w:color="auto" w:fill="auto"/>
            <w:vAlign w:val="center"/>
            <w:hideMark/>
          </w:tcPr>
          <w:p w14:paraId="77F97268"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3.922,2</w:t>
            </w:r>
          </w:p>
        </w:tc>
        <w:tc>
          <w:tcPr>
            <w:tcW w:w="1375" w:type="dxa"/>
            <w:tcBorders>
              <w:top w:val="nil"/>
              <w:left w:val="nil"/>
              <w:bottom w:val="dotted" w:sz="4" w:space="0" w:color="auto"/>
              <w:right w:val="dotted" w:sz="4" w:space="0" w:color="auto"/>
            </w:tcBorders>
            <w:shd w:val="clear" w:color="auto" w:fill="auto"/>
            <w:vAlign w:val="center"/>
            <w:hideMark/>
          </w:tcPr>
          <w:p w14:paraId="37A6F6FE"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4.264,3</w:t>
            </w:r>
          </w:p>
        </w:tc>
        <w:tc>
          <w:tcPr>
            <w:tcW w:w="1375" w:type="dxa"/>
            <w:tcBorders>
              <w:top w:val="nil"/>
              <w:left w:val="nil"/>
              <w:bottom w:val="dotted" w:sz="4" w:space="0" w:color="auto"/>
              <w:right w:val="dotted" w:sz="4" w:space="0" w:color="auto"/>
            </w:tcBorders>
            <w:shd w:val="clear" w:color="auto" w:fill="auto"/>
            <w:vAlign w:val="center"/>
            <w:hideMark/>
          </w:tcPr>
          <w:p w14:paraId="1B5E47D1"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4.534,0</w:t>
            </w:r>
          </w:p>
        </w:tc>
        <w:tc>
          <w:tcPr>
            <w:tcW w:w="1375" w:type="dxa"/>
            <w:tcBorders>
              <w:top w:val="nil"/>
              <w:left w:val="nil"/>
              <w:bottom w:val="dotted" w:sz="4" w:space="0" w:color="auto"/>
              <w:right w:val="double" w:sz="6" w:space="0" w:color="auto"/>
            </w:tcBorders>
            <w:shd w:val="clear" w:color="auto" w:fill="auto"/>
            <w:vAlign w:val="center"/>
            <w:hideMark/>
          </w:tcPr>
          <w:p w14:paraId="0AF5D2BA"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4.854,7</w:t>
            </w:r>
          </w:p>
        </w:tc>
        <w:tc>
          <w:tcPr>
            <w:tcW w:w="1133" w:type="dxa"/>
            <w:tcBorders>
              <w:top w:val="nil"/>
              <w:left w:val="nil"/>
              <w:bottom w:val="nil"/>
              <w:right w:val="nil"/>
            </w:tcBorders>
            <w:shd w:val="clear" w:color="auto" w:fill="auto"/>
            <w:noWrap/>
            <w:vAlign w:val="bottom"/>
            <w:hideMark/>
          </w:tcPr>
          <w:p w14:paraId="13A1ED15"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570663FB" w14:textId="77777777" w:rsidTr="00C71AF4">
        <w:trPr>
          <w:trHeight w:val="244"/>
        </w:trPr>
        <w:tc>
          <w:tcPr>
            <w:tcW w:w="5419" w:type="dxa"/>
            <w:tcBorders>
              <w:top w:val="nil"/>
              <w:left w:val="double" w:sz="6" w:space="0" w:color="auto"/>
              <w:bottom w:val="nil"/>
              <w:right w:val="single" w:sz="8" w:space="0" w:color="auto"/>
            </w:tcBorders>
            <w:shd w:val="clear" w:color="auto" w:fill="auto"/>
            <w:noWrap/>
            <w:vAlign w:val="bottom"/>
            <w:hideMark/>
          </w:tcPr>
          <w:p w14:paraId="16ED7BE7" w14:textId="7E14AD43" w:rsidR="00C71AF4" w:rsidRPr="00C71AF4" w:rsidRDefault="00602766" w:rsidP="00C71AF4">
            <w:pPr>
              <w:spacing w:after="0"/>
              <w:jc w:val="left"/>
              <w:rPr>
                <w:rFonts w:eastAsia="Times New Roman" w:cs="Times New Roman"/>
                <w:sz w:val="20"/>
                <w:szCs w:val="20"/>
              </w:rPr>
            </w:pPr>
            <w:hyperlink r:id="rId37" w:anchor="RANGE!B139" w:history="1">
              <w:r w:rsidR="00C71AF4" w:rsidRPr="00C71AF4">
                <w:rPr>
                  <w:rFonts w:eastAsia="Times New Roman" w:cs="Times New Roman"/>
                  <w:sz w:val="20"/>
                  <w:szCs w:val="20"/>
                </w:rPr>
                <w:t>7. Total expenditure[1]</w:t>
              </w:r>
            </w:hyperlink>
          </w:p>
        </w:tc>
        <w:tc>
          <w:tcPr>
            <w:tcW w:w="1356" w:type="dxa"/>
            <w:tcBorders>
              <w:top w:val="nil"/>
              <w:left w:val="nil"/>
              <w:bottom w:val="dotted" w:sz="4" w:space="0" w:color="auto"/>
              <w:right w:val="single" w:sz="8" w:space="0" w:color="auto"/>
            </w:tcBorders>
            <w:shd w:val="clear" w:color="auto" w:fill="auto"/>
            <w:vAlign w:val="center"/>
            <w:hideMark/>
          </w:tcPr>
          <w:p w14:paraId="2FB6F83A"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TE</w:t>
            </w:r>
          </w:p>
        </w:tc>
        <w:tc>
          <w:tcPr>
            <w:tcW w:w="1412" w:type="dxa"/>
            <w:tcBorders>
              <w:top w:val="nil"/>
              <w:left w:val="nil"/>
              <w:bottom w:val="dotted" w:sz="4" w:space="0" w:color="auto"/>
              <w:right w:val="dotted" w:sz="4" w:space="0" w:color="auto"/>
            </w:tcBorders>
            <w:shd w:val="clear" w:color="auto" w:fill="auto"/>
            <w:vAlign w:val="center"/>
            <w:hideMark/>
          </w:tcPr>
          <w:p w14:paraId="195DA276"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3.328,2</w:t>
            </w:r>
          </w:p>
        </w:tc>
        <w:tc>
          <w:tcPr>
            <w:tcW w:w="1300" w:type="dxa"/>
            <w:tcBorders>
              <w:top w:val="nil"/>
              <w:left w:val="nil"/>
              <w:bottom w:val="dotted" w:sz="4" w:space="0" w:color="auto"/>
              <w:right w:val="dotted" w:sz="4" w:space="0" w:color="auto"/>
            </w:tcBorders>
            <w:shd w:val="clear" w:color="auto" w:fill="auto"/>
            <w:vAlign w:val="center"/>
            <w:hideMark/>
          </w:tcPr>
          <w:p w14:paraId="382E5718"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3.654,4</w:t>
            </w:r>
          </w:p>
        </w:tc>
        <w:tc>
          <w:tcPr>
            <w:tcW w:w="1356" w:type="dxa"/>
            <w:tcBorders>
              <w:top w:val="nil"/>
              <w:left w:val="nil"/>
              <w:bottom w:val="dotted" w:sz="4" w:space="0" w:color="auto"/>
              <w:right w:val="dotted" w:sz="4" w:space="0" w:color="auto"/>
            </w:tcBorders>
            <w:shd w:val="clear" w:color="auto" w:fill="auto"/>
            <w:vAlign w:val="center"/>
            <w:hideMark/>
          </w:tcPr>
          <w:p w14:paraId="64CFFF78"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4.185,2</w:t>
            </w:r>
          </w:p>
        </w:tc>
        <w:tc>
          <w:tcPr>
            <w:tcW w:w="1375" w:type="dxa"/>
            <w:tcBorders>
              <w:top w:val="nil"/>
              <w:left w:val="nil"/>
              <w:bottom w:val="dotted" w:sz="4" w:space="0" w:color="auto"/>
              <w:right w:val="dotted" w:sz="4" w:space="0" w:color="auto"/>
            </w:tcBorders>
            <w:shd w:val="clear" w:color="auto" w:fill="auto"/>
            <w:vAlign w:val="center"/>
            <w:hideMark/>
          </w:tcPr>
          <w:p w14:paraId="1A8890F0"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4.578,3</w:t>
            </w:r>
          </w:p>
        </w:tc>
        <w:tc>
          <w:tcPr>
            <w:tcW w:w="1375" w:type="dxa"/>
            <w:tcBorders>
              <w:top w:val="nil"/>
              <w:left w:val="nil"/>
              <w:bottom w:val="dotted" w:sz="4" w:space="0" w:color="auto"/>
              <w:right w:val="dotted" w:sz="4" w:space="0" w:color="auto"/>
            </w:tcBorders>
            <w:shd w:val="clear" w:color="auto" w:fill="auto"/>
            <w:vAlign w:val="center"/>
            <w:hideMark/>
          </w:tcPr>
          <w:p w14:paraId="042D01B6"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4.870,0</w:t>
            </w:r>
          </w:p>
        </w:tc>
        <w:tc>
          <w:tcPr>
            <w:tcW w:w="1375" w:type="dxa"/>
            <w:tcBorders>
              <w:top w:val="nil"/>
              <w:left w:val="nil"/>
              <w:bottom w:val="dotted" w:sz="4" w:space="0" w:color="auto"/>
              <w:right w:val="double" w:sz="6" w:space="0" w:color="auto"/>
            </w:tcBorders>
            <w:shd w:val="clear" w:color="auto" w:fill="auto"/>
            <w:vAlign w:val="center"/>
            <w:hideMark/>
          </w:tcPr>
          <w:p w14:paraId="4DA75146"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5.214,7</w:t>
            </w:r>
          </w:p>
        </w:tc>
        <w:tc>
          <w:tcPr>
            <w:tcW w:w="1133" w:type="dxa"/>
            <w:tcBorders>
              <w:top w:val="nil"/>
              <w:left w:val="nil"/>
              <w:bottom w:val="nil"/>
              <w:right w:val="nil"/>
            </w:tcBorders>
            <w:shd w:val="clear" w:color="auto" w:fill="auto"/>
            <w:noWrap/>
            <w:vAlign w:val="bottom"/>
            <w:hideMark/>
          </w:tcPr>
          <w:p w14:paraId="26E5C013"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757F368E" w14:textId="77777777" w:rsidTr="00C71AF4">
        <w:trPr>
          <w:trHeight w:val="244"/>
        </w:trPr>
        <w:tc>
          <w:tcPr>
            <w:tcW w:w="5419" w:type="dxa"/>
            <w:tcBorders>
              <w:top w:val="nil"/>
              <w:left w:val="double" w:sz="6" w:space="0" w:color="auto"/>
              <w:bottom w:val="dotted" w:sz="4" w:space="0" w:color="auto"/>
              <w:right w:val="single" w:sz="8" w:space="0" w:color="auto"/>
            </w:tcBorders>
            <w:shd w:val="clear" w:color="auto" w:fill="auto"/>
            <w:vAlign w:val="center"/>
            <w:hideMark/>
          </w:tcPr>
          <w:p w14:paraId="2B366E2D"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8. Net borrowing/lending</w:t>
            </w:r>
          </w:p>
        </w:tc>
        <w:tc>
          <w:tcPr>
            <w:tcW w:w="1356" w:type="dxa"/>
            <w:tcBorders>
              <w:top w:val="nil"/>
              <w:left w:val="nil"/>
              <w:bottom w:val="dotted" w:sz="4" w:space="0" w:color="auto"/>
              <w:right w:val="single" w:sz="8" w:space="0" w:color="auto"/>
            </w:tcBorders>
            <w:shd w:val="clear" w:color="auto" w:fill="auto"/>
            <w:vAlign w:val="center"/>
            <w:hideMark/>
          </w:tcPr>
          <w:p w14:paraId="622D6D97"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EDP.B9</w:t>
            </w:r>
          </w:p>
        </w:tc>
        <w:tc>
          <w:tcPr>
            <w:tcW w:w="1412" w:type="dxa"/>
            <w:tcBorders>
              <w:top w:val="nil"/>
              <w:left w:val="nil"/>
              <w:bottom w:val="dotted" w:sz="4" w:space="0" w:color="auto"/>
              <w:right w:val="dotted" w:sz="4" w:space="0" w:color="auto"/>
            </w:tcBorders>
            <w:shd w:val="clear" w:color="auto" w:fill="auto"/>
            <w:vAlign w:val="center"/>
            <w:hideMark/>
          </w:tcPr>
          <w:p w14:paraId="03D2315F"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-224,8</w:t>
            </w:r>
          </w:p>
        </w:tc>
        <w:tc>
          <w:tcPr>
            <w:tcW w:w="1300" w:type="dxa"/>
            <w:tcBorders>
              <w:top w:val="nil"/>
              <w:left w:val="nil"/>
              <w:bottom w:val="dotted" w:sz="4" w:space="0" w:color="auto"/>
              <w:right w:val="dotted" w:sz="4" w:space="0" w:color="auto"/>
            </w:tcBorders>
            <w:shd w:val="clear" w:color="auto" w:fill="auto"/>
            <w:vAlign w:val="center"/>
            <w:hideMark/>
          </w:tcPr>
          <w:p w14:paraId="31BCB220"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-181,1</w:t>
            </w:r>
          </w:p>
        </w:tc>
        <w:tc>
          <w:tcPr>
            <w:tcW w:w="1356" w:type="dxa"/>
            <w:tcBorders>
              <w:top w:val="nil"/>
              <w:left w:val="nil"/>
              <w:bottom w:val="dotted" w:sz="4" w:space="0" w:color="auto"/>
              <w:right w:val="dotted" w:sz="4" w:space="0" w:color="auto"/>
            </w:tcBorders>
            <w:shd w:val="clear" w:color="auto" w:fill="auto"/>
            <w:vAlign w:val="center"/>
            <w:hideMark/>
          </w:tcPr>
          <w:p w14:paraId="2F0A3A56"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-263,0</w:t>
            </w:r>
          </w:p>
        </w:tc>
        <w:tc>
          <w:tcPr>
            <w:tcW w:w="1375" w:type="dxa"/>
            <w:tcBorders>
              <w:top w:val="nil"/>
              <w:left w:val="nil"/>
              <w:bottom w:val="dotted" w:sz="4" w:space="0" w:color="auto"/>
              <w:right w:val="dotted" w:sz="4" w:space="0" w:color="auto"/>
            </w:tcBorders>
            <w:shd w:val="clear" w:color="auto" w:fill="auto"/>
            <w:vAlign w:val="center"/>
            <w:hideMark/>
          </w:tcPr>
          <w:p w14:paraId="366CBE60"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-314,0</w:t>
            </w:r>
          </w:p>
        </w:tc>
        <w:tc>
          <w:tcPr>
            <w:tcW w:w="1375" w:type="dxa"/>
            <w:tcBorders>
              <w:top w:val="nil"/>
              <w:left w:val="nil"/>
              <w:bottom w:val="dotted" w:sz="4" w:space="0" w:color="auto"/>
              <w:right w:val="dotted" w:sz="4" w:space="0" w:color="auto"/>
            </w:tcBorders>
            <w:shd w:val="clear" w:color="auto" w:fill="auto"/>
            <w:vAlign w:val="center"/>
            <w:hideMark/>
          </w:tcPr>
          <w:p w14:paraId="04D02725"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-336,0</w:t>
            </w:r>
          </w:p>
        </w:tc>
        <w:tc>
          <w:tcPr>
            <w:tcW w:w="1375" w:type="dxa"/>
            <w:tcBorders>
              <w:top w:val="nil"/>
              <w:left w:val="nil"/>
              <w:bottom w:val="dotted" w:sz="4" w:space="0" w:color="auto"/>
              <w:right w:val="double" w:sz="6" w:space="0" w:color="auto"/>
            </w:tcBorders>
            <w:shd w:val="clear" w:color="auto" w:fill="auto"/>
            <w:vAlign w:val="center"/>
            <w:hideMark/>
          </w:tcPr>
          <w:p w14:paraId="407A67BF"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-360,0</w:t>
            </w:r>
          </w:p>
        </w:tc>
        <w:tc>
          <w:tcPr>
            <w:tcW w:w="1133" w:type="dxa"/>
            <w:tcBorders>
              <w:top w:val="nil"/>
              <w:left w:val="nil"/>
              <w:bottom w:val="nil"/>
              <w:right w:val="nil"/>
            </w:tcBorders>
            <w:shd w:val="clear" w:color="auto" w:fill="auto"/>
            <w:noWrap/>
            <w:vAlign w:val="bottom"/>
            <w:hideMark/>
          </w:tcPr>
          <w:p w14:paraId="32EAD1CB"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3A0B3FF1" w14:textId="77777777" w:rsidTr="00C71AF4">
        <w:trPr>
          <w:trHeight w:val="488"/>
        </w:trPr>
        <w:tc>
          <w:tcPr>
            <w:tcW w:w="5419" w:type="dxa"/>
            <w:tcBorders>
              <w:top w:val="nil"/>
              <w:left w:val="double" w:sz="6" w:space="0" w:color="auto"/>
              <w:bottom w:val="dotted" w:sz="4" w:space="0" w:color="auto"/>
              <w:right w:val="single" w:sz="8" w:space="0" w:color="auto"/>
            </w:tcBorders>
            <w:shd w:val="clear" w:color="auto" w:fill="auto"/>
            <w:vAlign w:val="center"/>
            <w:hideMark/>
          </w:tcPr>
          <w:p w14:paraId="2C5CCF50"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9. Interest expenditure</w:t>
            </w:r>
          </w:p>
        </w:tc>
        <w:tc>
          <w:tcPr>
            <w:tcW w:w="1356" w:type="dxa"/>
            <w:tcBorders>
              <w:top w:val="nil"/>
              <w:left w:val="nil"/>
              <w:bottom w:val="dotted" w:sz="4" w:space="0" w:color="auto"/>
              <w:right w:val="single" w:sz="8" w:space="0" w:color="auto"/>
            </w:tcBorders>
            <w:shd w:val="clear" w:color="auto" w:fill="auto"/>
            <w:vAlign w:val="center"/>
            <w:hideMark/>
          </w:tcPr>
          <w:p w14:paraId="7F89EEEC"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EDP.D41 incl. FISIM</w:t>
            </w:r>
          </w:p>
        </w:tc>
        <w:tc>
          <w:tcPr>
            <w:tcW w:w="1412" w:type="dxa"/>
            <w:tcBorders>
              <w:top w:val="nil"/>
              <w:left w:val="nil"/>
              <w:bottom w:val="dotted" w:sz="4" w:space="0" w:color="auto"/>
              <w:right w:val="dotted" w:sz="4" w:space="0" w:color="auto"/>
            </w:tcBorders>
            <w:shd w:val="clear" w:color="auto" w:fill="auto"/>
            <w:vAlign w:val="center"/>
            <w:hideMark/>
          </w:tcPr>
          <w:p w14:paraId="699FE325"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107,2</w:t>
            </w:r>
          </w:p>
        </w:tc>
        <w:tc>
          <w:tcPr>
            <w:tcW w:w="1300" w:type="dxa"/>
            <w:tcBorders>
              <w:top w:val="nil"/>
              <w:left w:val="nil"/>
              <w:bottom w:val="dotted" w:sz="4" w:space="0" w:color="auto"/>
              <w:right w:val="dotted" w:sz="4" w:space="0" w:color="auto"/>
            </w:tcBorders>
            <w:shd w:val="clear" w:color="auto" w:fill="auto"/>
            <w:vAlign w:val="center"/>
            <w:hideMark/>
          </w:tcPr>
          <w:p w14:paraId="35D9F5C2"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149,3</w:t>
            </w:r>
          </w:p>
        </w:tc>
        <w:tc>
          <w:tcPr>
            <w:tcW w:w="1356" w:type="dxa"/>
            <w:tcBorders>
              <w:top w:val="nil"/>
              <w:left w:val="nil"/>
              <w:bottom w:val="dotted" w:sz="4" w:space="0" w:color="auto"/>
              <w:right w:val="dotted" w:sz="4" w:space="0" w:color="auto"/>
            </w:tcBorders>
            <w:shd w:val="clear" w:color="auto" w:fill="auto"/>
            <w:vAlign w:val="center"/>
            <w:hideMark/>
          </w:tcPr>
          <w:p w14:paraId="05B5DBDC"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187,6</w:t>
            </w:r>
          </w:p>
        </w:tc>
        <w:tc>
          <w:tcPr>
            <w:tcW w:w="1375" w:type="dxa"/>
            <w:tcBorders>
              <w:top w:val="nil"/>
              <w:left w:val="nil"/>
              <w:bottom w:val="dotted" w:sz="4" w:space="0" w:color="auto"/>
              <w:right w:val="dotted" w:sz="4" w:space="0" w:color="auto"/>
            </w:tcBorders>
            <w:shd w:val="clear" w:color="auto" w:fill="auto"/>
            <w:vAlign w:val="center"/>
            <w:hideMark/>
          </w:tcPr>
          <w:p w14:paraId="2CC04C3B"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222,7</w:t>
            </w:r>
          </w:p>
        </w:tc>
        <w:tc>
          <w:tcPr>
            <w:tcW w:w="1375" w:type="dxa"/>
            <w:tcBorders>
              <w:top w:val="nil"/>
              <w:left w:val="nil"/>
              <w:bottom w:val="dotted" w:sz="4" w:space="0" w:color="auto"/>
              <w:right w:val="dotted" w:sz="4" w:space="0" w:color="auto"/>
            </w:tcBorders>
            <w:shd w:val="clear" w:color="auto" w:fill="auto"/>
            <w:vAlign w:val="center"/>
            <w:hideMark/>
          </w:tcPr>
          <w:p w14:paraId="68394DF2"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235,6</w:t>
            </w:r>
          </w:p>
        </w:tc>
        <w:tc>
          <w:tcPr>
            <w:tcW w:w="1375" w:type="dxa"/>
            <w:tcBorders>
              <w:top w:val="nil"/>
              <w:left w:val="nil"/>
              <w:bottom w:val="dotted" w:sz="4" w:space="0" w:color="auto"/>
              <w:right w:val="double" w:sz="6" w:space="0" w:color="auto"/>
            </w:tcBorders>
            <w:shd w:val="clear" w:color="auto" w:fill="auto"/>
            <w:vAlign w:val="center"/>
            <w:hideMark/>
          </w:tcPr>
          <w:p w14:paraId="797026EF"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236,5</w:t>
            </w:r>
          </w:p>
        </w:tc>
        <w:tc>
          <w:tcPr>
            <w:tcW w:w="1133" w:type="dxa"/>
            <w:tcBorders>
              <w:top w:val="nil"/>
              <w:left w:val="nil"/>
              <w:bottom w:val="nil"/>
              <w:right w:val="nil"/>
            </w:tcBorders>
            <w:shd w:val="clear" w:color="auto" w:fill="auto"/>
            <w:noWrap/>
            <w:vAlign w:val="bottom"/>
            <w:hideMark/>
          </w:tcPr>
          <w:p w14:paraId="5E929FD9"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0B52D4DE" w14:textId="77777777" w:rsidTr="00C71AF4">
        <w:trPr>
          <w:trHeight w:val="244"/>
        </w:trPr>
        <w:tc>
          <w:tcPr>
            <w:tcW w:w="5419" w:type="dxa"/>
            <w:tcBorders>
              <w:top w:val="nil"/>
              <w:left w:val="double" w:sz="6" w:space="0" w:color="auto"/>
              <w:bottom w:val="dotted" w:sz="4" w:space="0" w:color="auto"/>
              <w:right w:val="single" w:sz="8" w:space="0" w:color="auto"/>
            </w:tcBorders>
            <w:shd w:val="clear" w:color="auto" w:fill="auto"/>
            <w:vAlign w:val="center"/>
            <w:hideMark/>
          </w:tcPr>
          <w:p w14:paraId="5CA0E0E8" w14:textId="7A47CCD6" w:rsidR="00C71AF4" w:rsidRPr="00C71AF4" w:rsidRDefault="00602766" w:rsidP="00C71AF4">
            <w:pPr>
              <w:spacing w:after="0"/>
              <w:jc w:val="left"/>
              <w:rPr>
                <w:rFonts w:eastAsia="Times New Roman" w:cs="Times New Roman"/>
                <w:sz w:val="20"/>
                <w:szCs w:val="20"/>
              </w:rPr>
            </w:pPr>
            <w:hyperlink r:id="rId38" w:anchor="RANGE!B140" w:history="1">
              <w:r w:rsidR="00C71AF4" w:rsidRPr="00C71AF4">
                <w:rPr>
                  <w:rFonts w:eastAsia="Times New Roman" w:cs="Times New Roman"/>
                  <w:sz w:val="20"/>
                  <w:szCs w:val="20"/>
                </w:rPr>
                <w:t>10. Primary balance[2]</w:t>
              </w:r>
            </w:hyperlink>
          </w:p>
        </w:tc>
        <w:tc>
          <w:tcPr>
            <w:tcW w:w="1356" w:type="dxa"/>
            <w:tcBorders>
              <w:top w:val="nil"/>
              <w:left w:val="nil"/>
              <w:bottom w:val="dotted" w:sz="4" w:space="0" w:color="auto"/>
              <w:right w:val="single" w:sz="8" w:space="0" w:color="auto"/>
            </w:tcBorders>
            <w:shd w:val="clear" w:color="auto" w:fill="auto"/>
            <w:vAlign w:val="center"/>
            <w:hideMark/>
          </w:tcPr>
          <w:p w14:paraId="22E114C0"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 </w:t>
            </w:r>
          </w:p>
        </w:tc>
        <w:tc>
          <w:tcPr>
            <w:tcW w:w="1412" w:type="dxa"/>
            <w:tcBorders>
              <w:top w:val="nil"/>
              <w:left w:val="nil"/>
              <w:bottom w:val="single" w:sz="4" w:space="0" w:color="auto"/>
              <w:right w:val="dotted" w:sz="4" w:space="0" w:color="auto"/>
            </w:tcBorders>
            <w:shd w:val="clear" w:color="auto" w:fill="auto"/>
            <w:vAlign w:val="center"/>
            <w:hideMark/>
          </w:tcPr>
          <w:p w14:paraId="2FE5D5E1"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-117,6</w:t>
            </w:r>
          </w:p>
        </w:tc>
        <w:tc>
          <w:tcPr>
            <w:tcW w:w="1300" w:type="dxa"/>
            <w:tcBorders>
              <w:top w:val="nil"/>
              <w:left w:val="nil"/>
              <w:bottom w:val="single" w:sz="4" w:space="0" w:color="auto"/>
              <w:right w:val="dotted" w:sz="4" w:space="0" w:color="auto"/>
            </w:tcBorders>
            <w:shd w:val="clear" w:color="auto" w:fill="auto"/>
            <w:vAlign w:val="center"/>
            <w:hideMark/>
          </w:tcPr>
          <w:p w14:paraId="1F4AE132"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-31,8</w:t>
            </w:r>
          </w:p>
        </w:tc>
        <w:tc>
          <w:tcPr>
            <w:tcW w:w="1356" w:type="dxa"/>
            <w:tcBorders>
              <w:top w:val="nil"/>
              <w:left w:val="nil"/>
              <w:bottom w:val="single" w:sz="4" w:space="0" w:color="auto"/>
              <w:right w:val="dotted" w:sz="4" w:space="0" w:color="auto"/>
            </w:tcBorders>
            <w:shd w:val="clear" w:color="auto" w:fill="auto"/>
            <w:vAlign w:val="center"/>
            <w:hideMark/>
          </w:tcPr>
          <w:p w14:paraId="16AE0772"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-75,4</w:t>
            </w:r>
          </w:p>
        </w:tc>
        <w:tc>
          <w:tcPr>
            <w:tcW w:w="1375" w:type="dxa"/>
            <w:tcBorders>
              <w:top w:val="nil"/>
              <w:left w:val="nil"/>
              <w:bottom w:val="single" w:sz="4" w:space="0" w:color="auto"/>
              <w:right w:val="dotted" w:sz="4" w:space="0" w:color="auto"/>
            </w:tcBorders>
            <w:shd w:val="clear" w:color="auto" w:fill="auto"/>
            <w:vAlign w:val="center"/>
            <w:hideMark/>
          </w:tcPr>
          <w:p w14:paraId="2D605072"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-91,3</w:t>
            </w:r>
          </w:p>
        </w:tc>
        <w:tc>
          <w:tcPr>
            <w:tcW w:w="1375" w:type="dxa"/>
            <w:tcBorders>
              <w:top w:val="nil"/>
              <w:left w:val="nil"/>
              <w:bottom w:val="single" w:sz="4" w:space="0" w:color="auto"/>
              <w:right w:val="dotted" w:sz="4" w:space="0" w:color="auto"/>
            </w:tcBorders>
            <w:shd w:val="clear" w:color="auto" w:fill="auto"/>
            <w:vAlign w:val="center"/>
            <w:hideMark/>
          </w:tcPr>
          <w:p w14:paraId="62FAE972"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-100,4</w:t>
            </w:r>
          </w:p>
        </w:tc>
        <w:tc>
          <w:tcPr>
            <w:tcW w:w="1375" w:type="dxa"/>
            <w:tcBorders>
              <w:top w:val="nil"/>
              <w:left w:val="nil"/>
              <w:bottom w:val="single" w:sz="4" w:space="0" w:color="auto"/>
              <w:right w:val="double" w:sz="6" w:space="0" w:color="auto"/>
            </w:tcBorders>
            <w:shd w:val="clear" w:color="auto" w:fill="auto"/>
            <w:vAlign w:val="center"/>
            <w:hideMark/>
          </w:tcPr>
          <w:p w14:paraId="4EDAB7EB"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-123,5</w:t>
            </w:r>
          </w:p>
        </w:tc>
        <w:tc>
          <w:tcPr>
            <w:tcW w:w="1133" w:type="dxa"/>
            <w:tcBorders>
              <w:top w:val="nil"/>
              <w:left w:val="nil"/>
              <w:bottom w:val="nil"/>
              <w:right w:val="nil"/>
            </w:tcBorders>
            <w:shd w:val="clear" w:color="auto" w:fill="auto"/>
            <w:noWrap/>
            <w:vAlign w:val="bottom"/>
            <w:hideMark/>
          </w:tcPr>
          <w:p w14:paraId="37CE95BA"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0F70D074" w14:textId="77777777" w:rsidTr="00C71AF4">
        <w:trPr>
          <w:trHeight w:val="244"/>
        </w:trPr>
        <w:tc>
          <w:tcPr>
            <w:tcW w:w="5419" w:type="dxa"/>
            <w:tcBorders>
              <w:top w:val="nil"/>
              <w:left w:val="double" w:sz="6" w:space="0" w:color="auto"/>
              <w:bottom w:val="single" w:sz="4" w:space="0" w:color="auto"/>
              <w:right w:val="single" w:sz="8" w:space="0" w:color="auto"/>
            </w:tcBorders>
            <w:shd w:val="clear" w:color="auto" w:fill="auto"/>
            <w:noWrap/>
            <w:vAlign w:val="bottom"/>
            <w:hideMark/>
          </w:tcPr>
          <w:p w14:paraId="03BD0964" w14:textId="2F8A245B" w:rsidR="00C71AF4" w:rsidRPr="00C71AF4" w:rsidRDefault="00602766" w:rsidP="00C71AF4">
            <w:pPr>
              <w:spacing w:after="0"/>
              <w:jc w:val="left"/>
              <w:rPr>
                <w:rFonts w:eastAsia="Times New Roman" w:cs="Times New Roman"/>
                <w:sz w:val="20"/>
                <w:szCs w:val="20"/>
              </w:rPr>
            </w:pPr>
            <w:hyperlink r:id="rId39" w:anchor="RANGE!B141" w:history="1">
              <w:r w:rsidR="00C71AF4" w:rsidRPr="00C71AF4">
                <w:rPr>
                  <w:rFonts w:eastAsia="Times New Roman" w:cs="Times New Roman"/>
                  <w:sz w:val="20"/>
                  <w:szCs w:val="20"/>
                </w:rPr>
                <w:t>11. One-off and other temporary measures [3]</w:t>
              </w:r>
            </w:hyperlink>
          </w:p>
        </w:tc>
        <w:tc>
          <w:tcPr>
            <w:tcW w:w="1356" w:type="dxa"/>
            <w:tcBorders>
              <w:top w:val="nil"/>
              <w:left w:val="nil"/>
              <w:bottom w:val="single" w:sz="4" w:space="0" w:color="auto"/>
              <w:right w:val="single" w:sz="8" w:space="0" w:color="auto"/>
            </w:tcBorders>
            <w:shd w:val="clear" w:color="auto" w:fill="auto"/>
            <w:vAlign w:val="center"/>
            <w:hideMark/>
          </w:tcPr>
          <w:p w14:paraId="061DF269"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 </w:t>
            </w:r>
          </w:p>
        </w:tc>
        <w:tc>
          <w:tcPr>
            <w:tcW w:w="1412" w:type="dxa"/>
            <w:tcBorders>
              <w:top w:val="nil"/>
              <w:left w:val="nil"/>
              <w:bottom w:val="single" w:sz="4" w:space="0" w:color="auto"/>
              <w:right w:val="dotted" w:sz="4" w:space="0" w:color="auto"/>
            </w:tcBorders>
            <w:shd w:val="clear" w:color="auto" w:fill="auto"/>
            <w:vAlign w:val="center"/>
            <w:hideMark/>
          </w:tcPr>
          <w:p w14:paraId="45E958A5"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 </w:t>
            </w:r>
          </w:p>
        </w:tc>
        <w:tc>
          <w:tcPr>
            <w:tcW w:w="1300" w:type="dxa"/>
            <w:tcBorders>
              <w:top w:val="nil"/>
              <w:left w:val="nil"/>
              <w:bottom w:val="single" w:sz="4" w:space="0" w:color="auto"/>
              <w:right w:val="dotted" w:sz="4" w:space="0" w:color="auto"/>
            </w:tcBorders>
            <w:shd w:val="clear" w:color="auto" w:fill="auto"/>
            <w:vAlign w:val="center"/>
            <w:hideMark/>
          </w:tcPr>
          <w:p w14:paraId="23FA9C1E"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 </w:t>
            </w:r>
          </w:p>
        </w:tc>
        <w:tc>
          <w:tcPr>
            <w:tcW w:w="1356" w:type="dxa"/>
            <w:tcBorders>
              <w:top w:val="nil"/>
              <w:left w:val="nil"/>
              <w:bottom w:val="single" w:sz="4" w:space="0" w:color="auto"/>
              <w:right w:val="dotted" w:sz="4" w:space="0" w:color="auto"/>
            </w:tcBorders>
            <w:shd w:val="clear" w:color="auto" w:fill="auto"/>
            <w:vAlign w:val="center"/>
            <w:hideMark/>
          </w:tcPr>
          <w:p w14:paraId="6043ED22"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 </w:t>
            </w:r>
          </w:p>
        </w:tc>
        <w:tc>
          <w:tcPr>
            <w:tcW w:w="1375" w:type="dxa"/>
            <w:tcBorders>
              <w:top w:val="nil"/>
              <w:left w:val="nil"/>
              <w:bottom w:val="single" w:sz="4" w:space="0" w:color="auto"/>
              <w:right w:val="dotted" w:sz="4" w:space="0" w:color="auto"/>
            </w:tcBorders>
            <w:shd w:val="clear" w:color="auto" w:fill="auto"/>
            <w:vAlign w:val="center"/>
            <w:hideMark/>
          </w:tcPr>
          <w:p w14:paraId="28ED2112"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 </w:t>
            </w:r>
          </w:p>
        </w:tc>
        <w:tc>
          <w:tcPr>
            <w:tcW w:w="1375" w:type="dxa"/>
            <w:tcBorders>
              <w:top w:val="nil"/>
              <w:left w:val="nil"/>
              <w:bottom w:val="single" w:sz="4" w:space="0" w:color="auto"/>
              <w:right w:val="dotted" w:sz="4" w:space="0" w:color="auto"/>
            </w:tcBorders>
            <w:shd w:val="clear" w:color="auto" w:fill="auto"/>
            <w:vAlign w:val="center"/>
            <w:hideMark/>
          </w:tcPr>
          <w:p w14:paraId="2C1A82B6"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 </w:t>
            </w:r>
          </w:p>
        </w:tc>
        <w:tc>
          <w:tcPr>
            <w:tcW w:w="1375" w:type="dxa"/>
            <w:tcBorders>
              <w:top w:val="nil"/>
              <w:left w:val="nil"/>
              <w:bottom w:val="single" w:sz="4" w:space="0" w:color="auto"/>
              <w:right w:val="double" w:sz="6" w:space="0" w:color="auto"/>
            </w:tcBorders>
            <w:shd w:val="clear" w:color="auto" w:fill="auto"/>
            <w:vAlign w:val="center"/>
            <w:hideMark/>
          </w:tcPr>
          <w:p w14:paraId="10154B6C"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 </w:t>
            </w:r>
          </w:p>
        </w:tc>
        <w:tc>
          <w:tcPr>
            <w:tcW w:w="1133" w:type="dxa"/>
            <w:tcBorders>
              <w:top w:val="nil"/>
              <w:left w:val="nil"/>
              <w:bottom w:val="nil"/>
              <w:right w:val="nil"/>
            </w:tcBorders>
            <w:shd w:val="clear" w:color="auto" w:fill="auto"/>
            <w:noWrap/>
            <w:vAlign w:val="bottom"/>
            <w:hideMark/>
          </w:tcPr>
          <w:p w14:paraId="1BFB36C4"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2AFC03BC" w14:textId="77777777" w:rsidTr="00C71AF4">
        <w:trPr>
          <w:trHeight w:val="244"/>
        </w:trPr>
        <w:tc>
          <w:tcPr>
            <w:tcW w:w="5419" w:type="dxa"/>
            <w:tcBorders>
              <w:top w:val="nil"/>
              <w:left w:val="double" w:sz="6" w:space="0" w:color="auto"/>
              <w:bottom w:val="single" w:sz="4" w:space="0" w:color="auto"/>
              <w:right w:val="nil"/>
            </w:tcBorders>
            <w:shd w:val="clear" w:color="auto" w:fill="auto"/>
            <w:vAlign w:val="center"/>
            <w:hideMark/>
          </w:tcPr>
          <w:p w14:paraId="75F99E0C" w14:textId="77777777" w:rsidR="00C71AF4" w:rsidRPr="00C71AF4" w:rsidRDefault="00C71AF4" w:rsidP="00C71AF4">
            <w:pPr>
              <w:spacing w:after="0"/>
              <w:jc w:val="left"/>
              <w:rPr>
                <w:rFonts w:eastAsia="Times New Roman" w:cs="Times New Roman"/>
                <w:b/>
                <w:bCs/>
                <w:sz w:val="20"/>
                <w:szCs w:val="20"/>
              </w:rPr>
            </w:pPr>
            <w:r w:rsidRPr="00C71AF4">
              <w:rPr>
                <w:rFonts w:eastAsia="Times New Roman" w:cs="Times New Roman"/>
                <w:b/>
                <w:bCs/>
                <w:sz w:val="20"/>
                <w:szCs w:val="20"/>
              </w:rPr>
              <w:t>Components of revenues</w:t>
            </w:r>
          </w:p>
        </w:tc>
        <w:tc>
          <w:tcPr>
            <w:tcW w:w="1356" w:type="dxa"/>
            <w:tcBorders>
              <w:top w:val="nil"/>
              <w:left w:val="single" w:sz="8" w:space="0" w:color="auto"/>
              <w:bottom w:val="single" w:sz="4" w:space="0" w:color="auto"/>
              <w:right w:val="single" w:sz="8" w:space="0" w:color="auto"/>
            </w:tcBorders>
            <w:shd w:val="clear" w:color="auto" w:fill="auto"/>
            <w:vAlign w:val="center"/>
            <w:hideMark/>
          </w:tcPr>
          <w:p w14:paraId="04311D23" w14:textId="77777777" w:rsidR="00C71AF4" w:rsidRPr="00C71AF4" w:rsidRDefault="00C71AF4" w:rsidP="00C71AF4">
            <w:pPr>
              <w:spacing w:after="0"/>
              <w:jc w:val="center"/>
              <w:rPr>
                <w:rFonts w:eastAsia="Times New Roman" w:cs="Times New Roman"/>
                <w:b/>
                <w:bCs/>
                <w:sz w:val="20"/>
                <w:szCs w:val="20"/>
              </w:rPr>
            </w:pPr>
            <w:r w:rsidRPr="00C71AF4">
              <w:rPr>
                <w:rFonts w:eastAsia="Times New Roman" w:cs="Times New Roman"/>
                <w:b/>
                <w:bCs/>
                <w:sz w:val="20"/>
                <w:szCs w:val="20"/>
              </w:rPr>
              <w:t> </w:t>
            </w:r>
          </w:p>
        </w:tc>
        <w:tc>
          <w:tcPr>
            <w:tcW w:w="1412" w:type="dxa"/>
            <w:tcBorders>
              <w:top w:val="nil"/>
              <w:left w:val="nil"/>
              <w:bottom w:val="single" w:sz="4" w:space="0" w:color="auto"/>
              <w:right w:val="nil"/>
            </w:tcBorders>
            <w:shd w:val="clear" w:color="auto" w:fill="auto"/>
            <w:vAlign w:val="center"/>
            <w:hideMark/>
          </w:tcPr>
          <w:p w14:paraId="6B37750B"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00" w:type="dxa"/>
            <w:tcBorders>
              <w:top w:val="nil"/>
              <w:left w:val="nil"/>
              <w:bottom w:val="single" w:sz="4" w:space="0" w:color="auto"/>
              <w:right w:val="nil"/>
            </w:tcBorders>
            <w:shd w:val="clear" w:color="auto" w:fill="auto"/>
            <w:vAlign w:val="center"/>
            <w:hideMark/>
          </w:tcPr>
          <w:p w14:paraId="49922314"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56" w:type="dxa"/>
            <w:tcBorders>
              <w:top w:val="nil"/>
              <w:left w:val="nil"/>
              <w:bottom w:val="single" w:sz="4" w:space="0" w:color="auto"/>
              <w:right w:val="nil"/>
            </w:tcBorders>
            <w:shd w:val="clear" w:color="auto" w:fill="auto"/>
            <w:vAlign w:val="center"/>
            <w:hideMark/>
          </w:tcPr>
          <w:p w14:paraId="06588851"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75" w:type="dxa"/>
            <w:tcBorders>
              <w:top w:val="nil"/>
              <w:left w:val="nil"/>
              <w:bottom w:val="single" w:sz="4" w:space="0" w:color="auto"/>
              <w:right w:val="nil"/>
            </w:tcBorders>
            <w:shd w:val="clear" w:color="auto" w:fill="auto"/>
            <w:vAlign w:val="center"/>
            <w:hideMark/>
          </w:tcPr>
          <w:p w14:paraId="0D723AEF"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75" w:type="dxa"/>
            <w:tcBorders>
              <w:top w:val="nil"/>
              <w:left w:val="nil"/>
              <w:bottom w:val="single" w:sz="4" w:space="0" w:color="auto"/>
              <w:right w:val="nil"/>
            </w:tcBorders>
            <w:shd w:val="clear" w:color="auto" w:fill="auto"/>
            <w:vAlign w:val="center"/>
            <w:hideMark/>
          </w:tcPr>
          <w:p w14:paraId="724B9C71"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375" w:type="dxa"/>
            <w:tcBorders>
              <w:top w:val="nil"/>
              <w:left w:val="nil"/>
              <w:bottom w:val="single" w:sz="4" w:space="0" w:color="auto"/>
              <w:right w:val="double" w:sz="6" w:space="0" w:color="auto"/>
            </w:tcBorders>
            <w:shd w:val="clear" w:color="auto" w:fill="auto"/>
            <w:vAlign w:val="center"/>
            <w:hideMark/>
          </w:tcPr>
          <w:p w14:paraId="59BD8F0A" w14:textId="77777777" w:rsidR="00C71AF4" w:rsidRPr="00C71AF4" w:rsidRDefault="00C71AF4" w:rsidP="00C71AF4">
            <w:pPr>
              <w:spacing w:after="0"/>
              <w:jc w:val="right"/>
              <w:rPr>
                <w:rFonts w:eastAsia="Times New Roman" w:cs="Times New Roman"/>
                <w:b/>
                <w:bCs/>
                <w:sz w:val="20"/>
                <w:szCs w:val="20"/>
              </w:rPr>
            </w:pPr>
            <w:r w:rsidRPr="00C71AF4">
              <w:rPr>
                <w:rFonts w:eastAsia="Times New Roman" w:cs="Times New Roman"/>
                <w:b/>
                <w:bCs/>
                <w:sz w:val="20"/>
                <w:szCs w:val="20"/>
              </w:rPr>
              <w:t> </w:t>
            </w:r>
          </w:p>
        </w:tc>
        <w:tc>
          <w:tcPr>
            <w:tcW w:w="1133" w:type="dxa"/>
            <w:tcBorders>
              <w:top w:val="nil"/>
              <w:left w:val="nil"/>
              <w:bottom w:val="nil"/>
              <w:right w:val="nil"/>
            </w:tcBorders>
            <w:shd w:val="clear" w:color="auto" w:fill="auto"/>
            <w:noWrap/>
            <w:vAlign w:val="bottom"/>
            <w:hideMark/>
          </w:tcPr>
          <w:p w14:paraId="5825535D"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6E868506" w14:textId="77777777" w:rsidTr="00C71AF4">
        <w:trPr>
          <w:trHeight w:val="244"/>
        </w:trPr>
        <w:tc>
          <w:tcPr>
            <w:tcW w:w="5419" w:type="dxa"/>
            <w:tcBorders>
              <w:top w:val="nil"/>
              <w:left w:val="double" w:sz="6" w:space="0" w:color="auto"/>
              <w:bottom w:val="dotted" w:sz="4" w:space="0" w:color="auto"/>
              <w:right w:val="dotted" w:sz="4" w:space="0" w:color="auto"/>
            </w:tcBorders>
            <w:shd w:val="clear" w:color="auto" w:fill="auto"/>
            <w:vAlign w:val="center"/>
            <w:hideMark/>
          </w:tcPr>
          <w:p w14:paraId="2127FAD2"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12. Total taxes  (12 = 12a+12b+12c)</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15CE149F"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 </w:t>
            </w:r>
          </w:p>
        </w:tc>
        <w:tc>
          <w:tcPr>
            <w:tcW w:w="1412" w:type="dxa"/>
            <w:tcBorders>
              <w:top w:val="nil"/>
              <w:left w:val="nil"/>
              <w:bottom w:val="dotted" w:sz="4" w:space="0" w:color="auto"/>
              <w:right w:val="dotted" w:sz="4" w:space="0" w:color="auto"/>
            </w:tcBorders>
            <w:shd w:val="clear" w:color="auto" w:fill="auto"/>
            <w:vAlign w:val="center"/>
            <w:hideMark/>
          </w:tcPr>
          <w:p w14:paraId="1DF9D26F"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1.807,5</w:t>
            </w:r>
          </w:p>
        </w:tc>
        <w:tc>
          <w:tcPr>
            <w:tcW w:w="1300" w:type="dxa"/>
            <w:tcBorders>
              <w:top w:val="nil"/>
              <w:left w:val="nil"/>
              <w:bottom w:val="dotted" w:sz="4" w:space="0" w:color="auto"/>
              <w:right w:val="dotted" w:sz="4" w:space="0" w:color="auto"/>
            </w:tcBorders>
            <w:shd w:val="clear" w:color="auto" w:fill="auto"/>
            <w:vAlign w:val="center"/>
            <w:hideMark/>
          </w:tcPr>
          <w:p w14:paraId="140AA86B"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2.017,9</w:t>
            </w:r>
          </w:p>
        </w:tc>
        <w:tc>
          <w:tcPr>
            <w:tcW w:w="1356" w:type="dxa"/>
            <w:tcBorders>
              <w:top w:val="nil"/>
              <w:left w:val="nil"/>
              <w:bottom w:val="dotted" w:sz="4" w:space="0" w:color="auto"/>
              <w:right w:val="dotted" w:sz="4" w:space="0" w:color="auto"/>
            </w:tcBorders>
            <w:shd w:val="clear" w:color="auto" w:fill="auto"/>
            <w:vAlign w:val="center"/>
            <w:hideMark/>
          </w:tcPr>
          <w:p w14:paraId="77EBDE45"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2.258,8</w:t>
            </w:r>
          </w:p>
        </w:tc>
        <w:tc>
          <w:tcPr>
            <w:tcW w:w="1375" w:type="dxa"/>
            <w:tcBorders>
              <w:top w:val="nil"/>
              <w:left w:val="nil"/>
              <w:bottom w:val="dotted" w:sz="4" w:space="0" w:color="auto"/>
              <w:right w:val="dotted" w:sz="4" w:space="0" w:color="auto"/>
            </w:tcBorders>
            <w:shd w:val="clear" w:color="auto" w:fill="auto"/>
            <w:vAlign w:val="center"/>
            <w:hideMark/>
          </w:tcPr>
          <w:p w14:paraId="2EBAEF42"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2.405,4</w:t>
            </w:r>
          </w:p>
        </w:tc>
        <w:tc>
          <w:tcPr>
            <w:tcW w:w="1375" w:type="dxa"/>
            <w:tcBorders>
              <w:top w:val="nil"/>
              <w:left w:val="nil"/>
              <w:bottom w:val="dotted" w:sz="4" w:space="0" w:color="auto"/>
              <w:right w:val="dotted" w:sz="4" w:space="0" w:color="auto"/>
            </w:tcBorders>
            <w:shd w:val="clear" w:color="auto" w:fill="auto"/>
            <w:vAlign w:val="center"/>
            <w:hideMark/>
          </w:tcPr>
          <w:p w14:paraId="547989EC"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2.572,6</w:t>
            </w:r>
          </w:p>
        </w:tc>
        <w:tc>
          <w:tcPr>
            <w:tcW w:w="1375" w:type="dxa"/>
            <w:tcBorders>
              <w:top w:val="nil"/>
              <w:left w:val="nil"/>
              <w:bottom w:val="dotted" w:sz="4" w:space="0" w:color="auto"/>
              <w:right w:val="double" w:sz="6" w:space="0" w:color="auto"/>
            </w:tcBorders>
            <w:shd w:val="clear" w:color="auto" w:fill="auto"/>
            <w:vAlign w:val="center"/>
            <w:hideMark/>
          </w:tcPr>
          <w:p w14:paraId="55ACFF7F"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2.756,4</w:t>
            </w:r>
          </w:p>
        </w:tc>
        <w:tc>
          <w:tcPr>
            <w:tcW w:w="1133" w:type="dxa"/>
            <w:tcBorders>
              <w:top w:val="nil"/>
              <w:left w:val="nil"/>
              <w:bottom w:val="nil"/>
              <w:right w:val="nil"/>
            </w:tcBorders>
            <w:shd w:val="clear" w:color="auto" w:fill="auto"/>
            <w:noWrap/>
            <w:vAlign w:val="bottom"/>
            <w:hideMark/>
          </w:tcPr>
          <w:p w14:paraId="68D28007"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568B4836" w14:textId="77777777" w:rsidTr="00C71AF4">
        <w:trPr>
          <w:trHeight w:val="244"/>
        </w:trPr>
        <w:tc>
          <w:tcPr>
            <w:tcW w:w="5419" w:type="dxa"/>
            <w:tcBorders>
              <w:top w:val="nil"/>
              <w:left w:val="double" w:sz="6" w:space="0" w:color="auto"/>
              <w:bottom w:val="dotted" w:sz="4" w:space="0" w:color="auto"/>
              <w:right w:val="dotted" w:sz="4" w:space="0" w:color="auto"/>
            </w:tcBorders>
            <w:shd w:val="clear" w:color="auto" w:fill="auto"/>
            <w:vAlign w:val="center"/>
            <w:hideMark/>
          </w:tcPr>
          <w:p w14:paraId="39AA3A61"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12a. Taxes on production and imports</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528E772D"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D2</w:t>
            </w:r>
          </w:p>
        </w:tc>
        <w:tc>
          <w:tcPr>
            <w:tcW w:w="1412" w:type="dxa"/>
            <w:tcBorders>
              <w:top w:val="nil"/>
              <w:left w:val="nil"/>
              <w:bottom w:val="dotted" w:sz="4" w:space="0" w:color="auto"/>
              <w:right w:val="dotted" w:sz="4" w:space="0" w:color="auto"/>
            </w:tcBorders>
            <w:shd w:val="clear" w:color="auto" w:fill="auto"/>
            <w:vAlign w:val="center"/>
            <w:hideMark/>
          </w:tcPr>
          <w:p w14:paraId="3E7ECE51"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1.242,4</w:t>
            </w:r>
          </w:p>
        </w:tc>
        <w:tc>
          <w:tcPr>
            <w:tcW w:w="1300" w:type="dxa"/>
            <w:tcBorders>
              <w:top w:val="nil"/>
              <w:left w:val="nil"/>
              <w:bottom w:val="dotted" w:sz="4" w:space="0" w:color="auto"/>
              <w:right w:val="dotted" w:sz="4" w:space="0" w:color="auto"/>
            </w:tcBorders>
            <w:shd w:val="clear" w:color="auto" w:fill="auto"/>
            <w:vAlign w:val="center"/>
            <w:hideMark/>
          </w:tcPr>
          <w:p w14:paraId="21BDD285"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1.340,4</w:t>
            </w:r>
          </w:p>
        </w:tc>
        <w:tc>
          <w:tcPr>
            <w:tcW w:w="1356" w:type="dxa"/>
            <w:tcBorders>
              <w:top w:val="nil"/>
              <w:left w:val="nil"/>
              <w:bottom w:val="dotted" w:sz="4" w:space="0" w:color="auto"/>
              <w:right w:val="dotted" w:sz="4" w:space="0" w:color="auto"/>
            </w:tcBorders>
            <w:shd w:val="clear" w:color="auto" w:fill="auto"/>
            <w:vAlign w:val="center"/>
            <w:hideMark/>
          </w:tcPr>
          <w:p w14:paraId="0A41EAAC"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1.510,8</w:t>
            </w:r>
          </w:p>
        </w:tc>
        <w:tc>
          <w:tcPr>
            <w:tcW w:w="1375" w:type="dxa"/>
            <w:tcBorders>
              <w:top w:val="nil"/>
              <w:left w:val="nil"/>
              <w:bottom w:val="dotted" w:sz="4" w:space="0" w:color="auto"/>
              <w:right w:val="dotted" w:sz="4" w:space="0" w:color="auto"/>
            </w:tcBorders>
            <w:shd w:val="clear" w:color="auto" w:fill="auto"/>
            <w:vAlign w:val="center"/>
            <w:hideMark/>
          </w:tcPr>
          <w:p w14:paraId="1DD47E5C"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1.630,2</w:t>
            </w:r>
          </w:p>
        </w:tc>
        <w:tc>
          <w:tcPr>
            <w:tcW w:w="1375" w:type="dxa"/>
            <w:tcBorders>
              <w:top w:val="nil"/>
              <w:left w:val="nil"/>
              <w:bottom w:val="dotted" w:sz="4" w:space="0" w:color="auto"/>
              <w:right w:val="dotted" w:sz="4" w:space="0" w:color="auto"/>
            </w:tcBorders>
            <w:shd w:val="clear" w:color="auto" w:fill="auto"/>
            <w:vAlign w:val="center"/>
            <w:hideMark/>
          </w:tcPr>
          <w:p w14:paraId="7C0059E6"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1.741,8</w:t>
            </w:r>
          </w:p>
        </w:tc>
        <w:tc>
          <w:tcPr>
            <w:tcW w:w="1375" w:type="dxa"/>
            <w:tcBorders>
              <w:top w:val="nil"/>
              <w:left w:val="nil"/>
              <w:bottom w:val="dotted" w:sz="4" w:space="0" w:color="auto"/>
              <w:right w:val="double" w:sz="6" w:space="0" w:color="auto"/>
            </w:tcBorders>
            <w:shd w:val="clear" w:color="auto" w:fill="auto"/>
            <w:vAlign w:val="center"/>
            <w:hideMark/>
          </w:tcPr>
          <w:p w14:paraId="3485BB86"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1.866,6</w:t>
            </w:r>
          </w:p>
        </w:tc>
        <w:tc>
          <w:tcPr>
            <w:tcW w:w="1133" w:type="dxa"/>
            <w:tcBorders>
              <w:top w:val="nil"/>
              <w:left w:val="nil"/>
              <w:bottom w:val="nil"/>
              <w:right w:val="nil"/>
            </w:tcBorders>
            <w:shd w:val="clear" w:color="auto" w:fill="auto"/>
            <w:noWrap/>
            <w:vAlign w:val="bottom"/>
            <w:hideMark/>
          </w:tcPr>
          <w:p w14:paraId="0977DDF9"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6BF0D8C5" w14:textId="77777777" w:rsidTr="00C71AF4">
        <w:trPr>
          <w:trHeight w:val="244"/>
        </w:trPr>
        <w:tc>
          <w:tcPr>
            <w:tcW w:w="5419" w:type="dxa"/>
            <w:tcBorders>
              <w:top w:val="nil"/>
              <w:left w:val="double" w:sz="6" w:space="0" w:color="auto"/>
              <w:bottom w:val="dotted" w:sz="4" w:space="0" w:color="auto"/>
              <w:right w:val="dotted" w:sz="4" w:space="0" w:color="auto"/>
            </w:tcBorders>
            <w:shd w:val="clear" w:color="auto" w:fill="auto"/>
            <w:vAlign w:val="center"/>
            <w:hideMark/>
          </w:tcPr>
          <w:p w14:paraId="385E26A5"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12b. Current taxes on income and wealth</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0EFD586B"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D5</w:t>
            </w:r>
          </w:p>
        </w:tc>
        <w:tc>
          <w:tcPr>
            <w:tcW w:w="1412" w:type="dxa"/>
            <w:tcBorders>
              <w:top w:val="nil"/>
              <w:left w:val="nil"/>
              <w:bottom w:val="dotted" w:sz="4" w:space="0" w:color="auto"/>
              <w:right w:val="dotted" w:sz="4" w:space="0" w:color="auto"/>
            </w:tcBorders>
            <w:shd w:val="clear" w:color="auto" w:fill="auto"/>
            <w:vAlign w:val="center"/>
            <w:hideMark/>
          </w:tcPr>
          <w:p w14:paraId="2835B77F"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563,7</w:t>
            </w:r>
          </w:p>
        </w:tc>
        <w:tc>
          <w:tcPr>
            <w:tcW w:w="1300" w:type="dxa"/>
            <w:tcBorders>
              <w:top w:val="nil"/>
              <w:left w:val="nil"/>
              <w:bottom w:val="dotted" w:sz="4" w:space="0" w:color="auto"/>
              <w:right w:val="dotted" w:sz="4" w:space="0" w:color="auto"/>
            </w:tcBorders>
            <w:shd w:val="clear" w:color="auto" w:fill="auto"/>
            <w:vAlign w:val="center"/>
            <w:hideMark/>
          </w:tcPr>
          <w:p w14:paraId="2FCD4693"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676,6</w:t>
            </w:r>
          </w:p>
        </w:tc>
        <w:tc>
          <w:tcPr>
            <w:tcW w:w="1356" w:type="dxa"/>
            <w:tcBorders>
              <w:top w:val="nil"/>
              <w:left w:val="nil"/>
              <w:bottom w:val="dotted" w:sz="4" w:space="0" w:color="auto"/>
              <w:right w:val="dotted" w:sz="4" w:space="0" w:color="auto"/>
            </w:tcBorders>
            <w:shd w:val="clear" w:color="auto" w:fill="auto"/>
            <w:vAlign w:val="center"/>
            <w:hideMark/>
          </w:tcPr>
          <w:p w14:paraId="71193B28"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747,0</w:t>
            </w:r>
          </w:p>
        </w:tc>
        <w:tc>
          <w:tcPr>
            <w:tcW w:w="1375" w:type="dxa"/>
            <w:tcBorders>
              <w:top w:val="nil"/>
              <w:left w:val="nil"/>
              <w:bottom w:val="dotted" w:sz="4" w:space="0" w:color="auto"/>
              <w:right w:val="dotted" w:sz="4" w:space="0" w:color="auto"/>
            </w:tcBorders>
            <w:shd w:val="clear" w:color="auto" w:fill="auto"/>
            <w:vAlign w:val="center"/>
            <w:hideMark/>
          </w:tcPr>
          <w:p w14:paraId="6FFF71DA"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773,9</w:t>
            </w:r>
          </w:p>
        </w:tc>
        <w:tc>
          <w:tcPr>
            <w:tcW w:w="1375" w:type="dxa"/>
            <w:tcBorders>
              <w:top w:val="nil"/>
              <w:left w:val="nil"/>
              <w:bottom w:val="dotted" w:sz="4" w:space="0" w:color="auto"/>
              <w:right w:val="dotted" w:sz="4" w:space="0" w:color="auto"/>
            </w:tcBorders>
            <w:shd w:val="clear" w:color="auto" w:fill="auto"/>
            <w:vAlign w:val="center"/>
            <w:hideMark/>
          </w:tcPr>
          <w:p w14:paraId="35BFB002"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829,3</w:t>
            </w:r>
          </w:p>
        </w:tc>
        <w:tc>
          <w:tcPr>
            <w:tcW w:w="1375" w:type="dxa"/>
            <w:tcBorders>
              <w:top w:val="nil"/>
              <w:left w:val="nil"/>
              <w:bottom w:val="dotted" w:sz="4" w:space="0" w:color="auto"/>
              <w:right w:val="double" w:sz="6" w:space="0" w:color="auto"/>
            </w:tcBorders>
            <w:shd w:val="clear" w:color="auto" w:fill="auto"/>
            <w:vAlign w:val="center"/>
            <w:hideMark/>
          </w:tcPr>
          <w:p w14:paraId="15D0014A"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887,9</w:t>
            </w:r>
          </w:p>
        </w:tc>
        <w:tc>
          <w:tcPr>
            <w:tcW w:w="1133" w:type="dxa"/>
            <w:tcBorders>
              <w:top w:val="nil"/>
              <w:left w:val="nil"/>
              <w:bottom w:val="nil"/>
              <w:right w:val="nil"/>
            </w:tcBorders>
            <w:shd w:val="clear" w:color="auto" w:fill="auto"/>
            <w:noWrap/>
            <w:vAlign w:val="bottom"/>
            <w:hideMark/>
          </w:tcPr>
          <w:p w14:paraId="67CE2F13"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12F80C04" w14:textId="77777777" w:rsidTr="00C71AF4">
        <w:trPr>
          <w:trHeight w:val="244"/>
        </w:trPr>
        <w:tc>
          <w:tcPr>
            <w:tcW w:w="5419" w:type="dxa"/>
            <w:tcBorders>
              <w:top w:val="nil"/>
              <w:left w:val="double" w:sz="6" w:space="0" w:color="auto"/>
              <w:bottom w:val="dotted" w:sz="4" w:space="0" w:color="auto"/>
              <w:right w:val="dotted" w:sz="4" w:space="0" w:color="auto"/>
            </w:tcBorders>
            <w:shd w:val="clear" w:color="auto" w:fill="auto"/>
            <w:vAlign w:val="center"/>
            <w:hideMark/>
          </w:tcPr>
          <w:p w14:paraId="11B8FADA"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12c. Capital taxes</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007C2549"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D91</w:t>
            </w:r>
          </w:p>
        </w:tc>
        <w:tc>
          <w:tcPr>
            <w:tcW w:w="1412" w:type="dxa"/>
            <w:tcBorders>
              <w:top w:val="nil"/>
              <w:left w:val="nil"/>
              <w:bottom w:val="dotted" w:sz="4" w:space="0" w:color="auto"/>
              <w:right w:val="dotted" w:sz="4" w:space="0" w:color="auto"/>
            </w:tcBorders>
            <w:shd w:val="clear" w:color="auto" w:fill="auto"/>
            <w:vAlign w:val="center"/>
            <w:hideMark/>
          </w:tcPr>
          <w:p w14:paraId="35AF1BD1"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1,3</w:t>
            </w:r>
          </w:p>
        </w:tc>
        <w:tc>
          <w:tcPr>
            <w:tcW w:w="1300" w:type="dxa"/>
            <w:tcBorders>
              <w:top w:val="nil"/>
              <w:left w:val="nil"/>
              <w:bottom w:val="dotted" w:sz="4" w:space="0" w:color="auto"/>
              <w:right w:val="dotted" w:sz="4" w:space="0" w:color="auto"/>
            </w:tcBorders>
            <w:shd w:val="clear" w:color="auto" w:fill="auto"/>
            <w:vAlign w:val="center"/>
            <w:hideMark/>
          </w:tcPr>
          <w:p w14:paraId="19CAE08B"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0,9</w:t>
            </w:r>
          </w:p>
        </w:tc>
        <w:tc>
          <w:tcPr>
            <w:tcW w:w="1356" w:type="dxa"/>
            <w:tcBorders>
              <w:top w:val="nil"/>
              <w:left w:val="nil"/>
              <w:bottom w:val="dotted" w:sz="4" w:space="0" w:color="auto"/>
              <w:right w:val="dotted" w:sz="4" w:space="0" w:color="auto"/>
            </w:tcBorders>
            <w:shd w:val="clear" w:color="auto" w:fill="auto"/>
            <w:vAlign w:val="center"/>
            <w:hideMark/>
          </w:tcPr>
          <w:p w14:paraId="1714FB9B"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1,0</w:t>
            </w:r>
          </w:p>
        </w:tc>
        <w:tc>
          <w:tcPr>
            <w:tcW w:w="1375" w:type="dxa"/>
            <w:tcBorders>
              <w:top w:val="nil"/>
              <w:left w:val="nil"/>
              <w:bottom w:val="dotted" w:sz="4" w:space="0" w:color="auto"/>
              <w:right w:val="dotted" w:sz="4" w:space="0" w:color="auto"/>
            </w:tcBorders>
            <w:shd w:val="clear" w:color="auto" w:fill="auto"/>
            <w:vAlign w:val="center"/>
            <w:hideMark/>
          </w:tcPr>
          <w:p w14:paraId="1B052B40"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1,3</w:t>
            </w:r>
          </w:p>
        </w:tc>
        <w:tc>
          <w:tcPr>
            <w:tcW w:w="1375" w:type="dxa"/>
            <w:tcBorders>
              <w:top w:val="nil"/>
              <w:left w:val="nil"/>
              <w:bottom w:val="dotted" w:sz="4" w:space="0" w:color="auto"/>
              <w:right w:val="dotted" w:sz="4" w:space="0" w:color="auto"/>
            </w:tcBorders>
            <w:shd w:val="clear" w:color="auto" w:fill="auto"/>
            <w:vAlign w:val="center"/>
            <w:hideMark/>
          </w:tcPr>
          <w:p w14:paraId="3058E3BC"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1,6</w:t>
            </w:r>
          </w:p>
        </w:tc>
        <w:tc>
          <w:tcPr>
            <w:tcW w:w="1375" w:type="dxa"/>
            <w:tcBorders>
              <w:top w:val="nil"/>
              <w:left w:val="nil"/>
              <w:bottom w:val="dotted" w:sz="4" w:space="0" w:color="auto"/>
              <w:right w:val="double" w:sz="6" w:space="0" w:color="auto"/>
            </w:tcBorders>
            <w:shd w:val="clear" w:color="auto" w:fill="auto"/>
            <w:vAlign w:val="center"/>
            <w:hideMark/>
          </w:tcPr>
          <w:p w14:paraId="5D256096"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1,9</w:t>
            </w:r>
          </w:p>
        </w:tc>
        <w:tc>
          <w:tcPr>
            <w:tcW w:w="1133" w:type="dxa"/>
            <w:tcBorders>
              <w:top w:val="nil"/>
              <w:left w:val="nil"/>
              <w:bottom w:val="nil"/>
              <w:right w:val="nil"/>
            </w:tcBorders>
            <w:shd w:val="clear" w:color="auto" w:fill="auto"/>
            <w:noWrap/>
            <w:vAlign w:val="bottom"/>
            <w:hideMark/>
          </w:tcPr>
          <w:p w14:paraId="7DF74AA8"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7B78628C" w14:textId="77777777" w:rsidTr="00C71AF4">
        <w:trPr>
          <w:trHeight w:val="244"/>
        </w:trPr>
        <w:tc>
          <w:tcPr>
            <w:tcW w:w="5419" w:type="dxa"/>
            <w:tcBorders>
              <w:top w:val="nil"/>
              <w:left w:val="double" w:sz="6" w:space="0" w:color="auto"/>
              <w:bottom w:val="dotted" w:sz="4" w:space="0" w:color="auto"/>
              <w:right w:val="dotted" w:sz="4" w:space="0" w:color="auto"/>
            </w:tcBorders>
            <w:shd w:val="clear" w:color="auto" w:fill="auto"/>
            <w:vAlign w:val="center"/>
            <w:hideMark/>
          </w:tcPr>
          <w:p w14:paraId="50F1A807"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13. Social contributions</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61C805AF"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D61</w:t>
            </w:r>
          </w:p>
        </w:tc>
        <w:tc>
          <w:tcPr>
            <w:tcW w:w="1412" w:type="dxa"/>
            <w:tcBorders>
              <w:top w:val="nil"/>
              <w:left w:val="nil"/>
              <w:bottom w:val="dotted" w:sz="4" w:space="0" w:color="auto"/>
              <w:right w:val="dotted" w:sz="4" w:space="0" w:color="auto"/>
            </w:tcBorders>
            <w:shd w:val="clear" w:color="auto" w:fill="auto"/>
            <w:vAlign w:val="center"/>
            <w:hideMark/>
          </w:tcPr>
          <w:p w14:paraId="518EEF0D"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952,2</w:t>
            </w:r>
          </w:p>
        </w:tc>
        <w:tc>
          <w:tcPr>
            <w:tcW w:w="1300" w:type="dxa"/>
            <w:tcBorders>
              <w:top w:val="nil"/>
              <w:left w:val="nil"/>
              <w:bottom w:val="dotted" w:sz="4" w:space="0" w:color="auto"/>
              <w:right w:val="dotted" w:sz="4" w:space="0" w:color="auto"/>
            </w:tcBorders>
            <w:shd w:val="clear" w:color="auto" w:fill="auto"/>
            <w:vAlign w:val="center"/>
            <w:hideMark/>
          </w:tcPr>
          <w:p w14:paraId="7375B5D0"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1.060,9</w:t>
            </w:r>
          </w:p>
        </w:tc>
        <w:tc>
          <w:tcPr>
            <w:tcW w:w="1356" w:type="dxa"/>
            <w:tcBorders>
              <w:top w:val="nil"/>
              <w:left w:val="nil"/>
              <w:bottom w:val="dotted" w:sz="4" w:space="0" w:color="auto"/>
              <w:right w:val="dotted" w:sz="4" w:space="0" w:color="auto"/>
            </w:tcBorders>
            <w:shd w:val="clear" w:color="auto" w:fill="auto"/>
            <w:vAlign w:val="center"/>
            <w:hideMark/>
          </w:tcPr>
          <w:p w14:paraId="05CCE294"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1.220,1</w:t>
            </w:r>
          </w:p>
        </w:tc>
        <w:tc>
          <w:tcPr>
            <w:tcW w:w="1375" w:type="dxa"/>
            <w:tcBorders>
              <w:top w:val="nil"/>
              <w:left w:val="nil"/>
              <w:bottom w:val="dotted" w:sz="4" w:space="0" w:color="auto"/>
              <w:right w:val="dotted" w:sz="4" w:space="0" w:color="auto"/>
            </w:tcBorders>
            <w:shd w:val="clear" w:color="auto" w:fill="auto"/>
            <w:vAlign w:val="center"/>
            <w:hideMark/>
          </w:tcPr>
          <w:p w14:paraId="201CFE8A"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1.344,6</w:t>
            </w:r>
          </w:p>
        </w:tc>
        <w:tc>
          <w:tcPr>
            <w:tcW w:w="1375" w:type="dxa"/>
            <w:tcBorders>
              <w:top w:val="nil"/>
              <w:left w:val="nil"/>
              <w:bottom w:val="dotted" w:sz="4" w:space="0" w:color="auto"/>
              <w:right w:val="dotted" w:sz="4" w:space="0" w:color="auto"/>
            </w:tcBorders>
            <w:shd w:val="clear" w:color="auto" w:fill="auto"/>
            <w:vAlign w:val="center"/>
            <w:hideMark/>
          </w:tcPr>
          <w:p w14:paraId="135DC582"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1.466,9</w:t>
            </w:r>
          </w:p>
        </w:tc>
        <w:tc>
          <w:tcPr>
            <w:tcW w:w="1375" w:type="dxa"/>
            <w:tcBorders>
              <w:top w:val="nil"/>
              <w:left w:val="nil"/>
              <w:bottom w:val="dotted" w:sz="4" w:space="0" w:color="auto"/>
              <w:right w:val="double" w:sz="6" w:space="0" w:color="auto"/>
            </w:tcBorders>
            <w:shd w:val="clear" w:color="auto" w:fill="auto"/>
            <w:vAlign w:val="center"/>
            <w:hideMark/>
          </w:tcPr>
          <w:p w14:paraId="0F6EC9BF"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1.602,3</w:t>
            </w:r>
          </w:p>
        </w:tc>
        <w:tc>
          <w:tcPr>
            <w:tcW w:w="1133" w:type="dxa"/>
            <w:tcBorders>
              <w:top w:val="nil"/>
              <w:left w:val="nil"/>
              <w:bottom w:val="nil"/>
              <w:right w:val="nil"/>
            </w:tcBorders>
            <w:shd w:val="clear" w:color="auto" w:fill="auto"/>
            <w:noWrap/>
            <w:vAlign w:val="bottom"/>
            <w:hideMark/>
          </w:tcPr>
          <w:p w14:paraId="283E5CBC"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7998DD6D" w14:textId="77777777" w:rsidTr="00C71AF4">
        <w:trPr>
          <w:trHeight w:val="244"/>
        </w:trPr>
        <w:tc>
          <w:tcPr>
            <w:tcW w:w="5419" w:type="dxa"/>
            <w:tcBorders>
              <w:top w:val="nil"/>
              <w:left w:val="double" w:sz="6" w:space="0" w:color="auto"/>
              <w:bottom w:val="dotted" w:sz="4" w:space="0" w:color="auto"/>
              <w:right w:val="dotted" w:sz="4" w:space="0" w:color="auto"/>
            </w:tcBorders>
            <w:shd w:val="clear" w:color="auto" w:fill="auto"/>
            <w:vAlign w:val="center"/>
            <w:hideMark/>
          </w:tcPr>
          <w:p w14:paraId="54699549"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14. Property income</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7190F83E"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D4</w:t>
            </w:r>
          </w:p>
        </w:tc>
        <w:tc>
          <w:tcPr>
            <w:tcW w:w="1412" w:type="dxa"/>
            <w:tcBorders>
              <w:top w:val="nil"/>
              <w:left w:val="nil"/>
              <w:bottom w:val="dotted" w:sz="4" w:space="0" w:color="auto"/>
              <w:right w:val="dotted" w:sz="4" w:space="0" w:color="auto"/>
            </w:tcBorders>
            <w:shd w:val="clear" w:color="auto" w:fill="auto"/>
            <w:vAlign w:val="center"/>
            <w:hideMark/>
          </w:tcPr>
          <w:p w14:paraId="619063D9"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90,6</w:t>
            </w:r>
          </w:p>
        </w:tc>
        <w:tc>
          <w:tcPr>
            <w:tcW w:w="1300" w:type="dxa"/>
            <w:tcBorders>
              <w:top w:val="nil"/>
              <w:left w:val="nil"/>
              <w:bottom w:val="dotted" w:sz="4" w:space="0" w:color="auto"/>
              <w:right w:val="dotted" w:sz="4" w:space="0" w:color="auto"/>
            </w:tcBorders>
            <w:shd w:val="clear" w:color="auto" w:fill="auto"/>
            <w:vAlign w:val="center"/>
            <w:hideMark/>
          </w:tcPr>
          <w:p w14:paraId="7B536973"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96,7</w:t>
            </w:r>
          </w:p>
        </w:tc>
        <w:tc>
          <w:tcPr>
            <w:tcW w:w="1356" w:type="dxa"/>
            <w:tcBorders>
              <w:top w:val="nil"/>
              <w:left w:val="nil"/>
              <w:bottom w:val="dotted" w:sz="4" w:space="0" w:color="auto"/>
              <w:right w:val="dotted" w:sz="4" w:space="0" w:color="auto"/>
            </w:tcBorders>
            <w:shd w:val="clear" w:color="auto" w:fill="auto"/>
            <w:vAlign w:val="center"/>
            <w:hideMark/>
          </w:tcPr>
          <w:p w14:paraId="4A015704"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120,4</w:t>
            </w:r>
          </w:p>
        </w:tc>
        <w:tc>
          <w:tcPr>
            <w:tcW w:w="1375" w:type="dxa"/>
            <w:tcBorders>
              <w:top w:val="nil"/>
              <w:left w:val="nil"/>
              <w:bottom w:val="dotted" w:sz="4" w:space="0" w:color="auto"/>
              <w:right w:val="dotted" w:sz="4" w:space="0" w:color="auto"/>
            </w:tcBorders>
            <w:shd w:val="clear" w:color="auto" w:fill="auto"/>
            <w:vAlign w:val="center"/>
            <w:hideMark/>
          </w:tcPr>
          <w:p w14:paraId="30740035"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116,5</w:t>
            </w:r>
          </w:p>
        </w:tc>
        <w:tc>
          <w:tcPr>
            <w:tcW w:w="1375" w:type="dxa"/>
            <w:tcBorders>
              <w:top w:val="nil"/>
              <w:left w:val="nil"/>
              <w:bottom w:val="dotted" w:sz="4" w:space="0" w:color="auto"/>
              <w:right w:val="dotted" w:sz="4" w:space="0" w:color="auto"/>
            </w:tcBorders>
            <w:shd w:val="clear" w:color="auto" w:fill="auto"/>
            <w:vAlign w:val="center"/>
            <w:hideMark/>
          </w:tcPr>
          <w:p w14:paraId="6D38BD3B"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127,0</w:t>
            </w:r>
          </w:p>
        </w:tc>
        <w:tc>
          <w:tcPr>
            <w:tcW w:w="1375" w:type="dxa"/>
            <w:tcBorders>
              <w:top w:val="nil"/>
              <w:left w:val="nil"/>
              <w:bottom w:val="dotted" w:sz="4" w:space="0" w:color="auto"/>
              <w:right w:val="double" w:sz="6" w:space="0" w:color="auto"/>
            </w:tcBorders>
            <w:shd w:val="clear" w:color="auto" w:fill="auto"/>
            <w:vAlign w:val="center"/>
            <w:hideMark/>
          </w:tcPr>
          <w:p w14:paraId="34C06151"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139,1</w:t>
            </w:r>
          </w:p>
        </w:tc>
        <w:tc>
          <w:tcPr>
            <w:tcW w:w="1133" w:type="dxa"/>
            <w:tcBorders>
              <w:top w:val="nil"/>
              <w:left w:val="nil"/>
              <w:bottom w:val="nil"/>
              <w:right w:val="nil"/>
            </w:tcBorders>
            <w:shd w:val="clear" w:color="auto" w:fill="auto"/>
            <w:noWrap/>
            <w:vAlign w:val="bottom"/>
            <w:hideMark/>
          </w:tcPr>
          <w:p w14:paraId="53623505"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4D7AE1B1" w14:textId="77777777" w:rsidTr="00C71AF4">
        <w:trPr>
          <w:trHeight w:val="244"/>
        </w:trPr>
        <w:tc>
          <w:tcPr>
            <w:tcW w:w="5419" w:type="dxa"/>
            <w:tcBorders>
              <w:top w:val="nil"/>
              <w:left w:val="double" w:sz="6" w:space="0" w:color="auto"/>
              <w:bottom w:val="dotted" w:sz="4" w:space="0" w:color="auto"/>
              <w:right w:val="dotted" w:sz="4" w:space="0" w:color="auto"/>
            </w:tcBorders>
            <w:shd w:val="clear" w:color="auto" w:fill="auto"/>
            <w:vAlign w:val="center"/>
            <w:hideMark/>
          </w:tcPr>
          <w:p w14:paraId="78738BEA" w14:textId="61A17F36" w:rsidR="00C71AF4" w:rsidRPr="00C71AF4" w:rsidRDefault="00602766" w:rsidP="00C71AF4">
            <w:pPr>
              <w:spacing w:after="0"/>
              <w:jc w:val="left"/>
              <w:rPr>
                <w:rFonts w:eastAsia="Times New Roman" w:cs="Times New Roman"/>
                <w:sz w:val="20"/>
                <w:szCs w:val="20"/>
              </w:rPr>
            </w:pPr>
            <w:hyperlink r:id="rId40" w:anchor="RANGE!B142" w:history="1">
              <w:r w:rsidR="00C71AF4" w:rsidRPr="00C71AF4">
                <w:rPr>
                  <w:rFonts w:eastAsia="Times New Roman" w:cs="Times New Roman"/>
                  <w:sz w:val="20"/>
                  <w:szCs w:val="20"/>
                </w:rPr>
                <w:t>15. Other (15 = 16-(12+13+14)) [4]</w:t>
              </w:r>
            </w:hyperlink>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03CB90D0"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 </w:t>
            </w:r>
          </w:p>
        </w:tc>
        <w:tc>
          <w:tcPr>
            <w:tcW w:w="1412" w:type="dxa"/>
            <w:tcBorders>
              <w:top w:val="nil"/>
              <w:left w:val="nil"/>
              <w:bottom w:val="dotted" w:sz="4" w:space="0" w:color="auto"/>
              <w:right w:val="dotted" w:sz="4" w:space="0" w:color="auto"/>
            </w:tcBorders>
            <w:shd w:val="clear" w:color="auto" w:fill="auto"/>
            <w:vAlign w:val="center"/>
            <w:hideMark/>
          </w:tcPr>
          <w:p w14:paraId="337F3855"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253,1</w:t>
            </w:r>
          </w:p>
        </w:tc>
        <w:tc>
          <w:tcPr>
            <w:tcW w:w="1300" w:type="dxa"/>
            <w:tcBorders>
              <w:top w:val="nil"/>
              <w:left w:val="nil"/>
              <w:bottom w:val="dotted" w:sz="4" w:space="0" w:color="auto"/>
              <w:right w:val="dotted" w:sz="4" w:space="0" w:color="auto"/>
            </w:tcBorders>
            <w:shd w:val="clear" w:color="auto" w:fill="auto"/>
            <w:vAlign w:val="center"/>
            <w:hideMark/>
          </w:tcPr>
          <w:p w14:paraId="32A0D445"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297,9</w:t>
            </w:r>
          </w:p>
        </w:tc>
        <w:tc>
          <w:tcPr>
            <w:tcW w:w="1356" w:type="dxa"/>
            <w:tcBorders>
              <w:top w:val="nil"/>
              <w:left w:val="nil"/>
              <w:bottom w:val="dotted" w:sz="4" w:space="0" w:color="auto"/>
              <w:right w:val="dotted" w:sz="4" w:space="0" w:color="auto"/>
            </w:tcBorders>
            <w:shd w:val="clear" w:color="auto" w:fill="auto"/>
            <w:vAlign w:val="center"/>
            <w:hideMark/>
          </w:tcPr>
          <w:p w14:paraId="5EFC282B"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322,9</w:t>
            </w:r>
          </w:p>
        </w:tc>
        <w:tc>
          <w:tcPr>
            <w:tcW w:w="1375" w:type="dxa"/>
            <w:tcBorders>
              <w:top w:val="nil"/>
              <w:left w:val="nil"/>
              <w:bottom w:val="dotted" w:sz="4" w:space="0" w:color="auto"/>
              <w:right w:val="dotted" w:sz="4" w:space="0" w:color="auto"/>
            </w:tcBorders>
            <w:shd w:val="clear" w:color="auto" w:fill="auto"/>
            <w:vAlign w:val="center"/>
            <w:hideMark/>
          </w:tcPr>
          <w:p w14:paraId="0A9DCFF1"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397,8</w:t>
            </w:r>
          </w:p>
        </w:tc>
        <w:tc>
          <w:tcPr>
            <w:tcW w:w="1375" w:type="dxa"/>
            <w:tcBorders>
              <w:top w:val="nil"/>
              <w:left w:val="nil"/>
              <w:bottom w:val="dotted" w:sz="4" w:space="0" w:color="auto"/>
              <w:right w:val="dotted" w:sz="4" w:space="0" w:color="auto"/>
            </w:tcBorders>
            <w:shd w:val="clear" w:color="auto" w:fill="auto"/>
            <w:vAlign w:val="center"/>
            <w:hideMark/>
          </w:tcPr>
          <w:p w14:paraId="633F0D9E"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367,5</w:t>
            </w:r>
          </w:p>
        </w:tc>
        <w:tc>
          <w:tcPr>
            <w:tcW w:w="1375" w:type="dxa"/>
            <w:tcBorders>
              <w:top w:val="nil"/>
              <w:left w:val="nil"/>
              <w:bottom w:val="dotted" w:sz="4" w:space="0" w:color="auto"/>
              <w:right w:val="double" w:sz="6" w:space="0" w:color="auto"/>
            </w:tcBorders>
            <w:shd w:val="clear" w:color="auto" w:fill="auto"/>
            <w:vAlign w:val="center"/>
            <w:hideMark/>
          </w:tcPr>
          <w:p w14:paraId="04FA41AA"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357,0</w:t>
            </w:r>
          </w:p>
        </w:tc>
        <w:tc>
          <w:tcPr>
            <w:tcW w:w="1133" w:type="dxa"/>
            <w:tcBorders>
              <w:top w:val="nil"/>
              <w:left w:val="nil"/>
              <w:bottom w:val="nil"/>
              <w:right w:val="nil"/>
            </w:tcBorders>
            <w:shd w:val="clear" w:color="auto" w:fill="auto"/>
            <w:noWrap/>
            <w:vAlign w:val="bottom"/>
            <w:hideMark/>
          </w:tcPr>
          <w:p w14:paraId="0FB5D361"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43941C51" w14:textId="77777777" w:rsidTr="00C71AF4">
        <w:trPr>
          <w:trHeight w:val="244"/>
        </w:trPr>
        <w:tc>
          <w:tcPr>
            <w:tcW w:w="5419" w:type="dxa"/>
            <w:tcBorders>
              <w:top w:val="nil"/>
              <w:left w:val="double" w:sz="6" w:space="0" w:color="auto"/>
              <w:bottom w:val="dotted" w:sz="4" w:space="0" w:color="auto"/>
              <w:right w:val="dotted" w:sz="4" w:space="0" w:color="auto"/>
            </w:tcBorders>
            <w:shd w:val="clear" w:color="auto" w:fill="auto"/>
            <w:vAlign w:val="center"/>
            <w:hideMark/>
          </w:tcPr>
          <w:p w14:paraId="7E3118A4" w14:textId="77777777" w:rsidR="00C71AF4" w:rsidRPr="00C71AF4" w:rsidRDefault="00C71AF4" w:rsidP="00C71AF4">
            <w:pPr>
              <w:spacing w:after="0"/>
              <w:jc w:val="left"/>
              <w:rPr>
                <w:rFonts w:eastAsia="Times New Roman" w:cs="Times New Roman"/>
                <w:sz w:val="20"/>
                <w:szCs w:val="20"/>
              </w:rPr>
            </w:pPr>
            <w:r w:rsidRPr="00C71AF4">
              <w:rPr>
                <w:rFonts w:eastAsia="Times New Roman" w:cs="Times New Roman"/>
                <w:sz w:val="20"/>
                <w:szCs w:val="20"/>
              </w:rPr>
              <w:t xml:space="preserve">16 = 6. Total revenue </w:t>
            </w:r>
          </w:p>
        </w:tc>
        <w:tc>
          <w:tcPr>
            <w:tcW w:w="1356" w:type="dxa"/>
            <w:tcBorders>
              <w:top w:val="nil"/>
              <w:left w:val="single" w:sz="8" w:space="0" w:color="auto"/>
              <w:bottom w:val="dotted" w:sz="4" w:space="0" w:color="auto"/>
              <w:right w:val="single" w:sz="8" w:space="0" w:color="auto"/>
            </w:tcBorders>
            <w:shd w:val="clear" w:color="auto" w:fill="auto"/>
            <w:vAlign w:val="center"/>
            <w:hideMark/>
          </w:tcPr>
          <w:p w14:paraId="3C8B4783"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TR</w:t>
            </w:r>
          </w:p>
        </w:tc>
        <w:tc>
          <w:tcPr>
            <w:tcW w:w="1412" w:type="dxa"/>
            <w:tcBorders>
              <w:top w:val="nil"/>
              <w:left w:val="nil"/>
              <w:bottom w:val="dotted" w:sz="4" w:space="0" w:color="auto"/>
              <w:right w:val="dotted" w:sz="4" w:space="0" w:color="auto"/>
            </w:tcBorders>
            <w:shd w:val="clear" w:color="auto" w:fill="auto"/>
            <w:vAlign w:val="center"/>
            <w:hideMark/>
          </w:tcPr>
          <w:p w14:paraId="464330D9"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3.103,3</w:t>
            </w:r>
          </w:p>
        </w:tc>
        <w:tc>
          <w:tcPr>
            <w:tcW w:w="1300" w:type="dxa"/>
            <w:tcBorders>
              <w:top w:val="nil"/>
              <w:left w:val="nil"/>
              <w:bottom w:val="dotted" w:sz="4" w:space="0" w:color="auto"/>
              <w:right w:val="dotted" w:sz="4" w:space="0" w:color="auto"/>
            </w:tcBorders>
            <w:shd w:val="clear" w:color="auto" w:fill="auto"/>
            <w:vAlign w:val="center"/>
            <w:hideMark/>
          </w:tcPr>
          <w:p w14:paraId="1AB5E0E2"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3.473,3</w:t>
            </w:r>
          </w:p>
        </w:tc>
        <w:tc>
          <w:tcPr>
            <w:tcW w:w="1356" w:type="dxa"/>
            <w:tcBorders>
              <w:top w:val="nil"/>
              <w:left w:val="nil"/>
              <w:bottom w:val="dotted" w:sz="4" w:space="0" w:color="auto"/>
              <w:right w:val="dotted" w:sz="4" w:space="0" w:color="auto"/>
            </w:tcBorders>
            <w:shd w:val="clear" w:color="auto" w:fill="auto"/>
            <w:vAlign w:val="center"/>
            <w:hideMark/>
          </w:tcPr>
          <w:p w14:paraId="4E80EEBB"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3.922,2</w:t>
            </w:r>
          </w:p>
        </w:tc>
        <w:tc>
          <w:tcPr>
            <w:tcW w:w="1375" w:type="dxa"/>
            <w:tcBorders>
              <w:top w:val="nil"/>
              <w:left w:val="nil"/>
              <w:bottom w:val="dotted" w:sz="4" w:space="0" w:color="auto"/>
              <w:right w:val="dotted" w:sz="4" w:space="0" w:color="auto"/>
            </w:tcBorders>
            <w:shd w:val="clear" w:color="auto" w:fill="auto"/>
            <w:vAlign w:val="center"/>
            <w:hideMark/>
          </w:tcPr>
          <w:p w14:paraId="4353515A"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4.264,3</w:t>
            </w:r>
          </w:p>
        </w:tc>
        <w:tc>
          <w:tcPr>
            <w:tcW w:w="1375" w:type="dxa"/>
            <w:tcBorders>
              <w:top w:val="nil"/>
              <w:left w:val="nil"/>
              <w:bottom w:val="dotted" w:sz="4" w:space="0" w:color="auto"/>
              <w:right w:val="dotted" w:sz="4" w:space="0" w:color="auto"/>
            </w:tcBorders>
            <w:shd w:val="clear" w:color="auto" w:fill="auto"/>
            <w:vAlign w:val="center"/>
            <w:hideMark/>
          </w:tcPr>
          <w:p w14:paraId="6E64C63B"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4.534,0</w:t>
            </w:r>
          </w:p>
        </w:tc>
        <w:tc>
          <w:tcPr>
            <w:tcW w:w="1375" w:type="dxa"/>
            <w:tcBorders>
              <w:top w:val="nil"/>
              <w:left w:val="nil"/>
              <w:bottom w:val="dotted" w:sz="4" w:space="0" w:color="auto"/>
              <w:right w:val="double" w:sz="6" w:space="0" w:color="auto"/>
            </w:tcBorders>
            <w:shd w:val="clear" w:color="auto" w:fill="auto"/>
            <w:vAlign w:val="center"/>
            <w:hideMark/>
          </w:tcPr>
          <w:p w14:paraId="2B15ABCA" w14:textId="77777777" w:rsidR="00C71AF4" w:rsidRPr="00C71AF4" w:rsidRDefault="00C71AF4" w:rsidP="00C71AF4">
            <w:pPr>
              <w:spacing w:after="0"/>
              <w:jc w:val="right"/>
              <w:rPr>
                <w:rFonts w:eastAsia="Times New Roman" w:cs="Times New Roman"/>
                <w:sz w:val="16"/>
                <w:szCs w:val="16"/>
              </w:rPr>
            </w:pPr>
            <w:r w:rsidRPr="00C71AF4">
              <w:rPr>
                <w:rFonts w:eastAsia="Times New Roman" w:cs="Times New Roman"/>
                <w:sz w:val="16"/>
                <w:szCs w:val="16"/>
              </w:rPr>
              <w:t>4.854,7</w:t>
            </w:r>
          </w:p>
        </w:tc>
        <w:tc>
          <w:tcPr>
            <w:tcW w:w="1133" w:type="dxa"/>
            <w:tcBorders>
              <w:top w:val="nil"/>
              <w:left w:val="nil"/>
              <w:bottom w:val="nil"/>
              <w:right w:val="nil"/>
            </w:tcBorders>
            <w:shd w:val="clear" w:color="auto" w:fill="auto"/>
            <w:noWrap/>
            <w:vAlign w:val="bottom"/>
            <w:hideMark/>
          </w:tcPr>
          <w:p w14:paraId="796C1CA7"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r w:rsidR="00C71AF4" w:rsidRPr="00C71AF4" w14:paraId="098D676F" w14:textId="77777777" w:rsidTr="00C71AF4">
        <w:trPr>
          <w:trHeight w:val="252"/>
        </w:trPr>
        <w:tc>
          <w:tcPr>
            <w:tcW w:w="5419" w:type="dxa"/>
            <w:tcBorders>
              <w:top w:val="dotted" w:sz="4" w:space="0" w:color="auto"/>
              <w:left w:val="double" w:sz="6" w:space="0" w:color="auto"/>
              <w:bottom w:val="double" w:sz="4" w:space="0" w:color="auto"/>
              <w:right w:val="dotted" w:sz="4" w:space="0" w:color="auto"/>
            </w:tcBorders>
            <w:shd w:val="clear" w:color="auto" w:fill="auto"/>
            <w:vAlign w:val="center"/>
            <w:hideMark/>
          </w:tcPr>
          <w:p w14:paraId="240F2DC3" w14:textId="0B9A37C0" w:rsidR="00C71AF4" w:rsidRPr="00C71AF4" w:rsidRDefault="00602766" w:rsidP="00C71AF4">
            <w:pPr>
              <w:spacing w:after="0"/>
              <w:jc w:val="left"/>
              <w:rPr>
                <w:rFonts w:eastAsia="Times New Roman" w:cs="Times New Roman"/>
                <w:sz w:val="20"/>
                <w:szCs w:val="20"/>
              </w:rPr>
            </w:pPr>
            <w:hyperlink r:id="rId41" w:anchor="RANGE!B143" w:history="1">
              <w:r w:rsidR="00C71AF4" w:rsidRPr="00C71AF4">
                <w:rPr>
                  <w:rFonts w:eastAsia="Times New Roman" w:cs="Times New Roman"/>
                  <w:sz w:val="20"/>
                  <w:szCs w:val="20"/>
                </w:rPr>
                <w:t>p.m.: Tax burden (D2+D5+D61+D91-D995) [5]</w:t>
              </w:r>
            </w:hyperlink>
          </w:p>
        </w:tc>
        <w:tc>
          <w:tcPr>
            <w:tcW w:w="1356" w:type="dxa"/>
            <w:tcBorders>
              <w:top w:val="dotted" w:sz="4" w:space="0" w:color="auto"/>
              <w:left w:val="single" w:sz="8" w:space="0" w:color="auto"/>
              <w:bottom w:val="double" w:sz="4" w:space="0" w:color="auto"/>
              <w:right w:val="single" w:sz="8" w:space="0" w:color="auto"/>
            </w:tcBorders>
            <w:shd w:val="clear" w:color="auto" w:fill="auto"/>
            <w:vAlign w:val="center"/>
            <w:hideMark/>
          </w:tcPr>
          <w:p w14:paraId="755B5F9D" w14:textId="77777777" w:rsidR="00C71AF4" w:rsidRPr="00C71AF4" w:rsidRDefault="00C71AF4" w:rsidP="00C71AF4">
            <w:pPr>
              <w:spacing w:after="0"/>
              <w:jc w:val="center"/>
              <w:rPr>
                <w:rFonts w:eastAsia="Times New Roman" w:cs="Times New Roman"/>
                <w:sz w:val="20"/>
                <w:szCs w:val="20"/>
              </w:rPr>
            </w:pPr>
            <w:r w:rsidRPr="00C71AF4">
              <w:rPr>
                <w:rFonts w:eastAsia="Times New Roman" w:cs="Times New Roman"/>
                <w:sz w:val="20"/>
                <w:szCs w:val="20"/>
              </w:rPr>
              <w:t> </w:t>
            </w:r>
          </w:p>
        </w:tc>
        <w:tc>
          <w:tcPr>
            <w:tcW w:w="1412" w:type="dxa"/>
            <w:tcBorders>
              <w:top w:val="dotted" w:sz="4" w:space="0" w:color="auto"/>
              <w:left w:val="nil"/>
              <w:bottom w:val="double" w:sz="4" w:space="0" w:color="auto"/>
              <w:right w:val="dotted" w:sz="4" w:space="0" w:color="auto"/>
            </w:tcBorders>
            <w:shd w:val="clear" w:color="auto" w:fill="auto"/>
            <w:vAlign w:val="center"/>
            <w:hideMark/>
          </w:tcPr>
          <w:p w14:paraId="4D6FF8B4"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2.759,7</w:t>
            </w:r>
          </w:p>
        </w:tc>
        <w:tc>
          <w:tcPr>
            <w:tcW w:w="1300" w:type="dxa"/>
            <w:tcBorders>
              <w:top w:val="dotted" w:sz="4" w:space="0" w:color="auto"/>
              <w:left w:val="nil"/>
              <w:bottom w:val="double" w:sz="4" w:space="0" w:color="auto"/>
              <w:right w:val="dotted" w:sz="4" w:space="0" w:color="auto"/>
            </w:tcBorders>
            <w:shd w:val="clear" w:color="auto" w:fill="auto"/>
            <w:vAlign w:val="center"/>
            <w:hideMark/>
          </w:tcPr>
          <w:p w14:paraId="5BA4F62B"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3.078,7</w:t>
            </w:r>
          </w:p>
        </w:tc>
        <w:tc>
          <w:tcPr>
            <w:tcW w:w="1356" w:type="dxa"/>
            <w:tcBorders>
              <w:top w:val="dotted" w:sz="4" w:space="0" w:color="auto"/>
              <w:left w:val="nil"/>
              <w:bottom w:val="double" w:sz="4" w:space="0" w:color="auto"/>
              <w:right w:val="dotted" w:sz="4" w:space="0" w:color="auto"/>
            </w:tcBorders>
            <w:shd w:val="clear" w:color="auto" w:fill="auto"/>
            <w:vAlign w:val="center"/>
            <w:hideMark/>
          </w:tcPr>
          <w:p w14:paraId="6284B539"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3.478,9</w:t>
            </w:r>
          </w:p>
        </w:tc>
        <w:tc>
          <w:tcPr>
            <w:tcW w:w="1375" w:type="dxa"/>
            <w:tcBorders>
              <w:top w:val="dotted" w:sz="4" w:space="0" w:color="auto"/>
              <w:left w:val="nil"/>
              <w:bottom w:val="double" w:sz="4" w:space="0" w:color="auto"/>
              <w:right w:val="dotted" w:sz="4" w:space="0" w:color="auto"/>
            </w:tcBorders>
            <w:shd w:val="clear" w:color="auto" w:fill="auto"/>
            <w:vAlign w:val="center"/>
            <w:hideMark/>
          </w:tcPr>
          <w:p w14:paraId="1829313D"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3.750,0</w:t>
            </w:r>
          </w:p>
        </w:tc>
        <w:tc>
          <w:tcPr>
            <w:tcW w:w="1375" w:type="dxa"/>
            <w:tcBorders>
              <w:top w:val="dotted" w:sz="4" w:space="0" w:color="auto"/>
              <w:left w:val="nil"/>
              <w:bottom w:val="double" w:sz="4" w:space="0" w:color="auto"/>
              <w:right w:val="dotted" w:sz="4" w:space="0" w:color="auto"/>
            </w:tcBorders>
            <w:shd w:val="clear" w:color="auto" w:fill="auto"/>
            <w:vAlign w:val="center"/>
            <w:hideMark/>
          </w:tcPr>
          <w:p w14:paraId="7F52A95A"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4.039,5</w:t>
            </w:r>
          </w:p>
        </w:tc>
        <w:tc>
          <w:tcPr>
            <w:tcW w:w="1375" w:type="dxa"/>
            <w:tcBorders>
              <w:top w:val="dotted" w:sz="4" w:space="0" w:color="auto"/>
              <w:left w:val="nil"/>
              <w:bottom w:val="double" w:sz="4" w:space="0" w:color="auto"/>
              <w:right w:val="double" w:sz="6" w:space="0" w:color="auto"/>
            </w:tcBorders>
            <w:shd w:val="clear" w:color="auto" w:fill="auto"/>
            <w:vAlign w:val="center"/>
            <w:hideMark/>
          </w:tcPr>
          <w:p w14:paraId="2137EABE" w14:textId="77777777" w:rsidR="00C71AF4" w:rsidRPr="00C71AF4" w:rsidRDefault="00C71AF4" w:rsidP="00C71AF4">
            <w:pPr>
              <w:spacing w:after="0"/>
              <w:jc w:val="right"/>
              <w:rPr>
                <w:rFonts w:eastAsia="Times New Roman" w:cs="Times New Roman"/>
                <w:sz w:val="20"/>
                <w:szCs w:val="20"/>
              </w:rPr>
            </w:pPr>
            <w:r w:rsidRPr="00C71AF4">
              <w:rPr>
                <w:rFonts w:eastAsia="Times New Roman" w:cs="Times New Roman"/>
                <w:sz w:val="20"/>
                <w:szCs w:val="20"/>
              </w:rPr>
              <w:t>4.358,6</w:t>
            </w:r>
          </w:p>
        </w:tc>
        <w:tc>
          <w:tcPr>
            <w:tcW w:w="1133" w:type="dxa"/>
            <w:tcBorders>
              <w:top w:val="nil"/>
              <w:left w:val="nil"/>
              <w:bottom w:val="nil"/>
              <w:right w:val="nil"/>
            </w:tcBorders>
            <w:shd w:val="clear" w:color="auto" w:fill="auto"/>
            <w:noWrap/>
            <w:vAlign w:val="bottom"/>
            <w:hideMark/>
          </w:tcPr>
          <w:p w14:paraId="7935370A" w14:textId="77777777" w:rsidR="00C71AF4" w:rsidRPr="00C71AF4" w:rsidRDefault="00C71AF4" w:rsidP="00C71AF4">
            <w:pPr>
              <w:spacing w:after="0"/>
              <w:jc w:val="left"/>
              <w:rPr>
                <w:rFonts w:ascii="Arial" w:eastAsia="Times New Roman" w:hAnsi="Arial" w:cs="Arial"/>
                <w:sz w:val="20"/>
                <w:szCs w:val="20"/>
              </w:rPr>
            </w:pPr>
            <w:r w:rsidRPr="00C71AF4">
              <w:rPr>
                <w:rFonts w:ascii="Arial" w:eastAsia="Times New Roman" w:hAnsi="Arial" w:cs="Arial"/>
                <w:sz w:val="20"/>
                <w:szCs w:val="20"/>
              </w:rPr>
              <w:t> </w:t>
            </w:r>
          </w:p>
        </w:tc>
      </w:tr>
    </w:tbl>
    <w:p w14:paraId="6DC924A6" w14:textId="77777777" w:rsidR="00BB5726" w:rsidRDefault="00C71AF4">
      <w:pPr>
        <w:spacing w:after="160" w:line="259" w:lineRule="auto"/>
        <w:jc w:val="left"/>
      </w:pPr>
      <w:r>
        <w:fldChar w:fldCharType="end"/>
      </w:r>
    </w:p>
    <w:p w14:paraId="227C3564" w14:textId="77777777" w:rsidR="00BB5726" w:rsidRDefault="00BB5726">
      <w:pPr>
        <w:spacing w:after="160" w:line="259" w:lineRule="auto"/>
        <w:jc w:val="left"/>
      </w:pPr>
      <w:r>
        <w:br w:type="page"/>
      </w:r>
    </w:p>
    <w:p w14:paraId="587B7FC4" w14:textId="46AD96AC" w:rsidR="00BB5726" w:rsidRDefault="00BB5726">
      <w:pPr>
        <w:spacing w:after="160" w:line="259" w:lineRule="auto"/>
        <w:jc w:val="left"/>
        <w:rPr>
          <w:rFonts w:asciiTheme="minorHAnsi" w:hAnsiTheme="minorHAnsi"/>
          <w:sz w:val="22"/>
        </w:rPr>
      </w:pPr>
      <w:r>
        <w:lastRenderedPageBreak/>
        <w:fldChar w:fldCharType="begin"/>
      </w:r>
      <w:r>
        <w:instrText xml:space="preserve"> LINK </w:instrText>
      </w:r>
      <w:r w:rsidR="002E5F43">
        <w:instrText xml:space="preserve">Excel.Sheet.12 "C:\\Users\\ognjen.jancic\\Documents\\kopija\\Ognjen\\memorandum\\ERP 2025-2027\\engleska verzija-ubacivanje tabela\\2025_ERP_Annex_tables_RS.xlsx" data!R138C2:R148C9 </w:instrText>
      </w:r>
      <w:r>
        <w:instrText xml:space="preserve">\a \f 4 \h  \* MERGEFORMAT </w:instrText>
      </w:r>
      <w:r>
        <w:fldChar w:fldCharType="separate"/>
      </w:r>
    </w:p>
    <w:tbl>
      <w:tblPr>
        <w:tblW w:w="14848" w:type="dxa"/>
        <w:tblLook w:val="04A0" w:firstRow="1" w:lastRow="0" w:firstColumn="1" w:lastColumn="0" w:noHBand="0" w:noVBand="1"/>
      </w:tblPr>
      <w:tblGrid>
        <w:gridCol w:w="5404"/>
        <w:gridCol w:w="1341"/>
        <w:gridCol w:w="1397"/>
        <w:gridCol w:w="1285"/>
        <w:gridCol w:w="1341"/>
        <w:gridCol w:w="1360"/>
        <w:gridCol w:w="1360"/>
        <w:gridCol w:w="1360"/>
      </w:tblGrid>
      <w:tr w:rsidR="00BB5726" w:rsidRPr="00BB5726" w14:paraId="7C87DA6B" w14:textId="77777777" w:rsidTr="00BB5726">
        <w:trPr>
          <w:trHeight w:val="253"/>
        </w:trPr>
        <w:tc>
          <w:tcPr>
            <w:tcW w:w="5404" w:type="dxa"/>
            <w:tcBorders>
              <w:top w:val="double" w:sz="6" w:space="0" w:color="auto"/>
              <w:left w:val="double" w:sz="6" w:space="0" w:color="auto"/>
              <w:bottom w:val="single" w:sz="4" w:space="0" w:color="auto"/>
              <w:right w:val="nil"/>
            </w:tcBorders>
            <w:shd w:val="clear" w:color="auto" w:fill="auto"/>
            <w:vAlign w:val="center"/>
            <w:hideMark/>
          </w:tcPr>
          <w:p w14:paraId="78E9AC2C" w14:textId="3CCB25F2" w:rsidR="00BB5726" w:rsidRPr="00BB5726" w:rsidRDefault="00BB5726" w:rsidP="00BB5726">
            <w:pPr>
              <w:spacing w:after="0"/>
              <w:jc w:val="left"/>
              <w:rPr>
                <w:rFonts w:eastAsia="Times New Roman" w:cs="Times New Roman"/>
                <w:b/>
                <w:bCs/>
                <w:sz w:val="20"/>
                <w:szCs w:val="20"/>
              </w:rPr>
            </w:pPr>
            <w:r w:rsidRPr="00BB5726">
              <w:rPr>
                <w:rFonts w:eastAsia="Times New Roman" w:cs="Times New Roman"/>
                <w:b/>
                <w:bCs/>
                <w:sz w:val="20"/>
                <w:szCs w:val="20"/>
              </w:rPr>
              <w:t>Selected components of expenditures</w:t>
            </w:r>
          </w:p>
        </w:tc>
        <w:tc>
          <w:tcPr>
            <w:tcW w:w="1341" w:type="dxa"/>
            <w:tcBorders>
              <w:top w:val="double" w:sz="6" w:space="0" w:color="auto"/>
              <w:left w:val="single" w:sz="8" w:space="0" w:color="auto"/>
              <w:bottom w:val="single" w:sz="4" w:space="0" w:color="auto"/>
              <w:right w:val="single" w:sz="8" w:space="0" w:color="auto"/>
            </w:tcBorders>
            <w:shd w:val="clear" w:color="auto" w:fill="auto"/>
            <w:vAlign w:val="center"/>
            <w:hideMark/>
          </w:tcPr>
          <w:p w14:paraId="377F153D" w14:textId="77777777" w:rsidR="00BB5726" w:rsidRPr="00BB5726" w:rsidRDefault="00BB5726" w:rsidP="00BB5726">
            <w:pPr>
              <w:spacing w:after="0"/>
              <w:jc w:val="center"/>
              <w:rPr>
                <w:rFonts w:eastAsia="Times New Roman" w:cs="Times New Roman"/>
                <w:b/>
                <w:bCs/>
                <w:sz w:val="20"/>
                <w:szCs w:val="20"/>
              </w:rPr>
            </w:pPr>
            <w:r w:rsidRPr="00BB5726">
              <w:rPr>
                <w:rFonts w:eastAsia="Times New Roman" w:cs="Times New Roman"/>
                <w:b/>
                <w:bCs/>
                <w:sz w:val="20"/>
                <w:szCs w:val="20"/>
              </w:rPr>
              <w:t> </w:t>
            </w:r>
          </w:p>
        </w:tc>
        <w:tc>
          <w:tcPr>
            <w:tcW w:w="1397" w:type="dxa"/>
            <w:tcBorders>
              <w:top w:val="double" w:sz="6" w:space="0" w:color="auto"/>
              <w:left w:val="nil"/>
              <w:bottom w:val="single" w:sz="4" w:space="0" w:color="auto"/>
              <w:right w:val="nil"/>
            </w:tcBorders>
            <w:shd w:val="clear" w:color="auto" w:fill="auto"/>
            <w:vAlign w:val="center"/>
            <w:hideMark/>
          </w:tcPr>
          <w:p w14:paraId="215E8560" w14:textId="77777777" w:rsidR="00BB5726" w:rsidRPr="00BB5726" w:rsidRDefault="00BB5726" w:rsidP="00BB5726">
            <w:pPr>
              <w:spacing w:after="0"/>
              <w:jc w:val="right"/>
              <w:rPr>
                <w:rFonts w:eastAsia="Times New Roman" w:cs="Times New Roman"/>
                <w:b/>
                <w:bCs/>
                <w:sz w:val="20"/>
                <w:szCs w:val="20"/>
              </w:rPr>
            </w:pPr>
            <w:r w:rsidRPr="00BB5726">
              <w:rPr>
                <w:rFonts w:eastAsia="Times New Roman" w:cs="Times New Roman"/>
                <w:b/>
                <w:bCs/>
                <w:sz w:val="20"/>
                <w:szCs w:val="20"/>
              </w:rPr>
              <w:t> </w:t>
            </w:r>
          </w:p>
        </w:tc>
        <w:tc>
          <w:tcPr>
            <w:tcW w:w="1285" w:type="dxa"/>
            <w:tcBorders>
              <w:top w:val="double" w:sz="6" w:space="0" w:color="auto"/>
              <w:left w:val="nil"/>
              <w:bottom w:val="single" w:sz="4" w:space="0" w:color="auto"/>
              <w:right w:val="nil"/>
            </w:tcBorders>
            <w:shd w:val="clear" w:color="auto" w:fill="auto"/>
            <w:vAlign w:val="center"/>
            <w:hideMark/>
          </w:tcPr>
          <w:p w14:paraId="422F80E7" w14:textId="77777777" w:rsidR="00BB5726" w:rsidRPr="00BB5726" w:rsidRDefault="00BB5726" w:rsidP="00BB5726">
            <w:pPr>
              <w:spacing w:after="0"/>
              <w:jc w:val="right"/>
              <w:rPr>
                <w:rFonts w:eastAsia="Times New Roman" w:cs="Times New Roman"/>
                <w:b/>
                <w:bCs/>
                <w:sz w:val="20"/>
                <w:szCs w:val="20"/>
              </w:rPr>
            </w:pPr>
            <w:r w:rsidRPr="00BB5726">
              <w:rPr>
                <w:rFonts w:eastAsia="Times New Roman" w:cs="Times New Roman"/>
                <w:b/>
                <w:bCs/>
                <w:sz w:val="20"/>
                <w:szCs w:val="20"/>
              </w:rPr>
              <w:t> </w:t>
            </w:r>
          </w:p>
        </w:tc>
        <w:tc>
          <w:tcPr>
            <w:tcW w:w="1341" w:type="dxa"/>
            <w:tcBorders>
              <w:top w:val="double" w:sz="6" w:space="0" w:color="auto"/>
              <w:left w:val="nil"/>
              <w:bottom w:val="single" w:sz="4" w:space="0" w:color="auto"/>
              <w:right w:val="nil"/>
            </w:tcBorders>
            <w:shd w:val="clear" w:color="auto" w:fill="auto"/>
            <w:vAlign w:val="center"/>
            <w:hideMark/>
          </w:tcPr>
          <w:p w14:paraId="3370ED45" w14:textId="77777777" w:rsidR="00BB5726" w:rsidRPr="00BB5726" w:rsidRDefault="00BB5726" w:rsidP="00BB5726">
            <w:pPr>
              <w:spacing w:after="0"/>
              <w:jc w:val="right"/>
              <w:rPr>
                <w:rFonts w:eastAsia="Times New Roman" w:cs="Times New Roman"/>
                <w:b/>
                <w:bCs/>
                <w:sz w:val="20"/>
                <w:szCs w:val="20"/>
              </w:rPr>
            </w:pPr>
            <w:r w:rsidRPr="00BB5726">
              <w:rPr>
                <w:rFonts w:eastAsia="Times New Roman" w:cs="Times New Roman"/>
                <w:b/>
                <w:bCs/>
                <w:sz w:val="20"/>
                <w:szCs w:val="20"/>
              </w:rPr>
              <w:t> </w:t>
            </w:r>
          </w:p>
        </w:tc>
        <w:tc>
          <w:tcPr>
            <w:tcW w:w="1360" w:type="dxa"/>
            <w:tcBorders>
              <w:top w:val="double" w:sz="6" w:space="0" w:color="auto"/>
              <w:left w:val="nil"/>
              <w:bottom w:val="single" w:sz="4" w:space="0" w:color="auto"/>
              <w:right w:val="nil"/>
            </w:tcBorders>
            <w:shd w:val="clear" w:color="auto" w:fill="auto"/>
            <w:vAlign w:val="center"/>
            <w:hideMark/>
          </w:tcPr>
          <w:p w14:paraId="0E4B3142" w14:textId="77777777" w:rsidR="00BB5726" w:rsidRPr="00BB5726" w:rsidRDefault="00BB5726" w:rsidP="00BB5726">
            <w:pPr>
              <w:spacing w:after="0"/>
              <w:jc w:val="right"/>
              <w:rPr>
                <w:rFonts w:eastAsia="Times New Roman" w:cs="Times New Roman"/>
                <w:b/>
                <w:bCs/>
                <w:sz w:val="20"/>
                <w:szCs w:val="20"/>
              </w:rPr>
            </w:pPr>
            <w:r w:rsidRPr="00BB5726">
              <w:rPr>
                <w:rFonts w:eastAsia="Times New Roman" w:cs="Times New Roman"/>
                <w:b/>
                <w:bCs/>
                <w:sz w:val="20"/>
                <w:szCs w:val="20"/>
              </w:rPr>
              <w:t> </w:t>
            </w:r>
          </w:p>
        </w:tc>
        <w:tc>
          <w:tcPr>
            <w:tcW w:w="1360" w:type="dxa"/>
            <w:tcBorders>
              <w:top w:val="double" w:sz="6" w:space="0" w:color="auto"/>
              <w:left w:val="nil"/>
              <w:bottom w:val="single" w:sz="4" w:space="0" w:color="auto"/>
              <w:right w:val="nil"/>
            </w:tcBorders>
            <w:shd w:val="clear" w:color="auto" w:fill="auto"/>
            <w:vAlign w:val="center"/>
            <w:hideMark/>
          </w:tcPr>
          <w:p w14:paraId="75AD6580" w14:textId="77777777" w:rsidR="00BB5726" w:rsidRPr="00BB5726" w:rsidRDefault="00BB5726" w:rsidP="00BB5726">
            <w:pPr>
              <w:spacing w:after="0"/>
              <w:jc w:val="right"/>
              <w:rPr>
                <w:rFonts w:eastAsia="Times New Roman" w:cs="Times New Roman"/>
                <w:b/>
                <w:bCs/>
                <w:sz w:val="20"/>
                <w:szCs w:val="20"/>
              </w:rPr>
            </w:pPr>
            <w:r w:rsidRPr="00BB5726">
              <w:rPr>
                <w:rFonts w:eastAsia="Times New Roman" w:cs="Times New Roman"/>
                <w:b/>
                <w:bCs/>
                <w:sz w:val="20"/>
                <w:szCs w:val="20"/>
              </w:rPr>
              <w:t> </w:t>
            </w:r>
          </w:p>
        </w:tc>
        <w:tc>
          <w:tcPr>
            <w:tcW w:w="1360" w:type="dxa"/>
            <w:tcBorders>
              <w:top w:val="double" w:sz="6" w:space="0" w:color="auto"/>
              <w:left w:val="nil"/>
              <w:bottom w:val="single" w:sz="4" w:space="0" w:color="auto"/>
              <w:right w:val="double" w:sz="6" w:space="0" w:color="auto"/>
            </w:tcBorders>
            <w:shd w:val="clear" w:color="auto" w:fill="auto"/>
            <w:vAlign w:val="center"/>
            <w:hideMark/>
          </w:tcPr>
          <w:p w14:paraId="181BC601" w14:textId="77777777" w:rsidR="00BB5726" w:rsidRPr="00BB5726" w:rsidRDefault="00BB5726" w:rsidP="00BB5726">
            <w:pPr>
              <w:spacing w:after="0"/>
              <w:jc w:val="right"/>
              <w:rPr>
                <w:rFonts w:eastAsia="Times New Roman" w:cs="Times New Roman"/>
                <w:b/>
                <w:bCs/>
                <w:sz w:val="20"/>
                <w:szCs w:val="20"/>
              </w:rPr>
            </w:pPr>
            <w:r w:rsidRPr="00BB5726">
              <w:rPr>
                <w:rFonts w:eastAsia="Times New Roman" w:cs="Times New Roman"/>
                <w:b/>
                <w:bCs/>
                <w:sz w:val="20"/>
                <w:szCs w:val="20"/>
              </w:rPr>
              <w:t> </w:t>
            </w:r>
          </w:p>
        </w:tc>
      </w:tr>
      <w:tr w:rsidR="00BB5726" w:rsidRPr="00BB5726" w14:paraId="4DEBE97A" w14:textId="77777777" w:rsidTr="00BB5726">
        <w:trPr>
          <w:trHeight w:val="253"/>
        </w:trPr>
        <w:tc>
          <w:tcPr>
            <w:tcW w:w="5404" w:type="dxa"/>
            <w:tcBorders>
              <w:top w:val="nil"/>
              <w:left w:val="double" w:sz="6" w:space="0" w:color="auto"/>
              <w:bottom w:val="dotted" w:sz="4" w:space="0" w:color="auto"/>
              <w:right w:val="nil"/>
            </w:tcBorders>
            <w:shd w:val="clear" w:color="auto" w:fill="auto"/>
            <w:vAlign w:val="center"/>
            <w:hideMark/>
          </w:tcPr>
          <w:p w14:paraId="02D334B5" w14:textId="0F5337FF" w:rsidR="00BB5726" w:rsidRPr="00BB5726" w:rsidRDefault="00BB5726" w:rsidP="00BB5726">
            <w:pPr>
              <w:spacing w:after="0"/>
              <w:jc w:val="left"/>
              <w:rPr>
                <w:rFonts w:eastAsia="Times New Roman" w:cs="Times New Roman"/>
                <w:sz w:val="20"/>
                <w:szCs w:val="20"/>
              </w:rPr>
            </w:pPr>
            <w:bookmarkStart w:id="62" w:name="RANGE!B139"/>
            <w:r w:rsidRPr="00BB5726">
              <w:rPr>
                <w:rFonts w:eastAsia="Times New Roman" w:cs="Times New Roman"/>
                <w:sz w:val="20"/>
                <w:szCs w:val="20"/>
              </w:rPr>
              <w:t>17. Collective consumption</w:t>
            </w:r>
            <w:bookmarkEnd w:id="62"/>
          </w:p>
        </w:tc>
        <w:tc>
          <w:tcPr>
            <w:tcW w:w="1341" w:type="dxa"/>
            <w:tcBorders>
              <w:top w:val="nil"/>
              <w:left w:val="single" w:sz="8" w:space="0" w:color="auto"/>
              <w:bottom w:val="dotted" w:sz="4" w:space="0" w:color="auto"/>
              <w:right w:val="single" w:sz="8" w:space="0" w:color="auto"/>
            </w:tcBorders>
            <w:shd w:val="clear" w:color="auto" w:fill="auto"/>
            <w:vAlign w:val="center"/>
            <w:hideMark/>
          </w:tcPr>
          <w:p w14:paraId="7B99C4B7" w14:textId="77777777" w:rsidR="00BB5726" w:rsidRPr="00BB5726" w:rsidRDefault="00BB5726" w:rsidP="00BB5726">
            <w:pPr>
              <w:spacing w:after="0"/>
              <w:jc w:val="center"/>
              <w:rPr>
                <w:rFonts w:eastAsia="Times New Roman" w:cs="Times New Roman"/>
                <w:sz w:val="20"/>
                <w:szCs w:val="20"/>
              </w:rPr>
            </w:pPr>
            <w:r w:rsidRPr="00BB5726">
              <w:rPr>
                <w:rFonts w:eastAsia="Times New Roman" w:cs="Times New Roman"/>
                <w:sz w:val="20"/>
                <w:szCs w:val="20"/>
              </w:rPr>
              <w:t>P32</w:t>
            </w:r>
          </w:p>
        </w:tc>
        <w:tc>
          <w:tcPr>
            <w:tcW w:w="1397" w:type="dxa"/>
            <w:tcBorders>
              <w:top w:val="nil"/>
              <w:left w:val="nil"/>
              <w:bottom w:val="dotted" w:sz="4" w:space="0" w:color="auto"/>
              <w:right w:val="dotted" w:sz="4" w:space="0" w:color="auto"/>
            </w:tcBorders>
            <w:shd w:val="clear" w:color="auto" w:fill="auto"/>
            <w:vAlign w:val="center"/>
            <w:hideMark/>
          </w:tcPr>
          <w:p w14:paraId="551C8CD4"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1.251,9</w:t>
            </w:r>
          </w:p>
        </w:tc>
        <w:tc>
          <w:tcPr>
            <w:tcW w:w="1285" w:type="dxa"/>
            <w:tcBorders>
              <w:top w:val="nil"/>
              <w:left w:val="nil"/>
              <w:bottom w:val="dotted" w:sz="4" w:space="0" w:color="auto"/>
              <w:right w:val="dotted" w:sz="4" w:space="0" w:color="auto"/>
            </w:tcBorders>
            <w:shd w:val="clear" w:color="auto" w:fill="auto"/>
            <w:vAlign w:val="center"/>
            <w:hideMark/>
          </w:tcPr>
          <w:p w14:paraId="43538498"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1.403,0</w:t>
            </w:r>
          </w:p>
        </w:tc>
        <w:tc>
          <w:tcPr>
            <w:tcW w:w="1341" w:type="dxa"/>
            <w:tcBorders>
              <w:top w:val="nil"/>
              <w:left w:val="nil"/>
              <w:bottom w:val="dotted" w:sz="4" w:space="0" w:color="auto"/>
              <w:right w:val="dotted" w:sz="4" w:space="0" w:color="auto"/>
            </w:tcBorders>
            <w:shd w:val="clear" w:color="auto" w:fill="auto"/>
            <w:vAlign w:val="center"/>
            <w:hideMark/>
          </w:tcPr>
          <w:p w14:paraId="7612A46A"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1.618,0</w:t>
            </w:r>
          </w:p>
        </w:tc>
        <w:tc>
          <w:tcPr>
            <w:tcW w:w="1360" w:type="dxa"/>
            <w:tcBorders>
              <w:top w:val="nil"/>
              <w:left w:val="nil"/>
              <w:bottom w:val="dotted" w:sz="4" w:space="0" w:color="auto"/>
              <w:right w:val="dotted" w:sz="4" w:space="0" w:color="auto"/>
            </w:tcBorders>
            <w:shd w:val="clear" w:color="auto" w:fill="auto"/>
            <w:vAlign w:val="center"/>
            <w:hideMark/>
          </w:tcPr>
          <w:p w14:paraId="443A779C"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1.836,1</w:t>
            </w:r>
          </w:p>
        </w:tc>
        <w:tc>
          <w:tcPr>
            <w:tcW w:w="1360" w:type="dxa"/>
            <w:tcBorders>
              <w:top w:val="nil"/>
              <w:left w:val="nil"/>
              <w:bottom w:val="dotted" w:sz="4" w:space="0" w:color="auto"/>
              <w:right w:val="dotted" w:sz="4" w:space="0" w:color="auto"/>
            </w:tcBorders>
            <w:shd w:val="clear" w:color="auto" w:fill="auto"/>
            <w:vAlign w:val="center"/>
            <w:hideMark/>
          </w:tcPr>
          <w:p w14:paraId="120B7451"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1.952,5</w:t>
            </w:r>
          </w:p>
        </w:tc>
        <w:tc>
          <w:tcPr>
            <w:tcW w:w="1360" w:type="dxa"/>
            <w:tcBorders>
              <w:top w:val="nil"/>
              <w:left w:val="nil"/>
              <w:bottom w:val="dotted" w:sz="4" w:space="0" w:color="auto"/>
              <w:right w:val="double" w:sz="6" w:space="0" w:color="auto"/>
            </w:tcBorders>
            <w:shd w:val="clear" w:color="auto" w:fill="auto"/>
            <w:vAlign w:val="center"/>
            <w:hideMark/>
          </w:tcPr>
          <w:p w14:paraId="5C79F654"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2.105,0</w:t>
            </w:r>
          </w:p>
        </w:tc>
      </w:tr>
      <w:tr w:rsidR="00BB5726" w:rsidRPr="00BB5726" w14:paraId="552153A4" w14:textId="77777777" w:rsidTr="00BB5726">
        <w:trPr>
          <w:trHeight w:val="253"/>
        </w:trPr>
        <w:tc>
          <w:tcPr>
            <w:tcW w:w="5404" w:type="dxa"/>
            <w:tcBorders>
              <w:top w:val="nil"/>
              <w:left w:val="double" w:sz="6" w:space="0" w:color="auto"/>
              <w:bottom w:val="dotted" w:sz="4" w:space="0" w:color="auto"/>
              <w:right w:val="nil"/>
            </w:tcBorders>
            <w:shd w:val="clear" w:color="auto" w:fill="auto"/>
            <w:vAlign w:val="center"/>
            <w:hideMark/>
          </w:tcPr>
          <w:p w14:paraId="6E68DBE9" w14:textId="655CB584" w:rsidR="00BB5726" w:rsidRPr="00BB5726" w:rsidRDefault="00BB5726" w:rsidP="00BB5726">
            <w:pPr>
              <w:spacing w:after="0"/>
              <w:jc w:val="left"/>
              <w:rPr>
                <w:rFonts w:eastAsia="Times New Roman" w:cs="Times New Roman"/>
                <w:sz w:val="20"/>
                <w:szCs w:val="20"/>
              </w:rPr>
            </w:pPr>
            <w:bookmarkStart w:id="63" w:name="RANGE!B140"/>
            <w:r w:rsidRPr="00BB5726">
              <w:rPr>
                <w:rFonts w:eastAsia="Times New Roman" w:cs="Times New Roman"/>
                <w:sz w:val="20"/>
                <w:szCs w:val="20"/>
              </w:rPr>
              <w:t>18. Total social transfers</w:t>
            </w:r>
            <w:bookmarkEnd w:id="63"/>
          </w:p>
        </w:tc>
        <w:tc>
          <w:tcPr>
            <w:tcW w:w="1341" w:type="dxa"/>
            <w:tcBorders>
              <w:top w:val="nil"/>
              <w:left w:val="single" w:sz="8" w:space="0" w:color="auto"/>
              <w:bottom w:val="dotted" w:sz="4" w:space="0" w:color="auto"/>
              <w:right w:val="single" w:sz="8" w:space="0" w:color="auto"/>
            </w:tcBorders>
            <w:shd w:val="clear" w:color="auto" w:fill="auto"/>
            <w:vAlign w:val="center"/>
            <w:hideMark/>
          </w:tcPr>
          <w:p w14:paraId="47C97DBE" w14:textId="77777777" w:rsidR="00BB5726" w:rsidRPr="00BB5726" w:rsidRDefault="00BB5726" w:rsidP="00BB5726">
            <w:pPr>
              <w:spacing w:after="0"/>
              <w:jc w:val="center"/>
              <w:rPr>
                <w:rFonts w:eastAsia="Times New Roman" w:cs="Times New Roman"/>
                <w:sz w:val="20"/>
                <w:szCs w:val="20"/>
              </w:rPr>
            </w:pPr>
            <w:r w:rsidRPr="00BB5726">
              <w:rPr>
                <w:rFonts w:eastAsia="Times New Roman" w:cs="Times New Roman"/>
                <w:sz w:val="20"/>
                <w:szCs w:val="20"/>
              </w:rPr>
              <w:t>D62 + D63</w:t>
            </w:r>
          </w:p>
        </w:tc>
        <w:tc>
          <w:tcPr>
            <w:tcW w:w="1397" w:type="dxa"/>
            <w:tcBorders>
              <w:top w:val="nil"/>
              <w:left w:val="nil"/>
              <w:bottom w:val="dotted" w:sz="4" w:space="0" w:color="auto"/>
              <w:right w:val="dotted" w:sz="4" w:space="0" w:color="auto"/>
            </w:tcBorders>
            <w:shd w:val="clear" w:color="auto" w:fill="auto"/>
            <w:vAlign w:val="center"/>
            <w:hideMark/>
          </w:tcPr>
          <w:p w14:paraId="17E9C4DB"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926,2</w:t>
            </w:r>
          </w:p>
        </w:tc>
        <w:tc>
          <w:tcPr>
            <w:tcW w:w="1285" w:type="dxa"/>
            <w:tcBorders>
              <w:top w:val="nil"/>
              <w:left w:val="nil"/>
              <w:bottom w:val="dotted" w:sz="4" w:space="0" w:color="auto"/>
              <w:right w:val="dotted" w:sz="4" w:space="0" w:color="auto"/>
            </w:tcBorders>
            <w:shd w:val="clear" w:color="auto" w:fill="auto"/>
            <w:vAlign w:val="center"/>
            <w:hideMark/>
          </w:tcPr>
          <w:p w14:paraId="7E31CF6F"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1.098,6</w:t>
            </w:r>
          </w:p>
        </w:tc>
        <w:tc>
          <w:tcPr>
            <w:tcW w:w="1341" w:type="dxa"/>
            <w:tcBorders>
              <w:top w:val="nil"/>
              <w:left w:val="nil"/>
              <w:bottom w:val="dotted" w:sz="4" w:space="0" w:color="auto"/>
              <w:right w:val="dotted" w:sz="4" w:space="0" w:color="auto"/>
            </w:tcBorders>
            <w:shd w:val="clear" w:color="auto" w:fill="auto"/>
            <w:vAlign w:val="center"/>
            <w:hideMark/>
          </w:tcPr>
          <w:p w14:paraId="57EFD946"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1.250,0</w:t>
            </w:r>
          </w:p>
        </w:tc>
        <w:tc>
          <w:tcPr>
            <w:tcW w:w="1360" w:type="dxa"/>
            <w:tcBorders>
              <w:top w:val="nil"/>
              <w:left w:val="nil"/>
              <w:bottom w:val="dotted" w:sz="4" w:space="0" w:color="auto"/>
              <w:right w:val="dotted" w:sz="4" w:space="0" w:color="auto"/>
            </w:tcBorders>
            <w:shd w:val="clear" w:color="auto" w:fill="auto"/>
            <w:vAlign w:val="center"/>
            <w:hideMark/>
          </w:tcPr>
          <w:p w14:paraId="276F2753"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1.344,3</w:t>
            </w:r>
          </w:p>
        </w:tc>
        <w:tc>
          <w:tcPr>
            <w:tcW w:w="1360" w:type="dxa"/>
            <w:tcBorders>
              <w:top w:val="nil"/>
              <w:left w:val="nil"/>
              <w:bottom w:val="dotted" w:sz="4" w:space="0" w:color="auto"/>
              <w:right w:val="dotted" w:sz="4" w:space="0" w:color="auto"/>
            </w:tcBorders>
            <w:shd w:val="clear" w:color="auto" w:fill="auto"/>
            <w:vAlign w:val="center"/>
            <w:hideMark/>
          </w:tcPr>
          <w:p w14:paraId="6E446D45"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1.448,7</w:t>
            </w:r>
          </w:p>
        </w:tc>
        <w:tc>
          <w:tcPr>
            <w:tcW w:w="1360" w:type="dxa"/>
            <w:tcBorders>
              <w:top w:val="nil"/>
              <w:left w:val="nil"/>
              <w:bottom w:val="dotted" w:sz="4" w:space="0" w:color="auto"/>
              <w:right w:val="double" w:sz="6" w:space="0" w:color="auto"/>
            </w:tcBorders>
            <w:shd w:val="clear" w:color="auto" w:fill="auto"/>
            <w:vAlign w:val="center"/>
            <w:hideMark/>
          </w:tcPr>
          <w:p w14:paraId="5220F344"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1.539,9</w:t>
            </w:r>
          </w:p>
        </w:tc>
      </w:tr>
      <w:tr w:rsidR="00BB5726" w:rsidRPr="00BB5726" w14:paraId="0B25CB04" w14:textId="77777777" w:rsidTr="00BB5726">
        <w:trPr>
          <w:trHeight w:val="253"/>
        </w:trPr>
        <w:tc>
          <w:tcPr>
            <w:tcW w:w="5404" w:type="dxa"/>
            <w:tcBorders>
              <w:top w:val="nil"/>
              <w:left w:val="double" w:sz="6" w:space="0" w:color="auto"/>
              <w:bottom w:val="dotted" w:sz="4" w:space="0" w:color="auto"/>
              <w:right w:val="nil"/>
            </w:tcBorders>
            <w:shd w:val="clear" w:color="auto" w:fill="auto"/>
            <w:vAlign w:val="center"/>
            <w:hideMark/>
          </w:tcPr>
          <w:p w14:paraId="7A928F8B" w14:textId="50C9577B" w:rsidR="00BB5726" w:rsidRPr="00BB5726" w:rsidRDefault="00BB5726" w:rsidP="00BB5726">
            <w:pPr>
              <w:spacing w:after="0"/>
              <w:jc w:val="left"/>
              <w:rPr>
                <w:rFonts w:eastAsia="Times New Roman" w:cs="Times New Roman"/>
                <w:sz w:val="20"/>
                <w:szCs w:val="20"/>
              </w:rPr>
            </w:pPr>
            <w:bookmarkStart w:id="64" w:name="RANGE!B141"/>
            <w:r w:rsidRPr="00BB5726">
              <w:rPr>
                <w:rFonts w:eastAsia="Times New Roman" w:cs="Times New Roman"/>
                <w:sz w:val="20"/>
                <w:szCs w:val="20"/>
              </w:rPr>
              <w:t>18a. Social transfers in kind</w:t>
            </w:r>
            <w:bookmarkEnd w:id="64"/>
          </w:p>
        </w:tc>
        <w:tc>
          <w:tcPr>
            <w:tcW w:w="1341" w:type="dxa"/>
            <w:tcBorders>
              <w:top w:val="nil"/>
              <w:left w:val="single" w:sz="8" w:space="0" w:color="auto"/>
              <w:bottom w:val="dotted" w:sz="4" w:space="0" w:color="auto"/>
              <w:right w:val="single" w:sz="8" w:space="0" w:color="auto"/>
            </w:tcBorders>
            <w:shd w:val="clear" w:color="auto" w:fill="auto"/>
            <w:vAlign w:val="center"/>
            <w:hideMark/>
          </w:tcPr>
          <w:p w14:paraId="6399C6F3" w14:textId="77777777" w:rsidR="00BB5726" w:rsidRPr="00BB5726" w:rsidRDefault="00BB5726" w:rsidP="00BB5726">
            <w:pPr>
              <w:spacing w:after="0"/>
              <w:jc w:val="center"/>
              <w:rPr>
                <w:rFonts w:eastAsia="Times New Roman" w:cs="Times New Roman"/>
                <w:sz w:val="20"/>
                <w:szCs w:val="20"/>
              </w:rPr>
            </w:pPr>
            <w:r w:rsidRPr="00BB5726">
              <w:rPr>
                <w:rFonts w:eastAsia="Times New Roman" w:cs="Times New Roman"/>
                <w:sz w:val="20"/>
                <w:szCs w:val="20"/>
              </w:rPr>
              <w:t>P31 = D63</w:t>
            </w:r>
          </w:p>
        </w:tc>
        <w:tc>
          <w:tcPr>
            <w:tcW w:w="1397" w:type="dxa"/>
            <w:tcBorders>
              <w:top w:val="nil"/>
              <w:left w:val="nil"/>
              <w:bottom w:val="dotted" w:sz="4" w:space="0" w:color="auto"/>
              <w:right w:val="dotted" w:sz="4" w:space="0" w:color="auto"/>
            </w:tcBorders>
            <w:shd w:val="clear" w:color="auto" w:fill="auto"/>
            <w:vAlign w:val="center"/>
            <w:hideMark/>
          </w:tcPr>
          <w:p w14:paraId="1D723112"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 </w:t>
            </w:r>
          </w:p>
        </w:tc>
        <w:tc>
          <w:tcPr>
            <w:tcW w:w="1285" w:type="dxa"/>
            <w:tcBorders>
              <w:top w:val="nil"/>
              <w:left w:val="nil"/>
              <w:bottom w:val="dotted" w:sz="4" w:space="0" w:color="auto"/>
              <w:right w:val="dotted" w:sz="4" w:space="0" w:color="auto"/>
            </w:tcBorders>
            <w:shd w:val="clear" w:color="auto" w:fill="auto"/>
            <w:vAlign w:val="center"/>
            <w:hideMark/>
          </w:tcPr>
          <w:p w14:paraId="40D13C62"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 </w:t>
            </w:r>
          </w:p>
        </w:tc>
        <w:tc>
          <w:tcPr>
            <w:tcW w:w="1341" w:type="dxa"/>
            <w:tcBorders>
              <w:top w:val="nil"/>
              <w:left w:val="nil"/>
              <w:bottom w:val="dotted" w:sz="4" w:space="0" w:color="auto"/>
              <w:right w:val="dotted" w:sz="4" w:space="0" w:color="auto"/>
            </w:tcBorders>
            <w:shd w:val="clear" w:color="auto" w:fill="auto"/>
            <w:vAlign w:val="center"/>
            <w:hideMark/>
          </w:tcPr>
          <w:p w14:paraId="360641F6"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 </w:t>
            </w:r>
          </w:p>
        </w:tc>
        <w:tc>
          <w:tcPr>
            <w:tcW w:w="1360" w:type="dxa"/>
            <w:tcBorders>
              <w:top w:val="nil"/>
              <w:left w:val="nil"/>
              <w:bottom w:val="dotted" w:sz="4" w:space="0" w:color="auto"/>
              <w:right w:val="dotted" w:sz="4" w:space="0" w:color="auto"/>
            </w:tcBorders>
            <w:shd w:val="clear" w:color="auto" w:fill="auto"/>
            <w:vAlign w:val="center"/>
            <w:hideMark/>
          </w:tcPr>
          <w:p w14:paraId="291D4359"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 </w:t>
            </w:r>
          </w:p>
        </w:tc>
        <w:tc>
          <w:tcPr>
            <w:tcW w:w="1360" w:type="dxa"/>
            <w:tcBorders>
              <w:top w:val="nil"/>
              <w:left w:val="nil"/>
              <w:bottom w:val="dotted" w:sz="4" w:space="0" w:color="auto"/>
              <w:right w:val="dotted" w:sz="4" w:space="0" w:color="auto"/>
            </w:tcBorders>
            <w:shd w:val="clear" w:color="auto" w:fill="auto"/>
            <w:vAlign w:val="center"/>
            <w:hideMark/>
          </w:tcPr>
          <w:p w14:paraId="62AD8406"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 </w:t>
            </w:r>
          </w:p>
        </w:tc>
        <w:tc>
          <w:tcPr>
            <w:tcW w:w="1360" w:type="dxa"/>
            <w:tcBorders>
              <w:top w:val="nil"/>
              <w:left w:val="nil"/>
              <w:bottom w:val="dotted" w:sz="4" w:space="0" w:color="auto"/>
              <w:right w:val="double" w:sz="6" w:space="0" w:color="auto"/>
            </w:tcBorders>
            <w:shd w:val="clear" w:color="auto" w:fill="auto"/>
            <w:vAlign w:val="center"/>
            <w:hideMark/>
          </w:tcPr>
          <w:p w14:paraId="35AEBA17"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 </w:t>
            </w:r>
          </w:p>
        </w:tc>
      </w:tr>
      <w:tr w:rsidR="00BB5726" w:rsidRPr="00BB5726" w14:paraId="13630976" w14:textId="77777777" w:rsidTr="00BB5726">
        <w:trPr>
          <w:trHeight w:val="253"/>
        </w:trPr>
        <w:tc>
          <w:tcPr>
            <w:tcW w:w="5404" w:type="dxa"/>
            <w:tcBorders>
              <w:top w:val="nil"/>
              <w:left w:val="double" w:sz="6" w:space="0" w:color="auto"/>
              <w:bottom w:val="dotted" w:sz="4" w:space="0" w:color="auto"/>
              <w:right w:val="nil"/>
            </w:tcBorders>
            <w:shd w:val="clear" w:color="auto" w:fill="auto"/>
            <w:vAlign w:val="center"/>
            <w:hideMark/>
          </w:tcPr>
          <w:p w14:paraId="43EA16F2" w14:textId="47843DAE" w:rsidR="00BB5726" w:rsidRPr="00BB5726" w:rsidRDefault="00BB5726" w:rsidP="00BB5726">
            <w:pPr>
              <w:spacing w:after="0"/>
              <w:jc w:val="left"/>
              <w:rPr>
                <w:rFonts w:eastAsia="Times New Roman" w:cs="Times New Roman"/>
                <w:sz w:val="20"/>
                <w:szCs w:val="20"/>
              </w:rPr>
            </w:pPr>
            <w:bookmarkStart w:id="65" w:name="RANGE!B142"/>
            <w:r w:rsidRPr="00BB5726">
              <w:rPr>
                <w:rFonts w:eastAsia="Times New Roman" w:cs="Times New Roman"/>
                <w:sz w:val="20"/>
                <w:szCs w:val="20"/>
              </w:rPr>
              <w:t>18b. Social transfers other than in kind</w:t>
            </w:r>
            <w:bookmarkEnd w:id="65"/>
          </w:p>
        </w:tc>
        <w:tc>
          <w:tcPr>
            <w:tcW w:w="1341" w:type="dxa"/>
            <w:tcBorders>
              <w:top w:val="nil"/>
              <w:left w:val="single" w:sz="8" w:space="0" w:color="auto"/>
              <w:bottom w:val="dotted" w:sz="4" w:space="0" w:color="auto"/>
              <w:right w:val="single" w:sz="8" w:space="0" w:color="auto"/>
            </w:tcBorders>
            <w:shd w:val="clear" w:color="auto" w:fill="auto"/>
            <w:vAlign w:val="center"/>
            <w:hideMark/>
          </w:tcPr>
          <w:p w14:paraId="067F0820" w14:textId="77777777" w:rsidR="00BB5726" w:rsidRPr="00BB5726" w:rsidRDefault="00BB5726" w:rsidP="00BB5726">
            <w:pPr>
              <w:spacing w:after="0"/>
              <w:jc w:val="center"/>
              <w:rPr>
                <w:rFonts w:eastAsia="Times New Roman" w:cs="Times New Roman"/>
                <w:sz w:val="20"/>
                <w:szCs w:val="20"/>
              </w:rPr>
            </w:pPr>
            <w:r w:rsidRPr="00BB5726">
              <w:rPr>
                <w:rFonts w:eastAsia="Times New Roman" w:cs="Times New Roman"/>
                <w:sz w:val="20"/>
                <w:szCs w:val="20"/>
              </w:rPr>
              <w:t>D62</w:t>
            </w:r>
          </w:p>
        </w:tc>
        <w:tc>
          <w:tcPr>
            <w:tcW w:w="1397" w:type="dxa"/>
            <w:tcBorders>
              <w:top w:val="nil"/>
              <w:left w:val="nil"/>
              <w:bottom w:val="dotted" w:sz="4" w:space="0" w:color="auto"/>
              <w:right w:val="dotted" w:sz="4" w:space="0" w:color="auto"/>
            </w:tcBorders>
            <w:shd w:val="clear" w:color="auto" w:fill="auto"/>
            <w:vAlign w:val="center"/>
            <w:hideMark/>
          </w:tcPr>
          <w:p w14:paraId="52676EAB"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926,2</w:t>
            </w:r>
          </w:p>
        </w:tc>
        <w:tc>
          <w:tcPr>
            <w:tcW w:w="1285" w:type="dxa"/>
            <w:tcBorders>
              <w:top w:val="nil"/>
              <w:left w:val="nil"/>
              <w:bottom w:val="dotted" w:sz="4" w:space="0" w:color="auto"/>
              <w:right w:val="dotted" w:sz="4" w:space="0" w:color="auto"/>
            </w:tcBorders>
            <w:shd w:val="clear" w:color="auto" w:fill="auto"/>
            <w:vAlign w:val="center"/>
            <w:hideMark/>
          </w:tcPr>
          <w:p w14:paraId="650D750E"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1098,6</w:t>
            </w:r>
          </w:p>
        </w:tc>
        <w:tc>
          <w:tcPr>
            <w:tcW w:w="1341" w:type="dxa"/>
            <w:tcBorders>
              <w:top w:val="nil"/>
              <w:left w:val="nil"/>
              <w:bottom w:val="dotted" w:sz="4" w:space="0" w:color="auto"/>
              <w:right w:val="dotted" w:sz="4" w:space="0" w:color="auto"/>
            </w:tcBorders>
            <w:shd w:val="clear" w:color="auto" w:fill="auto"/>
            <w:vAlign w:val="center"/>
            <w:hideMark/>
          </w:tcPr>
          <w:p w14:paraId="5050793F"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1250,0</w:t>
            </w:r>
          </w:p>
        </w:tc>
        <w:tc>
          <w:tcPr>
            <w:tcW w:w="1360" w:type="dxa"/>
            <w:tcBorders>
              <w:top w:val="nil"/>
              <w:left w:val="nil"/>
              <w:bottom w:val="dotted" w:sz="4" w:space="0" w:color="auto"/>
              <w:right w:val="dotted" w:sz="4" w:space="0" w:color="auto"/>
            </w:tcBorders>
            <w:shd w:val="clear" w:color="auto" w:fill="auto"/>
            <w:vAlign w:val="center"/>
            <w:hideMark/>
          </w:tcPr>
          <w:p w14:paraId="3A483397"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1344,3</w:t>
            </w:r>
          </w:p>
        </w:tc>
        <w:tc>
          <w:tcPr>
            <w:tcW w:w="1360" w:type="dxa"/>
            <w:tcBorders>
              <w:top w:val="nil"/>
              <w:left w:val="nil"/>
              <w:bottom w:val="dotted" w:sz="4" w:space="0" w:color="auto"/>
              <w:right w:val="dotted" w:sz="4" w:space="0" w:color="auto"/>
            </w:tcBorders>
            <w:shd w:val="clear" w:color="auto" w:fill="auto"/>
            <w:vAlign w:val="center"/>
            <w:hideMark/>
          </w:tcPr>
          <w:p w14:paraId="7EEFE930"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1448,7</w:t>
            </w:r>
          </w:p>
        </w:tc>
        <w:tc>
          <w:tcPr>
            <w:tcW w:w="1360" w:type="dxa"/>
            <w:tcBorders>
              <w:top w:val="nil"/>
              <w:left w:val="nil"/>
              <w:bottom w:val="dotted" w:sz="4" w:space="0" w:color="auto"/>
              <w:right w:val="double" w:sz="6" w:space="0" w:color="auto"/>
            </w:tcBorders>
            <w:shd w:val="clear" w:color="auto" w:fill="auto"/>
            <w:vAlign w:val="center"/>
            <w:hideMark/>
          </w:tcPr>
          <w:p w14:paraId="54D1E5A0"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1539,9</w:t>
            </w:r>
          </w:p>
        </w:tc>
      </w:tr>
      <w:tr w:rsidR="00BB5726" w:rsidRPr="00BB5726" w14:paraId="46CB55CE" w14:textId="77777777" w:rsidTr="00BB5726">
        <w:trPr>
          <w:trHeight w:val="505"/>
        </w:trPr>
        <w:tc>
          <w:tcPr>
            <w:tcW w:w="5404" w:type="dxa"/>
            <w:tcBorders>
              <w:top w:val="nil"/>
              <w:left w:val="double" w:sz="6" w:space="0" w:color="auto"/>
              <w:bottom w:val="dotted" w:sz="4" w:space="0" w:color="auto"/>
              <w:right w:val="nil"/>
            </w:tcBorders>
            <w:shd w:val="clear" w:color="auto" w:fill="auto"/>
            <w:vAlign w:val="center"/>
            <w:hideMark/>
          </w:tcPr>
          <w:p w14:paraId="596EC1A4" w14:textId="79D8F238" w:rsidR="00BB5726" w:rsidRPr="00BB5726" w:rsidRDefault="00BB5726" w:rsidP="00BB5726">
            <w:pPr>
              <w:spacing w:after="0"/>
              <w:jc w:val="left"/>
              <w:rPr>
                <w:rFonts w:eastAsia="Times New Roman" w:cs="Times New Roman"/>
                <w:sz w:val="20"/>
                <w:szCs w:val="20"/>
              </w:rPr>
            </w:pPr>
            <w:bookmarkStart w:id="66" w:name="RANGE!B143"/>
            <w:r w:rsidRPr="00BB5726">
              <w:rPr>
                <w:rFonts w:eastAsia="Times New Roman" w:cs="Times New Roman"/>
                <w:sz w:val="20"/>
                <w:szCs w:val="20"/>
              </w:rPr>
              <w:t xml:space="preserve">19 = 9. Interest expenditure (incl. FISIM) </w:t>
            </w:r>
            <w:bookmarkEnd w:id="66"/>
          </w:p>
        </w:tc>
        <w:tc>
          <w:tcPr>
            <w:tcW w:w="1341" w:type="dxa"/>
            <w:tcBorders>
              <w:top w:val="nil"/>
              <w:left w:val="single" w:sz="8" w:space="0" w:color="auto"/>
              <w:bottom w:val="dotted" w:sz="4" w:space="0" w:color="auto"/>
              <w:right w:val="single" w:sz="8" w:space="0" w:color="auto"/>
            </w:tcBorders>
            <w:shd w:val="clear" w:color="auto" w:fill="auto"/>
            <w:vAlign w:val="center"/>
            <w:hideMark/>
          </w:tcPr>
          <w:p w14:paraId="09079F40" w14:textId="77777777" w:rsidR="00BB5726" w:rsidRPr="00BB5726" w:rsidRDefault="00BB5726" w:rsidP="00BB5726">
            <w:pPr>
              <w:spacing w:after="0"/>
              <w:jc w:val="center"/>
              <w:rPr>
                <w:rFonts w:eastAsia="Times New Roman" w:cs="Times New Roman"/>
                <w:sz w:val="20"/>
                <w:szCs w:val="20"/>
              </w:rPr>
            </w:pPr>
            <w:r w:rsidRPr="00BB5726">
              <w:rPr>
                <w:rFonts w:eastAsia="Times New Roman" w:cs="Times New Roman"/>
                <w:sz w:val="20"/>
                <w:szCs w:val="20"/>
              </w:rPr>
              <w:t>EDP.D41 + FISIM</w:t>
            </w:r>
          </w:p>
        </w:tc>
        <w:tc>
          <w:tcPr>
            <w:tcW w:w="1397" w:type="dxa"/>
            <w:tcBorders>
              <w:top w:val="nil"/>
              <w:left w:val="nil"/>
              <w:bottom w:val="dotted" w:sz="4" w:space="0" w:color="auto"/>
              <w:right w:val="dotted" w:sz="4" w:space="0" w:color="auto"/>
            </w:tcBorders>
            <w:shd w:val="clear" w:color="auto" w:fill="auto"/>
            <w:vAlign w:val="center"/>
            <w:hideMark/>
          </w:tcPr>
          <w:p w14:paraId="04751898"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107,2</w:t>
            </w:r>
          </w:p>
        </w:tc>
        <w:tc>
          <w:tcPr>
            <w:tcW w:w="1285" w:type="dxa"/>
            <w:tcBorders>
              <w:top w:val="nil"/>
              <w:left w:val="nil"/>
              <w:bottom w:val="dotted" w:sz="4" w:space="0" w:color="auto"/>
              <w:right w:val="dotted" w:sz="4" w:space="0" w:color="auto"/>
            </w:tcBorders>
            <w:shd w:val="clear" w:color="auto" w:fill="auto"/>
            <w:vAlign w:val="center"/>
            <w:hideMark/>
          </w:tcPr>
          <w:p w14:paraId="1B3D377E"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149,3</w:t>
            </w:r>
          </w:p>
        </w:tc>
        <w:tc>
          <w:tcPr>
            <w:tcW w:w="1341" w:type="dxa"/>
            <w:tcBorders>
              <w:top w:val="nil"/>
              <w:left w:val="nil"/>
              <w:bottom w:val="dotted" w:sz="4" w:space="0" w:color="auto"/>
              <w:right w:val="dotted" w:sz="4" w:space="0" w:color="auto"/>
            </w:tcBorders>
            <w:shd w:val="clear" w:color="auto" w:fill="auto"/>
            <w:vAlign w:val="center"/>
            <w:hideMark/>
          </w:tcPr>
          <w:p w14:paraId="1686A010"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187,6</w:t>
            </w:r>
          </w:p>
        </w:tc>
        <w:tc>
          <w:tcPr>
            <w:tcW w:w="1360" w:type="dxa"/>
            <w:tcBorders>
              <w:top w:val="nil"/>
              <w:left w:val="nil"/>
              <w:bottom w:val="dotted" w:sz="4" w:space="0" w:color="auto"/>
              <w:right w:val="dotted" w:sz="4" w:space="0" w:color="auto"/>
            </w:tcBorders>
            <w:shd w:val="clear" w:color="auto" w:fill="auto"/>
            <w:vAlign w:val="center"/>
            <w:hideMark/>
          </w:tcPr>
          <w:p w14:paraId="45B73DA2"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222,7</w:t>
            </w:r>
          </w:p>
        </w:tc>
        <w:tc>
          <w:tcPr>
            <w:tcW w:w="1360" w:type="dxa"/>
            <w:tcBorders>
              <w:top w:val="nil"/>
              <w:left w:val="nil"/>
              <w:bottom w:val="dotted" w:sz="4" w:space="0" w:color="auto"/>
              <w:right w:val="dotted" w:sz="4" w:space="0" w:color="auto"/>
            </w:tcBorders>
            <w:shd w:val="clear" w:color="auto" w:fill="auto"/>
            <w:vAlign w:val="center"/>
            <w:hideMark/>
          </w:tcPr>
          <w:p w14:paraId="21C4560E"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235,6</w:t>
            </w:r>
          </w:p>
        </w:tc>
        <w:tc>
          <w:tcPr>
            <w:tcW w:w="1360" w:type="dxa"/>
            <w:tcBorders>
              <w:top w:val="nil"/>
              <w:left w:val="nil"/>
              <w:bottom w:val="dotted" w:sz="4" w:space="0" w:color="auto"/>
              <w:right w:val="double" w:sz="6" w:space="0" w:color="auto"/>
            </w:tcBorders>
            <w:shd w:val="clear" w:color="auto" w:fill="auto"/>
            <w:vAlign w:val="center"/>
            <w:hideMark/>
          </w:tcPr>
          <w:p w14:paraId="042627A3"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236,5</w:t>
            </w:r>
          </w:p>
        </w:tc>
      </w:tr>
      <w:tr w:rsidR="00BB5726" w:rsidRPr="00BB5726" w14:paraId="3838C01B" w14:textId="77777777" w:rsidTr="00BB5726">
        <w:trPr>
          <w:trHeight w:val="253"/>
        </w:trPr>
        <w:tc>
          <w:tcPr>
            <w:tcW w:w="5404" w:type="dxa"/>
            <w:tcBorders>
              <w:top w:val="nil"/>
              <w:left w:val="double" w:sz="6" w:space="0" w:color="auto"/>
              <w:bottom w:val="dotted" w:sz="4" w:space="0" w:color="auto"/>
              <w:right w:val="nil"/>
            </w:tcBorders>
            <w:shd w:val="clear" w:color="auto" w:fill="auto"/>
            <w:vAlign w:val="center"/>
            <w:hideMark/>
          </w:tcPr>
          <w:p w14:paraId="01A7A585" w14:textId="2624095D" w:rsidR="00BB5726" w:rsidRPr="00BB5726" w:rsidRDefault="00BB5726" w:rsidP="00BB5726">
            <w:pPr>
              <w:spacing w:after="0"/>
              <w:jc w:val="left"/>
              <w:rPr>
                <w:rFonts w:eastAsia="Times New Roman" w:cs="Times New Roman"/>
                <w:sz w:val="20"/>
                <w:szCs w:val="20"/>
              </w:rPr>
            </w:pPr>
            <w:bookmarkStart w:id="67" w:name="RANGE!B144"/>
            <w:r w:rsidRPr="00BB5726">
              <w:rPr>
                <w:rFonts w:eastAsia="Times New Roman" w:cs="Times New Roman"/>
                <w:sz w:val="20"/>
                <w:szCs w:val="20"/>
              </w:rPr>
              <w:t>20. Subsidies</w:t>
            </w:r>
            <w:bookmarkEnd w:id="67"/>
          </w:p>
        </w:tc>
        <w:tc>
          <w:tcPr>
            <w:tcW w:w="1341" w:type="dxa"/>
            <w:tcBorders>
              <w:top w:val="nil"/>
              <w:left w:val="single" w:sz="8" w:space="0" w:color="auto"/>
              <w:bottom w:val="dotted" w:sz="4" w:space="0" w:color="auto"/>
              <w:right w:val="single" w:sz="8" w:space="0" w:color="auto"/>
            </w:tcBorders>
            <w:shd w:val="clear" w:color="auto" w:fill="auto"/>
            <w:vAlign w:val="center"/>
            <w:hideMark/>
          </w:tcPr>
          <w:p w14:paraId="17857F17" w14:textId="77777777" w:rsidR="00BB5726" w:rsidRPr="00BB5726" w:rsidRDefault="00BB5726" w:rsidP="00BB5726">
            <w:pPr>
              <w:spacing w:after="0"/>
              <w:jc w:val="center"/>
              <w:rPr>
                <w:rFonts w:eastAsia="Times New Roman" w:cs="Times New Roman"/>
                <w:sz w:val="20"/>
                <w:szCs w:val="20"/>
              </w:rPr>
            </w:pPr>
            <w:r w:rsidRPr="00BB5726">
              <w:rPr>
                <w:rFonts w:eastAsia="Times New Roman" w:cs="Times New Roman"/>
                <w:sz w:val="20"/>
                <w:szCs w:val="20"/>
              </w:rPr>
              <w:t>D3</w:t>
            </w:r>
          </w:p>
        </w:tc>
        <w:tc>
          <w:tcPr>
            <w:tcW w:w="1397" w:type="dxa"/>
            <w:tcBorders>
              <w:top w:val="nil"/>
              <w:left w:val="nil"/>
              <w:bottom w:val="dotted" w:sz="4" w:space="0" w:color="auto"/>
              <w:right w:val="dotted" w:sz="4" w:space="0" w:color="auto"/>
            </w:tcBorders>
            <w:shd w:val="clear" w:color="auto" w:fill="auto"/>
            <w:vAlign w:val="center"/>
            <w:hideMark/>
          </w:tcPr>
          <w:p w14:paraId="7769496E"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160,5</w:t>
            </w:r>
          </w:p>
        </w:tc>
        <w:tc>
          <w:tcPr>
            <w:tcW w:w="1285" w:type="dxa"/>
            <w:tcBorders>
              <w:top w:val="nil"/>
              <w:left w:val="nil"/>
              <w:bottom w:val="dotted" w:sz="4" w:space="0" w:color="auto"/>
              <w:right w:val="dotted" w:sz="4" w:space="0" w:color="auto"/>
            </w:tcBorders>
            <w:shd w:val="clear" w:color="auto" w:fill="auto"/>
            <w:vAlign w:val="center"/>
            <w:hideMark/>
          </w:tcPr>
          <w:p w14:paraId="1D32EF85"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213,8</w:t>
            </w:r>
          </w:p>
        </w:tc>
        <w:tc>
          <w:tcPr>
            <w:tcW w:w="1341" w:type="dxa"/>
            <w:tcBorders>
              <w:top w:val="nil"/>
              <w:left w:val="nil"/>
              <w:bottom w:val="dotted" w:sz="4" w:space="0" w:color="auto"/>
              <w:right w:val="dotted" w:sz="4" w:space="0" w:color="auto"/>
            </w:tcBorders>
            <w:shd w:val="clear" w:color="auto" w:fill="auto"/>
            <w:vAlign w:val="center"/>
            <w:hideMark/>
          </w:tcPr>
          <w:p w14:paraId="461B886C"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243,6</w:t>
            </w:r>
          </w:p>
        </w:tc>
        <w:tc>
          <w:tcPr>
            <w:tcW w:w="1360" w:type="dxa"/>
            <w:tcBorders>
              <w:top w:val="nil"/>
              <w:left w:val="nil"/>
              <w:bottom w:val="dotted" w:sz="4" w:space="0" w:color="auto"/>
              <w:right w:val="dotted" w:sz="4" w:space="0" w:color="auto"/>
            </w:tcBorders>
            <w:shd w:val="clear" w:color="auto" w:fill="auto"/>
            <w:vAlign w:val="center"/>
            <w:hideMark/>
          </w:tcPr>
          <w:p w14:paraId="294D7F89"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245,7</w:t>
            </w:r>
          </w:p>
        </w:tc>
        <w:tc>
          <w:tcPr>
            <w:tcW w:w="1360" w:type="dxa"/>
            <w:tcBorders>
              <w:top w:val="nil"/>
              <w:left w:val="nil"/>
              <w:bottom w:val="dotted" w:sz="4" w:space="0" w:color="auto"/>
              <w:right w:val="dotted" w:sz="4" w:space="0" w:color="auto"/>
            </w:tcBorders>
            <w:shd w:val="clear" w:color="auto" w:fill="auto"/>
            <w:vAlign w:val="center"/>
            <w:hideMark/>
          </w:tcPr>
          <w:p w14:paraId="1D227E9E"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261,8</w:t>
            </w:r>
          </w:p>
        </w:tc>
        <w:tc>
          <w:tcPr>
            <w:tcW w:w="1360" w:type="dxa"/>
            <w:tcBorders>
              <w:top w:val="nil"/>
              <w:left w:val="nil"/>
              <w:bottom w:val="dotted" w:sz="4" w:space="0" w:color="auto"/>
              <w:right w:val="double" w:sz="6" w:space="0" w:color="auto"/>
            </w:tcBorders>
            <w:shd w:val="clear" w:color="auto" w:fill="auto"/>
            <w:vAlign w:val="center"/>
            <w:hideMark/>
          </w:tcPr>
          <w:p w14:paraId="4F6030B0"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268,6</w:t>
            </w:r>
          </w:p>
        </w:tc>
      </w:tr>
      <w:tr w:rsidR="00BB5726" w:rsidRPr="00BB5726" w14:paraId="6F5528AB" w14:textId="77777777" w:rsidTr="00BB5726">
        <w:trPr>
          <w:trHeight w:val="253"/>
        </w:trPr>
        <w:tc>
          <w:tcPr>
            <w:tcW w:w="5404" w:type="dxa"/>
            <w:tcBorders>
              <w:top w:val="nil"/>
              <w:left w:val="double" w:sz="6" w:space="0" w:color="auto"/>
              <w:bottom w:val="dotted" w:sz="4" w:space="0" w:color="auto"/>
              <w:right w:val="nil"/>
            </w:tcBorders>
            <w:shd w:val="clear" w:color="auto" w:fill="auto"/>
            <w:vAlign w:val="center"/>
            <w:hideMark/>
          </w:tcPr>
          <w:p w14:paraId="742EA26C" w14:textId="14798B24" w:rsidR="00BB5726" w:rsidRPr="00BB5726" w:rsidRDefault="00BB5726" w:rsidP="00BB5726">
            <w:pPr>
              <w:spacing w:after="0"/>
              <w:jc w:val="left"/>
              <w:rPr>
                <w:rFonts w:eastAsia="Times New Roman" w:cs="Times New Roman"/>
                <w:sz w:val="20"/>
                <w:szCs w:val="20"/>
              </w:rPr>
            </w:pPr>
            <w:bookmarkStart w:id="68" w:name="RANGE!B145"/>
            <w:r w:rsidRPr="00BB5726">
              <w:rPr>
                <w:rFonts w:eastAsia="Times New Roman" w:cs="Times New Roman"/>
                <w:sz w:val="20"/>
                <w:szCs w:val="20"/>
              </w:rPr>
              <w:t>21. Gross fixed capital formation</w:t>
            </w:r>
            <w:bookmarkEnd w:id="68"/>
          </w:p>
        </w:tc>
        <w:tc>
          <w:tcPr>
            <w:tcW w:w="1341" w:type="dxa"/>
            <w:tcBorders>
              <w:top w:val="nil"/>
              <w:left w:val="single" w:sz="8" w:space="0" w:color="auto"/>
              <w:bottom w:val="dotted" w:sz="4" w:space="0" w:color="auto"/>
              <w:right w:val="single" w:sz="8" w:space="0" w:color="auto"/>
            </w:tcBorders>
            <w:shd w:val="clear" w:color="auto" w:fill="auto"/>
            <w:vAlign w:val="center"/>
            <w:hideMark/>
          </w:tcPr>
          <w:p w14:paraId="3C1A088A" w14:textId="77777777" w:rsidR="00BB5726" w:rsidRPr="00BB5726" w:rsidRDefault="00BB5726" w:rsidP="00BB5726">
            <w:pPr>
              <w:spacing w:after="0"/>
              <w:jc w:val="center"/>
              <w:rPr>
                <w:rFonts w:eastAsia="Times New Roman" w:cs="Times New Roman"/>
                <w:sz w:val="20"/>
                <w:szCs w:val="20"/>
              </w:rPr>
            </w:pPr>
            <w:r w:rsidRPr="00BB5726">
              <w:rPr>
                <w:rFonts w:eastAsia="Times New Roman" w:cs="Times New Roman"/>
                <w:sz w:val="20"/>
                <w:szCs w:val="20"/>
              </w:rPr>
              <w:t>P51</w:t>
            </w:r>
          </w:p>
        </w:tc>
        <w:tc>
          <w:tcPr>
            <w:tcW w:w="1397" w:type="dxa"/>
            <w:tcBorders>
              <w:top w:val="nil"/>
              <w:left w:val="nil"/>
              <w:bottom w:val="dotted" w:sz="4" w:space="0" w:color="auto"/>
              <w:right w:val="dotted" w:sz="4" w:space="0" w:color="auto"/>
            </w:tcBorders>
            <w:shd w:val="clear" w:color="auto" w:fill="auto"/>
            <w:vAlign w:val="center"/>
            <w:hideMark/>
          </w:tcPr>
          <w:p w14:paraId="4DC660FC"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526,1</w:t>
            </w:r>
          </w:p>
        </w:tc>
        <w:tc>
          <w:tcPr>
            <w:tcW w:w="1285" w:type="dxa"/>
            <w:tcBorders>
              <w:top w:val="nil"/>
              <w:left w:val="nil"/>
              <w:bottom w:val="dotted" w:sz="4" w:space="0" w:color="auto"/>
              <w:right w:val="dotted" w:sz="4" w:space="0" w:color="auto"/>
            </w:tcBorders>
            <w:shd w:val="clear" w:color="auto" w:fill="auto"/>
            <w:vAlign w:val="center"/>
            <w:hideMark/>
          </w:tcPr>
          <w:p w14:paraId="4E838EFE"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568,6</w:t>
            </w:r>
          </w:p>
        </w:tc>
        <w:tc>
          <w:tcPr>
            <w:tcW w:w="1341" w:type="dxa"/>
            <w:tcBorders>
              <w:top w:val="nil"/>
              <w:left w:val="nil"/>
              <w:bottom w:val="dotted" w:sz="4" w:space="0" w:color="auto"/>
              <w:right w:val="dotted" w:sz="4" w:space="0" w:color="auto"/>
            </w:tcBorders>
            <w:shd w:val="clear" w:color="auto" w:fill="auto"/>
            <w:vAlign w:val="center"/>
            <w:hideMark/>
          </w:tcPr>
          <w:p w14:paraId="2811923F"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706,3</w:t>
            </w:r>
          </w:p>
        </w:tc>
        <w:tc>
          <w:tcPr>
            <w:tcW w:w="1360" w:type="dxa"/>
            <w:tcBorders>
              <w:top w:val="nil"/>
              <w:left w:val="nil"/>
              <w:bottom w:val="dotted" w:sz="4" w:space="0" w:color="auto"/>
              <w:right w:val="dotted" w:sz="4" w:space="0" w:color="auto"/>
            </w:tcBorders>
            <w:shd w:val="clear" w:color="auto" w:fill="auto"/>
            <w:vAlign w:val="center"/>
            <w:hideMark/>
          </w:tcPr>
          <w:p w14:paraId="45244AE9"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761,7</w:t>
            </w:r>
          </w:p>
        </w:tc>
        <w:tc>
          <w:tcPr>
            <w:tcW w:w="1360" w:type="dxa"/>
            <w:tcBorders>
              <w:top w:val="nil"/>
              <w:left w:val="nil"/>
              <w:bottom w:val="dotted" w:sz="4" w:space="0" w:color="auto"/>
              <w:right w:val="dotted" w:sz="4" w:space="0" w:color="auto"/>
            </w:tcBorders>
            <w:shd w:val="clear" w:color="auto" w:fill="auto"/>
            <w:vAlign w:val="center"/>
            <w:hideMark/>
          </w:tcPr>
          <w:p w14:paraId="1C5AA630"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796,9</w:t>
            </w:r>
          </w:p>
        </w:tc>
        <w:tc>
          <w:tcPr>
            <w:tcW w:w="1360" w:type="dxa"/>
            <w:tcBorders>
              <w:top w:val="nil"/>
              <w:left w:val="nil"/>
              <w:bottom w:val="dotted" w:sz="4" w:space="0" w:color="auto"/>
              <w:right w:val="double" w:sz="6" w:space="0" w:color="auto"/>
            </w:tcBorders>
            <w:shd w:val="clear" w:color="auto" w:fill="auto"/>
            <w:vAlign w:val="center"/>
            <w:hideMark/>
          </w:tcPr>
          <w:p w14:paraId="5CA6353C"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884,2</w:t>
            </w:r>
          </w:p>
        </w:tc>
      </w:tr>
      <w:tr w:rsidR="00BB5726" w:rsidRPr="00BB5726" w14:paraId="5F4A1200" w14:textId="77777777" w:rsidTr="00BB5726">
        <w:trPr>
          <w:trHeight w:val="253"/>
        </w:trPr>
        <w:tc>
          <w:tcPr>
            <w:tcW w:w="5404" w:type="dxa"/>
            <w:tcBorders>
              <w:top w:val="nil"/>
              <w:left w:val="double" w:sz="6" w:space="0" w:color="auto"/>
              <w:bottom w:val="dotted" w:sz="4" w:space="0" w:color="auto"/>
              <w:right w:val="nil"/>
            </w:tcBorders>
            <w:shd w:val="clear" w:color="auto" w:fill="auto"/>
            <w:vAlign w:val="center"/>
            <w:hideMark/>
          </w:tcPr>
          <w:p w14:paraId="31061B36" w14:textId="14E16DA7" w:rsidR="00BB5726" w:rsidRPr="00BB5726" w:rsidRDefault="00602766" w:rsidP="00BB5726">
            <w:pPr>
              <w:spacing w:after="0"/>
              <w:jc w:val="left"/>
              <w:rPr>
                <w:rFonts w:eastAsia="Times New Roman" w:cs="Times New Roman"/>
                <w:sz w:val="20"/>
                <w:szCs w:val="20"/>
              </w:rPr>
            </w:pPr>
            <w:hyperlink r:id="rId42" w:anchor="RANGE!B144" w:history="1">
              <w:r w:rsidR="00BB5726" w:rsidRPr="00BB5726">
                <w:rPr>
                  <w:rFonts w:eastAsia="Times New Roman" w:cs="Times New Roman"/>
                  <w:sz w:val="20"/>
                  <w:szCs w:val="20"/>
                </w:rPr>
                <w:t>22. Other (22 = 23-(17+18+19+20+21) [6]</w:t>
              </w:r>
            </w:hyperlink>
          </w:p>
        </w:tc>
        <w:tc>
          <w:tcPr>
            <w:tcW w:w="1341" w:type="dxa"/>
            <w:tcBorders>
              <w:top w:val="nil"/>
              <w:left w:val="single" w:sz="8" w:space="0" w:color="auto"/>
              <w:bottom w:val="dotted" w:sz="4" w:space="0" w:color="auto"/>
              <w:right w:val="single" w:sz="8" w:space="0" w:color="auto"/>
            </w:tcBorders>
            <w:shd w:val="clear" w:color="auto" w:fill="auto"/>
            <w:vAlign w:val="center"/>
            <w:hideMark/>
          </w:tcPr>
          <w:p w14:paraId="524EC075" w14:textId="77777777" w:rsidR="00BB5726" w:rsidRPr="00BB5726" w:rsidRDefault="00BB5726" w:rsidP="00BB5726">
            <w:pPr>
              <w:spacing w:after="0"/>
              <w:jc w:val="center"/>
              <w:rPr>
                <w:rFonts w:eastAsia="Times New Roman" w:cs="Times New Roman"/>
                <w:sz w:val="20"/>
                <w:szCs w:val="20"/>
              </w:rPr>
            </w:pPr>
            <w:r w:rsidRPr="00BB5726">
              <w:rPr>
                <w:rFonts w:eastAsia="Times New Roman" w:cs="Times New Roman"/>
                <w:sz w:val="20"/>
                <w:szCs w:val="20"/>
              </w:rPr>
              <w:t> </w:t>
            </w:r>
          </w:p>
        </w:tc>
        <w:tc>
          <w:tcPr>
            <w:tcW w:w="1397" w:type="dxa"/>
            <w:tcBorders>
              <w:top w:val="nil"/>
              <w:left w:val="nil"/>
              <w:bottom w:val="dotted" w:sz="4" w:space="0" w:color="auto"/>
              <w:right w:val="dotted" w:sz="4" w:space="0" w:color="auto"/>
            </w:tcBorders>
            <w:shd w:val="clear" w:color="auto" w:fill="auto"/>
            <w:vAlign w:val="center"/>
            <w:hideMark/>
          </w:tcPr>
          <w:p w14:paraId="323A1A2D"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356,2</w:t>
            </w:r>
          </w:p>
        </w:tc>
        <w:tc>
          <w:tcPr>
            <w:tcW w:w="1285" w:type="dxa"/>
            <w:tcBorders>
              <w:top w:val="nil"/>
              <w:left w:val="nil"/>
              <w:bottom w:val="dotted" w:sz="4" w:space="0" w:color="auto"/>
              <w:right w:val="dotted" w:sz="4" w:space="0" w:color="auto"/>
            </w:tcBorders>
            <w:shd w:val="clear" w:color="auto" w:fill="auto"/>
            <w:vAlign w:val="center"/>
            <w:hideMark/>
          </w:tcPr>
          <w:p w14:paraId="7A0B09BC"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221,1</w:t>
            </w:r>
          </w:p>
        </w:tc>
        <w:tc>
          <w:tcPr>
            <w:tcW w:w="1341" w:type="dxa"/>
            <w:tcBorders>
              <w:top w:val="nil"/>
              <w:left w:val="nil"/>
              <w:bottom w:val="dotted" w:sz="4" w:space="0" w:color="auto"/>
              <w:right w:val="dotted" w:sz="4" w:space="0" w:color="auto"/>
            </w:tcBorders>
            <w:shd w:val="clear" w:color="auto" w:fill="auto"/>
            <w:vAlign w:val="center"/>
            <w:hideMark/>
          </w:tcPr>
          <w:p w14:paraId="148165E3"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179,6</w:t>
            </w:r>
          </w:p>
        </w:tc>
        <w:tc>
          <w:tcPr>
            <w:tcW w:w="1360" w:type="dxa"/>
            <w:tcBorders>
              <w:top w:val="nil"/>
              <w:left w:val="nil"/>
              <w:bottom w:val="dotted" w:sz="4" w:space="0" w:color="auto"/>
              <w:right w:val="dotted" w:sz="4" w:space="0" w:color="auto"/>
            </w:tcBorders>
            <w:shd w:val="clear" w:color="auto" w:fill="auto"/>
            <w:vAlign w:val="center"/>
            <w:hideMark/>
          </w:tcPr>
          <w:p w14:paraId="432E8138"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167,8</w:t>
            </w:r>
          </w:p>
        </w:tc>
        <w:tc>
          <w:tcPr>
            <w:tcW w:w="1360" w:type="dxa"/>
            <w:tcBorders>
              <w:top w:val="nil"/>
              <w:left w:val="nil"/>
              <w:bottom w:val="dotted" w:sz="4" w:space="0" w:color="auto"/>
              <w:right w:val="dotted" w:sz="4" w:space="0" w:color="auto"/>
            </w:tcBorders>
            <w:shd w:val="clear" w:color="auto" w:fill="auto"/>
            <w:vAlign w:val="center"/>
            <w:hideMark/>
          </w:tcPr>
          <w:p w14:paraId="6A200D52"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174,6</w:t>
            </w:r>
          </w:p>
        </w:tc>
        <w:tc>
          <w:tcPr>
            <w:tcW w:w="1360" w:type="dxa"/>
            <w:tcBorders>
              <w:top w:val="nil"/>
              <w:left w:val="nil"/>
              <w:bottom w:val="dotted" w:sz="4" w:space="0" w:color="auto"/>
              <w:right w:val="double" w:sz="6" w:space="0" w:color="auto"/>
            </w:tcBorders>
            <w:shd w:val="clear" w:color="auto" w:fill="auto"/>
            <w:vAlign w:val="center"/>
            <w:hideMark/>
          </w:tcPr>
          <w:p w14:paraId="6AABE3AB" w14:textId="77777777" w:rsidR="00BB5726" w:rsidRPr="00BB5726" w:rsidRDefault="00BB5726" w:rsidP="00BB5726">
            <w:pPr>
              <w:spacing w:after="0"/>
              <w:jc w:val="right"/>
              <w:rPr>
                <w:rFonts w:eastAsia="Times New Roman" w:cs="Times New Roman"/>
                <w:sz w:val="20"/>
                <w:szCs w:val="20"/>
              </w:rPr>
            </w:pPr>
            <w:r w:rsidRPr="00BB5726">
              <w:rPr>
                <w:rFonts w:eastAsia="Times New Roman" w:cs="Times New Roman"/>
                <w:sz w:val="20"/>
                <w:szCs w:val="20"/>
              </w:rPr>
              <w:t>180,5</w:t>
            </w:r>
          </w:p>
        </w:tc>
      </w:tr>
      <w:tr w:rsidR="00BB5726" w:rsidRPr="00BB5726" w14:paraId="3B004A73" w14:textId="77777777" w:rsidTr="00BB5726">
        <w:trPr>
          <w:trHeight w:val="253"/>
        </w:trPr>
        <w:tc>
          <w:tcPr>
            <w:tcW w:w="5404" w:type="dxa"/>
            <w:tcBorders>
              <w:top w:val="nil"/>
              <w:left w:val="double" w:sz="6" w:space="0" w:color="auto"/>
              <w:bottom w:val="dotted" w:sz="4" w:space="0" w:color="auto"/>
              <w:right w:val="nil"/>
            </w:tcBorders>
            <w:shd w:val="clear" w:color="auto" w:fill="auto"/>
            <w:vAlign w:val="center"/>
            <w:hideMark/>
          </w:tcPr>
          <w:p w14:paraId="37A18602" w14:textId="27386547" w:rsidR="00BB5726" w:rsidRPr="00BB5726" w:rsidRDefault="00602766" w:rsidP="00BB5726">
            <w:pPr>
              <w:spacing w:after="0"/>
              <w:jc w:val="left"/>
              <w:rPr>
                <w:rFonts w:eastAsia="Times New Roman" w:cs="Times New Roman"/>
                <w:sz w:val="20"/>
                <w:szCs w:val="20"/>
              </w:rPr>
            </w:pPr>
            <w:hyperlink r:id="rId43" w:anchor="RANGE!B145" w:history="1">
              <w:r w:rsidR="00BB5726" w:rsidRPr="00BB5726">
                <w:rPr>
                  <w:rFonts w:eastAsia="Times New Roman" w:cs="Times New Roman"/>
                  <w:sz w:val="20"/>
                  <w:szCs w:val="20"/>
                </w:rPr>
                <w:t xml:space="preserve">23. Total expenditures [7] </w:t>
              </w:r>
            </w:hyperlink>
          </w:p>
        </w:tc>
        <w:tc>
          <w:tcPr>
            <w:tcW w:w="1341" w:type="dxa"/>
            <w:tcBorders>
              <w:top w:val="nil"/>
              <w:left w:val="single" w:sz="8" w:space="0" w:color="auto"/>
              <w:bottom w:val="dotted" w:sz="4" w:space="0" w:color="auto"/>
              <w:right w:val="single" w:sz="8" w:space="0" w:color="auto"/>
            </w:tcBorders>
            <w:shd w:val="clear" w:color="auto" w:fill="auto"/>
            <w:vAlign w:val="center"/>
            <w:hideMark/>
          </w:tcPr>
          <w:p w14:paraId="4A9EC5CE" w14:textId="77777777" w:rsidR="00BB5726" w:rsidRPr="00BB5726" w:rsidRDefault="00BB5726" w:rsidP="00BB5726">
            <w:pPr>
              <w:spacing w:after="0"/>
              <w:jc w:val="center"/>
              <w:rPr>
                <w:rFonts w:eastAsia="Times New Roman" w:cs="Times New Roman"/>
                <w:sz w:val="20"/>
                <w:szCs w:val="20"/>
              </w:rPr>
            </w:pPr>
            <w:r w:rsidRPr="00BB5726">
              <w:rPr>
                <w:rFonts w:eastAsia="Times New Roman" w:cs="Times New Roman"/>
                <w:sz w:val="20"/>
                <w:szCs w:val="20"/>
              </w:rPr>
              <w:t>TE</w:t>
            </w:r>
          </w:p>
        </w:tc>
        <w:tc>
          <w:tcPr>
            <w:tcW w:w="1397" w:type="dxa"/>
            <w:tcBorders>
              <w:top w:val="nil"/>
              <w:left w:val="nil"/>
              <w:bottom w:val="dotted" w:sz="4" w:space="0" w:color="auto"/>
              <w:right w:val="dotted" w:sz="4" w:space="0" w:color="auto"/>
            </w:tcBorders>
            <w:shd w:val="clear" w:color="auto" w:fill="auto"/>
            <w:vAlign w:val="center"/>
            <w:hideMark/>
          </w:tcPr>
          <w:p w14:paraId="481749D3"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3.328,2</w:t>
            </w:r>
          </w:p>
        </w:tc>
        <w:tc>
          <w:tcPr>
            <w:tcW w:w="1285" w:type="dxa"/>
            <w:tcBorders>
              <w:top w:val="nil"/>
              <w:left w:val="nil"/>
              <w:bottom w:val="dotted" w:sz="4" w:space="0" w:color="auto"/>
              <w:right w:val="dotted" w:sz="4" w:space="0" w:color="auto"/>
            </w:tcBorders>
            <w:shd w:val="clear" w:color="auto" w:fill="auto"/>
            <w:vAlign w:val="center"/>
            <w:hideMark/>
          </w:tcPr>
          <w:p w14:paraId="40780343"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3.654,4</w:t>
            </w:r>
          </w:p>
        </w:tc>
        <w:tc>
          <w:tcPr>
            <w:tcW w:w="1341" w:type="dxa"/>
            <w:tcBorders>
              <w:top w:val="nil"/>
              <w:left w:val="nil"/>
              <w:bottom w:val="dotted" w:sz="4" w:space="0" w:color="auto"/>
              <w:right w:val="dotted" w:sz="4" w:space="0" w:color="auto"/>
            </w:tcBorders>
            <w:shd w:val="clear" w:color="auto" w:fill="auto"/>
            <w:vAlign w:val="center"/>
            <w:hideMark/>
          </w:tcPr>
          <w:p w14:paraId="5721F27C"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4.185,2</w:t>
            </w:r>
          </w:p>
        </w:tc>
        <w:tc>
          <w:tcPr>
            <w:tcW w:w="1360" w:type="dxa"/>
            <w:tcBorders>
              <w:top w:val="nil"/>
              <w:left w:val="nil"/>
              <w:bottom w:val="dotted" w:sz="4" w:space="0" w:color="auto"/>
              <w:right w:val="dotted" w:sz="4" w:space="0" w:color="auto"/>
            </w:tcBorders>
            <w:shd w:val="clear" w:color="auto" w:fill="auto"/>
            <w:vAlign w:val="center"/>
            <w:hideMark/>
          </w:tcPr>
          <w:p w14:paraId="4C607462"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4.578,3</w:t>
            </w:r>
          </w:p>
        </w:tc>
        <w:tc>
          <w:tcPr>
            <w:tcW w:w="1360" w:type="dxa"/>
            <w:tcBorders>
              <w:top w:val="nil"/>
              <w:left w:val="nil"/>
              <w:bottom w:val="dotted" w:sz="4" w:space="0" w:color="auto"/>
              <w:right w:val="dotted" w:sz="4" w:space="0" w:color="auto"/>
            </w:tcBorders>
            <w:shd w:val="clear" w:color="auto" w:fill="auto"/>
            <w:vAlign w:val="center"/>
            <w:hideMark/>
          </w:tcPr>
          <w:p w14:paraId="2B5DBEAD"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4.870,0</w:t>
            </w:r>
          </w:p>
        </w:tc>
        <w:tc>
          <w:tcPr>
            <w:tcW w:w="1360" w:type="dxa"/>
            <w:tcBorders>
              <w:top w:val="nil"/>
              <w:left w:val="nil"/>
              <w:bottom w:val="dotted" w:sz="4" w:space="0" w:color="auto"/>
              <w:right w:val="double" w:sz="6" w:space="0" w:color="auto"/>
            </w:tcBorders>
            <w:shd w:val="clear" w:color="auto" w:fill="auto"/>
            <w:vAlign w:val="center"/>
            <w:hideMark/>
          </w:tcPr>
          <w:p w14:paraId="4668BBFA"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5.214,7</w:t>
            </w:r>
          </w:p>
        </w:tc>
      </w:tr>
      <w:tr w:rsidR="00BB5726" w:rsidRPr="00BB5726" w14:paraId="71509E05" w14:textId="77777777" w:rsidTr="00BB5726">
        <w:trPr>
          <w:trHeight w:val="261"/>
        </w:trPr>
        <w:tc>
          <w:tcPr>
            <w:tcW w:w="5404" w:type="dxa"/>
            <w:tcBorders>
              <w:top w:val="nil"/>
              <w:left w:val="double" w:sz="6" w:space="0" w:color="auto"/>
              <w:bottom w:val="double" w:sz="6" w:space="0" w:color="auto"/>
              <w:right w:val="nil"/>
            </w:tcBorders>
            <w:shd w:val="clear" w:color="auto" w:fill="auto"/>
            <w:vAlign w:val="bottom"/>
            <w:hideMark/>
          </w:tcPr>
          <w:p w14:paraId="1534F572" w14:textId="77777777" w:rsidR="00BB5726" w:rsidRPr="00BB5726" w:rsidRDefault="00BB5726" w:rsidP="00BB5726">
            <w:pPr>
              <w:spacing w:after="0"/>
              <w:jc w:val="left"/>
              <w:rPr>
                <w:rFonts w:eastAsia="Times New Roman" w:cs="Times New Roman"/>
                <w:sz w:val="20"/>
                <w:szCs w:val="20"/>
              </w:rPr>
            </w:pPr>
            <w:r w:rsidRPr="00BB5726">
              <w:rPr>
                <w:rFonts w:eastAsia="Times New Roman" w:cs="Times New Roman"/>
                <w:sz w:val="20"/>
                <w:szCs w:val="20"/>
              </w:rPr>
              <w:t>p.m.  compensation of employees</w:t>
            </w:r>
          </w:p>
        </w:tc>
        <w:tc>
          <w:tcPr>
            <w:tcW w:w="1341" w:type="dxa"/>
            <w:tcBorders>
              <w:top w:val="nil"/>
              <w:left w:val="single" w:sz="8" w:space="0" w:color="auto"/>
              <w:bottom w:val="double" w:sz="6" w:space="0" w:color="auto"/>
              <w:right w:val="single" w:sz="8" w:space="0" w:color="auto"/>
            </w:tcBorders>
            <w:shd w:val="clear" w:color="auto" w:fill="auto"/>
            <w:vAlign w:val="bottom"/>
            <w:hideMark/>
          </w:tcPr>
          <w:p w14:paraId="2BB8DDD3" w14:textId="77777777" w:rsidR="00BB5726" w:rsidRPr="00BB5726" w:rsidRDefault="00BB5726" w:rsidP="00BB5726">
            <w:pPr>
              <w:spacing w:after="0"/>
              <w:jc w:val="center"/>
              <w:rPr>
                <w:rFonts w:eastAsia="Times New Roman" w:cs="Times New Roman"/>
                <w:sz w:val="20"/>
                <w:szCs w:val="20"/>
              </w:rPr>
            </w:pPr>
            <w:r w:rsidRPr="00BB5726">
              <w:rPr>
                <w:rFonts w:eastAsia="Times New Roman" w:cs="Times New Roman"/>
                <w:sz w:val="20"/>
                <w:szCs w:val="20"/>
              </w:rPr>
              <w:t>D1</w:t>
            </w:r>
          </w:p>
        </w:tc>
        <w:tc>
          <w:tcPr>
            <w:tcW w:w="1397" w:type="dxa"/>
            <w:tcBorders>
              <w:top w:val="nil"/>
              <w:left w:val="nil"/>
              <w:bottom w:val="double" w:sz="6" w:space="0" w:color="auto"/>
              <w:right w:val="dotted" w:sz="4" w:space="0" w:color="auto"/>
            </w:tcBorders>
            <w:shd w:val="clear" w:color="auto" w:fill="auto"/>
            <w:vAlign w:val="bottom"/>
            <w:hideMark/>
          </w:tcPr>
          <w:p w14:paraId="6E229F19"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694,9</w:t>
            </w:r>
          </w:p>
        </w:tc>
        <w:tc>
          <w:tcPr>
            <w:tcW w:w="1285" w:type="dxa"/>
            <w:tcBorders>
              <w:top w:val="nil"/>
              <w:left w:val="nil"/>
              <w:bottom w:val="double" w:sz="6" w:space="0" w:color="auto"/>
              <w:right w:val="dotted" w:sz="4" w:space="0" w:color="auto"/>
            </w:tcBorders>
            <w:shd w:val="clear" w:color="auto" w:fill="auto"/>
            <w:vAlign w:val="bottom"/>
            <w:hideMark/>
          </w:tcPr>
          <w:p w14:paraId="413E6BCE"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774,9</w:t>
            </w:r>
          </w:p>
        </w:tc>
        <w:tc>
          <w:tcPr>
            <w:tcW w:w="1341" w:type="dxa"/>
            <w:tcBorders>
              <w:top w:val="nil"/>
              <w:left w:val="nil"/>
              <w:bottom w:val="double" w:sz="6" w:space="0" w:color="auto"/>
              <w:right w:val="dotted" w:sz="4" w:space="0" w:color="auto"/>
            </w:tcBorders>
            <w:shd w:val="clear" w:color="auto" w:fill="auto"/>
            <w:vAlign w:val="bottom"/>
            <w:hideMark/>
          </w:tcPr>
          <w:p w14:paraId="12BAA311"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911,3</w:t>
            </w:r>
          </w:p>
        </w:tc>
        <w:tc>
          <w:tcPr>
            <w:tcW w:w="1360" w:type="dxa"/>
            <w:tcBorders>
              <w:top w:val="nil"/>
              <w:left w:val="nil"/>
              <w:bottom w:val="double" w:sz="6" w:space="0" w:color="auto"/>
              <w:right w:val="dotted" w:sz="4" w:space="0" w:color="auto"/>
            </w:tcBorders>
            <w:shd w:val="clear" w:color="auto" w:fill="auto"/>
            <w:vAlign w:val="bottom"/>
            <w:hideMark/>
          </w:tcPr>
          <w:p w14:paraId="1D0E85DD"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1.016,4</w:t>
            </w:r>
          </w:p>
        </w:tc>
        <w:tc>
          <w:tcPr>
            <w:tcW w:w="1360" w:type="dxa"/>
            <w:tcBorders>
              <w:top w:val="nil"/>
              <w:left w:val="nil"/>
              <w:bottom w:val="double" w:sz="6" w:space="0" w:color="auto"/>
              <w:right w:val="dotted" w:sz="4" w:space="0" w:color="auto"/>
            </w:tcBorders>
            <w:shd w:val="clear" w:color="auto" w:fill="auto"/>
            <w:vAlign w:val="bottom"/>
            <w:hideMark/>
          </w:tcPr>
          <w:p w14:paraId="51323C16"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1.088,2</w:t>
            </w:r>
          </w:p>
        </w:tc>
        <w:tc>
          <w:tcPr>
            <w:tcW w:w="1360" w:type="dxa"/>
            <w:tcBorders>
              <w:top w:val="nil"/>
              <w:left w:val="nil"/>
              <w:bottom w:val="double" w:sz="6" w:space="0" w:color="auto"/>
              <w:right w:val="double" w:sz="6" w:space="0" w:color="auto"/>
            </w:tcBorders>
            <w:shd w:val="clear" w:color="auto" w:fill="auto"/>
            <w:vAlign w:val="bottom"/>
            <w:hideMark/>
          </w:tcPr>
          <w:p w14:paraId="0F37F8CE" w14:textId="77777777" w:rsidR="00BB5726" w:rsidRPr="00BB5726" w:rsidRDefault="00BB5726" w:rsidP="00BB5726">
            <w:pPr>
              <w:spacing w:after="0"/>
              <w:jc w:val="right"/>
              <w:rPr>
                <w:rFonts w:eastAsia="Times New Roman" w:cs="Times New Roman"/>
                <w:sz w:val="16"/>
                <w:szCs w:val="16"/>
              </w:rPr>
            </w:pPr>
            <w:r w:rsidRPr="00BB5726">
              <w:rPr>
                <w:rFonts w:eastAsia="Times New Roman" w:cs="Times New Roman"/>
                <w:sz w:val="16"/>
                <w:szCs w:val="16"/>
              </w:rPr>
              <w:t>1.177,8</w:t>
            </w:r>
          </w:p>
        </w:tc>
      </w:tr>
    </w:tbl>
    <w:p w14:paraId="6A835997" w14:textId="77777777" w:rsidR="00BB5726" w:rsidRDefault="00BB5726">
      <w:pPr>
        <w:spacing w:after="160" w:line="259" w:lineRule="auto"/>
        <w:jc w:val="left"/>
      </w:pPr>
      <w:r>
        <w:fldChar w:fldCharType="end"/>
      </w:r>
    </w:p>
    <w:tbl>
      <w:tblPr>
        <w:tblW w:w="9200" w:type="dxa"/>
        <w:tblLook w:val="04A0" w:firstRow="1" w:lastRow="0" w:firstColumn="1" w:lastColumn="0" w:noHBand="0" w:noVBand="1"/>
      </w:tblPr>
      <w:tblGrid>
        <w:gridCol w:w="9200"/>
      </w:tblGrid>
      <w:tr w:rsidR="00BB5726" w:rsidRPr="00BB5726" w14:paraId="4A3BA137" w14:textId="77777777" w:rsidTr="00BB5726">
        <w:trPr>
          <w:trHeight w:val="266"/>
        </w:trPr>
        <w:tc>
          <w:tcPr>
            <w:tcW w:w="9200" w:type="dxa"/>
            <w:tcBorders>
              <w:top w:val="nil"/>
              <w:left w:val="nil"/>
              <w:bottom w:val="nil"/>
              <w:right w:val="nil"/>
            </w:tcBorders>
            <w:shd w:val="clear" w:color="auto" w:fill="auto"/>
            <w:noWrap/>
            <w:vAlign w:val="bottom"/>
            <w:hideMark/>
          </w:tcPr>
          <w:p w14:paraId="26F96F9D" w14:textId="77777777" w:rsidR="00BB5726" w:rsidRPr="00BB5726" w:rsidRDefault="00BB5726" w:rsidP="00BB5726">
            <w:pPr>
              <w:spacing w:after="0"/>
              <w:jc w:val="left"/>
              <w:rPr>
                <w:rFonts w:eastAsia="Times New Roman" w:cs="Times New Roman"/>
                <w:sz w:val="16"/>
                <w:szCs w:val="16"/>
              </w:rPr>
            </w:pPr>
            <w:r w:rsidRPr="00BB5726">
              <w:rPr>
                <w:rFonts w:eastAsia="Times New Roman" w:cs="Times New Roman"/>
                <w:sz w:val="16"/>
                <w:szCs w:val="16"/>
              </w:rPr>
              <w:t>[1] Adjusted for the next flow of swap-related flows, so the TR-TE = EDP.B9</w:t>
            </w:r>
            <w:r w:rsidRPr="00BB5726">
              <w:rPr>
                <w:rFonts w:eastAsia="Times New Roman" w:cs="Times New Roman"/>
                <w:sz w:val="17"/>
                <w:szCs w:val="17"/>
              </w:rPr>
              <w:t>.</w:t>
            </w:r>
          </w:p>
        </w:tc>
      </w:tr>
      <w:tr w:rsidR="00BB5726" w:rsidRPr="00BB5726" w14:paraId="042428FA" w14:textId="77777777" w:rsidTr="00BB5726">
        <w:trPr>
          <w:trHeight w:val="266"/>
        </w:trPr>
        <w:tc>
          <w:tcPr>
            <w:tcW w:w="9200" w:type="dxa"/>
            <w:tcBorders>
              <w:top w:val="nil"/>
              <w:left w:val="nil"/>
              <w:bottom w:val="nil"/>
              <w:right w:val="nil"/>
            </w:tcBorders>
            <w:shd w:val="clear" w:color="auto" w:fill="auto"/>
            <w:noWrap/>
            <w:vAlign w:val="bottom"/>
            <w:hideMark/>
          </w:tcPr>
          <w:p w14:paraId="6CA4AA3F" w14:textId="77777777" w:rsidR="00BB5726" w:rsidRPr="00BB5726" w:rsidRDefault="00BB5726" w:rsidP="00BB5726">
            <w:pPr>
              <w:spacing w:after="0"/>
              <w:jc w:val="left"/>
              <w:rPr>
                <w:rFonts w:eastAsia="Times New Roman" w:cs="Times New Roman"/>
                <w:sz w:val="16"/>
                <w:szCs w:val="16"/>
              </w:rPr>
            </w:pPr>
            <w:r w:rsidRPr="00BB5726">
              <w:rPr>
                <w:rFonts w:eastAsia="Times New Roman" w:cs="Times New Roman"/>
                <w:sz w:val="16"/>
                <w:szCs w:val="16"/>
              </w:rPr>
              <w:t>[2] 2The primary balance is calculated as (EDP B.9, item 8) plus (EDP D.41, item 9).</w:t>
            </w:r>
          </w:p>
        </w:tc>
      </w:tr>
      <w:tr w:rsidR="00BB5726" w:rsidRPr="00BB5726" w14:paraId="39FFCDB2" w14:textId="77777777" w:rsidTr="00BB5726">
        <w:trPr>
          <w:trHeight w:val="266"/>
        </w:trPr>
        <w:tc>
          <w:tcPr>
            <w:tcW w:w="9200" w:type="dxa"/>
            <w:tcBorders>
              <w:top w:val="nil"/>
              <w:left w:val="nil"/>
              <w:bottom w:val="nil"/>
              <w:right w:val="nil"/>
            </w:tcBorders>
            <w:shd w:val="clear" w:color="auto" w:fill="auto"/>
            <w:noWrap/>
            <w:vAlign w:val="bottom"/>
            <w:hideMark/>
          </w:tcPr>
          <w:p w14:paraId="7A44BC7C" w14:textId="77777777" w:rsidR="00BB5726" w:rsidRPr="00BB5726" w:rsidRDefault="00BB5726" w:rsidP="00BB5726">
            <w:pPr>
              <w:spacing w:after="0"/>
              <w:jc w:val="left"/>
              <w:rPr>
                <w:rFonts w:eastAsia="Times New Roman" w:cs="Times New Roman"/>
                <w:sz w:val="16"/>
                <w:szCs w:val="16"/>
              </w:rPr>
            </w:pPr>
            <w:r w:rsidRPr="00BB5726">
              <w:rPr>
                <w:rFonts w:eastAsia="Times New Roman" w:cs="Times New Roman"/>
                <w:sz w:val="16"/>
                <w:szCs w:val="16"/>
              </w:rPr>
              <w:t>[3] A plus sign means deficit-reducing one-off measures</w:t>
            </w:r>
            <w:r w:rsidRPr="00BB5726">
              <w:rPr>
                <w:rFonts w:eastAsia="Times New Roman" w:cs="Times New Roman"/>
                <w:sz w:val="17"/>
                <w:szCs w:val="17"/>
              </w:rPr>
              <w:t xml:space="preserve"> </w:t>
            </w:r>
          </w:p>
        </w:tc>
      </w:tr>
      <w:tr w:rsidR="00BB5726" w:rsidRPr="00BB5726" w14:paraId="2A047267" w14:textId="77777777" w:rsidTr="00BB5726">
        <w:trPr>
          <w:trHeight w:val="266"/>
        </w:trPr>
        <w:tc>
          <w:tcPr>
            <w:tcW w:w="9200" w:type="dxa"/>
            <w:tcBorders>
              <w:top w:val="nil"/>
              <w:left w:val="nil"/>
              <w:bottom w:val="nil"/>
              <w:right w:val="nil"/>
            </w:tcBorders>
            <w:shd w:val="clear" w:color="auto" w:fill="auto"/>
            <w:noWrap/>
            <w:vAlign w:val="bottom"/>
            <w:hideMark/>
          </w:tcPr>
          <w:p w14:paraId="2582E7D4" w14:textId="77777777" w:rsidR="00BB5726" w:rsidRPr="00BB5726" w:rsidRDefault="00BB5726" w:rsidP="00BB5726">
            <w:pPr>
              <w:spacing w:after="0"/>
              <w:jc w:val="left"/>
              <w:rPr>
                <w:rFonts w:eastAsia="Times New Roman" w:cs="Times New Roman"/>
                <w:sz w:val="16"/>
                <w:szCs w:val="16"/>
              </w:rPr>
            </w:pPr>
            <w:r w:rsidRPr="00BB5726">
              <w:rPr>
                <w:rFonts w:eastAsia="Times New Roman" w:cs="Times New Roman"/>
                <w:sz w:val="16"/>
                <w:szCs w:val="16"/>
              </w:rPr>
              <w:t>[4] P.11+P.12+P.131+D.39+D.7+D.9 (other than D.91</w:t>
            </w:r>
          </w:p>
        </w:tc>
      </w:tr>
      <w:tr w:rsidR="00BB5726" w:rsidRPr="00BB5726" w14:paraId="7A79010B" w14:textId="77777777" w:rsidTr="00BB5726">
        <w:trPr>
          <w:trHeight w:val="266"/>
        </w:trPr>
        <w:tc>
          <w:tcPr>
            <w:tcW w:w="9200" w:type="dxa"/>
            <w:tcBorders>
              <w:top w:val="nil"/>
              <w:left w:val="nil"/>
              <w:bottom w:val="nil"/>
              <w:right w:val="nil"/>
            </w:tcBorders>
            <w:shd w:val="clear" w:color="auto" w:fill="auto"/>
            <w:noWrap/>
            <w:vAlign w:val="bottom"/>
            <w:hideMark/>
          </w:tcPr>
          <w:p w14:paraId="07A5B0B7" w14:textId="77777777" w:rsidR="00BB5726" w:rsidRPr="00BB5726" w:rsidRDefault="00BB5726" w:rsidP="00BB5726">
            <w:pPr>
              <w:spacing w:after="0"/>
              <w:jc w:val="left"/>
              <w:rPr>
                <w:rFonts w:eastAsia="Times New Roman" w:cs="Times New Roman"/>
                <w:sz w:val="16"/>
                <w:szCs w:val="16"/>
              </w:rPr>
            </w:pPr>
            <w:r w:rsidRPr="00BB5726">
              <w:rPr>
                <w:rFonts w:eastAsia="Times New Roman" w:cs="Times New Roman"/>
                <w:sz w:val="16"/>
                <w:szCs w:val="16"/>
              </w:rPr>
              <w:t>[5] Including those collected by the EU and including an adjustment for uncollected taxes and social contributions (D995), if appropriate</w:t>
            </w:r>
            <w:r w:rsidRPr="00BB5726">
              <w:rPr>
                <w:rFonts w:eastAsia="Times New Roman" w:cs="Times New Roman"/>
                <w:sz w:val="17"/>
                <w:szCs w:val="17"/>
              </w:rPr>
              <w:t>.</w:t>
            </w:r>
          </w:p>
        </w:tc>
      </w:tr>
      <w:tr w:rsidR="00BB5726" w:rsidRPr="00BB5726" w14:paraId="57B8A512" w14:textId="77777777" w:rsidTr="00BB5726">
        <w:trPr>
          <w:trHeight w:val="266"/>
        </w:trPr>
        <w:tc>
          <w:tcPr>
            <w:tcW w:w="9200" w:type="dxa"/>
            <w:tcBorders>
              <w:top w:val="nil"/>
              <w:left w:val="nil"/>
              <w:bottom w:val="nil"/>
              <w:right w:val="nil"/>
            </w:tcBorders>
            <w:shd w:val="clear" w:color="auto" w:fill="auto"/>
            <w:noWrap/>
            <w:vAlign w:val="bottom"/>
            <w:hideMark/>
          </w:tcPr>
          <w:p w14:paraId="0F29F56A" w14:textId="77777777" w:rsidR="00BB5726" w:rsidRPr="00BB5726" w:rsidRDefault="00BB5726" w:rsidP="00BB5726">
            <w:pPr>
              <w:spacing w:after="0"/>
              <w:jc w:val="left"/>
              <w:rPr>
                <w:rFonts w:eastAsia="Times New Roman" w:cs="Times New Roman"/>
                <w:sz w:val="16"/>
                <w:szCs w:val="16"/>
              </w:rPr>
            </w:pPr>
            <w:r w:rsidRPr="00BB5726">
              <w:rPr>
                <w:rFonts w:eastAsia="Times New Roman" w:cs="Times New Roman"/>
                <w:sz w:val="16"/>
                <w:szCs w:val="16"/>
              </w:rPr>
              <w:t>[6] D.29+D4 (other than D.41)+ D.5+D.7+D.9+P.52+P.53+K.2+D.8</w:t>
            </w:r>
          </w:p>
        </w:tc>
      </w:tr>
      <w:tr w:rsidR="00BB5726" w:rsidRPr="00BB5726" w14:paraId="0AF4E82E" w14:textId="77777777" w:rsidTr="00BB5726">
        <w:trPr>
          <w:trHeight w:val="266"/>
        </w:trPr>
        <w:tc>
          <w:tcPr>
            <w:tcW w:w="9200" w:type="dxa"/>
            <w:tcBorders>
              <w:top w:val="nil"/>
              <w:left w:val="nil"/>
              <w:bottom w:val="nil"/>
              <w:right w:val="nil"/>
            </w:tcBorders>
            <w:shd w:val="clear" w:color="auto" w:fill="auto"/>
            <w:noWrap/>
            <w:vAlign w:val="bottom"/>
            <w:hideMark/>
          </w:tcPr>
          <w:p w14:paraId="61A17AE7" w14:textId="77777777" w:rsidR="00BB5726" w:rsidRPr="00BB5726" w:rsidRDefault="00BB5726" w:rsidP="00BB5726">
            <w:pPr>
              <w:spacing w:after="0"/>
              <w:jc w:val="left"/>
              <w:rPr>
                <w:rFonts w:eastAsia="Times New Roman" w:cs="Times New Roman"/>
                <w:sz w:val="17"/>
                <w:szCs w:val="17"/>
              </w:rPr>
            </w:pPr>
            <w:r w:rsidRPr="00BB5726">
              <w:rPr>
                <w:rFonts w:eastAsia="Times New Roman" w:cs="Times New Roman"/>
                <w:sz w:val="17"/>
                <w:szCs w:val="17"/>
              </w:rPr>
              <w:t>[7] Adjusted for the next flow of swap-related flows, so the TR-TE = EDP.B9.</w:t>
            </w:r>
          </w:p>
        </w:tc>
      </w:tr>
    </w:tbl>
    <w:p w14:paraId="443919EE" w14:textId="77777777" w:rsidR="001F5F21" w:rsidRDefault="001F5F21">
      <w:pPr>
        <w:spacing w:after="160" w:line="259" w:lineRule="auto"/>
        <w:jc w:val="left"/>
      </w:pPr>
    </w:p>
    <w:p w14:paraId="1106D4B7" w14:textId="77777777" w:rsidR="001F5F21" w:rsidRDefault="001F5F21">
      <w:pPr>
        <w:spacing w:after="160" w:line="259" w:lineRule="auto"/>
        <w:jc w:val="left"/>
      </w:pPr>
      <w:r>
        <w:br w:type="page"/>
      </w:r>
    </w:p>
    <w:p w14:paraId="243AF798" w14:textId="3F6E6B0F" w:rsidR="001F5F21" w:rsidRDefault="001F5F21" w:rsidP="001F5F21">
      <w:pPr>
        <w:spacing w:after="0"/>
        <w:jc w:val="left"/>
        <w:rPr>
          <w:rFonts w:eastAsia="Times New Roman" w:cs="Times New Roman"/>
          <w:bCs/>
          <w:szCs w:val="24"/>
        </w:rPr>
      </w:pPr>
      <w:r w:rsidRPr="001F5F21">
        <w:rPr>
          <w:rFonts w:eastAsia="Times New Roman" w:cs="Times New Roman"/>
          <w:bCs/>
          <w:szCs w:val="24"/>
        </w:rPr>
        <w:lastRenderedPageBreak/>
        <w:t>Table 2a:  General government budgetary prospects</w:t>
      </w:r>
    </w:p>
    <w:p w14:paraId="0A0DF093" w14:textId="4C55F78A" w:rsidR="001F5F21" w:rsidRDefault="001F5F21" w:rsidP="001F5F21">
      <w:pPr>
        <w:spacing w:after="0"/>
        <w:jc w:val="left"/>
        <w:rPr>
          <w:rFonts w:eastAsia="Times New Roman" w:cs="Times New Roman"/>
          <w:bCs/>
          <w:szCs w:val="24"/>
        </w:rPr>
      </w:pPr>
    </w:p>
    <w:p w14:paraId="190635CA" w14:textId="77777777" w:rsidR="001F5F21" w:rsidRPr="001F5F21" w:rsidRDefault="001F5F21" w:rsidP="001F5F21">
      <w:pPr>
        <w:spacing w:after="0"/>
        <w:jc w:val="left"/>
        <w:rPr>
          <w:rFonts w:eastAsia="Times New Roman" w:cs="Times New Roman"/>
          <w:bCs/>
          <w:szCs w:val="24"/>
        </w:rPr>
      </w:pPr>
    </w:p>
    <w:p w14:paraId="7FC9B928" w14:textId="35E9BA04" w:rsidR="001F5F21" w:rsidRDefault="001F5F21">
      <w:pPr>
        <w:spacing w:after="160" w:line="259" w:lineRule="auto"/>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Tab2a-GG!R4C2:R40C9 </w:instrText>
      </w:r>
      <w:r>
        <w:instrText xml:space="preserve">\a \f 4 \h </w:instrText>
      </w:r>
      <w:r w:rsidR="000843CA">
        <w:instrText xml:space="preserve"> \* MERGEFORMAT </w:instrText>
      </w:r>
      <w:r>
        <w:fldChar w:fldCharType="separate"/>
      </w:r>
    </w:p>
    <w:tbl>
      <w:tblPr>
        <w:tblW w:w="15022" w:type="dxa"/>
        <w:tblLook w:val="04A0" w:firstRow="1" w:lastRow="0" w:firstColumn="1" w:lastColumn="0" w:noHBand="0" w:noVBand="1"/>
      </w:tblPr>
      <w:tblGrid>
        <w:gridCol w:w="5742"/>
        <w:gridCol w:w="1135"/>
        <w:gridCol w:w="1357"/>
        <w:gridCol w:w="1357"/>
        <w:gridCol w:w="1357"/>
        <w:gridCol w:w="1357"/>
        <w:gridCol w:w="1357"/>
        <w:gridCol w:w="1360"/>
      </w:tblGrid>
      <w:tr w:rsidR="001F5F21" w:rsidRPr="001F5F21" w14:paraId="22C5E30B" w14:textId="77777777" w:rsidTr="000843CA">
        <w:trPr>
          <w:trHeight w:val="265"/>
        </w:trPr>
        <w:tc>
          <w:tcPr>
            <w:tcW w:w="5742" w:type="dxa"/>
            <w:vMerge w:val="restart"/>
            <w:tcBorders>
              <w:top w:val="double" w:sz="6" w:space="0" w:color="auto"/>
              <w:left w:val="double" w:sz="6" w:space="0" w:color="auto"/>
              <w:bottom w:val="nil"/>
              <w:right w:val="dotted" w:sz="4" w:space="0" w:color="auto"/>
            </w:tcBorders>
            <w:shd w:val="clear" w:color="000000" w:fill="FFFFFF"/>
            <w:vAlign w:val="center"/>
            <w:hideMark/>
          </w:tcPr>
          <w:p w14:paraId="3DA75DFD" w14:textId="59AA92AC"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 </w:t>
            </w:r>
          </w:p>
        </w:tc>
        <w:tc>
          <w:tcPr>
            <w:tcW w:w="1135"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58CD7D2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ESA code</w:t>
            </w:r>
          </w:p>
        </w:tc>
        <w:tc>
          <w:tcPr>
            <w:tcW w:w="1357" w:type="dxa"/>
            <w:tcBorders>
              <w:top w:val="double" w:sz="6" w:space="0" w:color="auto"/>
              <w:left w:val="nil"/>
              <w:bottom w:val="nil"/>
              <w:right w:val="single" w:sz="8" w:space="0" w:color="auto"/>
            </w:tcBorders>
            <w:shd w:val="clear" w:color="000000" w:fill="FFFFFF"/>
            <w:vAlign w:val="center"/>
            <w:hideMark/>
          </w:tcPr>
          <w:p w14:paraId="5E478E52"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Year</w:t>
            </w:r>
          </w:p>
        </w:tc>
        <w:tc>
          <w:tcPr>
            <w:tcW w:w="1357" w:type="dxa"/>
            <w:tcBorders>
              <w:top w:val="double" w:sz="6" w:space="0" w:color="auto"/>
              <w:left w:val="nil"/>
              <w:bottom w:val="nil"/>
              <w:right w:val="dotted" w:sz="4" w:space="0" w:color="auto"/>
            </w:tcBorders>
            <w:shd w:val="clear" w:color="000000" w:fill="FFFFFF"/>
            <w:vAlign w:val="center"/>
            <w:hideMark/>
          </w:tcPr>
          <w:p w14:paraId="7A2BC65D"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Year</w:t>
            </w:r>
          </w:p>
        </w:tc>
        <w:tc>
          <w:tcPr>
            <w:tcW w:w="1357" w:type="dxa"/>
            <w:tcBorders>
              <w:top w:val="double" w:sz="6" w:space="0" w:color="auto"/>
              <w:left w:val="nil"/>
              <w:bottom w:val="nil"/>
              <w:right w:val="dotted" w:sz="4" w:space="0" w:color="auto"/>
            </w:tcBorders>
            <w:shd w:val="clear" w:color="000000" w:fill="FFFFFF"/>
            <w:vAlign w:val="center"/>
            <w:hideMark/>
          </w:tcPr>
          <w:p w14:paraId="7C65D12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Year</w:t>
            </w:r>
          </w:p>
        </w:tc>
        <w:tc>
          <w:tcPr>
            <w:tcW w:w="1357" w:type="dxa"/>
            <w:tcBorders>
              <w:top w:val="double" w:sz="6" w:space="0" w:color="auto"/>
              <w:left w:val="nil"/>
              <w:bottom w:val="nil"/>
              <w:right w:val="dotted" w:sz="4" w:space="0" w:color="auto"/>
            </w:tcBorders>
            <w:shd w:val="clear" w:color="000000" w:fill="FFFFFF"/>
            <w:vAlign w:val="center"/>
            <w:hideMark/>
          </w:tcPr>
          <w:p w14:paraId="69167AB2"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Year</w:t>
            </w:r>
          </w:p>
        </w:tc>
        <w:tc>
          <w:tcPr>
            <w:tcW w:w="1357" w:type="dxa"/>
            <w:tcBorders>
              <w:top w:val="double" w:sz="6" w:space="0" w:color="auto"/>
              <w:left w:val="nil"/>
              <w:bottom w:val="nil"/>
              <w:right w:val="dotted" w:sz="4" w:space="0" w:color="auto"/>
            </w:tcBorders>
            <w:shd w:val="clear" w:color="000000" w:fill="FFFFFF"/>
            <w:vAlign w:val="center"/>
            <w:hideMark/>
          </w:tcPr>
          <w:p w14:paraId="1E6DE64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Year</w:t>
            </w:r>
          </w:p>
        </w:tc>
        <w:tc>
          <w:tcPr>
            <w:tcW w:w="1357" w:type="dxa"/>
            <w:tcBorders>
              <w:top w:val="double" w:sz="6" w:space="0" w:color="auto"/>
              <w:left w:val="nil"/>
              <w:bottom w:val="nil"/>
              <w:right w:val="double" w:sz="6" w:space="0" w:color="auto"/>
            </w:tcBorders>
            <w:shd w:val="clear" w:color="000000" w:fill="FFFFFF"/>
            <w:vAlign w:val="center"/>
            <w:hideMark/>
          </w:tcPr>
          <w:p w14:paraId="792886B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Year</w:t>
            </w:r>
          </w:p>
        </w:tc>
      </w:tr>
      <w:tr w:rsidR="001F5F21" w:rsidRPr="001F5F21" w14:paraId="7636D90A" w14:textId="77777777" w:rsidTr="000843CA">
        <w:trPr>
          <w:trHeight w:val="248"/>
        </w:trPr>
        <w:tc>
          <w:tcPr>
            <w:tcW w:w="5742" w:type="dxa"/>
            <w:vMerge/>
            <w:tcBorders>
              <w:top w:val="double" w:sz="6" w:space="0" w:color="auto"/>
              <w:left w:val="double" w:sz="6" w:space="0" w:color="auto"/>
              <w:bottom w:val="nil"/>
              <w:right w:val="dotted" w:sz="4" w:space="0" w:color="auto"/>
            </w:tcBorders>
            <w:vAlign w:val="center"/>
            <w:hideMark/>
          </w:tcPr>
          <w:p w14:paraId="1CA3E382" w14:textId="77777777" w:rsidR="001F5F21" w:rsidRPr="001F5F21" w:rsidRDefault="001F5F21" w:rsidP="001F5F21">
            <w:pPr>
              <w:spacing w:after="0"/>
              <w:jc w:val="left"/>
              <w:rPr>
                <w:rFonts w:eastAsia="Times New Roman" w:cs="Times New Roman"/>
                <w:szCs w:val="24"/>
              </w:rPr>
            </w:pPr>
          </w:p>
        </w:tc>
        <w:tc>
          <w:tcPr>
            <w:tcW w:w="1135" w:type="dxa"/>
            <w:vMerge/>
            <w:tcBorders>
              <w:top w:val="double" w:sz="6" w:space="0" w:color="auto"/>
              <w:left w:val="dotted" w:sz="4" w:space="0" w:color="auto"/>
              <w:bottom w:val="single" w:sz="8" w:space="0" w:color="000000"/>
              <w:right w:val="single" w:sz="8" w:space="0" w:color="auto"/>
            </w:tcBorders>
            <w:vAlign w:val="center"/>
            <w:hideMark/>
          </w:tcPr>
          <w:p w14:paraId="565BA2C7" w14:textId="77777777" w:rsidR="001F5F21" w:rsidRPr="001F5F21" w:rsidRDefault="001F5F21" w:rsidP="001F5F21">
            <w:pPr>
              <w:spacing w:after="0"/>
              <w:jc w:val="left"/>
              <w:rPr>
                <w:rFonts w:eastAsia="Times New Roman" w:cs="Times New Roman"/>
                <w:szCs w:val="24"/>
              </w:rPr>
            </w:pPr>
          </w:p>
        </w:tc>
        <w:tc>
          <w:tcPr>
            <w:tcW w:w="1357" w:type="dxa"/>
            <w:tcBorders>
              <w:top w:val="nil"/>
              <w:left w:val="nil"/>
              <w:bottom w:val="dotted" w:sz="4" w:space="0" w:color="auto"/>
              <w:right w:val="single" w:sz="8" w:space="0" w:color="auto"/>
            </w:tcBorders>
            <w:shd w:val="clear" w:color="000000" w:fill="FFFFFF"/>
            <w:vAlign w:val="center"/>
            <w:hideMark/>
          </w:tcPr>
          <w:p w14:paraId="1480A11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2023</w:t>
            </w:r>
          </w:p>
        </w:tc>
        <w:tc>
          <w:tcPr>
            <w:tcW w:w="1357" w:type="dxa"/>
            <w:tcBorders>
              <w:top w:val="nil"/>
              <w:left w:val="nil"/>
              <w:bottom w:val="dotted" w:sz="4" w:space="0" w:color="auto"/>
              <w:right w:val="dotted" w:sz="4" w:space="0" w:color="auto"/>
            </w:tcBorders>
            <w:shd w:val="clear" w:color="000000" w:fill="FFFFFF"/>
            <w:vAlign w:val="center"/>
            <w:hideMark/>
          </w:tcPr>
          <w:p w14:paraId="25B16978"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2023</w:t>
            </w:r>
          </w:p>
        </w:tc>
        <w:tc>
          <w:tcPr>
            <w:tcW w:w="1357" w:type="dxa"/>
            <w:tcBorders>
              <w:top w:val="nil"/>
              <w:left w:val="nil"/>
              <w:bottom w:val="dotted" w:sz="4" w:space="0" w:color="auto"/>
              <w:right w:val="dotted" w:sz="4" w:space="0" w:color="auto"/>
            </w:tcBorders>
            <w:shd w:val="clear" w:color="000000" w:fill="FFFFFF"/>
            <w:vAlign w:val="center"/>
            <w:hideMark/>
          </w:tcPr>
          <w:p w14:paraId="2227E03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2024</w:t>
            </w:r>
          </w:p>
        </w:tc>
        <w:tc>
          <w:tcPr>
            <w:tcW w:w="1357" w:type="dxa"/>
            <w:tcBorders>
              <w:top w:val="nil"/>
              <w:left w:val="nil"/>
              <w:bottom w:val="dotted" w:sz="4" w:space="0" w:color="auto"/>
              <w:right w:val="dotted" w:sz="4" w:space="0" w:color="auto"/>
            </w:tcBorders>
            <w:shd w:val="clear" w:color="000000" w:fill="FFFFFF"/>
            <w:vAlign w:val="center"/>
            <w:hideMark/>
          </w:tcPr>
          <w:p w14:paraId="6ED13342"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2025</w:t>
            </w:r>
          </w:p>
        </w:tc>
        <w:tc>
          <w:tcPr>
            <w:tcW w:w="1357" w:type="dxa"/>
            <w:tcBorders>
              <w:top w:val="nil"/>
              <w:left w:val="nil"/>
              <w:bottom w:val="dotted" w:sz="4" w:space="0" w:color="auto"/>
              <w:right w:val="dotted" w:sz="4" w:space="0" w:color="auto"/>
            </w:tcBorders>
            <w:shd w:val="clear" w:color="000000" w:fill="FFFFFF"/>
            <w:vAlign w:val="center"/>
            <w:hideMark/>
          </w:tcPr>
          <w:p w14:paraId="6AA85B4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2026</w:t>
            </w:r>
          </w:p>
        </w:tc>
        <w:tc>
          <w:tcPr>
            <w:tcW w:w="1357" w:type="dxa"/>
            <w:tcBorders>
              <w:top w:val="nil"/>
              <w:left w:val="nil"/>
              <w:bottom w:val="dotted" w:sz="4" w:space="0" w:color="auto"/>
              <w:right w:val="double" w:sz="6" w:space="0" w:color="auto"/>
            </w:tcBorders>
            <w:shd w:val="clear" w:color="000000" w:fill="FFFFFF"/>
            <w:vAlign w:val="center"/>
            <w:hideMark/>
          </w:tcPr>
          <w:p w14:paraId="57C330E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2027</w:t>
            </w:r>
          </w:p>
        </w:tc>
      </w:tr>
      <w:tr w:rsidR="001F5F21" w:rsidRPr="001F5F21" w14:paraId="5D3A06D6" w14:textId="77777777" w:rsidTr="000843CA">
        <w:trPr>
          <w:trHeight w:val="517"/>
        </w:trPr>
        <w:tc>
          <w:tcPr>
            <w:tcW w:w="5742" w:type="dxa"/>
            <w:tcBorders>
              <w:top w:val="nil"/>
              <w:left w:val="double" w:sz="6" w:space="0" w:color="auto"/>
              <w:bottom w:val="single" w:sz="8" w:space="0" w:color="auto"/>
              <w:right w:val="dotted" w:sz="4" w:space="0" w:color="auto"/>
            </w:tcBorders>
            <w:shd w:val="clear" w:color="000000" w:fill="FFFFFF"/>
            <w:vAlign w:val="center"/>
            <w:hideMark/>
          </w:tcPr>
          <w:p w14:paraId="31314267"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 </w:t>
            </w:r>
          </w:p>
        </w:tc>
        <w:tc>
          <w:tcPr>
            <w:tcW w:w="1135" w:type="dxa"/>
            <w:vMerge/>
            <w:tcBorders>
              <w:top w:val="double" w:sz="6" w:space="0" w:color="auto"/>
              <w:left w:val="dotted" w:sz="4" w:space="0" w:color="auto"/>
              <w:bottom w:val="single" w:sz="8" w:space="0" w:color="000000"/>
              <w:right w:val="single" w:sz="8" w:space="0" w:color="auto"/>
            </w:tcBorders>
            <w:vAlign w:val="center"/>
            <w:hideMark/>
          </w:tcPr>
          <w:p w14:paraId="49CD474E" w14:textId="77777777" w:rsidR="001F5F21" w:rsidRPr="001F5F21" w:rsidRDefault="001F5F21" w:rsidP="001F5F21">
            <w:pPr>
              <w:spacing w:after="0"/>
              <w:jc w:val="left"/>
              <w:rPr>
                <w:rFonts w:eastAsia="Times New Roman" w:cs="Times New Roman"/>
                <w:szCs w:val="24"/>
              </w:rPr>
            </w:pPr>
          </w:p>
        </w:tc>
        <w:tc>
          <w:tcPr>
            <w:tcW w:w="1357" w:type="dxa"/>
            <w:tcBorders>
              <w:top w:val="nil"/>
              <w:left w:val="nil"/>
              <w:bottom w:val="single" w:sz="8" w:space="0" w:color="auto"/>
              <w:right w:val="single" w:sz="8" w:space="0" w:color="auto"/>
            </w:tcBorders>
            <w:shd w:val="clear" w:color="000000" w:fill="FFFFFF"/>
            <w:vAlign w:val="center"/>
            <w:hideMark/>
          </w:tcPr>
          <w:p w14:paraId="633545A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Level (bn NCU)</w:t>
            </w:r>
          </w:p>
        </w:tc>
        <w:tc>
          <w:tcPr>
            <w:tcW w:w="6788" w:type="dxa"/>
            <w:gridSpan w:val="5"/>
            <w:tcBorders>
              <w:top w:val="dotted" w:sz="4" w:space="0" w:color="auto"/>
              <w:left w:val="nil"/>
              <w:bottom w:val="single" w:sz="8" w:space="0" w:color="auto"/>
              <w:right w:val="double" w:sz="6" w:space="0" w:color="000000"/>
            </w:tcBorders>
            <w:shd w:val="clear" w:color="000000" w:fill="FFFFFF"/>
            <w:vAlign w:val="center"/>
            <w:hideMark/>
          </w:tcPr>
          <w:p w14:paraId="0DBE6BC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 of GDP</w:t>
            </w:r>
          </w:p>
        </w:tc>
      </w:tr>
      <w:tr w:rsidR="001F5F21" w:rsidRPr="001F5F21" w14:paraId="0651292F" w14:textId="77777777" w:rsidTr="000843CA">
        <w:trPr>
          <w:trHeight w:val="434"/>
        </w:trPr>
        <w:tc>
          <w:tcPr>
            <w:tcW w:w="5742" w:type="dxa"/>
            <w:tcBorders>
              <w:top w:val="nil"/>
              <w:left w:val="double" w:sz="6" w:space="0" w:color="auto"/>
              <w:bottom w:val="single" w:sz="8" w:space="0" w:color="auto"/>
              <w:right w:val="nil"/>
            </w:tcBorders>
            <w:shd w:val="clear" w:color="000000" w:fill="FFFFFF"/>
            <w:vAlign w:val="center"/>
            <w:hideMark/>
          </w:tcPr>
          <w:p w14:paraId="16253382" w14:textId="77777777" w:rsidR="001F5F21" w:rsidRPr="001F5F21" w:rsidRDefault="001F5F21" w:rsidP="001F5F21">
            <w:pPr>
              <w:spacing w:after="0"/>
              <w:jc w:val="center"/>
              <w:rPr>
                <w:rFonts w:eastAsia="Times New Roman" w:cs="Times New Roman"/>
                <w:b/>
                <w:bCs/>
                <w:szCs w:val="24"/>
              </w:rPr>
            </w:pPr>
            <w:r w:rsidRPr="001F5F21">
              <w:rPr>
                <w:rFonts w:eastAsia="Times New Roman" w:cs="Times New Roman"/>
                <w:b/>
                <w:bCs/>
                <w:szCs w:val="24"/>
              </w:rPr>
              <w:t>Net lending (B9) by sub-sectors</w:t>
            </w:r>
          </w:p>
        </w:tc>
        <w:tc>
          <w:tcPr>
            <w:tcW w:w="1135" w:type="dxa"/>
            <w:tcBorders>
              <w:top w:val="nil"/>
              <w:left w:val="nil"/>
              <w:bottom w:val="single" w:sz="8" w:space="0" w:color="auto"/>
              <w:right w:val="nil"/>
            </w:tcBorders>
            <w:shd w:val="clear" w:color="000000" w:fill="FFFFFF"/>
            <w:vAlign w:val="center"/>
            <w:hideMark/>
          </w:tcPr>
          <w:p w14:paraId="2C35CE0E" w14:textId="77777777" w:rsidR="001F5F21" w:rsidRPr="001F5F21" w:rsidRDefault="001F5F21" w:rsidP="001F5F21">
            <w:pPr>
              <w:spacing w:after="0"/>
              <w:jc w:val="left"/>
              <w:rPr>
                <w:rFonts w:eastAsia="Times New Roman" w:cs="Times New Roman"/>
                <w:b/>
                <w:bCs/>
                <w:szCs w:val="24"/>
              </w:rPr>
            </w:pPr>
            <w:r w:rsidRPr="001F5F21">
              <w:rPr>
                <w:rFonts w:eastAsia="Times New Roman" w:cs="Times New Roman"/>
                <w:b/>
                <w:bCs/>
                <w:szCs w:val="24"/>
              </w:rPr>
              <w:t> </w:t>
            </w:r>
          </w:p>
        </w:tc>
        <w:tc>
          <w:tcPr>
            <w:tcW w:w="1357" w:type="dxa"/>
            <w:tcBorders>
              <w:top w:val="nil"/>
              <w:left w:val="nil"/>
              <w:bottom w:val="single" w:sz="8" w:space="0" w:color="auto"/>
              <w:right w:val="nil"/>
            </w:tcBorders>
            <w:shd w:val="clear" w:color="000000" w:fill="FFFFFF"/>
            <w:vAlign w:val="center"/>
            <w:hideMark/>
          </w:tcPr>
          <w:p w14:paraId="272EC209" w14:textId="77777777" w:rsidR="001F5F21" w:rsidRPr="001F5F21" w:rsidRDefault="001F5F21" w:rsidP="001F5F21">
            <w:pPr>
              <w:spacing w:after="0"/>
              <w:jc w:val="left"/>
              <w:rPr>
                <w:rFonts w:eastAsia="Times New Roman" w:cs="Times New Roman"/>
                <w:b/>
                <w:bCs/>
                <w:szCs w:val="24"/>
              </w:rPr>
            </w:pPr>
            <w:r w:rsidRPr="001F5F21">
              <w:rPr>
                <w:rFonts w:eastAsia="Times New Roman" w:cs="Times New Roman"/>
                <w:b/>
                <w:bCs/>
                <w:szCs w:val="24"/>
              </w:rPr>
              <w:t> </w:t>
            </w:r>
          </w:p>
        </w:tc>
        <w:tc>
          <w:tcPr>
            <w:tcW w:w="1357" w:type="dxa"/>
            <w:tcBorders>
              <w:top w:val="nil"/>
              <w:left w:val="nil"/>
              <w:bottom w:val="single" w:sz="8" w:space="0" w:color="auto"/>
              <w:right w:val="nil"/>
            </w:tcBorders>
            <w:shd w:val="clear" w:color="000000" w:fill="FFFFFF"/>
            <w:vAlign w:val="center"/>
            <w:hideMark/>
          </w:tcPr>
          <w:p w14:paraId="47D689AB" w14:textId="77777777" w:rsidR="001F5F21" w:rsidRPr="001F5F21" w:rsidRDefault="001F5F21" w:rsidP="001F5F21">
            <w:pPr>
              <w:spacing w:after="0"/>
              <w:jc w:val="left"/>
              <w:rPr>
                <w:rFonts w:eastAsia="Times New Roman" w:cs="Times New Roman"/>
                <w:b/>
                <w:bCs/>
                <w:szCs w:val="24"/>
              </w:rPr>
            </w:pPr>
            <w:r w:rsidRPr="001F5F21">
              <w:rPr>
                <w:rFonts w:eastAsia="Times New Roman" w:cs="Times New Roman"/>
                <w:b/>
                <w:bCs/>
                <w:szCs w:val="24"/>
              </w:rPr>
              <w:t> </w:t>
            </w:r>
          </w:p>
        </w:tc>
        <w:tc>
          <w:tcPr>
            <w:tcW w:w="1357" w:type="dxa"/>
            <w:tcBorders>
              <w:top w:val="nil"/>
              <w:left w:val="nil"/>
              <w:bottom w:val="single" w:sz="8" w:space="0" w:color="auto"/>
              <w:right w:val="nil"/>
            </w:tcBorders>
            <w:shd w:val="clear" w:color="000000" w:fill="FFFFFF"/>
            <w:vAlign w:val="center"/>
            <w:hideMark/>
          </w:tcPr>
          <w:p w14:paraId="0C6C3A05" w14:textId="77777777" w:rsidR="001F5F21" w:rsidRPr="001F5F21" w:rsidRDefault="001F5F21" w:rsidP="001F5F21">
            <w:pPr>
              <w:spacing w:after="0"/>
              <w:jc w:val="left"/>
              <w:rPr>
                <w:rFonts w:eastAsia="Times New Roman" w:cs="Times New Roman"/>
                <w:b/>
                <w:bCs/>
                <w:szCs w:val="24"/>
              </w:rPr>
            </w:pPr>
            <w:r w:rsidRPr="001F5F21">
              <w:rPr>
                <w:rFonts w:eastAsia="Times New Roman" w:cs="Times New Roman"/>
                <w:b/>
                <w:bCs/>
                <w:szCs w:val="24"/>
              </w:rPr>
              <w:t> </w:t>
            </w:r>
          </w:p>
        </w:tc>
        <w:tc>
          <w:tcPr>
            <w:tcW w:w="1357" w:type="dxa"/>
            <w:tcBorders>
              <w:top w:val="nil"/>
              <w:left w:val="nil"/>
              <w:bottom w:val="single" w:sz="8" w:space="0" w:color="auto"/>
              <w:right w:val="nil"/>
            </w:tcBorders>
            <w:shd w:val="clear" w:color="000000" w:fill="FFFFFF"/>
            <w:vAlign w:val="center"/>
            <w:hideMark/>
          </w:tcPr>
          <w:p w14:paraId="2EFA7D93" w14:textId="77777777" w:rsidR="001F5F21" w:rsidRPr="001F5F21" w:rsidRDefault="001F5F21" w:rsidP="001F5F21">
            <w:pPr>
              <w:spacing w:after="0"/>
              <w:jc w:val="left"/>
              <w:rPr>
                <w:rFonts w:eastAsia="Times New Roman" w:cs="Times New Roman"/>
                <w:b/>
                <w:bCs/>
                <w:szCs w:val="24"/>
              </w:rPr>
            </w:pPr>
            <w:r w:rsidRPr="001F5F21">
              <w:rPr>
                <w:rFonts w:eastAsia="Times New Roman" w:cs="Times New Roman"/>
                <w:b/>
                <w:bCs/>
                <w:szCs w:val="24"/>
              </w:rPr>
              <w:t> </w:t>
            </w:r>
          </w:p>
        </w:tc>
        <w:tc>
          <w:tcPr>
            <w:tcW w:w="1357" w:type="dxa"/>
            <w:tcBorders>
              <w:top w:val="nil"/>
              <w:left w:val="nil"/>
              <w:bottom w:val="single" w:sz="8" w:space="0" w:color="auto"/>
              <w:right w:val="nil"/>
            </w:tcBorders>
            <w:shd w:val="clear" w:color="000000" w:fill="FFFFFF"/>
            <w:vAlign w:val="center"/>
            <w:hideMark/>
          </w:tcPr>
          <w:p w14:paraId="5AB04D3D" w14:textId="77777777" w:rsidR="001F5F21" w:rsidRPr="001F5F21" w:rsidRDefault="001F5F21" w:rsidP="001F5F21">
            <w:pPr>
              <w:spacing w:after="0"/>
              <w:jc w:val="left"/>
              <w:rPr>
                <w:rFonts w:eastAsia="Times New Roman" w:cs="Times New Roman"/>
                <w:b/>
                <w:bCs/>
                <w:szCs w:val="24"/>
              </w:rPr>
            </w:pPr>
            <w:r w:rsidRPr="001F5F21">
              <w:rPr>
                <w:rFonts w:eastAsia="Times New Roman" w:cs="Times New Roman"/>
                <w:b/>
                <w:bCs/>
                <w:szCs w:val="24"/>
              </w:rPr>
              <w:t> </w:t>
            </w:r>
          </w:p>
        </w:tc>
        <w:tc>
          <w:tcPr>
            <w:tcW w:w="1357" w:type="dxa"/>
            <w:tcBorders>
              <w:top w:val="nil"/>
              <w:left w:val="nil"/>
              <w:bottom w:val="single" w:sz="8" w:space="0" w:color="auto"/>
              <w:right w:val="double" w:sz="6" w:space="0" w:color="auto"/>
            </w:tcBorders>
            <w:shd w:val="clear" w:color="000000" w:fill="FFFFFF"/>
            <w:vAlign w:val="center"/>
            <w:hideMark/>
          </w:tcPr>
          <w:p w14:paraId="388FF906" w14:textId="77777777" w:rsidR="001F5F21" w:rsidRPr="001F5F21" w:rsidRDefault="001F5F21" w:rsidP="001F5F21">
            <w:pPr>
              <w:spacing w:after="0"/>
              <w:jc w:val="left"/>
              <w:rPr>
                <w:rFonts w:eastAsia="Times New Roman" w:cs="Times New Roman"/>
                <w:b/>
                <w:bCs/>
                <w:szCs w:val="24"/>
              </w:rPr>
            </w:pPr>
            <w:r w:rsidRPr="001F5F21">
              <w:rPr>
                <w:rFonts w:eastAsia="Times New Roman" w:cs="Times New Roman"/>
                <w:b/>
                <w:bCs/>
                <w:szCs w:val="24"/>
              </w:rPr>
              <w:t> </w:t>
            </w:r>
          </w:p>
        </w:tc>
      </w:tr>
      <w:tr w:rsidR="001F5F21" w:rsidRPr="001F5F21" w14:paraId="7FF00D6E"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72A5A6EB"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 xml:space="preserve">1. General government </w:t>
            </w:r>
          </w:p>
        </w:tc>
        <w:tc>
          <w:tcPr>
            <w:tcW w:w="1135" w:type="dxa"/>
            <w:tcBorders>
              <w:top w:val="nil"/>
              <w:left w:val="nil"/>
              <w:bottom w:val="dotted" w:sz="4" w:space="0" w:color="auto"/>
              <w:right w:val="single" w:sz="8" w:space="0" w:color="auto"/>
            </w:tcBorders>
            <w:shd w:val="clear" w:color="auto" w:fill="auto"/>
            <w:vAlign w:val="center"/>
            <w:hideMark/>
          </w:tcPr>
          <w:p w14:paraId="58018413"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S13</w:t>
            </w:r>
          </w:p>
        </w:tc>
        <w:tc>
          <w:tcPr>
            <w:tcW w:w="1357" w:type="dxa"/>
            <w:tcBorders>
              <w:top w:val="nil"/>
              <w:left w:val="nil"/>
              <w:bottom w:val="dotted" w:sz="4" w:space="0" w:color="auto"/>
              <w:right w:val="single" w:sz="8" w:space="0" w:color="auto"/>
            </w:tcBorders>
            <w:shd w:val="clear" w:color="auto" w:fill="auto"/>
            <w:vAlign w:val="center"/>
            <w:hideMark/>
          </w:tcPr>
          <w:p w14:paraId="4D34ACB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-181,1</w:t>
            </w:r>
          </w:p>
        </w:tc>
        <w:tc>
          <w:tcPr>
            <w:tcW w:w="1357" w:type="dxa"/>
            <w:tcBorders>
              <w:top w:val="nil"/>
              <w:left w:val="nil"/>
              <w:bottom w:val="dotted" w:sz="4" w:space="0" w:color="auto"/>
              <w:right w:val="dotted" w:sz="4" w:space="0" w:color="auto"/>
            </w:tcBorders>
            <w:shd w:val="clear" w:color="auto" w:fill="auto"/>
            <w:vAlign w:val="center"/>
            <w:hideMark/>
          </w:tcPr>
          <w:p w14:paraId="78D38E5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-2,1</w:t>
            </w:r>
          </w:p>
        </w:tc>
        <w:tc>
          <w:tcPr>
            <w:tcW w:w="1357" w:type="dxa"/>
            <w:tcBorders>
              <w:top w:val="nil"/>
              <w:left w:val="nil"/>
              <w:bottom w:val="dotted" w:sz="4" w:space="0" w:color="auto"/>
              <w:right w:val="dotted" w:sz="4" w:space="0" w:color="auto"/>
            </w:tcBorders>
            <w:shd w:val="clear" w:color="auto" w:fill="auto"/>
            <w:vAlign w:val="center"/>
            <w:hideMark/>
          </w:tcPr>
          <w:p w14:paraId="6708D54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-2,7</w:t>
            </w:r>
          </w:p>
        </w:tc>
        <w:tc>
          <w:tcPr>
            <w:tcW w:w="1357" w:type="dxa"/>
            <w:tcBorders>
              <w:top w:val="nil"/>
              <w:left w:val="nil"/>
              <w:bottom w:val="dotted" w:sz="4" w:space="0" w:color="auto"/>
              <w:right w:val="dotted" w:sz="4" w:space="0" w:color="auto"/>
            </w:tcBorders>
            <w:shd w:val="clear" w:color="auto" w:fill="auto"/>
            <w:vAlign w:val="center"/>
            <w:hideMark/>
          </w:tcPr>
          <w:p w14:paraId="58EBFD9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-3,0</w:t>
            </w:r>
          </w:p>
        </w:tc>
        <w:tc>
          <w:tcPr>
            <w:tcW w:w="1357" w:type="dxa"/>
            <w:tcBorders>
              <w:top w:val="nil"/>
              <w:left w:val="nil"/>
              <w:bottom w:val="dotted" w:sz="4" w:space="0" w:color="auto"/>
              <w:right w:val="dotted" w:sz="4" w:space="0" w:color="auto"/>
            </w:tcBorders>
            <w:shd w:val="clear" w:color="auto" w:fill="auto"/>
            <w:vAlign w:val="center"/>
            <w:hideMark/>
          </w:tcPr>
          <w:p w14:paraId="706D0F3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-3,0</w:t>
            </w:r>
          </w:p>
        </w:tc>
        <w:tc>
          <w:tcPr>
            <w:tcW w:w="1357" w:type="dxa"/>
            <w:tcBorders>
              <w:top w:val="nil"/>
              <w:left w:val="nil"/>
              <w:bottom w:val="dotted" w:sz="4" w:space="0" w:color="auto"/>
              <w:right w:val="double" w:sz="6" w:space="0" w:color="auto"/>
            </w:tcBorders>
            <w:shd w:val="clear" w:color="auto" w:fill="auto"/>
            <w:vAlign w:val="center"/>
            <w:hideMark/>
          </w:tcPr>
          <w:p w14:paraId="22ED2D5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-3,0</w:t>
            </w:r>
          </w:p>
        </w:tc>
      </w:tr>
      <w:tr w:rsidR="001F5F21" w:rsidRPr="001F5F21" w14:paraId="552FCFA0"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37403E15"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2. Central government</w:t>
            </w:r>
          </w:p>
        </w:tc>
        <w:tc>
          <w:tcPr>
            <w:tcW w:w="1135" w:type="dxa"/>
            <w:tcBorders>
              <w:top w:val="nil"/>
              <w:left w:val="nil"/>
              <w:bottom w:val="dotted" w:sz="4" w:space="0" w:color="auto"/>
              <w:right w:val="single" w:sz="8" w:space="0" w:color="auto"/>
            </w:tcBorders>
            <w:shd w:val="clear" w:color="auto" w:fill="auto"/>
            <w:vAlign w:val="center"/>
            <w:hideMark/>
          </w:tcPr>
          <w:p w14:paraId="369A6EB1"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S1311</w:t>
            </w:r>
          </w:p>
        </w:tc>
        <w:tc>
          <w:tcPr>
            <w:tcW w:w="1357" w:type="dxa"/>
            <w:tcBorders>
              <w:top w:val="nil"/>
              <w:left w:val="nil"/>
              <w:bottom w:val="dotted" w:sz="4" w:space="0" w:color="auto"/>
              <w:right w:val="single" w:sz="8" w:space="0" w:color="auto"/>
            </w:tcBorders>
            <w:shd w:val="clear" w:color="auto" w:fill="auto"/>
            <w:vAlign w:val="center"/>
            <w:hideMark/>
          </w:tcPr>
          <w:p w14:paraId="5D95459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-177,2</w:t>
            </w:r>
          </w:p>
        </w:tc>
        <w:tc>
          <w:tcPr>
            <w:tcW w:w="1357" w:type="dxa"/>
            <w:tcBorders>
              <w:top w:val="nil"/>
              <w:left w:val="nil"/>
              <w:bottom w:val="dotted" w:sz="4" w:space="0" w:color="auto"/>
              <w:right w:val="dotted" w:sz="4" w:space="0" w:color="auto"/>
            </w:tcBorders>
            <w:shd w:val="clear" w:color="auto" w:fill="auto"/>
            <w:vAlign w:val="center"/>
            <w:hideMark/>
          </w:tcPr>
          <w:p w14:paraId="429B315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w:t>
            </w:r>
          </w:p>
        </w:tc>
        <w:tc>
          <w:tcPr>
            <w:tcW w:w="1357" w:type="dxa"/>
            <w:tcBorders>
              <w:top w:val="nil"/>
              <w:left w:val="nil"/>
              <w:bottom w:val="dotted" w:sz="4" w:space="0" w:color="auto"/>
              <w:right w:val="dotted" w:sz="4" w:space="0" w:color="auto"/>
            </w:tcBorders>
            <w:shd w:val="clear" w:color="auto" w:fill="auto"/>
            <w:vAlign w:val="center"/>
            <w:hideMark/>
          </w:tcPr>
          <w:p w14:paraId="56C0594D"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-2,7</w:t>
            </w:r>
          </w:p>
        </w:tc>
        <w:tc>
          <w:tcPr>
            <w:tcW w:w="1357" w:type="dxa"/>
            <w:tcBorders>
              <w:top w:val="nil"/>
              <w:left w:val="nil"/>
              <w:bottom w:val="dotted" w:sz="4" w:space="0" w:color="auto"/>
              <w:right w:val="dotted" w:sz="4" w:space="0" w:color="auto"/>
            </w:tcBorders>
            <w:shd w:val="clear" w:color="auto" w:fill="auto"/>
            <w:vAlign w:val="center"/>
            <w:hideMark/>
          </w:tcPr>
          <w:p w14:paraId="2C2ECD7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-3,0</w:t>
            </w:r>
          </w:p>
        </w:tc>
        <w:tc>
          <w:tcPr>
            <w:tcW w:w="1357" w:type="dxa"/>
            <w:tcBorders>
              <w:top w:val="nil"/>
              <w:left w:val="nil"/>
              <w:bottom w:val="dotted" w:sz="4" w:space="0" w:color="auto"/>
              <w:right w:val="dotted" w:sz="4" w:space="0" w:color="auto"/>
            </w:tcBorders>
            <w:shd w:val="clear" w:color="auto" w:fill="auto"/>
            <w:vAlign w:val="center"/>
            <w:hideMark/>
          </w:tcPr>
          <w:p w14:paraId="1A8E318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-3,0</w:t>
            </w:r>
          </w:p>
        </w:tc>
        <w:tc>
          <w:tcPr>
            <w:tcW w:w="1357" w:type="dxa"/>
            <w:tcBorders>
              <w:top w:val="nil"/>
              <w:left w:val="nil"/>
              <w:bottom w:val="dotted" w:sz="4" w:space="0" w:color="auto"/>
              <w:right w:val="double" w:sz="6" w:space="0" w:color="auto"/>
            </w:tcBorders>
            <w:shd w:val="clear" w:color="auto" w:fill="auto"/>
            <w:vAlign w:val="center"/>
            <w:hideMark/>
          </w:tcPr>
          <w:p w14:paraId="5C0F6202"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-3,0</w:t>
            </w:r>
          </w:p>
        </w:tc>
      </w:tr>
      <w:tr w:rsidR="001F5F21" w:rsidRPr="001F5F21" w14:paraId="4453FF09"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263D125B"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3. State government</w:t>
            </w:r>
          </w:p>
        </w:tc>
        <w:tc>
          <w:tcPr>
            <w:tcW w:w="1135" w:type="dxa"/>
            <w:tcBorders>
              <w:top w:val="nil"/>
              <w:left w:val="nil"/>
              <w:bottom w:val="dotted" w:sz="4" w:space="0" w:color="auto"/>
              <w:right w:val="single" w:sz="8" w:space="0" w:color="auto"/>
            </w:tcBorders>
            <w:shd w:val="clear" w:color="auto" w:fill="auto"/>
            <w:vAlign w:val="center"/>
            <w:hideMark/>
          </w:tcPr>
          <w:p w14:paraId="0FF5EFBF"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S1312</w:t>
            </w:r>
          </w:p>
        </w:tc>
        <w:tc>
          <w:tcPr>
            <w:tcW w:w="1357" w:type="dxa"/>
            <w:tcBorders>
              <w:top w:val="nil"/>
              <w:left w:val="nil"/>
              <w:bottom w:val="dotted" w:sz="4" w:space="0" w:color="auto"/>
              <w:right w:val="single" w:sz="8" w:space="0" w:color="auto"/>
            </w:tcBorders>
            <w:shd w:val="clear" w:color="auto" w:fill="auto"/>
            <w:vAlign w:val="center"/>
            <w:hideMark/>
          </w:tcPr>
          <w:p w14:paraId="68FB3F3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dotted" w:sz="4" w:space="0" w:color="auto"/>
              <w:right w:val="dotted" w:sz="4" w:space="0" w:color="auto"/>
            </w:tcBorders>
            <w:shd w:val="clear" w:color="auto" w:fill="auto"/>
            <w:vAlign w:val="center"/>
            <w:hideMark/>
          </w:tcPr>
          <w:p w14:paraId="09B3F54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dotted" w:sz="4" w:space="0" w:color="auto"/>
              <w:right w:val="dotted" w:sz="4" w:space="0" w:color="auto"/>
            </w:tcBorders>
            <w:shd w:val="clear" w:color="auto" w:fill="auto"/>
            <w:vAlign w:val="center"/>
            <w:hideMark/>
          </w:tcPr>
          <w:p w14:paraId="57D43F7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dotted" w:sz="4" w:space="0" w:color="auto"/>
              <w:right w:val="dotted" w:sz="4" w:space="0" w:color="auto"/>
            </w:tcBorders>
            <w:shd w:val="clear" w:color="auto" w:fill="auto"/>
            <w:vAlign w:val="center"/>
            <w:hideMark/>
          </w:tcPr>
          <w:p w14:paraId="0492857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dotted" w:sz="4" w:space="0" w:color="auto"/>
              <w:right w:val="dotted" w:sz="4" w:space="0" w:color="auto"/>
            </w:tcBorders>
            <w:shd w:val="clear" w:color="auto" w:fill="auto"/>
            <w:vAlign w:val="center"/>
            <w:hideMark/>
          </w:tcPr>
          <w:p w14:paraId="04167DD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dotted" w:sz="4" w:space="0" w:color="auto"/>
              <w:right w:val="double" w:sz="6" w:space="0" w:color="auto"/>
            </w:tcBorders>
            <w:shd w:val="clear" w:color="auto" w:fill="auto"/>
            <w:vAlign w:val="center"/>
            <w:hideMark/>
          </w:tcPr>
          <w:p w14:paraId="6DE6A4F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r>
      <w:tr w:rsidR="001F5F21" w:rsidRPr="001F5F21" w14:paraId="7CDE630F"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656BCB9E"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4. Local government</w:t>
            </w:r>
          </w:p>
        </w:tc>
        <w:tc>
          <w:tcPr>
            <w:tcW w:w="1135" w:type="dxa"/>
            <w:tcBorders>
              <w:top w:val="nil"/>
              <w:left w:val="nil"/>
              <w:bottom w:val="dotted" w:sz="4" w:space="0" w:color="auto"/>
              <w:right w:val="single" w:sz="8" w:space="0" w:color="auto"/>
            </w:tcBorders>
            <w:shd w:val="clear" w:color="auto" w:fill="auto"/>
            <w:vAlign w:val="center"/>
            <w:hideMark/>
          </w:tcPr>
          <w:p w14:paraId="736F53F2"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S1313</w:t>
            </w:r>
          </w:p>
        </w:tc>
        <w:tc>
          <w:tcPr>
            <w:tcW w:w="1357" w:type="dxa"/>
            <w:tcBorders>
              <w:top w:val="nil"/>
              <w:left w:val="nil"/>
              <w:bottom w:val="dotted" w:sz="4" w:space="0" w:color="auto"/>
              <w:right w:val="single" w:sz="8" w:space="0" w:color="auto"/>
            </w:tcBorders>
            <w:shd w:val="clear" w:color="auto" w:fill="auto"/>
            <w:vAlign w:val="center"/>
            <w:hideMark/>
          </w:tcPr>
          <w:p w14:paraId="10F46C2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-8,9</w:t>
            </w:r>
          </w:p>
        </w:tc>
        <w:tc>
          <w:tcPr>
            <w:tcW w:w="1357" w:type="dxa"/>
            <w:tcBorders>
              <w:top w:val="nil"/>
              <w:left w:val="nil"/>
              <w:bottom w:val="dotted" w:sz="4" w:space="0" w:color="auto"/>
              <w:right w:val="dotted" w:sz="4" w:space="0" w:color="auto"/>
            </w:tcBorders>
            <w:shd w:val="clear" w:color="auto" w:fill="auto"/>
            <w:vAlign w:val="center"/>
            <w:hideMark/>
          </w:tcPr>
          <w:p w14:paraId="0BE66DD7"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-0,1</w:t>
            </w:r>
          </w:p>
        </w:tc>
        <w:tc>
          <w:tcPr>
            <w:tcW w:w="1357" w:type="dxa"/>
            <w:tcBorders>
              <w:top w:val="nil"/>
              <w:left w:val="nil"/>
              <w:bottom w:val="dotted" w:sz="4" w:space="0" w:color="auto"/>
              <w:right w:val="dotted" w:sz="4" w:space="0" w:color="auto"/>
            </w:tcBorders>
            <w:shd w:val="clear" w:color="auto" w:fill="auto"/>
            <w:vAlign w:val="center"/>
            <w:hideMark/>
          </w:tcPr>
          <w:p w14:paraId="221077C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c>
          <w:tcPr>
            <w:tcW w:w="1357" w:type="dxa"/>
            <w:tcBorders>
              <w:top w:val="nil"/>
              <w:left w:val="nil"/>
              <w:bottom w:val="dotted" w:sz="4" w:space="0" w:color="auto"/>
              <w:right w:val="dotted" w:sz="4" w:space="0" w:color="auto"/>
            </w:tcBorders>
            <w:shd w:val="clear" w:color="auto" w:fill="auto"/>
            <w:vAlign w:val="center"/>
            <w:hideMark/>
          </w:tcPr>
          <w:p w14:paraId="6CCF8FE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c>
          <w:tcPr>
            <w:tcW w:w="1357" w:type="dxa"/>
            <w:tcBorders>
              <w:top w:val="nil"/>
              <w:left w:val="nil"/>
              <w:bottom w:val="dotted" w:sz="4" w:space="0" w:color="auto"/>
              <w:right w:val="dotted" w:sz="4" w:space="0" w:color="auto"/>
            </w:tcBorders>
            <w:shd w:val="clear" w:color="auto" w:fill="auto"/>
            <w:vAlign w:val="center"/>
            <w:hideMark/>
          </w:tcPr>
          <w:p w14:paraId="71D0EB8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c>
          <w:tcPr>
            <w:tcW w:w="1357" w:type="dxa"/>
            <w:tcBorders>
              <w:top w:val="nil"/>
              <w:left w:val="nil"/>
              <w:bottom w:val="dotted" w:sz="4" w:space="0" w:color="auto"/>
              <w:right w:val="double" w:sz="6" w:space="0" w:color="auto"/>
            </w:tcBorders>
            <w:shd w:val="clear" w:color="auto" w:fill="auto"/>
            <w:vAlign w:val="center"/>
            <w:hideMark/>
          </w:tcPr>
          <w:p w14:paraId="76E9A7F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r>
      <w:tr w:rsidR="001F5F21" w:rsidRPr="001F5F21" w14:paraId="4F500102" w14:textId="77777777" w:rsidTr="000843CA">
        <w:trPr>
          <w:trHeight w:val="338"/>
        </w:trPr>
        <w:tc>
          <w:tcPr>
            <w:tcW w:w="5742" w:type="dxa"/>
            <w:tcBorders>
              <w:top w:val="nil"/>
              <w:left w:val="double" w:sz="6" w:space="0" w:color="auto"/>
              <w:bottom w:val="single" w:sz="8" w:space="0" w:color="auto"/>
              <w:right w:val="dotted" w:sz="4" w:space="0" w:color="auto"/>
            </w:tcBorders>
            <w:shd w:val="clear" w:color="auto" w:fill="auto"/>
            <w:vAlign w:val="center"/>
            <w:hideMark/>
          </w:tcPr>
          <w:p w14:paraId="7A8B21AB"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5. Social security funds</w:t>
            </w:r>
          </w:p>
        </w:tc>
        <w:tc>
          <w:tcPr>
            <w:tcW w:w="1135" w:type="dxa"/>
            <w:tcBorders>
              <w:top w:val="nil"/>
              <w:left w:val="nil"/>
              <w:bottom w:val="single" w:sz="8" w:space="0" w:color="auto"/>
              <w:right w:val="single" w:sz="8" w:space="0" w:color="auto"/>
            </w:tcBorders>
            <w:shd w:val="clear" w:color="auto" w:fill="auto"/>
            <w:vAlign w:val="center"/>
            <w:hideMark/>
          </w:tcPr>
          <w:p w14:paraId="46979AA0"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S1314</w:t>
            </w:r>
          </w:p>
        </w:tc>
        <w:tc>
          <w:tcPr>
            <w:tcW w:w="1357" w:type="dxa"/>
            <w:tcBorders>
              <w:top w:val="nil"/>
              <w:left w:val="nil"/>
              <w:bottom w:val="single" w:sz="8" w:space="0" w:color="auto"/>
              <w:right w:val="single" w:sz="8" w:space="0" w:color="auto"/>
            </w:tcBorders>
            <w:shd w:val="clear" w:color="auto" w:fill="auto"/>
            <w:vAlign w:val="center"/>
            <w:hideMark/>
          </w:tcPr>
          <w:p w14:paraId="4113CF8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5,0</w:t>
            </w:r>
          </w:p>
        </w:tc>
        <w:tc>
          <w:tcPr>
            <w:tcW w:w="1357" w:type="dxa"/>
            <w:tcBorders>
              <w:top w:val="nil"/>
              <w:left w:val="nil"/>
              <w:bottom w:val="single" w:sz="8" w:space="0" w:color="auto"/>
              <w:right w:val="dotted" w:sz="4" w:space="0" w:color="auto"/>
            </w:tcBorders>
            <w:shd w:val="clear" w:color="auto" w:fill="auto"/>
            <w:vAlign w:val="center"/>
            <w:hideMark/>
          </w:tcPr>
          <w:p w14:paraId="300E55D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0,1</w:t>
            </w:r>
          </w:p>
        </w:tc>
        <w:tc>
          <w:tcPr>
            <w:tcW w:w="1357" w:type="dxa"/>
            <w:tcBorders>
              <w:top w:val="nil"/>
              <w:left w:val="nil"/>
              <w:bottom w:val="single" w:sz="8" w:space="0" w:color="auto"/>
              <w:right w:val="dotted" w:sz="4" w:space="0" w:color="auto"/>
            </w:tcBorders>
            <w:shd w:val="clear" w:color="auto" w:fill="auto"/>
            <w:vAlign w:val="center"/>
            <w:hideMark/>
          </w:tcPr>
          <w:p w14:paraId="310048D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c>
          <w:tcPr>
            <w:tcW w:w="1357" w:type="dxa"/>
            <w:tcBorders>
              <w:top w:val="nil"/>
              <w:left w:val="nil"/>
              <w:bottom w:val="single" w:sz="8" w:space="0" w:color="auto"/>
              <w:right w:val="dotted" w:sz="4" w:space="0" w:color="auto"/>
            </w:tcBorders>
            <w:shd w:val="clear" w:color="auto" w:fill="auto"/>
            <w:vAlign w:val="center"/>
            <w:hideMark/>
          </w:tcPr>
          <w:p w14:paraId="72F62B6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c>
          <w:tcPr>
            <w:tcW w:w="1357" w:type="dxa"/>
            <w:tcBorders>
              <w:top w:val="nil"/>
              <w:left w:val="nil"/>
              <w:bottom w:val="single" w:sz="8" w:space="0" w:color="auto"/>
              <w:right w:val="dotted" w:sz="4" w:space="0" w:color="auto"/>
            </w:tcBorders>
            <w:shd w:val="clear" w:color="auto" w:fill="auto"/>
            <w:vAlign w:val="center"/>
            <w:hideMark/>
          </w:tcPr>
          <w:p w14:paraId="68EAFD9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c>
          <w:tcPr>
            <w:tcW w:w="1357" w:type="dxa"/>
            <w:tcBorders>
              <w:top w:val="nil"/>
              <w:left w:val="nil"/>
              <w:bottom w:val="single" w:sz="8" w:space="0" w:color="auto"/>
              <w:right w:val="double" w:sz="6" w:space="0" w:color="auto"/>
            </w:tcBorders>
            <w:shd w:val="clear" w:color="auto" w:fill="auto"/>
            <w:vAlign w:val="center"/>
            <w:hideMark/>
          </w:tcPr>
          <w:p w14:paraId="1A0F12C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r>
      <w:tr w:rsidR="001F5F21" w:rsidRPr="001F5F21" w14:paraId="7820E316" w14:textId="77777777" w:rsidTr="000843CA">
        <w:trPr>
          <w:trHeight w:val="338"/>
        </w:trPr>
        <w:tc>
          <w:tcPr>
            <w:tcW w:w="15022" w:type="dxa"/>
            <w:gridSpan w:val="8"/>
            <w:tcBorders>
              <w:top w:val="single" w:sz="8" w:space="0" w:color="auto"/>
              <w:left w:val="double" w:sz="6" w:space="0" w:color="auto"/>
              <w:bottom w:val="single" w:sz="8" w:space="0" w:color="auto"/>
              <w:right w:val="double" w:sz="6" w:space="0" w:color="000000"/>
            </w:tcBorders>
            <w:shd w:val="clear" w:color="auto" w:fill="auto"/>
            <w:vAlign w:val="center"/>
            <w:hideMark/>
          </w:tcPr>
          <w:p w14:paraId="4B4383B7" w14:textId="77777777" w:rsidR="001F5F21" w:rsidRPr="001F5F21" w:rsidRDefault="001F5F21" w:rsidP="001F5F21">
            <w:pPr>
              <w:spacing w:after="0"/>
              <w:jc w:val="center"/>
              <w:rPr>
                <w:rFonts w:eastAsia="Times New Roman" w:cs="Times New Roman"/>
                <w:b/>
                <w:bCs/>
                <w:szCs w:val="24"/>
              </w:rPr>
            </w:pPr>
            <w:r w:rsidRPr="001F5F21">
              <w:rPr>
                <w:rFonts w:eastAsia="Times New Roman" w:cs="Times New Roman"/>
                <w:b/>
                <w:bCs/>
                <w:szCs w:val="24"/>
              </w:rPr>
              <w:t>General government (S13)</w:t>
            </w:r>
          </w:p>
        </w:tc>
      </w:tr>
      <w:tr w:rsidR="001F5F21" w:rsidRPr="001F5F21" w14:paraId="2FCB02FD"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20B4BA81"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6. Total revenue</w:t>
            </w:r>
          </w:p>
        </w:tc>
        <w:tc>
          <w:tcPr>
            <w:tcW w:w="1135" w:type="dxa"/>
            <w:tcBorders>
              <w:top w:val="nil"/>
              <w:left w:val="nil"/>
              <w:bottom w:val="dotted" w:sz="4" w:space="0" w:color="auto"/>
              <w:right w:val="single" w:sz="8" w:space="0" w:color="auto"/>
            </w:tcBorders>
            <w:shd w:val="clear" w:color="auto" w:fill="auto"/>
            <w:vAlign w:val="center"/>
            <w:hideMark/>
          </w:tcPr>
          <w:p w14:paraId="5063B5E9"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TR</w:t>
            </w:r>
          </w:p>
        </w:tc>
        <w:tc>
          <w:tcPr>
            <w:tcW w:w="1357" w:type="dxa"/>
            <w:tcBorders>
              <w:top w:val="nil"/>
              <w:left w:val="nil"/>
              <w:bottom w:val="dotted" w:sz="4" w:space="0" w:color="auto"/>
              <w:right w:val="single" w:sz="8" w:space="0" w:color="auto"/>
            </w:tcBorders>
            <w:shd w:val="clear" w:color="auto" w:fill="auto"/>
            <w:vAlign w:val="center"/>
            <w:hideMark/>
          </w:tcPr>
          <w:p w14:paraId="1C469DB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3.473,3</w:t>
            </w:r>
          </w:p>
        </w:tc>
        <w:tc>
          <w:tcPr>
            <w:tcW w:w="1357" w:type="dxa"/>
            <w:tcBorders>
              <w:top w:val="nil"/>
              <w:left w:val="nil"/>
              <w:bottom w:val="dotted" w:sz="4" w:space="0" w:color="auto"/>
              <w:right w:val="dotted" w:sz="4" w:space="0" w:color="auto"/>
            </w:tcBorders>
            <w:shd w:val="clear" w:color="auto" w:fill="auto"/>
            <w:vAlign w:val="center"/>
            <w:hideMark/>
          </w:tcPr>
          <w:p w14:paraId="5C1C2DF2"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39,4</w:t>
            </w:r>
          </w:p>
        </w:tc>
        <w:tc>
          <w:tcPr>
            <w:tcW w:w="1357" w:type="dxa"/>
            <w:tcBorders>
              <w:top w:val="nil"/>
              <w:left w:val="nil"/>
              <w:bottom w:val="dotted" w:sz="4" w:space="0" w:color="auto"/>
              <w:right w:val="dotted" w:sz="4" w:space="0" w:color="auto"/>
            </w:tcBorders>
            <w:shd w:val="clear" w:color="auto" w:fill="auto"/>
            <w:vAlign w:val="center"/>
            <w:hideMark/>
          </w:tcPr>
          <w:p w14:paraId="401B81E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40,8</w:t>
            </w:r>
          </w:p>
        </w:tc>
        <w:tc>
          <w:tcPr>
            <w:tcW w:w="1357" w:type="dxa"/>
            <w:tcBorders>
              <w:top w:val="nil"/>
              <w:left w:val="nil"/>
              <w:bottom w:val="dotted" w:sz="4" w:space="0" w:color="auto"/>
              <w:right w:val="dotted" w:sz="4" w:space="0" w:color="auto"/>
            </w:tcBorders>
            <w:shd w:val="clear" w:color="auto" w:fill="auto"/>
            <w:vAlign w:val="center"/>
            <w:hideMark/>
          </w:tcPr>
          <w:p w14:paraId="7A53E88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41,3</w:t>
            </w:r>
          </w:p>
        </w:tc>
        <w:tc>
          <w:tcPr>
            <w:tcW w:w="1357" w:type="dxa"/>
            <w:tcBorders>
              <w:top w:val="nil"/>
              <w:left w:val="nil"/>
              <w:bottom w:val="dotted" w:sz="4" w:space="0" w:color="auto"/>
              <w:right w:val="dotted" w:sz="4" w:space="0" w:color="auto"/>
            </w:tcBorders>
            <w:shd w:val="clear" w:color="auto" w:fill="auto"/>
            <w:vAlign w:val="center"/>
            <w:hideMark/>
          </w:tcPr>
          <w:p w14:paraId="000BE91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40,9</w:t>
            </w:r>
          </w:p>
        </w:tc>
        <w:tc>
          <w:tcPr>
            <w:tcW w:w="1357" w:type="dxa"/>
            <w:tcBorders>
              <w:top w:val="nil"/>
              <w:left w:val="nil"/>
              <w:bottom w:val="dotted" w:sz="4" w:space="0" w:color="auto"/>
              <w:right w:val="double" w:sz="6" w:space="0" w:color="auto"/>
            </w:tcBorders>
            <w:shd w:val="clear" w:color="auto" w:fill="auto"/>
            <w:vAlign w:val="center"/>
            <w:hideMark/>
          </w:tcPr>
          <w:p w14:paraId="63FB03B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40,5</w:t>
            </w:r>
          </w:p>
        </w:tc>
      </w:tr>
      <w:tr w:rsidR="001F5F21" w:rsidRPr="001F5F21" w14:paraId="55898C31"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1A3E7429"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7. Total expenditure[1]</w:t>
            </w:r>
          </w:p>
        </w:tc>
        <w:tc>
          <w:tcPr>
            <w:tcW w:w="1135" w:type="dxa"/>
            <w:tcBorders>
              <w:top w:val="nil"/>
              <w:left w:val="nil"/>
              <w:bottom w:val="dotted" w:sz="4" w:space="0" w:color="auto"/>
              <w:right w:val="single" w:sz="8" w:space="0" w:color="auto"/>
            </w:tcBorders>
            <w:shd w:val="clear" w:color="auto" w:fill="auto"/>
            <w:vAlign w:val="center"/>
            <w:hideMark/>
          </w:tcPr>
          <w:p w14:paraId="68FB10F9"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TE</w:t>
            </w:r>
          </w:p>
        </w:tc>
        <w:tc>
          <w:tcPr>
            <w:tcW w:w="1357" w:type="dxa"/>
            <w:tcBorders>
              <w:top w:val="nil"/>
              <w:left w:val="nil"/>
              <w:bottom w:val="dotted" w:sz="4" w:space="0" w:color="auto"/>
              <w:right w:val="single" w:sz="8" w:space="0" w:color="auto"/>
            </w:tcBorders>
            <w:shd w:val="clear" w:color="auto" w:fill="auto"/>
            <w:vAlign w:val="center"/>
            <w:hideMark/>
          </w:tcPr>
          <w:p w14:paraId="02C7169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3.654,4</w:t>
            </w:r>
          </w:p>
        </w:tc>
        <w:tc>
          <w:tcPr>
            <w:tcW w:w="1357" w:type="dxa"/>
            <w:tcBorders>
              <w:top w:val="nil"/>
              <w:left w:val="nil"/>
              <w:bottom w:val="dotted" w:sz="4" w:space="0" w:color="auto"/>
              <w:right w:val="dotted" w:sz="4" w:space="0" w:color="auto"/>
            </w:tcBorders>
            <w:shd w:val="clear" w:color="auto" w:fill="auto"/>
            <w:vAlign w:val="center"/>
            <w:hideMark/>
          </w:tcPr>
          <w:p w14:paraId="2ABB966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41,4</w:t>
            </w:r>
          </w:p>
        </w:tc>
        <w:tc>
          <w:tcPr>
            <w:tcW w:w="1357" w:type="dxa"/>
            <w:tcBorders>
              <w:top w:val="nil"/>
              <w:left w:val="nil"/>
              <w:bottom w:val="dotted" w:sz="4" w:space="0" w:color="auto"/>
              <w:right w:val="dotted" w:sz="4" w:space="0" w:color="auto"/>
            </w:tcBorders>
            <w:shd w:val="clear" w:color="auto" w:fill="auto"/>
            <w:vAlign w:val="center"/>
            <w:hideMark/>
          </w:tcPr>
          <w:p w14:paraId="79858937"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43,6</w:t>
            </w:r>
          </w:p>
        </w:tc>
        <w:tc>
          <w:tcPr>
            <w:tcW w:w="1357" w:type="dxa"/>
            <w:tcBorders>
              <w:top w:val="nil"/>
              <w:left w:val="nil"/>
              <w:bottom w:val="dotted" w:sz="4" w:space="0" w:color="auto"/>
              <w:right w:val="dotted" w:sz="4" w:space="0" w:color="auto"/>
            </w:tcBorders>
            <w:shd w:val="clear" w:color="auto" w:fill="auto"/>
            <w:vAlign w:val="center"/>
            <w:hideMark/>
          </w:tcPr>
          <w:p w14:paraId="12EE02B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44,3</w:t>
            </w:r>
          </w:p>
        </w:tc>
        <w:tc>
          <w:tcPr>
            <w:tcW w:w="1357" w:type="dxa"/>
            <w:tcBorders>
              <w:top w:val="nil"/>
              <w:left w:val="nil"/>
              <w:bottom w:val="dotted" w:sz="4" w:space="0" w:color="auto"/>
              <w:right w:val="dotted" w:sz="4" w:space="0" w:color="auto"/>
            </w:tcBorders>
            <w:shd w:val="clear" w:color="auto" w:fill="auto"/>
            <w:vAlign w:val="center"/>
            <w:hideMark/>
          </w:tcPr>
          <w:p w14:paraId="4FEBB49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43,9</w:t>
            </w:r>
          </w:p>
        </w:tc>
        <w:tc>
          <w:tcPr>
            <w:tcW w:w="1357" w:type="dxa"/>
            <w:tcBorders>
              <w:top w:val="nil"/>
              <w:left w:val="nil"/>
              <w:bottom w:val="dotted" w:sz="4" w:space="0" w:color="auto"/>
              <w:right w:val="double" w:sz="6" w:space="0" w:color="auto"/>
            </w:tcBorders>
            <w:shd w:val="clear" w:color="auto" w:fill="auto"/>
            <w:vAlign w:val="center"/>
            <w:hideMark/>
          </w:tcPr>
          <w:p w14:paraId="207C244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43,5</w:t>
            </w:r>
          </w:p>
        </w:tc>
      </w:tr>
      <w:tr w:rsidR="001F5F21" w:rsidRPr="001F5F21" w14:paraId="7CDA968C"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18D4150F"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8. Net borrowing/lending</w:t>
            </w:r>
          </w:p>
        </w:tc>
        <w:tc>
          <w:tcPr>
            <w:tcW w:w="1135" w:type="dxa"/>
            <w:tcBorders>
              <w:top w:val="nil"/>
              <w:left w:val="nil"/>
              <w:bottom w:val="dotted" w:sz="4" w:space="0" w:color="auto"/>
              <w:right w:val="single" w:sz="8" w:space="0" w:color="auto"/>
            </w:tcBorders>
            <w:shd w:val="clear" w:color="auto" w:fill="auto"/>
            <w:vAlign w:val="center"/>
            <w:hideMark/>
          </w:tcPr>
          <w:p w14:paraId="1B38B173"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EDP.B9</w:t>
            </w:r>
          </w:p>
        </w:tc>
        <w:tc>
          <w:tcPr>
            <w:tcW w:w="1357" w:type="dxa"/>
            <w:tcBorders>
              <w:top w:val="nil"/>
              <w:left w:val="nil"/>
              <w:bottom w:val="dotted" w:sz="4" w:space="0" w:color="auto"/>
              <w:right w:val="single" w:sz="8" w:space="0" w:color="auto"/>
            </w:tcBorders>
            <w:shd w:val="clear" w:color="auto" w:fill="auto"/>
            <w:vAlign w:val="center"/>
            <w:hideMark/>
          </w:tcPr>
          <w:p w14:paraId="68FC49D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-181,1</w:t>
            </w:r>
          </w:p>
        </w:tc>
        <w:tc>
          <w:tcPr>
            <w:tcW w:w="1357" w:type="dxa"/>
            <w:tcBorders>
              <w:top w:val="nil"/>
              <w:left w:val="nil"/>
              <w:bottom w:val="dotted" w:sz="4" w:space="0" w:color="auto"/>
              <w:right w:val="dotted" w:sz="4" w:space="0" w:color="auto"/>
            </w:tcBorders>
            <w:shd w:val="clear" w:color="auto" w:fill="auto"/>
            <w:vAlign w:val="center"/>
            <w:hideMark/>
          </w:tcPr>
          <w:p w14:paraId="31A8A3E1"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-2,1</w:t>
            </w:r>
          </w:p>
        </w:tc>
        <w:tc>
          <w:tcPr>
            <w:tcW w:w="1357" w:type="dxa"/>
            <w:tcBorders>
              <w:top w:val="nil"/>
              <w:left w:val="nil"/>
              <w:bottom w:val="dotted" w:sz="4" w:space="0" w:color="auto"/>
              <w:right w:val="dotted" w:sz="4" w:space="0" w:color="auto"/>
            </w:tcBorders>
            <w:shd w:val="clear" w:color="auto" w:fill="auto"/>
            <w:vAlign w:val="center"/>
            <w:hideMark/>
          </w:tcPr>
          <w:p w14:paraId="2DA3B71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-2,7</w:t>
            </w:r>
          </w:p>
        </w:tc>
        <w:tc>
          <w:tcPr>
            <w:tcW w:w="1357" w:type="dxa"/>
            <w:tcBorders>
              <w:top w:val="nil"/>
              <w:left w:val="nil"/>
              <w:bottom w:val="dotted" w:sz="4" w:space="0" w:color="auto"/>
              <w:right w:val="dotted" w:sz="4" w:space="0" w:color="auto"/>
            </w:tcBorders>
            <w:shd w:val="clear" w:color="auto" w:fill="auto"/>
            <w:vAlign w:val="center"/>
            <w:hideMark/>
          </w:tcPr>
          <w:p w14:paraId="7CB4E591"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-3,0</w:t>
            </w:r>
          </w:p>
        </w:tc>
        <w:tc>
          <w:tcPr>
            <w:tcW w:w="1357" w:type="dxa"/>
            <w:tcBorders>
              <w:top w:val="nil"/>
              <w:left w:val="nil"/>
              <w:bottom w:val="dotted" w:sz="4" w:space="0" w:color="auto"/>
              <w:right w:val="dotted" w:sz="4" w:space="0" w:color="auto"/>
            </w:tcBorders>
            <w:shd w:val="clear" w:color="auto" w:fill="auto"/>
            <w:vAlign w:val="center"/>
            <w:hideMark/>
          </w:tcPr>
          <w:p w14:paraId="42D7EC8D"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-3,0</w:t>
            </w:r>
          </w:p>
        </w:tc>
        <w:tc>
          <w:tcPr>
            <w:tcW w:w="1357" w:type="dxa"/>
            <w:tcBorders>
              <w:top w:val="nil"/>
              <w:left w:val="nil"/>
              <w:bottom w:val="dotted" w:sz="4" w:space="0" w:color="auto"/>
              <w:right w:val="double" w:sz="6" w:space="0" w:color="auto"/>
            </w:tcBorders>
            <w:shd w:val="clear" w:color="auto" w:fill="auto"/>
            <w:vAlign w:val="center"/>
            <w:hideMark/>
          </w:tcPr>
          <w:p w14:paraId="709AC73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-3,0</w:t>
            </w:r>
          </w:p>
        </w:tc>
      </w:tr>
      <w:tr w:rsidR="001F5F21" w:rsidRPr="001F5F21" w14:paraId="1879223F" w14:textId="77777777" w:rsidTr="000843CA">
        <w:trPr>
          <w:trHeight w:val="374"/>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68CE70F8"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9. Interest expenditure</w:t>
            </w:r>
          </w:p>
        </w:tc>
        <w:tc>
          <w:tcPr>
            <w:tcW w:w="1135" w:type="dxa"/>
            <w:tcBorders>
              <w:top w:val="nil"/>
              <w:left w:val="nil"/>
              <w:bottom w:val="dotted" w:sz="4" w:space="0" w:color="auto"/>
              <w:right w:val="single" w:sz="8" w:space="0" w:color="auto"/>
            </w:tcBorders>
            <w:shd w:val="clear" w:color="auto" w:fill="auto"/>
            <w:vAlign w:val="center"/>
            <w:hideMark/>
          </w:tcPr>
          <w:p w14:paraId="52D0BA87"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EDP.D41 incl. FISIM</w:t>
            </w:r>
          </w:p>
        </w:tc>
        <w:tc>
          <w:tcPr>
            <w:tcW w:w="1357" w:type="dxa"/>
            <w:tcBorders>
              <w:top w:val="nil"/>
              <w:left w:val="nil"/>
              <w:bottom w:val="dotted" w:sz="4" w:space="0" w:color="auto"/>
              <w:right w:val="single" w:sz="8" w:space="0" w:color="auto"/>
            </w:tcBorders>
            <w:shd w:val="clear" w:color="auto" w:fill="auto"/>
            <w:vAlign w:val="center"/>
            <w:hideMark/>
          </w:tcPr>
          <w:p w14:paraId="2C909E1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149,3</w:t>
            </w:r>
          </w:p>
        </w:tc>
        <w:tc>
          <w:tcPr>
            <w:tcW w:w="1357" w:type="dxa"/>
            <w:tcBorders>
              <w:top w:val="nil"/>
              <w:left w:val="nil"/>
              <w:bottom w:val="dotted" w:sz="4" w:space="0" w:color="auto"/>
              <w:right w:val="dotted" w:sz="4" w:space="0" w:color="auto"/>
            </w:tcBorders>
            <w:shd w:val="clear" w:color="auto" w:fill="auto"/>
            <w:vAlign w:val="center"/>
            <w:hideMark/>
          </w:tcPr>
          <w:p w14:paraId="430EACE8"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1,7</w:t>
            </w:r>
          </w:p>
        </w:tc>
        <w:tc>
          <w:tcPr>
            <w:tcW w:w="1357" w:type="dxa"/>
            <w:tcBorders>
              <w:top w:val="nil"/>
              <w:left w:val="nil"/>
              <w:bottom w:val="dotted" w:sz="4" w:space="0" w:color="auto"/>
              <w:right w:val="dotted" w:sz="4" w:space="0" w:color="auto"/>
            </w:tcBorders>
            <w:shd w:val="clear" w:color="auto" w:fill="auto"/>
            <w:vAlign w:val="center"/>
            <w:hideMark/>
          </w:tcPr>
          <w:p w14:paraId="250C091D"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w:t>
            </w:r>
          </w:p>
        </w:tc>
        <w:tc>
          <w:tcPr>
            <w:tcW w:w="1357" w:type="dxa"/>
            <w:tcBorders>
              <w:top w:val="nil"/>
              <w:left w:val="nil"/>
              <w:bottom w:val="dotted" w:sz="4" w:space="0" w:color="auto"/>
              <w:right w:val="dotted" w:sz="4" w:space="0" w:color="auto"/>
            </w:tcBorders>
            <w:shd w:val="clear" w:color="auto" w:fill="auto"/>
            <w:vAlign w:val="center"/>
            <w:hideMark/>
          </w:tcPr>
          <w:p w14:paraId="59C6664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2,2</w:t>
            </w:r>
          </w:p>
        </w:tc>
        <w:tc>
          <w:tcPr>
            <w:tcW w:w="1357" w:type="dxa"/>
            <w:tcBorders>
              <w:top w:val="nil"/>
              <w:left w:val="nil"/>
              <w:bottom w:val="dotted" w:sz="4" w:space="0" w:color="auto"/>
              <w:right w:val="dotted" w:sz="4" w:space="0" w:color="auto"/>
            </w:tcBorders>
            <w:shd w:val="clear" w:color="auto" w:fill="auto"/>
            <w:vAlign w:val="center"/>
            <w:hideMark/>
          </w:tcPr>
          <w:p w14:paraId="2B4F0D0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2,1</w:t>
            </w:r>
          </w:p>
        </w:tc>
        <w:tc>
          <w:tcPr>
            <w:tcW w:w="1357" w:type="dxa"/>
            <w:tcBorders>
              <w:top w:val="nil"/>
              <w:left w:val="nil"/>
              <w:bottom w:val="dotted" w:sz="4" w:space="0" w:color="auto"/>
              <w:right w:val="double" w:sz="6" w:space="0" w:color="auto"/>
            </w:tcBorders>
            <w:shd w:val="clear" w:color="auto" w:fill="auto"/>
            <w:vAlign w:val="center"/>
            <w:hideMark/>
          </w:tcPr>
          <w:p w14:paraId="12B3D82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w:t>
            </w:r>
          </w:p>
        </w:tc>
      </w:tr>
      <w:tr w:rsidR="001F5F21" w:rsidRPr="001F5F21" w14:paraId="40FF9ADE"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7A2393F0"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10. Primary balance[2]</w:t>
            </w:r>
          </w:p>
        </w:tc>
        <w:tc>
          <w:tcPr>
            <w:tcW w:w="1135" w:type="dxa"/>
            <w:tcBorders>
              <w:top w:val="nil"/>
              <w:left w:val="nil"/>
              <w:bottom w:val="dotted" w:sz="4" w:space="0" w:color="auto"/>
              <w:right w:val="single" w:sz="8" w:space="0" w:color="auto"/>
            </w:tcBorders>
            <w:shd w:val="clear" w:color="auto" w:fill="auto"/>
            <w:vAlign w:val="center"/>
            <w:hideMark/>
          </w:tcPr>
          <w:p w14:paraId="41EF6236"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 </w:t>
            </w:r>
          </w:p>
        </w:tc>
        <w:tc>
          <w:tcPr>
            <w:tcW w:w="1357" w:type="dxa"/>
            <w:tcBorders>
              <w:top w:val="nil"/>
              <w:left w:val="nil"/>
              <w:bottom w:val="dotted" w:sz="4" w:space="0" w:color="auto"/>
              <w:right w:val="single" w:sz="8" w:space="0" w:color="auto"/>
            </w:tcBorders>
            <w:shd w:val="clear" w:color="auto" w:fill="auto"/>
            <w:vAlign w:val="center"/>
            <w:hideMark/>
          </w:tcPr>
          <w:p w14:paraId="17978D8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-31,8</w:t>
            </w:r>
          </w:p>
        </w:tc>
        <w:tc>
          <w:tcPr>
            <w:tcW w:w="1357" w:type="dxa"/>
            <w:tcBorders>
              <w:top w:val="nil"/>
              <w:left w:val="nil"/>
              <w:bottom w:val="dotted" w:sz="4" w:space="0" w:color="auto"/>
              <w:right w:val="dotted" w:sz="4" w:space="0" w:color="auto"/>
            </w:tcBorders>
            <w:shd w:val="clear" w:color="auto" w:fill="auto"/>
            <w:vAlign w:val="center"/>
            <w:hideMark/>
          </w:tcPr>
          <w:p w14:paraId="2C1E558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-0,4</w:t>
            </w:r>
          </w:p>
        </w:tc>
        <w:tc>
          <w:tcPr>
            <w:tcW w:w="1357" w:type="dxa"/>
            <w:tcBorders>
              <w:top w:val="nil"/>
              <w:left w:val="nil"/>
              <w:bottom w:val="dotted" w:sz="4" w:space="0" w:color="auto"/>
              <w:right w:val="dotted" w:sz="4" w:space="0" w:color="auto"/>
            </w:tcBorders>
            <w:shd w:val="clear" w:color="auto" w:fill="auto"/>
            <w:vAlign w:val="center"/>
            <w:hideMark/>
          </w:tcPr>
          <w:p w14:paraId="22C501A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-0,8</w:t>
            </w:r>
          </w:p>
        </w:tc>
        <w:tc>
          <w:tcPr>
            <w:tcW w:w="1357" w:type="dxa"/>
            <w:tcBorders>
              <w:top w:val="nil"/>
              <w:left w:val="nil"/>
              <w:bottom w:val="dotted" w:sz="4" w:space="0" w:color="auto"/>
              <w:right w:val="dotted" w:sz="4" w:space="0" w:color="auto"/>
            </w:tcBorders>
            <w:shd w:val="clear" w:color="auto" w:fill="auto"/>
            <w:vAlign w:val="center"/>
            <w:hideMark/>
          </w:tcPr>
          <w:p w14:paraId="7ADE228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-0,9</w:t>
            </w:r>
          </w:p>
        </w:tc>
        <w:tc>
          <w:tcPr>
            <w:tcW w:w="1357" w:type="dxa"/>
            <w:tcBorders>
              <w:top w:val="nil"/>
              <w:left w:val="nil"/>
              <w:bottom w:val="dotted" w:sz="4" w:space="0" w:color="auto"/>
              <w:right w:val="dotted" w:sz="4" w:space="0" w:color="auto"/>
            </w:tcBorders>
            <w:shd w:val="clear" w:color="auto" w:fill="auto"/>
            <w:vAlign w:val="center"/>
            <w:hideMark/>
          </w:tcPr>
          <w:p w14:paraId="36E0CA8D"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-0,9</w:t>
            </w:r>
          </w:p>
        </w:tc>
        <w:tc>
          <w:tcPr>
            <w:tcW w:w="1357" w:type="dxa"/>
            <w:tcBorders>
              <w:top w:val="nil"/>
              <w:left w:val="nil"/>
              <w:bottom w:val="dotted" w:sz="4" w:space="0" w:color="auto"/>
              <w:right w:val="double" w:sz="6" w:space="0" w:color="auto"/>
            </w:tcBorders>
            <w:shd w:val="clear" w:color="auto" w:fill="auto"/>
            <w:vAlign w:val="center"/>
            <w:hideMark/>
          </w:tcPr>
          <w:p w14:paraId="68C74DC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-1,0</w:t>
            </w:r>
          </w:p>
        </w:tc>
      </w:tr>
      <w:tr w:rsidR="001F5F21" w:rsidRPr="001F5F21" w14:paraId="50B9FC20" w14:textId="77777777" w:rsidTr="000843CA">
        <w:trPr>
          <w:trHeight w:val="338"/>
        </w:trPr>
        <w:tc>
          <w:tcPr>
            <w:tcW w:w="5742" w:type="dxa"/>
            <w:tcBorders>
              <w:top w:val="nil"/>
              <w:left w:val="double" w:sz="6" w:space="0" w:color="auto"/>
              <w:bottom w:val="single" w:sz="8" w:space="0" w:color="auto"/>
              <w:right w:val="dotted" w:sz="4" w:space="0" w:color="auto"/>
            </w:tcBorders>
            <w:shd w:val="clear" w:color="auto" w:fill="auto"/>
            <w:vAlign w:val="center"/>
            <w:hideMark/>
          </w:tcPr>
          <w:p w14:paraId="28E50CBE"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11. One-off and other temporary measures [3]</w:t>
            </w:r>
          </w:p>
        </w:tc>
        <w:tc>
          <w:tcPr>
            <w:tcW w:w="1135" w:type="dxa"/>
            <w:tcBorders>
              <w:top w:val="nil"/>
              <w:left w:val="nil"/>
              <w:bottom w:val="single" w:sz="8" w:space="0" w:color="auto"/>
              <w:right w:val="single" w:sz="8" w:space="0" w:color="auto"/>
            </w:tcBorders>
            <w:shd w:val="clear" w:color="auto" w:fill="auto"/>
            <w:vAlign w:val="center"/>
            <w:hideMark/>
          </w:tcPr>
          <w:p w14:paraId="7626A38C"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 </w:t>
            </w:r>
          </w:p>
        </w:tc>
        <w:tc>
          <w:tcPr>
            <w:tcW w:w="1357" w:type="dxa"/>
            <w:tcBorders>
              <w:top w:val="nil"/>
              <w:left w:val="nil"/>
              <w:bottom w:val="single" w:sz="8" w:space="0" w:color="auto"/>
              <w:right w:val="single" w:sz="8" w:space="0" w:color="auto"/>
            </w:tcBorders>
            <w:shd w:val="clear" w:color="auto" w:fill="auto"/>
            <w:vAlign w:val="center"/>
            <w:hideMark/>
          </w:tcPr>
          <w:p w14:paraId="435D197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single" w:sz="8" w:space="0" w:color="auto"/>
              <w:right w:val="dotted" w:sz="4" w:space="0" w:color="auto"/>
            </w:tcBorders>
            <w:shd w:val="clear" w:color="auto" w:fill="auto"/>
            <w:vAlign w:val="center"/>
            <w:hideMark/>
          </w:tcPr>
          <w:p w14:paraId="65A78BF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single" w:sz="8" w:space="0" w:color="auto"/>
              <w:right w:val="dotted" w:sz="4" w:space="0" w:color="auto"/>
            </w:tcBorders>
            <w:shd w:val="clear" w:color="auto" w:fill="auto"/>
            <w:vAlign w:val="center"/>
            <w:hideMark/>
          </w:tcPr>
          <w:p w14:paraId="67B1DF2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single" w:sz="8" w:space="0" w:color="auto"/>
              <w:right w:val="dotted" w:sz="4" w:space="0" w:color="auto"/>
            </w:tcBorders>
            <w:shd w:val="clear" w:color="auto" w:fill="auto"/>
            <w:vAlign w:val="center"/>
            <w:hideMark/>
          </w:tcPr>
          <w:p w14:paraId="2DCB5D4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single" w:sz="8" w:space="0" w:color="auto"/>
              <w:right w:val="dotted" w:sz="4" w:space="0" w:color="auto"/>
            </w:tcBorders>
            <w:shd w:val="clear" w:color="auto" w:fill="auto"/>
            <w:vAlign w:val="center"/>
            <w:hideMark/>
          </w:tcPr>
          <w:p w14:paraId="6DC6FCE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single" w:sz="8" w:space="0" w:color="auto"/>
              <w:right w:val="double" w:sz="6" w:space="0" w:color="auto"/>
            </w:tcBorders>
            <w:shd w:val="clear" w:color="auto" w:fill="auto"/>
            <w:vAlign w:val="center"/>
            <w:hideMark/>
          </w:tcPr>
          <w:p w14:paraId="05E22BE1"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r>
      <w:tr w:rsidR="001F5F21" w:rsidRPr="001F5F21" w14:paraId="47C4699D" w14:textId="77777777" w:rsidTr="000843CA">
        <w:trPr>
          <w:trHeight w:val="338"/>
        </w:trPr>
        <w:tc>
          <w:tcPr>
            <w:tcW w:w="15022" w:type="dxa"/>
            <w:gridSpan w:val="8"/>
            <w:tcBorders>
              <w:top w:val="single" w:sz="8" w:space="0" w:color="auto"/>
              <w:left w:val="double" w:sz="6" w:space="0" w:color="auto"/>
              <w:bottom w:val="single" w:sz="8" w:space="0" w:color="auto"/>
              <w:right w:val="double" w:sz="6" w:space="0" w:color="000000"/>
            </w:tcBorders>
            <w:shd w:val="clear" w:color="auto" w:fill="auto"/>
            <w:vAlign w:val="center"/>
            <w:hideMark/>
          </w:tcPr>
          <w:p w14:paraId="0A0A49F8" w14:textId="77777777" w:rsidR="001F5F21" w:rsidRPr="001F5F21" w:rsidRDefault="001F5F21" w:rsidP="001F5F21">
            <w:pPr>
              <w:spacing w:after="0"/>
              <w:jc w:val="center"/>
              <w:rPr>
                <w:rFonts w:eastAsia="Times New Roman" w:cs="Times New Roman"/>
                <w:b/>
                <w:bCs/>
                <w:szCs w:val="24"/>
              </w:rPr>
            </w:pPr>
            <w:r w:rsidRPr="001F5F21">
              <w:rPr>
                <w:rFonts w:eastAsia="Times New Roman" w:cs="Times New Roman"/>
                <w:b/>
                <w:bCs/>
                <w:szCs w:val="24"/>
              </w:rPr>
              <w:t>Components of revenues</w:t>
            </w:r>
          </w:p>
        </w:tc>
      </w:tr>
      <w:tr w:rsidR="001F5F21" w:rsidRPr="001F5F21" w14:paraId="33F1623A"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5514808E"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12. Total taxes  (12 = 12a+12b+12c)</w:t>
            </w:r>
          </w:p>
        </w:tc>
        <w:tc>
          <w:tcPr>
            <w:tcW w:w="1135" w:type="dxa"/>
            <w:tcBorders>
              <w:top w:val="nil"/>
              <w:left w:val="nil"/>
              <w:bottom w:val="dotted" w:sz="4" w:space="0" w:color="auto"/>
              <w:right w:val="single" w:sz="8" w:space="0" w:color="auto"/>
            </w:tcBorders>
            <w:shd w:val="clear" w:color="auto" w:fill="auto"/>
            <w:vAlign w:val="center"/>
            <w:hideMark/>
          </w:tcPr>
          <w:p w14:paraId="0E949D3B" w14:textId="77777777" w:rsidR="001F5F21" w:rsidRPr="001F5F21" w:rsidRDefault="001F5F21" w:rsidP="001F5F21">
            <w:pPr>
              <w:spacing w:after="0"/>
              <w:jc w:val="center"/>
              <w:rPr>
                <w:rFonts w:eastAsia="Times New Roman" w:cs="Times New Roman"/>
                <w:sz w:val="20"/>
                <w:szCs w:val="20"/>
              </w:rPr>
            </w:pPr>
            <w:bookmarkStart w:id="69" w:name="RANGE!C20"/>
            <w:bookmarkStart w:id="70" w:name="RANGE!C21"/>
            <w:bookmarkEnd w:id="69"/>
            <w:r w:rsidRPr="001F5F21">
              <w:rPr>
                <w:rFonts w:eastAsia="Times New Roman" w:cs="Times New Roman"/>
                <w:sz w:val="20"/>
                <w:szCs w:val="20"/>
              </w:rPr>
              <w:t> </w:t>
            </w:r>
            <w:bookmarkEnd w:id="70"/>
          </w:p>
        </w:tc>
        <w:tc>
          <w:tcPr>
            <w:tcW w:w="1357" w:type="dxa"/>
            <w:tcBorders>
              <w:top w:val="nil"/>
              <w:left w:val="nil"/>
              <w:bottom w:val="dotted" w:sz="4" w:space="0" w:color="auto"/>
              <w:right w:val="single" w:sz="8" w:space="0" w:color="auto"/>
            </w:tcBorders>
            <w:shd w:val="clear" w:color="auto" w:fill="auto"/>
            <w:vAlign w:val="center"/>
            <w:hideMark/>
          </w:tcPr>
          <w:p w14:paraId="7660AB82"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2.017,9</w:t>
            </w:r>
          </w:p>
        </w:tc>
        <w:tc>
          <w:tcPr>
            <w:tcW w:w="1357" w:type="dxa"/>
            <w:tcBorders>
              <w:top w:val="nil"/>
              <w:left w:val="nil"/>
              <w:bottom w:val="dotted" w:sz="4" w:space="0" w:color="auto"/>
              <w:right w:val="dotted" w:sz="4" w:space="0" w:color="auto"/>
            </w:tcBorders>
            <w:shd w:val="clear" w:color="auto" w:fill="auto"/>
            <w:vAlign w:val="center"/>
            <w:hideMark/>
          </w:tcPr>
          <w:p w14:paraId="75A09A9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22,9</w:t>
            </w:r>
          </w:p>
        </w:tc>
        <w:tc>
          <w:tcPr>
            <w:tcW w:w="1357" w:type="dxa"/>
            <w:tcBorders>
              <w:top w:val="nil"/>
              <w:left w:val="nil"/>
              <w:bottom w:val="dotted" w:sz="4" w:space="0" w:color="auto"/>
              <w:right w:val="dotted" w:sz="4" w:space="0" w:color="auto"/>
            </w:tcBorders>
            <w:shd w:val="clear" w:color="auto" w:fill="auto"/>
            <w:vAlign w:val="center"/>
            <w:hideMark/>
          </w:tcPr>
          <w:p w14:paraId="2D56FF7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23,5</w:t>
            </w:r>
          </w:p>
        </w:tc>
        <w:tc>
          <w:tcPr>
            <w:tcW w:w="1357" w:type="dxa"/>
            <w:tcBorders>
              <w:top w:val="nil"/>
              <w:left w:val="nil"/>
              <w:bottom w:val="dotted" w:sz="4" w:space="0" w:color="auto"/>
              <w:right w:val="dotted" w:sz="4" w:space="0" w:color="auto"/>
            </w:tcBorders>
            <w:shd w:val="clear" w:color="auto" w:fill="auto"/>
            <w:vAlign w:val="center"/>
            <w:hideMark/>
          </w:tcPr>
          <w:p w14:paraId="7D92B6F7"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23,3</w:t>
            </w:r>
          </w:p>
        </w:tc>
        <w:tc>
          <w:tcPr>
            <w:tcW w:w="1357" w:type="dxa"/>
            <w:tcBorders>
              <w:top w:val="nil"/>
              <w:left w:val="nil"/>
              <w:bottom w:val="dotted" w:sz="4" w:space="0" w:color="auto"/>
              <w:right w:val="dotted" w:sz="4" w:space="0" w:color="auto"/>
            </w:tcBorders>
            <w:shd w:val="clear" w:color="auto" w:fill="auto"/>
            <w:vAlign w:val="center"/>
            <w:hideMark/>
          </w:tcPr>
          <w:p w14:paraId="008219E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23,2</w:t>
            </w:r>
          </w:p>
        </w:tc>
        <w:tc>
          <w:tcPr>
            <w:tcW w:w="1357" w:type="dxa"/>
            <w:tcBorders>
              <w:top w:val="nil"/>
              <w:left w:val="nil"/>
              <w:bottom w:val="dotted" w:sz="4" w:space="0" w:color="auto"/>
              <w:right w:val="double" w:sz="6" w:space="0" w:color="auto"/>
            </w:tcBorders>
            <w:shd w:val="clear" w:color="auto" w:fill="auto"/>
            <w:vAlign w:val="center"/>
            <w:hideMark/>
          </w:tcPr>
          <w:p w14:paraId="1A290D5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23,0</w:t>
            </w:r>
          </w:p>
        </w:tc>
      </w:tr>
      <w:tr w:rsidR="001F5F21" w:rsidRPr="001F5F21" w14:paraId="6CEF6315"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4E522313"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12a. Taxes on production and imports</w:t>
            </w:r>
          </w:p>
        </w:tc>
        <w:tc>
          <w:tcPr>
            <w:tcW w:w="1135" w:type="dxa"/>
            <w:tcBorders>
              <w:top w:val="nil"/>
              <w:left w:val="nil"/>
              <w:bottom w:val="dotted" w:sz="4" w:space="0" w:color="auto"/>
              <w:right w:val="single" w:sz="8" w:space="0" w:color="auto"/>
            </w:tcBorders>
            <w:shd w:val="clear" w:color="auto" w:fill="auto"/>
            <w:vAlign w:val="center"/>
            <w:hideMark/>
          </w:tcPr>
          <w:p w14:paraId="4018637C" w14:textId="77777777" w:rsidR="001F5F21" w:rsidRPr="001F5F21" w:rsidRDefault="001F5F21" w:rsidP="001F5F21">
            <w:pPr>
              <w:spacing w:after="0"/>
              <w:jc w:val="center"/>
              <w:rPr>
                <w:rFonts w:eastAsia="Times New Roman" w:cs="Times New Roman"/>
                <w:sz w:val="20"/>
                <w:szCs w:val="20"/>
              </w:rPr>
            </w:pPr>
            <w:bookmarkStart w:id="71" w:name="RANGE!C22"/>
            <w:r w:rsidRPr="001F5F21">
              <w:rPr>
                <w:rFonts w:eastAsia="Times New Roman" w:cs="Times New Roman"/>
                <w:sz w:val="20"/>
                <w:szCs w:val="20"/>
              </w:rPr>
              <w:t>D2</w:t>
            </w:r>
            <w:bookmarkEnd w:id="71"/>
          </w:p>
        </w:tc>
        <w:tc>
          <w:tcPr>
            <w:tcW w:w="1357" w:type="dxa"/>
            <w:tcBorders>
              <w:top w:val="nil"/>
              <w:left w:val="nil"/>
              <w:bottom w:val="dotted" w:sz="4" w:space="0" w:color="auto"/>
              <w:right w:val="single" w:sz="8" w:space="0" w:color="auto"/>
            </w:tcBorders>
            <w:shd w:val="clear" w:color="auto" w:fill="auto"/>
            <w:vAlign w:val="center"/>
            <w:hideMark/>
          </w:tcPr>
          <w:p w14:paraId="02AD6A7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1.340,4</w:t>
            </w:r>
          </w:p>
        </w:tc>
        <w:tc>
          <w:tcPr>
            <w:tcW w:w="1357" w:type="dxa"/>
            <w:tcBorders>
              <w:top w:val="nil"/>
              <w:left w:val="nil"/>
              <w:bottom w:val="dotted" w:sz="4" w:space="0" w:color="auto"/>
              <w:right w:val="dotted" w:sz="4" w:space="0" w:color="auto"/>
            </w:tcBorders>
            <w:shd w:val="clear" w:color="auto" w:fill="auto"/>
            <w:vAlign w:val="center"/>
            <w:hideMark/>
          </w:tcPr>
          <w:p w14:paraId="51D9DF3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15,2</w:t>
            </w:r>
          </w:p>
        </w:tc>
        <w:tc>
          <w:tcPr>
            <w:tcW w:w="1357" w:type="dxa"/>
            <w:tcBorders>
              <w:top w:val="nil"/>
              <w:left w:val="nil"/>
              <w:bottom w:val="dotted" w:sz="4" w:space="0" w:color="auto"/>
              <w:right w:val="dotted" w:sz="4" w:space="0" w:color="auto"/>
            </w:tcBorders>
            <w:shd w:val="clear" w:color="auto" w:fill="auto"/>
            <w:vAlign w:val="center"/>
            <w:hideMark/>
          </w:tcPr>
          <w:p w14:paraId="2E565E7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15,7</w:t>
            </w:r>
          </w:p>
        </w:tc>
        <w:tc>
          <w:tcPr>
            <w:tcW w:w="1357" w:type="dxa"/>
            <w:tcBorders>
              <w:top w:val="nil"/>
              <w:left w:val="nil"/>
              <w:bottom w:val="dotted" w:sz="4" w:space="0" w:color="auto"/>
              <w:right w:val="dotted" w:sz="4" w:space="0" w:color="auto"/>
            </w:tcBorders>
            <w:shd w:val="clear" w:color="auto" w:fill="auto"/>
            <w:vAlign w:val="center"/>
            <w:hideMark/>
          </w:tcPr>
          <w:p w14:paraId="4271C468"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15,8</w:t>
            </w:r>
          </w:p>
        </w:tc>
        <w:tc>
          <w:tcPr>
            <w:tcW w:w="1357" w:type="dxa"/>
            <w:tcBorders>
              <w:top w:val="nil"/>
              <w:left w:val="nil"/>
              <w:bottom w:val="dotted" w:sz="4" w:space="0" w:color="auto"/>
              <w:right w:val="dotted" w:sz="4" w:space="0" w:color="auto"/>
            </w:tcBorders>
            <w:shd w:val="clear" w:color="auto" w:fill="auto"/>
            <w:vAlign w:val="center"/>
            <w:hideMark/>
          </w:tcPr>
          <w:p w14:paraId="21889BD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15,7</w:t>
            </w:r>
          </w:p>
        </w:tc>
        <w:tc>
          <w:tcPr>
            <w:tcW w:w="1357" w:type="dxa"/>
            <w:tcBorders>
              <w:top w:val="nil"/>
              <w:left w:val="nil"/>
              <w:bottom w:val="dotted" w:sz="4" w:space="0" w:color="auto"/>
              <w:right w:val="double" w:sz="6" w:space="0" w:color="auto"/>
            </w:tcBorders>
            <w:shd w:val="clear" w:color="auto" w:fill="auto"/>
            <w:vAlign w:val="center"/>
            <w:hideMark/>
          </w:tcPr>
          <w:p w14:paraId="10CEE9E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15,6</w:t>
            </w:r>
          </w:p>
        </w:tc>
      </w:tr>
      <w:tr w:rsidR="001F5F21" w:rsidRPr="001F5F21" w14:paraId="6E1DAA84"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36B9109E"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12b. Current taxes on income and wealth</w:t>
            </w:r>
          </w:p>
        </w:tc>
        <w:tc>
          <w:tcPr>
            <w:tcW w:w="1135" w:type="dxa"/>
            <w:tcBorders>
              <w:top w:val="nil"/>
              <w:left w:val="nil"/>
              <w:bottom w:val="dotted" w:sz="4" w:space="0" w:color="auto"/>
              <w:right w:val="single" w:sz="8" w:space="0" w:color="auto"/>
            </w:tcBorders>
            <w:shd w:val="clear" w:color="auto" w:fill="auto"/>
            <w:vAlign w:val="center"/>
            <w:hideMark/>
          </w:tcPr>
          <w:p w14:paraId="74BF5E21" w14:textId="77777777" w:rsidR="001F5F21" w:rsidRPr="001F5F21" w:rsidRDefault="001F5F21" w:rsidP="001F5F21">
            <w:pPr>
              <w:spacing w:after="0"/>
              <w:jc w:val="center"/>
              <w:rPr>
                <w:rFonts w:eastAsia="Times New Roman" w:cs="Times New Roman"/>
                <w:sz w:val="20"/>
                <w:szCs w:val="20"/>
              </w:rPr>
            </w:pPr>
            <w:bookmarkStart w:id="72" w:name="RANGE!C23"/>
            <w:r w:rsidRPr="001F5F21">
              <w:rPr>
                <w:rFonts w:eastAsia="Times New Roman" w:cs="Times New Roman"/>
                <w:sz w:val="20"/>
                <w:szCs w:val="20"/>
              </w:rPr>
              <w:t>D5</w:t>
            </w:r>
            <w:bookmarkEnd w:id="72"/>
          </w:p>
        </w:tc>
        <w:tc>
          <w:tcPr>
            <w:tcW w:w="1357" w:type="dxa"/>
            <w:tcBorders>
              <w:top w:val="nil"/>
              <w:left w:val="nil"/>
              <w:bottom w:val="dotted" w:sz="4" w:space="0" w:color="auto"/>
              <w:right w:val="single" w:sz="8" w:space="0" w:color="auto"/>
            </w:tcBorders>
            <w:shd w:val="clear" w:color="auto" w:fill="auto"/>
            <w:vAlign w:val="center"/>
            <w:hideMark/>
          </w:tcPr>
          <w:p w14:paraId="6C8B04E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676,6</w:t>
            </w:r>
          </w:p>
        </w:tc>
        <w:tc>
          <w:tcPr>
            <w:tcW w:w="1357" w:type="dxa"/>
            <w:tcBorders>
              <w:top w:val="nil"/>
              <w:left w:val="nil"/>
              <w:bottom w:val="dotted" w:sz="4" w:space="0" w:color="auto"/>
              <w:right w:val="dotted" w:sz="4" w:space="0" w:color="auto"/>
            </w:tcBorders>
            <w:shd w:val="clear" w:color="auto" w:fill="auto"/>
            <w:vAlign w:val="center"/>
            <w:hideMark/>
          </w:tcPr>
          <w:p w14:paraId="2C4922D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7,7</w:t>
            </w:r>
          </w:p>
        </w:tc>
        <w:tc>
          <w:tcPr>
            <w:tcW w:w="1357" w:type="dxa"/>
            <w:tcBorders>
              <w:top w:val="nil"/>
              <w:left w:val="nil"/>
              <w:bottom w:val="dotted" w:sz="4" w:space="0" w:color="auto"/>
              <w:right w:val="dotted" w:sz="4" w:space="0" w:color="auto"/>
            </w:tcBorders>
            <w:shd w:val="clear" w:color="auto" w:fill="auto"/>
            <w:vAlign w:val="center"/>
            <w:hideMark/>
          </w:tcPr>
          <w:p w14:paraId="0CCB2A4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7,8</w:t>
            </w:r>
          </w:p>
        </w:tc>
        <w:tc>
          <w:tcPr>
            <w:tcW w:w="1357" w:type="dxa"/>
            <w:tcBorders>
              <w:top w:val="nil"/>
              <w:left w:val="nil"/>
              <w:bottom w:val="dotted" w:sz="4" w:space="0" w:color="auto"/>
              <w:right w:val="dotted" w:sz="4" w:space="0" w:color="auto"/>
            </w:tcBorders>
            <w:shd w:val="clear" w:color="auto" w:fill="auto"/>
            <w:vAlign w:val="center"/>
            <w:hideMark/>
          </w:tcPr>
          <w:p w14:paraId="69212C1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7,5</w:t>
            </w:r>
          </w:p>
        </w:tc>
        <w:tc>
          <w:tcPr>
            <w:tcW w:w="1357" w:type="dxa"/>
            <w:tcBorders>
              <w:top w:val="nil"/>
              <w:left w:val="nil"/>
              <w:bottom w:val="dotted" w:sz="4" w:space="0" w:color="auto"/>
              <w:right w:val="dotted" w:sz="4" w:space="0" w:color="auto"/>
            </w:tcBorders>
            <w:shd w:val="clear" w:color="auto" w:fill="auto"/>
            <w:vAlign w:val="center"/>
            <w:hideMark/>
          </w:tcPr>
          <w:p w14:paraId="38A59A2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7,5</w:t>
            </w:r>
          </w:p>
        </w:tc>
        <w:tc>
          <w:tcPr>
            <w:tcW w:w="1357" w:type="dxa"/>
            <w:tcBorders>
              <w:top w:val="nil"/>
              <w:left w:val="nil"/>
              <w:bottom w:val="dotted" w:sz="4" w:space="0" w:color="auto"/>
              <w:right w:val="double" w:sz="6" w:space="0" w:color="auto"/>
            </w:tcBorders>
            <w:shd w:val="clear" w:color="auto" w:fill="auto"/>
            <w:vAlign w:val="center"/>
            <w:hideMark/>
          </w:tcPr>
          <w:p w14:paraId="44182A5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7,4</w:t>
            </w:r>
          </w:p>
        </w:tc>
      </w:tr>
      <w:tr w:rsidR="001F5F21" w:rsidRPr="001F5F21" w14:paraId="1BD2E33B"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03237268"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12c. Capital taxes</w:t>
            </w:r>
          </w:p>
        </w:tc>
        <w:tc>
          <w:tcPr>
            <w:tcW w:w="1135" w:type="dxa"/>
            <w:tcBorders>
              <w:top w:val="nil"/>
              <w:left w:val="nil"/>
              <w:bottom w:val="dotted" w:sz="4" w:space="0" w:color="auto"/>
              <w:right w:val="single" w:sz="8" w:space="0" w:color="auto"/>
            </w:tcBorders>
            <w:shd w:val="clear" w:color="auto" w:fill="auto"/>
            <w:vAlign w:val="center"/>
            <w:hideMark/>
          </w:tcPr>
          <w:p w14:paraId="01E8BB5A" w14:textId="77777777" w:rsidR="001F5F21" w:rsidRPr="001F5F21" w:rsidRDefault="001F5F21" w:rsidP="001F5F21">
            <w:pPr>
              <w:spacing w:after="0"/>
              <w:jc w:val="center"/>
              <w:rPr>
                <w:rFonts w:eastAsia="Times New Roman" w:cs="Times New Roman"/>
                <w:sz w:val="20"/>
                <w:szCs w:val="20"/>
              </w:rPr>
            </w:pPr>
            <w:bookmarkStart w:id="73" w:name="RANGE!C24"/>
            <w:r w:rsidRPr="001F5F21">
              <w:rPr>
                <w:rFonts w:eastAsia="Times New Roman" w:cs="Times New Roman"/>
                <w:sz w:val="20"/>
                <w:szCs w:val="20"/>
              </w:rPr>
              <w:t>D91</w:t>
            </w:r>
            <w:bookmarkEnd w:id="73"/>
          </w:p>
        </w:tc>
        <w:tc>
          <w:tcPr>
            <w:tcW w:w="1357" w:type="dxa"/>
            <w:tcBorders>
              <w:top w:val="nil"/>
              <w:left w:val="nil"/>
              <w:bottom w:val="dotted" w:sz="4" w:space="0" w:color="auto"/>
              <w:right w:val="single" w:sz="8" w:space="0" w:color="auto"/>
            </w:tcBorders>
            <w:shd w:val="clear" w:color="auto" w:fill="auto"/>
            <w:vAlign w:val="center"/>
            <w:hideMark/>
          </w:tcPr>
          <w:p w14:paraId="58682EA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0,9</w:t>
            </w:r>
          </w:p>
        </w:tc>
        <w:tc>
          <w:tcPr>
            <w:tcW w:w="1357" w:type="dxa"/>
            <w:tcBorders>
              <w:top w:val="nil"/>
              <w:left w:val="nil"/>
              <w:bottom w:val="dotted" w:sz="4" w:space="0" w:color="auto"/>
              <w:right w:val="dotted" w:sz="4" w:space="0" w:color="auto"/>
            </w:tcBorders>
            <w:shd w:val="clear" w:color="auto" w:fill="auto"/>
            <w:vAlign w:val="center"/>
            <w:hideMark/>
          </w:tcPr>
          <w:p w14:paraId="2FD3C8E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c>
          <w:tcPr>
            <w:tcW w:w="1357" w:type="dxa"/>
            <w:tcBorders>
              <w:top w:val="nil"/>
              <w:left w:val="nil"/>
              <w:bottom w:val="dotted" w:sz="4" w:space="0" w:color="auto"/>
              <w:right w:val="dotted" w:sz="4" w:space="0" w:color="auto"/>
            </w:tcBorders>
            <w:shd w:val="clear" w:color="auto" w:fill="auto"/>
            <w:vAlign w:val="center"/>
            <w:hideMark/>
          </w:tcPr>
          <w:p w14:paraId="6ACE6C1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c>
          <w:tcPr>
            <w:tcW w:w="1357" w:type="dxa"/>
            <w:tcBorders>
              <w:top w:val="nil"/>
              <w:left w:val="nil"/>
              <w:bottom w:val="dotted" w:sz="4" w:space="0" w:color="auto"/>
              <w:right w:val="dotted" w:sz="4" w:space="0" w:color="auto"/>
            </w:tcBorders>
            <w:shd w:val="clear" w:color="auto" w:fill="auto"/>
            <w:vAlign w:val="center"/>
            <w:hideMark/>
          </w:tcPr>
          <w:p w14:paraId="0C151D4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c>
          <w:tcPr>
            <w:tcW w:w="1357" w:type="dxa"/>
            <w:tcBorders>
              <w:top w:val="nil"/>
              <w:left w:val="nil"/>
              <w:bottom w:val="dotted" w:sz="4" w:space="0" w:color="auto"/>
              <w:right w:val="dotted" w:sz="4" w:space="0" w:color="auto"/>
            </w:tcBorders>
            <w:shd w:val="clear" w:color="auto" w:fill="auto"/>
            <w:vAlign w:val="center"/>
            <w:hideMark/>
          </w:tcPr>
          <w:p w14:paraId="2110D06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c>
          <w:tcPr>
            <w:tcW w:w="1357" w:type="dxa"/>
            <w:tcBorders>
              <w:top w:val="nil"/>
              <w:left w:val="nil"/>
              <w:bottom w:val="dotted" w:sz="4" w:space="0" w:color="auto"/>
              <w:right w:val="double" w:sz="6" w:space="0" w:color="auto"/>
            </w:tcBorders>
            <w:shd w:val="clear" w:color="auto" w:fill="auto"/>
            <w:vAlign w:val="center"/>
            <w:hideMark/>
          </w:tcPr>
          <w:p w14:paraId="1D172428"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0,0</w:t>
            </w:r>
          </w:p>
        </w:tc>
      </w:tr>
      <w:tr w:rsidR="001F5F21" w:rsidRPr="001F5F21" w14:paraId="0009B511"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046419F7"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13. Social contributions</w:t>
            </w:r>
          </w:p>
        </w:tc>
        <w:tc>
          <w:tcPr>
            <w:tcW w:w="1135" w:type="dxa"/>
            <w:tcBorders>
              <w:top w:val="nil"/>
              <w:left w:val="nil"/>
              <w:bottom w:val="dotted" w:sz="4" w:space="0" w:color="auto"/>
              <w:right w:val="single" w:sz="8" w:space="0" w:color="auto"/>
            </w:tcBorders>
            <w:shd w:val="clear" w:color="auto" w:fill="auto"/>
            <w:vAlign w:val="center"/>
            <w:hideMark/>
          </w:tcPr>
          <w:p w14:paraId="0F44CFCE"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D61</w:t>
            </w:r>
          </w:p>
        </w:tc>
        <w:tc>
          <w:tcPr>
            <w:tcW w:w="1357" w:type="dxa"/>
            <w:tcBorders>
              <w:top w:val="nil"/>
              <w:left w:val="nil"/>
              <w:bottom w:val="dotted" w:sz="4" w:space="0" w:color="auto"/>
              <w:right w:val="single" w:sz="8" w:space="0" w:color="auto"/>
            </w:tcBorders>
            <w:shd w:val="clear" w:color="auto" w:fill="auto"/>
            <w:vAlign w:val="center"/>
            <w:hideMark/>
          </w:tcPr>
          <w:p w14:paraId="5DE4D8B7"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1.060,9</w:t>
            </w:r>
          </w:p>
        </w:tc>
        <w:tc>
          <w:tcPr>
            <w:tcW w:w="1357" w:type="dxa"/>
            <w:tcBorders>
              <w:top w:val="nil"/>
              <w:left w:val="nil"/>
              <w:bottom w:val="dotted" w:sz="4" w:space="0" w:color="auto"/>
              <w:right w:val="dotted" w:sz="4" w:space="0" w:color="auto"/>
            </w:tcBorders>
            <w:shd w:val="clear" w:color="auto" w:fill="auto"/>
            <w:vAlign w:val="center"/>
            <w:hideMark/>
          </w:tcPr>
          <w:p w14:paraId="2F5ADE3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12,0</w:t>
            </w:r>
          </w:p>
        </w:tc>
        <w:tc>
          <w:tcPr>
            <w:tcW w:w="1357" w:type="dxa"/>
            <w:tcBorders>
              <w:top w:val="nil"/>
              <w:left w:val="nil"/>
              <w:bottom w:val="dotted" w:sz="4" w:space="0" w:color="auto"/>
              <w:right w:val="dotted" w:sz="4" w:space="0" w:color="auto"/>
            </w:tcBorders>
            <w:shd w:val="clear" w:color="auto" w:fill="auto"/>
            <w:vAlign w:val="center"/>
            <w:hideMark/>
          </w:tcPr>
          <w:p w14:paraId="4C0CAA5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12,7</w:t>
            </w:r>
          </w:p>
        </w:tc>
        <w:tc>
          <w:tcPr>
            <w:tcW w:w="1357" w:type="dxa"/>
            <w:tcBorders>
              <w:top w:val="nil"/>
              <w:left w:val="nil"/>
              <w:bottom w:val="dotted" w:sz="4" w:space="0" w:color="auto"/>
              <w:right w:val="dotted" w:sz="4" w:space="0" w:color="auto"/>
            </w:tcBorders>
            <w:shd w:val="clear" w:color="auto" w:fill="auto"/>
            <w:vAlign w:val="center"/>
            <w:hideMark/>
          </w:tcPr>
          <w:p w14:paraId="1CF0BAA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13,0</w:t>
            </w:r>
          </w:p>
        </w:tc>
        <w:tc>
          <w:tcPr>
            <w:tcW w:w="1357" w:type="dxa"/>
            <w:tcBorders>
              <w:top w:val="nil"/>
              <w:left w:val="nil"/>
              <w:bottom w:val="dotted" w:sz="4" w:space="0" w:color="auto"/>
              <w:right w:val="dotted" w:sz="4" w:space="0" w:color="auto"/>
            </w:tcBorders>
            <w:shd w:val="clear" w:color="auto" w:fill="auto"/>
            <w:vAlign w:val="center"/>
            <w:hideMark/>
          </w:tcPr>
          <w:p w14:paraId="5A36799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13,2</w:t>
            </w:r>
          </w:p>
        </w:tc>
        <w:tc>
          <w:tcPr>
            <w:tcW w:w="1357" w:type="dxa"/>
            <w:tcBorders>
              <w:top w:val="nil"/>
              <w:left w:val="nil"/>
              <w:bottom w:val="dotted" w:sz="4" w:space="0" w:color="auto"/>
              <w:right w:val="double" w:sz="6" w:space="0" w:color="auto"/>
            </w:tcBorders>
            <w:shd w:val="clear" w:color="auto" w:fill="auto"/>
            <w:vAlign w:val="center"/>
            <w:hideMark/>
          </w:tcPr>
          <w:p w14:paraId="76E310D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13,4</w:t>
            </w:r>
          </w:p>
        </w:tc>
      </w:tr>
      <w:tr w:rsidR="001F5F21" w:rsidRPr="001F5F21" w14:paraId="14ECA84F"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0F74000E"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14. Property income</w:t>
            </w:r>
          </w:p>
        </w:tc>
        <w:tc>
          <w:tcPr>
            <w:tcW w:w="1135" w:type="dxa"/>
            <w:tcBorders>
              <w:top w:val="nil"/>
              <w:left w:val="nil"/>
              <w:bottom w:val="dotted" w:sz="4" w:space="0" w:color="auto"/>
              <w:right w:val="single" w:sz="8" w:space="0" w:color="auto"/>
            </w:tcBorders>
            <w:shd w:val="clear" w:color="auto" w:fill="auto"/>
            <w:vAlign w:val="center"/>
            <w:hideMark/>
          </w:tcPr>
          <w:p w14:paraId="7032D960"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D4</w:t>
            </w:r>
          </w:p>
        </w:tc>
        <w:tc>
          <w:tcPr>
            <w:tcW w:w="1357" w:type="dxa"/>
            <w:tcBorders>
              <w:top w:val="nil"/>
              <w:left w:val="nil"/>
              <w:bottom w:val="dotted" w:sz="4" w:space="0" w:color="auto"/>
              <w:right w:val="single" w:sz="8" w:space="0" w:color="auto"/>
            </w:tcBorders>
            <w:shd w:val="clear" w:color="auto" w:fill="auto"/>
            <w:vAlign w:val="center"/>
            <w:hideMark/>
          </w:tcPr>
          <w:p w14:paraId="69CA198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96,7</w:t>
            </w:r>
          </w:p>
        </w:tc>
        <w:tc>
          <w:tcPr>
            <w:tcW w:w="1357" w:type="dxa"/>
            <w:tcBorders>
              <w:top w:val="nil"/>
              <w:left w:val="nil"/>
              <w:bottom w:val="dotted" w:sz="4" w:space="0" w:color="auto"/>
              <w:right w:val="dotted" w:sz="4" w:space="0" w:color="auto"/>
            </w:tcBorders>
            <w:shd w:val="clear" w:color="auto" w:fill="auto"/>
            <w:vAlign w:val="center"/>
            <w:hideMark/>
          </w:tcPr>
          <w:p w14:paraId="094215C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1,1</w:t>
            </w:r>
          </w:p>
        </w:tc>
        <w:tc>
          <w:tcPr>
            <w:tcW w:w="1357" w:type="dxa"/>
            <w:tcBorders>
              <w:top w:val="nil"/>
              <w:left w:val="nil"/>
              <w:bottom w:val="dotted" w:sz="4" w:space="0" w:color="auto"/>
              <w:right w:val="dotted" w:sz="4" w:space="0" w:color="auto"/>
            </w:tcBorders>
            <w:shd w:val="clear" w:color="auto" w:fill="auto"/>
            <w:vAlign w:val="center"/>
            <w:hideMark/>
          </w:tcPr>
          <w:p w14:paraId="474B376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1,3</w:t>
            </w:r>
          </w:p>
        </w:tc>
        <w:tc>
          <w:tcPr>
            <w:tcW w:w="1357" w:type="dxa"/>
            <w:tcBorders>
              <w:top w:val="nil"/>
              <w:left w:val="nil"/>
              <w:bottom w:val="dotted" w:sz="4" w:space="0" w:color="auto"/>
              <w:right w:val="dotted" w:sz="4" w:space="0" w:color="auto"/>
            </w:tcBorders>
            <w:shd w:val="clear" w:color="auto" w:fill="auto"/>
            <w:vAlign w:val="center"/>
            <w:hideMark/>
          </w:tcPr>
          <w:p w14:paraId="2B9A6E9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1,1</w:t>
            </w:r>
          </w:p>
        </w:tc>
        <w:tc>
          <w:tcPr>
            <w:tcW w:w="1357" w:type="dxa"/>
            <w:tcBorders>
              <w:top w:val="nil"/>
              <w:left w:val="nil"/>
              <w:bottom w:val="dotted" w:sz="4" w:space="0" w:color="auto"/>
              <w:right w:val="dotted" w:sz="4" w:space="0" w:color="auto"/>
            </w:tcBorders>
            <w:shd w:val="clear" w:color="auto" w:fill="auto"/>
            <w:vAlign w:val="center"/>
            <w:hideMark/>
          </w:tcPr>
          <w:p w14:paraId="5E92A6A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1,1</w:t>
            </w:r>
          </w:p>
        </w:tc>
        <w:tc>
          <w:tcPr>
            <w:tcW w:w="1357" w:type="dxa"/>
            <w:tcBorders>
              <w:top w:val="nil"/>
              <w:left w:val="nil"/>
              <w:bottom w:val="dotted" w:sz="4" w:space="0" w:color="auto"/>
              <w:right w:val="double" w:sz="6" w:space="0" w:color="auto"/>
            </w:tcBorders>
            <w:shd w:val="clear" w:color="auto" w:fill="auto"/>
            <w:vAlign w:val="center"/>
            <w:hideMark/>
          </w:tcPr>
          <w:p w14:paraId="3B10F751"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1,2</w:t>
            </w:r>
          </w:p>
        </w:tc>
      </w:tr>
      <w:tr w:rsidR="001F5F21" w:rsidRPr="001F5F21" w14:paraId="5BB003C0"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560195EC"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lastRenderedPageBreak/>
              <w:t>15. Other (15 = 16-(12+13+14)) [4]</w:t>
            </w:r>
          </w:p>
        </w:tc>
        <w:tc>
          <w:tcPr>
            <w:tcW w:w="1135" w:type="dxa"/>
            <w:tcBorders>
              <w:top w:val="nil"/>
              <w:left w:val="nil"/>
              <w:bottom w:val="dotted" w:sz="4" w:space="0" w:color="auto"/>
              <w:right w:val="single" w:sz="8" w:space="0" w:color="auto"/>
            </w:tcBorders>
            <w:shd w:val="clear" w:color="auto" w:fill="auto"/>
            <w:vAlign w:val="center"/>
            <w:hideMark/>
          </w:tcPr>
          <w:p w14:paraId="15E1538E"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 </w:t>
            </w:r>
          </w:p>
        </w:tc>
        <w:tc>
          <w:tcPr>
            <w:tcW w:w="1357" w:type="dxa"/>
            <w:tcBorders>
              <w:top w:val="nil"/>
              <w:left w:val="nil"/>
              <w:bottom w:val="dotted" w:sz="4" w:space="0" w:color="auto"/>
              <w:right w:val="single" w:sz="8" w:space="0" w:color="auto"/>
            </w:tcBorders>
            <w:shd w:val="clear" w:color="auto" w:fill="auto"/>
            <w:vAlign w:val="center"/>
            <w:hideMark/>
          </w:tcPr>
          <w:p w14:paraId="004F39B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297,9</w:t>
            </w:r>
          </w:p>
        </w:tc>
        <w:tc>
          <w:tcPr>
            <w:tcW w:w="1357" w:type="dxa"/>
            <w:tcBorders>
              <w:top w:val="nil"/>
              <w:left w:val="nil"/>
              <w:bottom w:val="dotted" w:sz="4" w:space="0" w:color="auto"/>
              <w:right w:val="dotted" w:sz="4" w:space="0" w:color="auto"/>
            </w:tcBorders>
            <w:shd w:val="clear" w:color="auto" w:fill="auto"/>
            <w:vAlign w:val="center"/>
            <w:hideMark/>
          </w:tcPr>
          <w:p w14:paraId="7A66E89D"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3,4</w:t>
            </w:r>
          </w:p>
        </w:tc>
        <w:tc>
          <w:tcPr>
            <w:tcW w:w="1357" w:type="dxa"/>
            <w:tcBorders>
              <w:top w:val="nil"/>
              <w:left w:val="nil"/>
              <w:bottom w:val="dotted" w:sz="4" w:space="0" w:color="auto"/>
              <w:right w:val="dotted" w:sz="4" w:space="0" w:color="auto"/>
            </w:tcBorders>
            <w:shd w:val="clear" w:color="auto" w:fill="auto"/>
            <w:vAlign w:val="center"/>
            <w:hideMark/>
          </w:tcPr>
          <w:p w14:paraId="58F6D0E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3,4</w:t>
            </w:r>
          </w:p>
        </w:tc>
        <w:tc>
          <w:tcPr>
            <w:tcW w:w="1357" w:type="dxa"/>
            <w:tcBorders>
              <w:top w:val="nil"/>
              <w:left w:val="nil"/>
              <w:bottom w:val="dotted" w:sz="4" w:space="0" w:color="auto"/>
              <w:right w:val="dotted" w:sz="4" w:space="0" w:color="auto"/>
            </w:tcBorders>
            <w:shd w:val="clear" w:color="auto" w:fill="auto"/>
            <w:vAlign w:val="center"/>
            <w:hideMark/>
          </w:tcPr>
          <w:p w14:paraId="0FB8747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3,9</w:t>
            </w:r>
          </w:p>
        </w:tc>
        <w:tc>
          <w:tcPr>
            <w:tcW w:w="1357" w:type="dxa"/>
            <w:tcBorders>
              <w:top w:val="nil"/>
              <w:left w:val="nil"/>
              <w:bottom w:val="dotted" w:sz="4" w:space="0" w:color="auto"/>
              <w:right w:val="dotted" w:sz="4" w:space="0" w:color="auto"/>
            </w:tcBorders>
            <w:shd w:val="clear" w:color="auto" w:fill="auto"/>
            <w:vAlign w:val="center"/>
            <w:hideMark/>
          </w:tcPr>
          <w:p w14:paraId="32582D67"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3,3</w:t>
            </w:r>
          </w:p>
        </w:tc>
        <w:tc>
          <w:tcPr>
            <w:tcW w:w="1357" w:type="dxa"/>
            <w:tcBorders>
              <w:top w:val="nil"/>
              <w:left w:val="nil"/>
              <w:bottom w:val="dotted" w:sz="4" w:space="0" w:color="auto"/>
              <w:right w:val="double" w:sz="6" w:space="0" w:color="auto"/>
            </w:tcBorders>
            <w:shd w:val="clear" w:color="auto" w:fill="auto"/>
            <w:vAlign w:val="center"/>
            <w:hideMark/>
          </w:tcPr>
          <w:p w14:paraId="7BD2A92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3,0</w:t>
            </w:r>
          </w:p>
        </w:tc>
      </w:tr>
      <w:tr w:rsidR="001F5F21" w:rsidRPr="001F5F21" w14:paraId="626A4611" w14:textId="77777777" w:rsidTr="000843CA">
        <w:trPr>
          <w:trHeight w:val="338"/>
        </w:trPr>
        <w:tc>
          <w:tcPr>
            <w:tcW w:w="5742" w:type="dxa"/>
            <w:tcBorders>
              <w:top w:val="nil"/>
              <w:left w:val="double" w:sz="6" w:space="0" w:color="auto"/>
              <w:bottom w:val="dotted" w:sz="4" w:space="0" w:color="auto"/>
              <w:right w:val="dotted" w:sz="4" w:space="0" w:color="auto"/>
            </w:tcBorders>
            <w:shd w:val="clear" w:color="auto" w:fill="auto"/>
            <w:vAlign w:val="center"/>
            <w:hideMark/>
          </w:tcPr>
          <w:p w14:paraId="0A8CBACA"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 xml:space="preserve">16 = 6. Total revenue </w:t>
            </w:r>
          </w:p>
        </w:tc>
        <w:tc>
          <w:tcPr>
            <w:tcW w:w="1135" w:type="dxa"/>
            <w:tcBorders>
              <w:top w:val="nil"/>
              <w:left w:val="nil"/>
              <w:bottom w:val="dotted" w:sz="4" w:space="0" w:color="auto"/>
              <w:right w:val="single" w:sz="8" w:space="0" w:color="auto"/>
            </w:tcBorders>
            <w:shd w:val="clear" w:color="auto" w:fill="auto"/>
            <w:vAlign w:val="center"/>
            <w:hideMark/>
          </w:tcPr>
          <w:p w14:paraId="53E68949"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TR</w:t>
            </w:r>
          </w:p>
        </w:tc>
        <w:tc>
          <w:tcPr>
            <w:tcW w:w="1357" w:type="dxa"/>
            <w:tcBorders>
              <w:top w:val="nil"/>
              <w:left w:val="nil"/>
              <w:bottom w:val="dotted" w:sz="4" w:space="0" w:color="auto"/>
              <w:right w:val="single" w:sz="8" w:space="0" w:color="auto"/>
            </w:tcBorders>
            <w:shd w:val="clear" w:color="auto" w:fill="auto"/>
            <w:vAlign w:val="center"/>
            <w:hideMark/>
          </w:tcPr>
          <w:p w14:paraId="4E2D8E4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3.473,3</w:t>
            </w:r>
          </w:p>
        </w:tc>
        <w:tc>
          <w:tcPr>
            <w:tcW w:w="1357" w:type="dxa"/>
            <w:tcBorders>
              <w:top w:val="nil"/>
              <w:left w:val="nil"/>
              <w:bottom w:val="dotted" w:sz="4" w:space="0" w:color="auto"/>
              <w:right w:val="dotted" w:sz="4" w:space="0" w:color="auto"/>
            </w:tcBorders>
            <w:shd w:val="clear" w:color="auto" w:fill="auto"/>
            <w:vAlign w:val="center"/>
            <w:hideMark/>
          </w:tcPr>
          <w:p w14:paraId="44B94FE8"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39,4</w:t>
            </w:r>
          </w:p>
        </w:tc>
        <w:tc>
          <w:tcPr>
            <w:tcW w:w="1357" w:type="dxa"/>
            <w:tcBorders>
              <w:top w:val="nil"/>
              <w:left w:val="nil"/>
              <w:bottom w:val="dotted" w:sz="4" w:space="0" w:color="auto"/>
              <w:right w:val="dotted" w:sz="4" w:space="0" w:color="auto"/>
            </w:tcBorders>
            <w:shd w:val="clear" w:color="auto" w:fill="auto"/>
            <w:vAlign w:val="center"/>
            <w:hideMark/>
          </w:tcPr>
          <w:p w14:paraId="143B3DA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40,8</w:t>
            </w:r>
          </w:p>
        </w:tc>
        <w:tc>
          <w:tcPr>
            <w:tcW w:w="1357" w:type="dxa"/>
            <w:tcBorders>
              <w:top w:val="nil"/>
              <w:left w:val="nil"/>
              <w:bottom w:val="dotted" w:sz="4" w:space="0" w:color="auto"/>
              <w:right w:val="dotted" w:sz="4" w:space="0" w:color="auto"/>
            </w:tcBorders>
            <w:shd w:val="clear" w:color="auto" w:fill="auto"/>
            <w:vAlign w:val="center"/>
            <w:hideMark/>
          </w:tcPr>
          <w:p w14:paraId="3FB8858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41,3</w:t>
            </w:r>
          </w:p>
        </w:tc>
        <w:tc>
          <w:tcPr>
            <w:tcW w:w="1357" w:type="dxa"/>
            <w:tcBorders>
              <w:top w:val="nil"/>
              <w:left w:val="nil"/>
              <w:bottom w:val="dotted" w:sz="4" w:space="0" w:color="auto"/>
              <w:right w:val="dotted" w:sz="4" w:space="0" w:color="auto"/>
            </w:tcBorders>
            <w:shd w:val="clear" w:color="auto" w:fill="auto"/>
            <w:vAlign w:val="center"/>
            <w:hideMark/>
          </w:tcPr>
          <w:p w14:paraId="24E895A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40,9</w:t>
            </w:r>
          </w:p>
        </w:tc>
        <w:tc>
          <w:tcPr>
            <w:tcW w:w="1357" w:type="dxa"/>
            <w:tcBorders>
              <w:top w:val="nil"/>
              <w:left w:val="nil"/>
              <w:bottom w:val="dotted" w:sz="4" w:space="0" w:color="auto"/>
              <w:right w:val="double" w:sz="6" w:space="0" w:color="auto"/>
            </w:tcBorders>
            <w:shd w:val="clear" w:color="auto" w:fill="auto"/>
            <w:vAlign w:val="center"/>
            <w:hideMark/>
          </w:tcPr>
          <w:p w14:paraId="09C1947D"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40,5</w:t>
            </w:r>
          </w:p>
        </w:tc>
      </w:tr>
      <w:tr w:rsidR="001F5F21" w:rsidRPr="001F5F21" w14:paraId="0AFD6F39" w14:textId="77777777" w:rsidTr="000843CA">
        <w:trPr>
          <w:trHeight w:val="338"/>
        </w:trPr>
        <w:tc>
          <w:tcPr>
            <w:tcW w:w="5742" w:type="dxa"/>
            <w:tcBorders>
              <w:top w:val="nil"/>
              <w:left w:val="double" w:sz="6" w:space="0" w:color="auto"/>
              <w:bottom w:val="single" w:sz="8" w:space="0" w:color="auto"/>
              <w:right w:val="nil"/>
            </w:tcBorders>
            <w:shd w:val="clear" w:color="auto" w:fill="auto"/>
            <w:noWrap/>
            <w:vAlign w:val="bottom"/>
            <w:hideMark/>
          </w:tcPr>
          <w:p w14:paraId="220EDF08" w14:textId="77777777" w:rsidR="001F5F21" w:rsidRPr="001F5F21" w:rsidRDefault="001F5F21" w:rsidP="001F5F21">
            <w:pPr>
              <w:spacing w:after="0"/>
              <w:jc w:val="left"/>
              <w:rPr>
                <w:rFonts w:ascii="Arial" w:eastAsia="Times New Roman" w:hAnsi="Arial" w:cs="Arial"/>
                <w:sz w:val="20"/>
                <w:szCs w:val="20"/>
              </w:rPr>
            </w:pPr>
            <w:r w:rsidRPr="001F5F21">
              <w:rPr>
                <w:rFonts w:ascii="Arial" w:eastAsia="Times New Roman" w:hAnsi="Arial" w:cs="Arial"/>
                <w:sz w:val="20"/>
                <w:szCs w:val="20"/>
              </w:rPr>
              <w:t>p.m.: Tax burden (D2+D5+D61+D91-D995) [5]</w:t>
            </w:r>
          </w:p>
        </w:tc>
        <w:tc>
          <w:tcPr>
            <w:tcW w:w="1135" w:type="dxa"/>
            <w:tcBorders>
              <w:top w:val="nil"/>
              <w:left w:val="nil"/>
              <w:bottom w:val="single" w:sz="8" w:space="0" w:color="000000"/>
              <w:right w:val="single" w:sz="8" w:space="0" w:color="auto"/>
            </w:tcBorders>
            <w:shd w:val="clear" w:color="auto" w:fill="auto"/>
            <w:vAlign w:val="center"/>
            <w:hideMark/>
          </w:tcPr>
          <w:p w14:paraId="2F8EFC1E"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 </w:t>
            </w:r>
          </w:p>
        </w:tc>
        <w:tc>
          <w:tcPr>
            <w:tcW w:w="1357" w:type="dxa"/>
            <w:tcBorders>
              <w:top w:val="nil"/>
              <w:left w:val="nil"/>
              <w:bottom w:val="single" w:sz="8" w:space="0" w:color="auto"/>
              <w:right w:val="single" w:sz="8" w:space="0" w:color="auto"/>
            </w:tcBorders>
            <w:shd w:val="clear" w:color="auto" w:fill="auto"/>
            <w:vAlign w:val="center"/>
            <w:hideMark/>
          </w:tcPr>
          <w:p w14:paraId="1B6AC5F2"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3.078,7</w:t>
            </w:r>
          </w:p>
        </w:tc>
        <w:tc>
          <w:tcPr>
            <w:tcW w:w="1357" w:type="dxa"/>
            <w:tcBorders>
              <w:top w:val="nil"/>
              <w:left w:val="nil"/>
              <w:bottom w:val="single" w:sz="8" w:space="0" w:color="000000"/>
              <w:right w:val="dotted" w:sz="4" w:space="0" w:color="auto"/>
            </w:tcBorders>
            <w:shd w:val="clear" w:color="auto" w:fill="auto"/>
            <w:vAlign w:val="center"/>
            <w:hideMark/>
          </w:tcPr>
          <w:p w14:paraId="6A388D7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34,9</w:t>
            </w:r>
          </w:p>
        </w:tc>
        <w:tc>
          <w:tcPr>
            <w:tcW w:w="1357" w:type="dxa"/>
            <w:tcBorders>
              <w:top w:val="nil"/>
              <w:left w:val="nil"/>
              <w:bottom w:val="single" w:sz="8" w:space="0" w:color="000000"/>
              <w:right w:val="dotted" w:sz="4" w:space="0" w:color="auto"/>
            </w:tcBorders>
            <w:shd w:val="clear" w:color="auto" w:fill="auto"/>
            <w:vAlign w:val="center"/>
            <w:hideMark/>
          </w:tcPr>
          <w:p w14:paraId="1698AD3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36,2</w:t>
            </w:r>
          </w:p>
        </w:tc>
        <w:tc>
          <w:tcPr>
            <w:tcW w:w="1357" w:type="dxa"/>
            <w:tcBorders>
              <w:top w:val="nil"/>
              <w:left w:val="nil"/>
              <w:bottom w:val="single" w:sz="8" w:space="0" w:color="000000"/>
              <w:right w:val="dotted" w:sz="4" w:space="0" w:color="auto"/>
            </w:tcBorders>
            <w:shd w:val="clear" w:color="auto" w:fill="auto"/>
            <w:vAlign w:val="center"/>
            <w:hideMark/>
          </w:tcPr>
          <w:p w14:paraId="7A3997F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36,3</w:t>
            </w:r>
          </w:p>
        </w:tc>
        <w:tc>
          <w:tcPr>
            <w:tcW w:w="1357" w:type="dxa"/>
            <w:tcBorders>
              <w:top w:val="nil"/>
              <w:left w:val="nil"/>
              <w:bottom w:val="single" w:sz="8" w:space="0" w:color="000000"/>
              <w:right w:val="dotted" w:sz="4" w:space="0" w:color="auto"/>
            </w:tcBorders>
            <w:shd w:val="clear" w:color="auto" w:fill="auto"/>
            <w:vAlign w:val="center"/>
            <w:hideMark/>
          </w:tcPr>
          <w:p w14:paraId="0E875358"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36,4</w:t>
            </w:r>
          </w:p>
        </w:tc>
        <w:tc>
          <w:tcPr>
            <w:tcW w:w="1357" w:type="dxa"/>
            <w:tcBorders>
              <w:top w:val="nil"/>
              <w:left w:val="nil"/>
              <w:bottom w:val="single" w:sz="8" w:space="0" w:color="auto"/>
              <w:right w:val="double" w:sz="6" w:space="0" w:color="auto"/>
            </w:tcBorders>
            <w:shd w:val="clear" w:color="auto" w:fill="auto"/>
            <w:vAlign w:val="center"/>
            <w:hideMark/>
          </w:tcPr>
          <w:p w14:paraId="7895196D"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36,3</w:t>
            </w:r>
          </w:p>
        </w:tc>
      </w:tr>
      <w:tr w:rsidR="001F5F21" w:rsidRPr="001F5F21" w14:paraId="28D9E820" w14:textId="77777777" w:rsidTr="000843CA">
        <w:trPr>
          <w:trHeight w:val="338"/>
        </w:trPr>
        <w:tc>
          <w:tcPr>
            <w:tcW w:w="15022" w:type="dxa"/>
            <w:gridSpan w:val="8"/>
            <w:tcBorders>
              <w:top w:val="single" w:sz="8" w:space="0" w:color="auto"/>
              <w:left w:val="double" w:sz="6" w:space="0" w:color="auto"/>
              <w:bottom w:val="single" w:sz="8" w:space="0" w:color="auto"/>
              <w:right w:val="double" w:sz="6" w:space="0" w:color="000000"/>
            </w:tcBorders>
            <w:shd w:val="clear" w:color="auto" w:fill="auto"/>
            <w:vAlign w:val="center"/>
            <w:hideMark/>
          </w:tcPr>
          <w:p w14:paraId="37A0A4AA" w14:textId="77777777" w:rsidR="001F5F21" w:rsidRPr="001F5F21" w:rsidRDefault="001F5F21" w:rsidP="001F5F21">
            <w:pPr>
              <w:spacing w:after="0"/>
              <w:jc w:val="center"/>
              <w:rPr>
                <w:rFonts w:eastAsia="Times New Roman" w:cs="Times New Roman"/>
                <w:b/>
                <w:bCs/>
                <w:szCs w:val="24"/>
              </w:rPr>
            </w:pPr>
            <w:r w:rsidRPr="001F5F21">
              <w:rPr>
                <w:rFonts w:eastAsia="Times New Roman" w:cs="Times New Roman"/>
                <w:b/>
                <w:bCs/>
                <w:szCs w:val="24"/>
              </w:rPr>
              <w:t>Selected components of expenditures</w:t>
            </w:r>
          </w:p>
        </w:tc>
      </w:tr>
      <w:tr w:rsidR="001F5F21" w:rsidRPr="001F5F21" w14:paraId="25EF93CE" w14:textId="77777777" w:rsidTr="000843CA">
        <w:trPr>
          <w:trHeight w:val="338"/>
        </w:trPr>
        <w:tc>
          <w:tcPr>
            <w:tcW w:w="5742" w:type="dxa"/>
            <w:tcBorders>
              <w:top w:val="nil"/>
              <w:left w:val="double" w:sz="6" w:space="0" w:color="auto"/>
              <w:bottom w:val="dotted" w:sz="4" w:space="0" w:color="auto"/>
              <w:right w:val="nil"/>
            </w:tcBorders>
            <w:shd w:val="clear" w:color="000000" w:fill="FFFFFF"/>
            <w:vAlign w:val="center"/>
            <w:hideMark/>
          </w:tcPr>
          <w:p w14:paraId="4AAAC959"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17. Collective consumption</w:t>
            </w:r>
          </w:p>
        </w:tc>
        <w:tc>
          <w:tcPr>
            <w:tcW w:w="1135" w:type="dxa"/>
            <w:tcBorders>
              <w:top w:val="nil"/>
              <w:left w:val="dotted" w:sz="4" w:space="0" w:color="auto"/>
              <w:bottom w:val="dotted" w:sz="4" w:space="0" w:color="auto"/>
              <w:right w:val="single" w:sz="8" w:space="0" w:color="auto"/>
            </w:tcBorders>
            <w:shd w:val="clear" w:color="auto" w:fill="auto"/>
            <w:vAlign w:val="center"/>
            <w:hideMark/>
          </w:tcPr>
          <w:p w14:paraId="14FB3E3E"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P32</w:t>
            </w:r>
          </w:p>
        </w:tc>
        <w:tc>
          <w:tcPr>
            <w:tcW w:w="1357" w:type="dxa"/>
            <w:tcBorders>
              <w:top w:val="nil"/>
              <w:left w:val="nil"/>
              <w:bottom w:val="dotted" w:sz="4" w:space="0" w:color="auto"/>
              <w:right w:val="single" w:sz="8" w:space="0" w:color="auto"/>
            </w:tcBorders>
            <w:shd w:val="clear" w:color="auto" w:fill="auto"/>
            <w:vAlign w:val="center"/>
            <w:hideMark/>
          </w:tcPr>
          <w:p w14:paraId="058F7B0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1.403,0</w:t>
            </w:r>
          </w:p>
        </w:tc>
        <w:tc>
          <w:tcPr>
            <w:tcW w:w="1357" w:type="dxa"/>
            <w:tcBorders>
              <w:top w:val="nil"/>
              <w:left w:val="nil"/>
              <w:bottom w:val="dotted" w:sz="4" w:space="0" w:color="auto"/>
              <w:right w:val="dotted" w:sz="4" w:space="0" w:color="auto"/>
            </w:tcBorders>
            <w:shd w:val="clear" w:color="auto" w:fill="auto"/>
            <w:vAlign w:val="center"/>
            <w:hideMark/>
          </w:tcPr>
          <w:p w14:paraId="6C6ED53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15,9</w:t>
            </w:r>
          </w:p>
        </w:tc>
        <w:tc>
          <w:tcPr>
            <w:tcW w:w="1357" w:type="dxa"/>
            <w:tcBorders>
              <w:top w:val="nil"/>
              <w:left w:val="nil"/>
              <w:bottom w:val="dotted" w:sz="4" w:space="0" w:color="auto"/>
              <w:right w:val="dotted" w:sz="4" w:space="0" w:color="auto"/>
            </w:tcBorders>
            <w:shd w:val="clear" w:color="auto" w:fill="auto"/>
            <w:vAlign w:val="center"/>
            <w:hideMark/>
          </w:tcPr>
          <w:p w14:paraId="72F58DF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16,8</w:t>
            </w:r>
          </w:p>
        </w:tc>
        <w:tc>
          <w:tcPr>
            <w:tcW w:w="1357" w:type="dxa"/>
            <w:tcBorders>
              <w:top w:val="nil"/>
              <w:left w:val="nil"/>
              <w:bottom w:val="dotted" w:sz="4" w:space="0" w:color="auto"/>
              <w:right w:val="dotted" w:sz="4" w:space="0" w:color="auto"/>
            </w:tcBorders>
            <w:shd w:val="clear" w:color="auto" w:fill="auto"/>
            <w:vAlign w:val="center"/>
            <w:hideMark/>
          </w:tcPr>
          <w:p w14:paraId="51553758"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17,8</w:t>
            </w:r>
          </w:p>
        </w:tc>
        <w:tc>
          <w:tcPr>
            <w:tcW w:w="1357" w:type="dxa"/>
            <w:tcBorders>
              <w:top w:val="nil"/>
              <w:left w:val="nil"/>
              <w:bottom w:val="dotted" w:sz="4" w:space="0" w:color="auto"/>
              <w:right w:val="dotted" w:sz="4" w:space="0" w:color="auto"/>
            </w:tcBorders>
            <w:shd w:val="clear" w:color="auto" w:fill="auto"/>
            <w:vAlign w:val="center"/>
            <w:hideMark/>
          </w:tcPr>
          <w:p w14:paraId="4D38FE5D"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17,6</w:t>
            </w:r>
          </w:p>
        </w:tc>
        <w:tc>
          <w:tcPr>
            <w:tcW w:w="1357" w:type="dxa"/>
            <w:tcBorders>
              <w:top w:val="nil"/>
              <w:left w:val="nil"/>
              <w:bottom w:val="dotted" w:sz="4" w:space="0" w:color="auto"/>
              <w:right w:val="double" w:sz="6" w:space="0" w:color="auto"/>
            </w:tcBorders>
            <w:shd w:val="clear" w:color="auto" w:fill="auto"/>
            <w:vAlign w:val="center"/>
            <w:hideMark/>
          </w:tcPr>
          <w:p w14:paraId="1E8315F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17,6</w:t>
            </w:r>
          </w:p>
        </w:tc>
      </w:tr>
      <w:tr w:rsidR="001F5F21" w:rsidRPr="001F5F21" w14:paraId="6E5AE123" w14:textId="77777777" w:rsidTr="000843CA">
        <w:trPr>
          <w:trHeight w:val="338"/>
        </w:trPr>
        <w:tc>
          <w:tcPr>
            <w:tcW w:w="5742" w:type="dxa"/>
            <w:tcBorders>
              <w:top w:val="nil"/>
              <w:left w:val="double" w:sz="6" w:space="0" w:color="auto"/>
              <w:bottom w:val="dotted" w:sz="4" w:space="0" w:color="auto"/>
              <w:right w:val="nil"/>
            </w:tcBorders>
            <w:shd w:val="clear" w:color="000000" w:fill="FFFFFF"/>
            <w:vAlign w:val="center"/>
            <w:hideMark/>
          </w:tcPr>
          <w:p w14:paraId="73061A34"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18. Total social transfers</w:t>
            </w:r>
          </w:p>
        </w:tc>
        <w:tc>
          <w:tcPr>
            <w:tcW w:w="1135" w:type="dxa"/>
            <w:tcBorders>
              <w:top w:val="nil"/>
              <w:left w:val="dotted" w:sz="4" w:space="0" w:color="auto"/>
              <w:bottom w:val="dotted" w:sz="4" w:space="0" w:color="auto"/>
              <w:right w:val="single" w:sz="8" w:space="0" w:color="auto"/>
            </w:tcBorders>
            <w:shd w:val="clear" w:color="auto" w:fill="auto"/>
            <w:vAlign w:val="center"/>
            <w:hideMark/>
          </w:tcPr>
          <w:p w14:paraId="4C282AF6"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D62 + D63</w:t>
            </w:r>
          </w:p>
        </w:tc>
        <w:tc>
          <w:tcPr>
            <w:tcW w:w="1357" w:type="dxa"/>
            <w:tcBorders>
              <w:top w:val="nil"/>
              <w:left w:val="nil"/>
              <w:bottom w:val="dotted" w:sz="4" w:space="0" w:color="auto"/>
              <w:right w:val="single" w:sz="8" w:space="0" w:color="auto"/>
            </w:tcBorders>
            <w:shd w:val="clear" w:color="auto" w:fill="auto"/>
            <w:vAlign w:val="center"/>
            <w:hideMark/>
          </w:tcPr>
          <w:p w14:paraId="3C04F2C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1.098,6</w:t>
            </w:r>
          </w:p>
        </w:tc>
        <w:tc>
          <w:tcPr>
            <w:tcW w:w="1357" w:type="dxa"/>
            <w:tcBorders>
              <w:top w:val="nil"/>
              <w:left w:val="nil"/>
              <w:bottom w:val="dotted" w:sz="4" w:space="0" w:color="auto"/>
              <w:right w:val="dotted" w:sz="4" w:space="0" w:color="auto"/>
            </w:tcBorders>
            <w:shd w:val="clear" w:color="auto" w:fill="auto"/>
            <w:vAlign w:val="center"/>
            <w:hideMark/>
          </w:tcPr>
          <w:p w14:paraId="24E2030D"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12,5</w:t>
            </w:r>
          </w:p>
        </w:tc>
        <w:tc>
          <w:tcPr>
            <w:tcW w:w="1357" w:type="dxa"/>
            <w:tcBorders>
              <w:top w:val="nil"/>
              <w:left w:val="nil"/>
              <w:bottom w:val="dotted" w:sz="4" w:space="0" w:color="auto"/>
              <w:right w:val="dotted" w:sz="4" w:space="0" w:color="auto"/>
            </w:tcBorders>
            <w:shd w:val="clear" w:color="auto" w:fill="auto"/>
            <w:vAlign w:val="center"/>
            <w:hideMark/>
          </w:tcPr>
          <w:p w14:paraId="0D9BC5E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13,0</w:t>
            </w:r>
          </w:p>
        </w:tc>
        <w:tc>
          <w:tcPr>
            <w:tcW w:w="1357" w:type="dxa"/>
            <w:tcBorders>
              <w:top w:val="nil"/>
              <w:left w:val="nil"/>
              <w:bottom w:val="dotted" w:sz="4" w:space="0" w:color="auto"/>
              <w:right w:val="dotted" w:sz="4" w:space="0" w:color="auto"/>
            </w:tcBorders>
            <w:shd w:val="clear" w:color="auto" w:fill="auto"/>
            <w:vAlign w:val="center"/>
            <w:hideMark/>
          </w:tcPr>
          <w:p w14:paraId="2C03903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13,0</w:t>
            </w:r>
          </w:p>
        </w:tc>
        <w:tc>
          <w:tcPr>
            <w:tcW w:w="1357" w:type="dxa"/>
            <w:tcBorders>
              <w:top w:val="nil"/>
              <w:left w:val="nil"/>
              <w:bottom w:val="dotted" w:sz="4" w:space="0" w:color="auto"/>
              <w:right w:val="dotted" w:sz="4" w:space="0" w:color="auto"/>
            </w:tcBorders>
            <w:shd w:val="clear" w:color="auto" w:fill="auto"/>
            <w:vAlign w:val="center"/>
            <w:hideMark/>
          </w:tcPr>
          <w:p w14:paraId="1FBFBC3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13,1</w:t>
            </w:r>
          </w:p>
        </w:tc>
        <w:tc>
          <w:tcPr>
            <w:tcW w:w="1357" w:type="dxa"/>
            <w:tcBorders>
              <w:top w:val="nil"/>
              <w:left w:val="nil"/>
              <w:bottom w:val="dotted" w:sz="4" w:space="0" w:color="auto"/>
              <w:right w:val="double" w:sz="6" w:space="0" w:color="auto"/>
            </w:tcBorders>
            <w:shd w:val="clear" w:color="auto" w:fill="auto"/>
            <w:vAlign w:val="center"/>
            <w:hideMark/>
          </w:tcPr>
          <w:p w14:paraId="19A51D1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12,8</w:t>
            </w:r>
          </w:p>
        </w:tc>
      </w:tr>
      <w:tr w:rsidR="001F5F21" w:rsidRPr="001F5F21" w14:paraId="01ED25E6" w14:textId="77777777" w:rsidTr="000843CA">
        <w:trPr>
          <w:trHeight w:val="338"/>
        </w:trPr>
        <w:tc>
          <w:tcPr>
            <w:tcW w:w="5742" w:type="dxa"/>
            <w:tcBorders>
              <w:top w:val="nil"/>
              <w:left w:val="double" w:sz="6" w:space="0" w:color="auto"/>
              <w:bottom w:val="dotted" w:sz="4" w:space="0" w:color="auto"/>
              <w:right w:val="nil"/>
            </w:tcBorders>
            <w:shd w:val="clear" w:color="000000" w:fill="FFFFFF"/>
            <w:vAlign w:val="center"/>
            <w:hideMark/>
          </w:tcPr>
          <w:p w14:paraId="2F7BE25E"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18a. Social transfers in kind</w:t>
            </w:r>
          </w:p>
        </w:tc>
        <w:tc>
          <w:tcPr>
            <w:tcW w:w="1135" w:type="dxa"/>
            <w:tcBorders>
              <w:top w:val="nil"/>
              <w:left w:val="dotted" w:sz="4" w:space="0" w:color="auto"/>
              <w:bottom w:val="dotted" w:sz="4" w:space="0" w:color="auto"/>
              <w:right w:val="single" w:sz="8" w:space="0" w:color="auto"/>
            </w:tcBorders>
            <w:shd w:val="clear" w:color="auto" w:fill="auto"/>
            <w:vAlign w:val="center"/>
            <w:hideMark/>
          </w:tcPr>
          <w:p w14:paraId="3EA8044B"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P31 = D63</w:t>
            </w:r>
          </w:p>
        </w:tc>
        <w:tc>
          <w:tcPr>
            <w:tcW w:w="1357" w:type="dxa"/>
            <w:tcBorders>
              <w:top w:val="nil"/>
              <w:left w:val="nil"/>
              <w:bottom w:val="dotted" w:sz="4" w:space="0" w:color="auto"/>
              <w:right w:val="single" w:sz="8" w:space="0" w:color="auto"/>
            </w:tcBorders>
            <w:shd w:val="clear" w:color="auto" w:fill="auto"/>
            <w:vAlign w:val="center"/>
            <w:hideMark/>
          </w:tcPr>
          <w:p w14:paraId="4EB98A6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dotted" w:sz="4" w:space="0" w:color="auto"/>
              <w:right w:val="dotted" w:sz="4" w:space="0" w:color="auto"/>
            </w:tcBorders>
            <w:shd w:val="clear" w:color="auto" w:fill="auto"/>
            <w:vAlign w:val="center"/>
            <w:hideMark/>
          </w:tcPr>
          <w:p w14:paraId="3EFFBDD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dotted" w:sz="4" w:space="0" w:color="auto"/>
              <w:right w:val="dotted" w:sz="4" w:space="0" w:color="auto"/>
            </w:tcBorders>
            <w:shd w:val="clear" w:color="auto" w:fill="auto"/>
            <w:vAlign w:val="center"/>
            <w:hideMark/>
          </w:tcPr>
          <w:p w14:paraId="74224621"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dotted" w:sz="4" w:space="0" w:color="auto"/>
              <w:right w:val="dotted" w:sz="4" w:space="0" w:color="auto"/>
            </w:tcBorders>
            <w:shd w:val="clear" w:color="auto" w:fill="auto"/>
            <w:vAlign w:val="center"/>
            <w:hideMark/>
          </w:tcPr>
          <w:p w14:paraId="61E95134"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dotted" w:sz="4" w:space="0" w:color="auto"/>
              <w:right w:val="dotted" w:sz="4" w:space="0" w:color="auto"/>
            </w:tcBorders>
            <w:shd w:val="clear" w:color="auto" w:fill="auto"/>
            <w:vAlign w:val="center"/>
            <w:hideMark/>
          </w:tcPr>
          <w:p w14:paraId="4EDD236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c>
          <w:tcPr>
            <w:tcW w:w="1357" w:type="dxa"/>
            <w:tcBorders>
              <w:top w:val="nil"/>
              <w:left w:val="nil"/>
              <w:bottom w:val="dotted" w:sz="4" w:space="0" w:color="auto"/>
              <w:right w:val="double" w:sz="6" w:space="0" w:color="auto"/>
            </w:tcBorders>
            <w:shd w:val="clear" w:color="auto" w:fill="auto"/>
            <w:vAlign w:val="center"/>
            <w:hideMark/>
          </w:tcPr>
          <w:p w14:paraId="14A4661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w:t>
            </w:r>
          </w:p>
        </w:tc>
      </w:tr>
      <w:tr w:rsidR="001F5F21" w:rsidRPr="001F5F21" w14:paraId="70CB30DA" w14:textId="77777777" w:rsidTr="000843CA">
        <w:trPr>
          <w:trHeight w:val="338"/>
        </w:trPr>
        <w:tc>
          <w:tcPr>
            <w:tcW w:w="5742" w:type="dxa"/>
            <w:tcBorders>
              <w:top w:val="nil"/>
              <w:left w:val="double" w:sz="6" w:space="0" w:color="auto"/>
              <w:bottom w:val="dotted" w:sz="4" w:space="0" w:color="auto"/>
              <w:right w:val="nil"/>
            </w:tcBorders>
            <w:shd w:val="clear" w:color="000000" w:fill="FFFFFF"/>
            <w:vAlign w:val="center"/>
            <w:hideMark/>
          </w:tcPr>
          <w:p w14:paraId="01D39C1C"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18b. Social transfers other than in kind</w:t>
            </w:r>
          </w:p>
        </w:tc>
        <w:tc>
          <w:tcPr>
            <w:tcW w:w="1135" w:type="dxa"/>
            <w:tcBorders>
              <w:top w:val="nil"/>
              <w:left w:val="dotted" w:sz="4" w:space="0" w:color="auto"/>
              <w:bottom w:val="dotted" w:sz="4" w:space="0" w:color="auto"/>
              <w:right w:val="single" w:sz="8" w:space="0" w:color="auto"/>
            </w:tcBorders>
            <w:shd w:val="clear" w:color="auto" w:fill="auto"/>
            <w:vAlign w:val="center"/>
            <w:hideMark/>
          </w:tcPr>
          <w:p w14:paraId="2E189074"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D62</w:t>
            </w:r>
          </w:p>
        </w:tc>
        <w:tc>
          <w:tcPr>
            <w:tcW w:w="1357" w:type="dxa"/>
            <w:tcBorders>
              <w:top w:val="nil"/>
              <w:left w:val="nil"/>
              <w:bottom w:val="dotted" w:sz="4" w:space="0" w:color="auto"/>
              <w:right w:val="single" w:sz="8" w:space="0" w:color="auto"/>
            </w:tcBorders>
            <w:shd w:val="clear" w:color="auto" w:fill="auto"/>
            <w:vAlign w:val="center"/>
            <w:hideMark/>
          </w:tcPr>
          <w:p w14:paraId="7F6A780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1.098,6</w:t>
            </w:r>
          </w:p>
        </w:tc>
        <w:tc>
          <w:tcPr>
            <w:tcW w:w="1357" w:type="dxa"/>
            <w:tcBorders>
              <w:top w:val="nil"/>
              <w:left w:val="nil"/>
              <w:bottom w:val="dotted" w:sz="4" w:space="0" w:color="auto"/>
              <w:right w:val="dotted" w:sz="4" w:space="0" w:color="auto"/>
            </w:tcBorders>
            <w:shd w:val="clear" w:color="auto" w:fill="auto"/>
            <w:vAlign w:val="center"/>
            <w:hideMark/>
          </w:tcPr>
          <w:p w14:paraId="328C224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12,5</w:t>
            </w:r>
          </w:p>
        </w:tc>
        <w:tc>
          <w:tcPr>
            <w:tcW w:w="1357" w:type="dxa"/>
            <w:tcBorders>
              <w:top w:val="nil"/>
              <w:left w:val="nil"/>
              <w:bottom w:val="dotted" w:sz="4" w:space="0" w:color="auto"/>
              <w:right w:val="dotted" w:sz="4" w:space="0" w:color="auto"/>
            </w:tcBorders>
            <w:shd w:val="clear" w:color="auto" w:fill="auto"/>
            <w:vAlign w:val="center"/>
            <w:hideMark/>
          </w:tcPr>
          <w:p w14:paraId="450ACC9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13,0</w:t>
            </w:r>
          </w:p>
        </w:tc>
        <w:tc>
          <w:tcPr>
            <w:tcW w:w="1357" w:type="dxa"/>
            <w:tcBorders>
              <w:top w:val="nil"/>
              <w:left w:val="nil"/>
              <w:bottom w:val="dotted" w:sz="4" w:space="0" w:color="auto"/>
              <w:right w:val="dotted" w:sz="4" w:space="0" w:color="auto"/>
            </w:tcBorders>
            <w:shd w:val="clear" w:color="auto" w:fill="auto"/>
            <w:vAlign w:val="center"/>
            <w:hideMark/>
          </w:tcPr>
          <w:p w14:paraId="4A578071"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13,0</w:t>
            </w:r>
          </w:p>
        </w:tc>
        <w:tc>
          <w:tcPr>
            <w:tcW w:w="1357" w:type="dxa"/>
            <w:tcBorders>
              <w:top w:val="nil"/>
              <w:left w:val="nil"/>
              <w:bottom w:val="dotted" w:sz="4" w:space="0" w:color="auto"/>
              <w:right w:val="dotted" w:sz="4" w:space="0" w:color="auto"/>
            </w:tcBorders>
            <w:shd w:val="clear" w:color="auto" w:fill="auto"/>
            <w:vAlign w:val="center"/>
            <w:hideMark/>
          </w:tcPr>
          <w:p w14:paraId="19E742C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13,1</w:t>
            </w:r>
          </w:p>
        </w:tc>
        <w:tc>
          <w:tcPr>
            <w:tcW w:w="1357" w:type="dxa"/>
            <w:tcBorders>
              <w:top w:val="nil"/>
              <w:left w:val="nil"/>
              <w:bottom w:val="dotted" w:sz="4" w:space="0" w:color="auto"/>
              <w:right w:val="double" w:sz="6" w:space="0" w:color="auto"/>
            </w:tcBorders>
            <w:shd w:val="clear" w:color="auto" w:fill="auto"/>
            <w:vAlign w:val="center"/>
            <w:hideMark/>
          </w:tcPr>
          <w:p w14:paraId="57F86F1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12,8</w:t>
            </w:r>
          </w:p>
        </w:tc>
      </w:tr>
      <w:tr w:rsidR="001F5F21" w:rsidRPr="001F5F21" w14:paraId="5812AD80" w14:textId="77777777" w:rsidTr="000843CA">
        <w:trPr>
          <w:trHeight w:val="338"/>
        </w:trPr>
        <w:tc>
          <w:tcPr>
            <w:tcW w:w="5742" w:type="dxa"/>
            <w:tcBorders>
              <w:top w:val="nil"/>
              <w:left w:val="double" w:sz="6" w:space="0" w:color="auto"/>
              <w:bottom w:val="dotted" w:sz="4" w:space="0" w:color="auto"/>
              <w:right w:val="nil"/>
            </w:tcBorders>
            <w:shd w:val="clear" w:color="000000" w:fill="FFFFFF"/>
            <w:vAlign w:val="center"/>
            <w:hideMark/>
          </w:tcPr>
          <w:p w14:paraId="3E1E176D"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 xml:space="preserve">19 = 9. Interest expenditure (incl. FISIM) </w:t>
            </w:r>
          </w:p>
        </w:tc>
        <w:tc>
          <w:tcPr>
            <w:tcW w:w="1135" w:type="dxa"/>
            <w:tcBorders>
              <w:top w:val="nil"/>
              <w:left w:val="dotted" w:sz="4" w:space="0" w:color="auto"/>
              <w:bottom w:val="dotted" w:sz="4" w:space="0" w:color="auto"/>
              <w:right w:val="single" w:sz="8" w:space="0" w:color="auto"/>
            </w:tcBorders>
            <w:shd w:val="clear" w:color="auto" w:fill="auto"/>
            <w:vAlign w:val="center"/>
            <w:hideMark/>
          </w:tcPr>
          <w:p w14:paraId="237590BC"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EDP.D41 + FISIM</w:t>
            </w:r>
          </w:p>
        </w:tc>
        <w:tc>
          <w:tcPr>
            <w:tcW w:w="1357" w:type="dxa"/>
            <w:tcBorders>
              <w:top w:val="nil"/>
              <w:left w:val="nil"/>
              <w:bottom w:val="dotted" w:sz="4" w:space="0" w:color="auto"/>
              <w:right w:val="single" w:sz="8" w:space="0" w:color="auto"/>
            </w:tcBorders>
            <w:shd w:val="clear" w:color="auto" w:fill="auto"/>
            <w:vAlign w:val="center"/>
            <w:hideMark/>
          </w:tcPr>
          <w:p w14:paraId="703E317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149,3</w:t>
            </w:r>
          </w:p>
        </w:tc>
        <w:tc>
          <w:tcPr>
            <w:tcW w:w="1357" w:type="dxa"/>
            <w:tcBorders>
              <w:top w:val="nil"/>
              <w:left w:val="nil"/>
              <w:bottom w:val="dotted" w:sz="4" w:space="0" w:color="auto"/>
              <w:right w:val="dotted" w:sz="4" w:space="0" w:color="auto"/>
            </w:tcBorders>
            <w:shd w:val="clear" w:color="auto" w:fill="auto"/>
            <w:vAlign w:val="center"/>
            <w:hideMark/>
          </w:tcPr>
          <w:p w14:paraId="1CFDADA1"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1,7</w:t>
            </w:r>
          </w:p>
        </w:tc>
        <w:tc>
          <w:tcPr>
            <w:tcW w:w="1357" w:type="dxa"/>
            <w:tcBorders>
              <w:top w:val="nil"/>
              <w:left w:val="nil"/>
              <w:bottom w:val="dotted" w:sz="4" w:space="0" w:color="auto"/>
              <w:right w:val="dotted" w:sz="4" w:space="0" w:color="auto"/>
            </w:tcBorders>
            <w:shd w:val="clear" w:color="auto" w:fill="auto"/>
            <w:vAlign w:val="center"/>
            <w:hideMark/>
          </w:tcPr>
          <w:p w14:paraId="4AFAC0E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w:t>
            </w:r>
          </w:p>
        </w:tc>
        <w:tc>
          <w:tcPr>
            <w:tcW w:w="1357" w:type="dxa"/>
            <w:tcBorders>
              <w:top w:val="nil"/>
              <w:left w:val="nil"/>
              <w:bottom w:val="dotted" w:sz="4" w:space="0" w:color="auto"/>
              <w:right w:val="dotted" w:sz="4" w:space="0" w:color="auto"/>
            </w:tcBorders>
            <w:shd w:val="clear" w:color="auto" w:fill="auto"/>
            <w:vAlign w:val="center"/>
            <w:hideMark/>
          </w:tcPr>
          <w:p w14:paraId="10C6EF01"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2,2</w:t>
            </w:r>
          </w:p>
        </w:tc>
        <w:tc>
          <w:tcPr>
            <w:tcW w:w="1357" w:type="dxa"/>
            <w:tcBorders>
              <w:top w:val="nil"/>
              <w:left w:val="nil"/>
              <w:bottom w:val="dotted" w:sz="4" w:space="0" w:color="auto"/>
              <w:right w:val="dotted" w:sz="4" w:space="0" w:color="auto"/>
            </w:tcBorders>
            <w:shd w:val="clear" w:color="auto" w:fill="auto"/>
            <w:vAlign w:val="center"/>
            <w:hideMark/>
          </w:tcPr>
          <w:p w14:paraId="3ACBBCB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2,1</w:t>
            </w:r>
          </w:p>
        </w:tc>
        <w:tc>
          <w:tcPr>
            <w:tcW w:w="1357" w:type="dxa"/>
            <w:tcBorders>
              <w:top w:val="nil"/>
              <w:left w:val="nil"/>
              <w:bottom w:val="dotted" w:sz="4" w:space="0" w:color="auto"/>
              <w:right w:val="double" w:sz="6" w:space="0" w:color="auto"/>
            </w:tcBorders>
            <w:shd w:val="clear" w:color="auto" w:fill="auto"/>
            <w:vAlign w:val="center"/>
            <w:hideMark/>
          </w:tcPr>
          <w:p w14:paraId="3513EA5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2,0</w:t>
            </w:r>
          </w:p>
        </w:tc>
      </w:tr>
      <w:tr w:rsidR="001F5F21" w:rsidRPr="001F5F21" w14:paraId="20EBAAC3" w14:textId="77777777" w:rsidTr="000843CA">
        <w:trPr>
          <w:trHeight w:val="338"/>
        </w:trPr>
        <w:tc>
          <w:tcPr>
            <w:tcW w:w="5742" w:type="dxa"/>
            <w:tcBorders>
              <w:top w:val="nil"/>
              <w:left w:val="double" w:sz="6" w:space="0" w:color="auto"/>
              <w:bottom w:val="dotted" w:sz="4" w:space="0" w:color="auto"/>
              <w:right w:val="nil"/>
            </w:tcBorders>
            <w:shd w:val="clear" w:color="000000" w:fill="FFFFFF"/>
            <w:vAlign w:val="center"/>
            <w:hideMark/>
          </w:tcPr>
          <w:p w14:paraId="5F96FEC9"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20. Subsidies</w:t>
            </w:r>
          </w:p>
        </w:tc>
        <w:tc>
          <w:tcPr>
            <w:tcW w:w="1135" w:type="dxa"/>
            <w:tcBorders>
              <w:top w:val="nil"/>
              <w:left w:val="dotted" w:sz="4" w:space="0" w:color="auto"/>
              <w:bottom w:val="dotted" w:sz="4" w:space="0" w:color="auto"/>
              <w:right w:val="single" w:sz="8" w:space="0" w:color="auto"/>
            </w:tcBorders>
            <w:shd w:val="clear" w:color="auto" w:fill="auto"/>
            <w:vAlign w:val="center"/>
            <w:hideMark/>
          </w:tcPr>
          <w:p w14:paraId="3EB94574"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D3</w:t>
            </w:r>
          </w:p>
        </w:tc>
        <w:tc>
          <w:tcPr>
            <w:tcW w:w="1357" w:type="dxa"/>
            <w:tcBorders>
              <w:top w:val="nil"/>
              <w:left w:val="nil"/>
              <w:bottom w:val="dotted" w:sz="4" w:space="0" w:color="auto"/>
              <w:right w:val="single" w:sz="8" w:space="0" w:color="auto"/>
            </w:tcBorders>
            <w:shd w:val="clear" w:color="auto" w:fill="auto"/>
            <w:vAlign w:val="center"/>
            <w:hideMark/>
          </w:tcPr>
          <w:p w14:paraId="64AA4436"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213,8</w:t>
            </w:r>
          </w:p>
        </w:tc>
        <w:tc>
          <w:tcPr>
            <w:tcW w:w="1357" w:type="dxa"/>
            <w:tcBorders>
              <w:top w:val="nil"/>
              <w:left w:val="nil"/>
              <w:bottom w:val="dotted" w:sz="4" w:space="0" w:color="auto"/>
              <w:right w:val="dotted" w:sz="4" w:space="0" w:color="auto"/>
            </w:tcBorders>
            <w:shd w:val="clear" w:color="auto" w:fill="auto"/>
            <w:vAlign w:val="center"/>
            <w:hideMark/>
          </w:tcPr>
          <w:p w14:paraId="7307B9F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2,4</w:t>
            </w:r>
          </w:p>
        </w:tc>
        <w:tc>
          <w:tcPr>
            <w:tcW w:w="1357" w:type="dxa"/>
            <w:tcBorders>
              <w:top w:val="nil"/>
              <w:left w:val="nil"/>
              <w:bottom w:val="dotted" w:sz="4" w:space="0" w:color="auto"/>
              <w:right w:val="dotted" w:sz="4" w:space="0" w:color="auto"/>
            </w:tcBorders>
            <w:shd w:val="clear" w:color="auto" w:fill="auto"/>
            <w:vAlign w:val="center"/>
            <w:hideMark/>
          </w:tcPr>
          <w:p w14:paraId="0A76E7B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2,5</w:t>
            </w:r>
          </w:p>
        </w:tc>
        <w:tc>
          <w:tcPr>
            <w:tcW w:w="1357" w:type="dxa"/>
            <w:tcBorders>
              <w:top w:val="nil"/>
              <w:left w:val="nil"/>
              <w:bottom w:val="dotted" w:sz="4" w:space="0" w:color="auto"/>
              <w:right w:val="dotted" w:sz="4" w:space="0" w:color="auto"/>
            </w:tcBorders>
            <w:shd w:val="clear" w:color="auto" w:fill="auto"/>
            <w:vAlign w:val="center"/>
            <w:hideMark/>
          </w:tcPr>
          <w:p w14:paraId="0EA52CC8"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2,4</w:t>
            </w:r>
          </w:p>
        </w:tc>
        <w:tc>
          <w:tcPr>
            <w:tcW w:w="1357" w:type="dxa"/>
            <w:tcBorders>
              <w:top w:val="nil"/>
              <w:left w:val="nil"/>
              <w:bottom w:val="dotted" w:sz="4" w:space="0" w:color="auto"/>
              <w:right w:val="dotted" w:sz="4" w:space="0" w:color="auto"/>
            </w:tcBorders>
            <w:shd w:val="clear" w:color="auto" w:fill="auto"/>
            <w:vAlign w:val="center"/>
            <w:hideMark/>
          </w:tcPr>
          <w:p w14:paraId="71B3B671"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2,4</w:t>
            </w:r>
          </w:p>
        </w:tc>
        <w:tc>
          <w:tcPr>
            <w:tcW w:w="1357" w:type="dxa"/>
            <w:tcBorders>
              <w:top w:val="nil"/>
              <w:left w:val="nil"/>
              <w:bottom w:val="dotted" w:sz="4" w:space="0" w:color="auto"/>
              <w:right w:val="double" w:sz="6" w:space="0" w:color="auto"/>
            </w:tcBorders>
            <w:shd w:val="clear" w:color="auto" w:fill="auto"/>
            <w:vAlign w:val="center"/>
            <w:hideMark/>
          </w:tcPr>
          <w:p w14:paraId="166AF95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2,2</w:t>
            </w:r>
          </w:p>
        </w:tc>
      </w:tr>
      <w:tr w:rsidR="001F5F21" w:rsidRPr="001F5F21" w14:paraId="5B9F0A68" w14:textId="77777777" w:rsidTr="000843CA">
        <w:trPr>
          <w:trHeight w:val="338"/>
        </w:trPr>
        <w:tc>
          <w:tcPr>
            <w:tcW w:w="5742" w:type="dxa"/>
            <w:tcBorders>
              <w:top w:val="nil"/>
              <w:left w:val="double" w:sz="6" w:space="0" w:color="auto"/>
              <w:bottom w:val="dotted" w:sz="4" w:space="0" w:color="auto"/>
              <w:right w:val="nil"/>
            </w:tcBorders>
            <w:shd w:val="clear" w:color="000000" w:fill="FFFFFF"/>
            <w:vAlign w:val="center"/>
            <w:hideMark/>
          </w:tcPr>
          <w:p w14:paraId="0C02CADE"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21. Gross fixed capital formation</w:t>
            </w:r>
          </w:p>
        </w:tc>
        <w:tc>
          <w:tcPr>
            <w:tcW w:w="1135" w:type="dxa"/>
            <w:tcBorders>
              <w:top w:val="nil"/>
              <w:left w:val="dotted" w:sz="4" w:space="0" w:color="auto"/>
              <w:bottom w:val="dotted" w:sz="4" w:space="0" w:color="auto"/>
              <w:right w:val="single" w:sz="8" w:space="0" w:color="auto"/>
            </w:tcBorders>
            <w:shd w:val="clear" w:color="auto" w:fill="auto"/>
            <w:vAlign w:val="center"/>
            <w:hideMark/>
          </w:tcPr>
          <w:p w14:paraId="622D59D3"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P51</w:t>
            </w:r>
          </w:p>
        </w:tc>
        <w:tc>
          <w:tcPr>
            <w:tcW w:w="1357" w:type="dxa"/>
            <w:tcBorders>
              <w:top w:val="nil"/>
              <w:left w:val="nil"/>
              <w:bottom w:val="dotted" w:sz="4" w:space="0" w:color="auto"/>
              <w:right w:val="single" w:sz="8" w:space="0" w:color="auto"/>
            </w:tcBorders>
            <w:shd w:val="clear" w:color="auto" w:fill="auto"/>
            <w:vAlign w:val="center"/>
            <w:hideMark/>
          </w:tcPr>
          <w:p w14:paraId="00DBCFD1"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568,6</w:t>
            </w:r>
          </w:p>
        </w:tc>
        <w:tc>
          <w:tcPr>
            <w:tcW w:w="1357" w:type="dxa"/>
            <w:tcBorders>
              <w:top w:val="nil"/>
              <w:left w:val="nil"/>
              <w:bottom w:val="dotted" w:sz="4" w:space="0" w:color="auto"/>
              <w:right w:val="dotted" w:sz="4" w:space="0" w:color="auto"/>
            </w:tcBorders>
            <w:shd w:val="clear" w:color="auto" w:fill="auto"/>
            <w:vAlign w:val="center"/>
            <w:hideMark/>
          </w:tcPr>
          <w:p w14:paraId="0BC04871"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6,4</w:t>
            </w:r>
          </w:p>
        </w:tc>
        <w:tc>
          <w:tcPr>
            <w:tcW w:w="1357" w:type="dxa"/>
            <w:tcBorders>
              <w:top w:val="nil"/>
              <w:left w:val="nil"/>
              <w:bottom w:val="dotted" w:sz="4" w:space="0" w:color="auto"/>
              <w:right w:val="dotted" w:sz="4" w:space="0" w:color="auto"/>
            </w:tcBorders>
            <w:shd w:val="clear" w:color="auto" w:fill="auto"/>
            <w:vAlign w:val="center"/>
            <w:hideMark/>
          </w:tcPr>
          <w:p w14:paraId="6AA7BD6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7,4</w:t>
            </w:r>
          </w:p>
        </w:tc>
        <w:tc>
          <w:tcPr>
            <w:tcW w:w="1357" w:type="dxa"/>
            <w:tcBorders>
              <w:top w:val="nil"/>
              <w:left w:val="nil"/>
              <w:bottom w:val="dotted" w:sz="4" w:space="0" w:color="auto"/>
              <w:right w:val="dotted" w:sz="4" w:space="0" w:color="auto"/>
            </w:tcBorders>
            <w:shd w:val="clear" w:color="auto" w:fill="auto"/>
            <w:vAlign w:val="center"/>
            <w:hideMark/>
          </w:tcPr>
          <w:p w14:paraId="401A70D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7,4</w:t>
            </w:r>
          </w:p>
        </w:tc>
        <w:tc>
          <w:tcPr>
            <w:tcW w:w="1357" w:type="dxa"/>
            <w:tcBorders>
              <w:top w:val="nil"/>
              <w:left w:val="nil"/>
              <w:bottom w:val="dotted" w:sz="4" w:space="0" w:color="auto"/>
              <w:right w:val="dotted" w:sz="4" w:space="0" w:color="auto"/>
            </w:tcBorders>
            <w:shd w:val="clear" w:color="auto" w:fill="auto"/>
            <w:vAlign w:val="center"/>
            <w:hideMark/>
          </w:tcPr>
          <w:p w14:paraId="51681530"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7,2</w:t>
            </w:r>
          </w:p>
        </w:tc>
        <w:tc>
          <w:tcPr>
            <w:tcW w:w="1357" w:type="dxa"/>
            <w:tcBorders>
              <w:top w:val="nil"/>
              <w:left w:val="nil"/>
              <w:bottom w:val="dotted" w:sz="4" w:space="0" w:color="auto"/>
              <w:right w:val="double" w:sz="6" w:space="0" w:color="auto"/>
            </w:tcBorders>
            <w:shd w:val="clear" w:color="auto" w:fill="auto"/>
            <w:vAlign w:val="center"/>
            <w:hideMark/>
          </w:tcPr>
          <w:p w14:paraId="2101C2E8"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7,4</w:t>
            </w:r>
          </w:p>
        </w:tc>
      </w:tr>
      <w:tr w:rsidR="001F5F21" w:rsidRPr="001F5F21" w14:paraId="35605FF8" w14:textId="77777777" w:rsidTr="000843CA">
        <w:trPr>
          <w:trHeight w:val="338"/>
        </w:trPr>
        <w:tc>
          <w:tcPr>
            <w:tcW w:w="5742" w:type="dxa"/>
            <w:tcBorders>
              <w:top w:val="nil"/>
              <w:left w:val="double" w:sz="6" w:space="0" w:color="auto"/>
              <w:bottom w:val="dotted" w:sz="4" w:space="0" w:color="auto"/>
              <w:right w:val="nil"/>
            </w:tcBorders>
            <w:shd w:val="clear" w:color="000000" w:fill="FFFFFF"/>
            <w:vAlign w:val="center"/>
            <w:hideMark/>
          </w:tcPr>
          <w:p w14:paraId="7F5F2699"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22. Other (22 = 23-(17+18+19+20+21)) [6]</w:t>
            </w:r>
          </w:p>
        </w:tc>
        <w:tc>
          <w:tcPr>
            <w:tcW w:w="1135" w:type="dxa"/>
            <w:tcBorders>
              <w:top w:val="nil"/>
              <w:left w:val="dotted" w:sz="4" w:space="0" w:color="auto"/>
              <w:bottom w:val="dotted" w:sz="4" w:space="0" w:color="auto"/>
              <w:right w:val="single" w:sz="8" w:space="0" w:color="auto"/>
            </w:tcBorders>
            <w:shd w:val="clear" w:color="auto" w:fill="auto"/>
            <w:vAlign w:val="center"/>
            <w:hideMark/>
          </w:tcPr>
          <w:p w14:paraId="0058AE3A"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 </w:t>
            </w:r>
          </w:p>
        </w:tc>
        <w:tc>
          <w:tcPr>
            <w:tcW w:w="1357" w:type="dxa"/>
            <w:tcBorders>
              <w:top w:val="nil"/>
              <w:left w:val="nil"/>
              <w:bottom w:val="dotted" w:sz="4" w:space="0" w:color="auto"/>
              <w:right w:val="single" w:sz="8" w:space="0" w:color="auto"/>
            </w:tcBorders>
            <w:shd w:val="clear" w:color="auto" w:fill="auto"/>
            <w:vAlign w:val="center"/>
            <w:hideMark/>
          </w:tcPr>
          <w:p w14:paraId="6520973F"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221,1</w:t>
            </w:r>
          </w:p>
        </w:tc>
        <w:tc>
          <w:tcPr>
            <w:tcW w:w="1357" w:type="dxa"/>
            <w:tcBorders>
              <w:top w:val="nil"/>
              <w:left w:val="nil"/>
              <w:bottom w:val="dotted" w:sz="4" w:space="0" w:color="auto"/>
              <w:right w:val="dotted" w:sz="4" w:space="0" w:color="auto"/>
            </w:tcBorders>
            <w:shd w:val="clear" w:color="auto" w:fill="auto"/>
            <w:vAlign w:val="center"/>
            <w:hideMark/>
          </w:tcPr>
          <w:p w14:paraId="2E57443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2,5</w:t>
            </w:r>
          </w:p>
        </w:tc>
        <w:tc>
          <w:tcPr>
            <w:tcW w:w="1357" w:type="dxa"/>
            <w:tcBorders>
              <w:top w:val="nil"/>
              <w:left w:val="nil"/>
              <w:bottom w:val="dotted" w:sz="4" w:space="0" w:color="auto"/>
              <w:right w:val="dotted" w:sz="4" w:space="0" w:color="auto"/>
            </w:tcBorders>
            <w:shd w:val="clear" w:color="auto" w:fill="auto"/>
            <w:vAlign w:val="center"/>
            <w:hideMark/>
          </w:tcPr>
          <w:p w14:paraId="64E11BF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1,9</w:t>
            </w:r>
          </w:p>
        </w:tc>
        <w:tc>
          <w:tcPr>
            <w:tcW w:w="1357" w:type="dxa"/>
            <w:tcBorders>
              <w:top w:val="nil"/>
              <w:left w:val="nil"/>
              <w:bottom w:val="dotted" w:sz="4" w:space="0" w:color="auto"/>
              <w:right w:val="dotted" w:sz="4" w:space="0" w:color="auto"/>
            </w:tcBorders>
            <w:shd w:val="clear" w:color="auto" w:fill="auto"/>
            <w:vAlign w:val="center"/>
            <w:hideMark/>
          </w:tcPr>
          <w:p w14:paraId="2AFBBE9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1,6</w:t>
            </w:r>
          </w:p>
        </w:tc>
        <w:tc>
          <w:tcPr>
            <w:tcW w:w="1357" w:type="dxa"/>
            <w:tcBorders>
              <w:top w:val="nil"/>
              <w:left w:val="nil"/>
              <w:bottom w:val="dotted" w:sz="4" w:space="0" w:color="auto"/>
              <w:right w:val="dotted" w:sz="4" w:space="0" w:color="auto"/>
            </w:tcBorders>
            <w:shd w:val="clear" w:color="auto" w:fill="auto"/>
            <w:vAlign w:val="center"/>
            <w:hideMark/>
          </w:tcPr>
          <w:p w14:paraId="16CB35C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1,6</w:t>
            </w:r>
          </w:p>
        </w:tc>
        <w:tc>
          <w:tcPr>
            <w:tcW w:w="1357" w:type="dxa"/>
            <w:tcBorders>
              <w:top w:val="nil"/>
              <w:left w:val="nil"/>
              <w:bottom w:val="dotted" w:sz="4" w:space="0" w:color="auto"/>
              <w:right w:val="double" w:sz="6" w:space="0" w:color="auto"/>
            </w:tcBorders>
            <w:shd w:val="clear" w:color="auto" w:fill="auto"/>
            <w:vAlign w:val="center"/>
            <w:hideMark/>
          </w:tcPr>
          <w:p w14:paraId="0CDA7FA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1,5</w:t>
            </w:r>
          </w:p>
        </w:tc>
      </w:tr>
      <w:tr w:rsidR="001F5F21" w:rsidRPr="001F5F21" w14:paraId="53AADDCF" w14:textId="77777777" w:rsidTr="000843CA">
        <w:trPr>
          <w:trHeight w:val="338"/>
        </w:trPr>
        <w:tc>
          <w:tcPr>
            <w:tcW w:w="5742" w:type="dxa"/>
            <w:tcBorders>
              <w:top w:val="nil"/>
              <w:left w:val="double" w:sz="6" w:space="0" w:color="auto"/>
              <w:bottom w:val="dotted" w:sz="4" w:space="0" w:color="auto"/>
              <w:right w:val="nil"/>
            </w:tcBorders>
            <w:shd w:val="clear" w:color="000000" w:fill="FFFFFF"/>
            <w:vAlign w:val="center"/>
            <w:hideMark/>
          </w:tcPr>
          <w:p w14:paraId="4D4E844F"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 xml:space="preserve">23. Total expenditures </w:t>
            </w:r>
          </w:p>
        </w:tc>
        <w:tc>
          <w:tcPr>
            <w:tcW w:w="1135" w:type="dxa"/>
            <w:tcBorders>
              <w:top w:val="nil"/>
              <w:left w:val="dotted" w:sz="4" w:space="0" w:color="auto"/>
              <w:bottom w:val="dotted" w:sz="4" w:space="0" w:color="auto"/>
              <w:right w:val="single" w:sz="8" w:space="0" w:color="auto"/>
            </w:tcBorders>
            <w:shd w:val="clear" w:color="auto" w:fill="auto"/>
            <w:vAlign w:val="center"/>
            <w:hideMark/>
          </w:tcPr>
          <w:p w14:paraId="5836B505"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TE [1]</w:t>
            </w:r>
          </w:p>
        </w:tc>
        <w:tc>
          <w:tcPr>
            <w:tcW w:w="1357" w:type="dxa"/>
            <w:tcBorders>
              <w:top w:val="nil"/>
              <w:left w:val="nil"/>
              <w:bottom w:val="dotted" w:sz="4" w:space="0" w:color="auto"/>
              <w:right w:val="single" w:sz="8" w:space="0" w:color="auto"/>
            </w:tcBorders>
            <w:shd w:val="clear" w:color="auto" w:fill="auto"/>
            <w:vAlign w:val="center"/>
            <w:hideMark/>
          </w:tcPr>
          <w:p w14:paraId="45CB775A"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3.654,4</w:t>
            </w:r>
          </w:p>
        </w:tc>
        <w:tc>
          <w:tcPr>
            <w:tcW w:w="1357" w:type="dxa"/>
            <w:tcBorders>
              <w:top w:val="nil"/>
              <w:left w:val="nil"/>
              <w:bottom w:val="dotted" w:sz="4" w:space="0" w:color="auto"/>
              <w:right w:val="dotted" w:sz="4" w:space="0" w:color="auto"/>
            </w:tcBorders>
            <w:shd w:val="clear" w:color="auto" w:fill="auto"/>
            <w:vAlign w:val="center"/>
            <w:hideMark/>
          </w:tcPr>
          <w:p w14:paraId="29AE9F2C"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41,4</w:t>
            </w:r>
          </w:p>
        </w:tc>
        <w:tc>
          <w:tcPr>
            <w:tcW w:w="1357" w:type="dxa"/>
            <w:tcBorders>
              <w:top w:val="nil"/>
              <w:left w:val="nil"/>
              <w:bottom w:val="dotted" w:sz="4" w:space="0" w:color="auto"/>
              <w:right w:val="dotted" w:sz="4" w:space="0" w:color="auto"/>
            </w:tcBorders>
            <w:shd w:val="clear" w:color="auto" w:fill="auto"/>
            <w:vAlign w:val="center"/>
            <w:hideMark/>
          </w:tcPr>
          <w:p w14:paraId="2B1D2EE8"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43,6</w:t>
            </w:r>
          </w:p>
        </w:tc>
        <w:tc>
          <w:tcPr>
            <w:tcW w:w="1357" w:type="dxa"/>
            <w:tcBorders>
              <w:top w:val="nil"/>
              <w:left w:val="nil"/>
              <w:bottom w:val="dotted" w:sz="4" w:space="0" w:color="auto"/>
              <w:right w:val="dotted" w:sz="4" w:space="0" w:color="auto"/>
            </w:tcBorders>
            <w:shd w:val="clear" w:color="auto" w:fill="auto"/>
            <w:vAlign w:val="center"/>
            <w:hideMark/>
          </w:tcPr>
          <w:p w14:paraId="199D3E8B"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44,3</w:t>
            </w:r>
          </w:p>
        </w:tc>
        <w:tc>
          <w:tcPr>
            <w:tcW w:w="1357" w:type="dxa"/>
            <w:tcBorders>
              <w:top w:val="nil"/>
              <w:left w:val="nil"/>
              <w:bottom w:val="dotted" w:sz="4" w:space="0" w:color="auto"/>
              <w:right w:val="dotted" w:sz="4" w:space="0" w:color="auto"/>
            </w:tcBorders>
            <w:shd w:val="clear" w:color="auto" w:fill="auto"/>
            <w:vAlign w:val="center"/>
            <w:hideMark/>
          </w:tcPr>
          <w:p w14:paraId="4075202E"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43,9</w:t>
            </w:r>
          </w:p>
        </w:tc>
        <w:tc>
          <w:tcPr>
            <w:tcW w:w="1357" w:type="dxa"/>
            <w:tcBorders>
              <w:top w:val="nil"/>
              <w:left w:val="nil"/>
              <w:bottom w:val="dotted" w:sz="4" w:space="0" w:color="auto"/>
              <w:right w:val="double" w:sz="6" w:space="0" w:color="auto"/>
            </w:tcBorders>
            <w:shd w:val="clear" w:color="auto" w:fill="auto"/>
            <w:vAlign w:val="center"/>
            <w:hideMark/>
          </w:tcPr>
          <w:p w14:paraId="68605BB3"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43,5</w:t>
            </w:r>
          </w:p>
        </w:tc>
      </w:tr>
      <w:tr w:rsidR="001F5F21" w:rsidRPr="001F5F21" w14:paraId="4302B36F" w14:textId="77777777" w:rsidTr="000843CA">
        <w:trPr>
          <w:trHeight w:val="277"/>
        </w:trPr>
        <w:tc>
          <w:tcPr>
            <w:tcW w:w="5742" w:type="dxa"/>
            <w:tcBorders>
              <w:top w:val="nil"/>
              <w:left w:val="double" w:sz="6" w:space="0" w:color="auto"/>
              <w:bottom w:val="double" w:sz="6" w:space="0" w:color="auto"/>
              <w:right w:val="nil"/>
            </w:tcBorders>
            <w:shd w:val="clear" w:color="auto" w:fill="auto"/>
            <w:vAlign w:val="bottom"/>
            <w:hideMark/>
          </w:tcPr>
          <w:p w14:paraId="5D0C2ABC" w14:textId="77777777" w:rsidR="001F5F21" w:rsidRPr="001F5F21" w:rsidRDefault="001F5F21" w:rsidP="001F5F21">
            <w:pPr>
              <w:spacing w:after="0"/>
              <w:jc w:val="left"/>
              <w:rPr>
                <w:rFonts w:eastAsia="Times New Roman" w:cs="Times New Roman"/>
                <w:szCs w:val="24"/>
              </w:rPr>
            </w:pPr>
            <w:r w:rsidRPr="001F5F21">
              <w:rPr>
                <w:rFonts w:eastAsia="Times New Roman" w:cs="Times New Roman"/>
                <w:szCs w:val="24"/>
              </w:rPr>
              <w:t>p.m.  compensation of employees</w:t>
            </w:r>
          </w:p>
        </w:tc>
        <w:tc>
          <w:tcPr>
            <w:tcW w:w="1135" w:type="dxa"/>
            <w:tcBorders>
              <w:top w:val="nil"/>
              <w:left w:val="dotted" w:sz="4" w:space="0" w:color="auto"/>
              <w:bottom w:val="double" w:sz="6" w:space="0" w:color="auto"/>
              <w:right w:val="single" w:sz="8" w:space="0" w:color="auto"/>
            </w:tcBorders>
            <w:shd w:val="clear" w:color="auto" w:fill="auto"/>
            <w:vAlign w:val="bottom"/>
            <w:hideMark/>
          </w:tcPr>
          <w:p w14:paraId="36D054A6" w14:textId="77777777" w:rsidR="001F5F21" w:rsidRPr="001F5F21" w:rsidRDefault="001F5F21" w:rsidP="001F5F21">
            <w:pPr>
              <w:spacing w:after="0"/>
              <w:jc w:val="center"/>
              <w:rPr>
                <w:rFonts w:eastAsia="Times New Roman" w:cs="Times New Roman"/>
                <w:sz w:val="20"/>
                <w:szCs w:val="20"/>
              </w:rPr>
            </w:pPr>
            <w:r w:rsidRPr="001F5F21">
              <w:rPr>
                <w:rFonts w:eastAsia="Times New Roman" w:cs="Times New Roman"/>
                <w:sz w:val="20"/>
                <w:szCs w:val="20"/>
              </w:rPr>
              <w:t>D1</w:t>
            </w:r>
          </w:p>
        </w:tc>
        <w:tc>
          <w:tcPr>
            <w:tcW w:w="1357" w:type="dxa"/>
            <w:tcBorders>
              <w:top w:val="nil"/>
              <w:left w:val="nil"/>
              <w:bottom w:val="double" w:sz="6" w:space="0" w:color="auto"/>
              <w:right w:val="single" w:sz="8" w:space="0" w:color="auto"/>
            </w:tcBorders>
            <w:shd w:val="clear" w:color="auto" w:fill="auto"/>
            <w:vAlign w:val="bottom"/>
            <w:hideMark/>
          </w:tcPr>
          <w:p w14:paraId="714C42C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774,9</w:t>
            </w:r>
          </w:p>
        </w:tc>
        <w:tc>
          <w:tcPr>
            <w:tcW w:w="1357" w:type="dxa"/>
            <w:tcBorders>
              <w:top w:val="nil"/>
              <w:left w:val="nil"/>
              <w:bottom w:val="double" w:sz="6" w:space="0" w:color="auto"/>
              <w:right w:val="dotted" w:sz="4" w:space="0" w:color="auto"/>
            </w:tcBorders>
            <w:shd w:val="clear" w:color="auto" w:fill="auto"/>
            <w:vAlign w:val="bottom"/>
            <w:hideMark/>
          </w:tcPr>
          <w:p w14:paraId="15AB1B1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8,8</w:t>
            </w:r>
          </w:p>
        </w:tc>
        <w:tc>
          <w:tcPr>
            <w:tcW w:w="1357" w:type="dxa"/>
            <w:tcBorders>
              <w:top w:val="nil"/>
              <w:left w:val="nil"/>
              <w:bottom w:val="double" w:sz="6" w:space="0" w:color="auto"/>
              <w:right w:val="dotted" w:sz="4" w:space="0" w:color="auto"/>
            </w:tcBorders>
            <w:shd w:val="clear" w:color="auto" w:fill="auto"/>
            <w:vAlign w:val="bottom"/>
            <w:hideMark/>
          </w:tcPr>
          <w:p w14:paraId="603B4E2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9,5</w:t>
            </w:r>
          </w:p>
        </w:tc>
        <w:tc>
          <w:tcPr>
            <w:tcW w:w="1357" w:type="dxa"/>
            <w:tcBorders>
              <w:top w:val="nil"/>
              <w:left w:val="nil"/>
              <w:bottom w:val="double" w:sz="6" w:space="0" w:color="auto"/>
              <w:right w:val="dotted" w:sz="4" w:space="0" w:color="auto"/>
            </w:tcBorders>
            <w:shd w:val="clear" w:color="auto" w:fill="auto"/>
            <w:vAlign w:val="bottom"/>
            <w:hideMark/>
          </w:tcPr>
          <w:p w14:paraId="5E31C6E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9,8</w:t>
            </w:r>
          </w:p>
        </w:tc>
        <w:tc>
          <w:tcPr>
            <w:tcW w:w="1357" w:type="dxa"/>
            <w:tcBorders>
              <w:top w:val="nil"/>
              <w:left w:val="nil"/>
              <w:bottom w:val="double" w:sz="6" w:space="0" w:color="auto"/>
              <w:right w:val="dotted" w:sz="4" w:space="0" w:color="auto"/>
            </w:tcBorders>
            <w:shd w:val="clear" w:color="auto" w:fill="auto"/>
            <w:vAlign w:val="bottom"/>
            <w:hideMark/>
          </w:tcPr>
          <w:p w14:paraId="36A816C9"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9,8</w:t>
            </w:r>
          </w:p>
        </w:tc>
        <w:tc>
          <w:tcPr>
            <w:tcW w:w="1357" w:type="dxa"/>
            <w:tcBorders>
              <w:top w:val="nil"/>
              <w:left w:val="nil"/>
              <w:bottom w:val="double" w:sz="6" w:space="0" w:color="auto"/>
              <w:right w:val="double" w:sz="6" w:space="0" w:color="auto"/>
            </w:tcBorders>
            <w:shd w:val="clear" w:color="auto" w:fill="auto"/>
            <w:vAlign w:val="bottom"/>
            <w:hideMark/>
          </w:tcPr>
          <w:p w14:paraId="697EDD75" w14:textId="77777777" w:rsidR="001F5F21" w:rsidRPr="001F5F21" w:rsidRDefault="001F5F21" w:rsidP="001F5F21">
            <w:pPr>
              <w:spacing w:after="0"/>
              <w:jc w:val="center"/>
              <w:rPr>
                <w:rFonts w:eastAsia="Times New Roman" w:cs="Times New Roman"/>
                <w:szCs w:val="24"/>
              </w:rPr>
            </w:pPr>
            <w:r w:rsidRPr="001F5F21">
              <w:rPr>
                <w:rFonts w:eastAsia="Times New Roman" w:cs="Times New Roman"/>
                <w:szCs w:val="24"/>
              </w:rPr>
              <w:t>9,8</w:t>
            </w:r>
          </w:p>
        </w:tc>
      </w:tr>
    </w:tbl>
    <w:p w14:paraId="639BA7D2" w14:textId="77777777" w:rsidR="000843CA" w:rsidRDefault="001F5F21">
      <w:pPr>
        <w:spacing w:after="160" w:line="259" w:lineRule="auto"/>
        <w:jc w:val="left"/>
      </w:pPr>
      <w:r>
        <w:fldChar w:fldCharType="end"/>
      </w:r>
    </w:p>
    <w:tbl>
      <w:tblPr>
        <w:tblW w:w="13501" w:type="dxa"/>
        <w:tblLook w:val="04A0" w:firstRow="1" w:lastRow="0" w:firstColumn="1" w:lastColumn="0" w:noHBand="0" w:noVBand="1"/>
      </w:tblPr>
      <w:tblGrid>
        <w:gridCol w:w="12549"/>
        <w:gridCol w:w="266"/>
        <w:gridCol w:w="266"/>
        <w:gridCol w:w="266"/>
        <w:gridCol w:w="266"/>
        <w:gridCol w:w="266"/>
        <w:gridCol w:w="266"/>
        <w:gridCol w:w="266"/>
      </w:tblGrid>
      <w:tr w:rsidR="000843CA" w:rsidRPr="000843CA" w14:paraId="6D2F13F3" w14:textId="77777777" w:rsidTr="000843CA">
        <w:trPr>
          <w:trHeight w:val="258"/>
        </w:trPr>
        <w:tc>
          <w:tcPr>
            <w:tcW w:w="13501" w:type="dxa"/>
            <w:gridSpan w:val="8"/>
            <w:tcBorders>
              <w:top w:val="nil"/>
              <w:left w:val="nil"/>
              <w:bottom w:val="nil"/>
              <w:right w:val="nil"/>
            </w:tcBorders>
            <w:shd w:val="clear" w:color="auto" w:fill="auto"/>
            <w:noWrap/>
            <w:vAlign w:val="bottom"/>
            <w:hideMark/>
          </w:tcPr>
          <w:p w14:paraId="2E28C58A"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[1]   Adjusted for the next flow of swap-related flows, so the TR-TE = EDP.B9.</w:t>
            </w:r>
          </w:p>
        </w:tc>
      </w:tr>
      <w:tr w:rsidR="000843CA" w:rsidRPr="000843CA" w14:paraId="5EE6B24B" w14:textId="77777777" w:rsidTr="000843CA">
        <w:trPr>
          <w:trHeight w:val="258"/>
        </w:trPr>
        <w:tc>
          <w:tcPr>
            <w:tcW w:w="12821" w:type="dxa"/>
            <w:gridSpan w:val="3"/>
            <w:tcBorders>
              <w:top w:val="nil"/>
              <w:left w:val="nil"/>
              <w:bottom w:val="nil"/>
              <w:right w:val="nil"/>
            </w:tcBorders>
            <w:shd w:val="clear" w:color="000000" w:fill="FFFFFF"/>
            <w:noWrap/>
            <w:vAlign w:val="bottom"/>
            <w:hideMark/>
          </w:tcPr>
          <w:p w14:paraId="421D42CB"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[2]   The primary balance is calculated as (EDP B.9, item 8) plus (EDP D.41, item 9).</w:t>
            </w:r>
          </w:p>
        </w:tc>
        <w:tc>
          <w:tcPr>
            <w:tcW w:w="136" w:type="dxa"/>
            <w:tcBorders>
              <w:top w:val="nil"/>
              <w:left w:val="nil"/>
              <w:bottom w:val="nil"/>
              <w:right w:val="nil"/>
            </w:tcBorders>
            <w:shd w:val="clear" w:color="000000" w:fill="FFFFFF"/>
            <w:noWrap/>
            <w:vAlign w:val="center"/>
            <w:hideMark/>
          </w:tcPr>
          <w:p w14:paraId="779846C6"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27E022C0"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5CA1ED4D"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4B197CBD"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2BD3295D"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r>
      <w:tr w:rsidR="000843CA" w:rsidRPr="000843CA" w14:paraId="7262BC18" w14:textId="77777777" w:rsidTr="000843CA">
        <w:trPr>
          <w:trHeight w:val="258"/>
        </w:trPr>
        <w:tc>
          <w:tcPr>
            <w:tcW w:w="12549" w:type="dxa"/>
            <w:tcBorders>
              <w:top w:val="nil"/>
              <w:left w:val="nil"/>
              <w:bottom w:val="nil"/>
              <w:right w:val="nil"/>
            </w:tcBorders>
            <w:shd w:val="clear" w:color="000000" w:fill="FFFFFF"/>
            <w:noWrap/>
            <w:vAlign w:val="center"/>
            <w:hideMark/>
          </w:tcPr>
          <w:p w14:paraId="5352DB76"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[3]   A plus sign means deficit-reducing one-off measures</w:t>
            </w:r>
          </w:p>
        </w:tc>
        <w:tc>
          <w:tcPr>
            <w:tcW w:w="136" w:type="dxa"/>
            <w:tcBorders>
              <w:top w:val="nil"/>
              <w:left w:val="nil"/>
              <w:bottom w:val="nil"/>
              <w:right w:val="nil"/>
            </w:tcBorders>
            <w:shd w:val="clear" w:color="000000" w:fill="FFFFFF"/>
            <w:noWrap/>
            <w:vAlign w:val="center"/>
            <w:hideMark/>
          </w:tcPr>
          <w:p w14:paraId="2CBA0D25" w14:textId="77777777" w:rsidR="000843CA" w:rsidRPr="000843CA" w:rsidRDefault="000843CA" w:rsidP="000843CA">
            <w:pPr>
              <w:spacing w:after="0"/>
              <w:rPr>
                <w:rFonts w:eastAsia="Times New Roman" w:cs="Times New Roman"/>
                <w:sz w:val="16"/>
                <w:szCs w:val="16"/>
              </w:rPr>
            </w:pPr>
            <w:r w:rsidRPr="000843CA">
              <w:rPr>
                <w:rFonts w:eastAsia="Times New Roman" w:cs="Times New Roman"/>
                <w:sz w:val="16"/>
                <w:szCs w:val="16"/>
              </w:rPr>
              <w:t> </w:t>
            </w:r>
          </w:p>
        </w:tc>
        <w:tc>
          <w:tcPr>
            <w:tcW w:w="136" w:type="dxa"/>
            <w:tcBorders>
              <w:top w:val="nil"/>
              <w:left w:val="nil"/>
              <w:bottom w:val="nil"/>
              <w:right w:val="nil"/>
            </w:tcBorders>
            <w:shd w:val="clear" w:color="000000" w:fill="FFFFFF"/>
            <w:noWrap/>
            <w:vAlign w:val="center"/>
            <w:hideMark/>
          </w:tcPr>
          <w:p w14:paraId="7896FEA8"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53B47867"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4D7BED8B"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2654DD71"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20BFF9C4"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7FDD9324"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r>
      <w:tr w:rsidR="000843CA" w:rsidRPr="000843CA" w14:paraId="58B6DFDD" w14:textId="77777777" w:rsidTr="000843CA">
        <w:trPr>
          <w:trHeight w:val="258"/>
        </w:trPr>
        <w:tc>
          <w:tcPr>
            <w:tcW w:w="12549" w:type="dxa"/>
            <w:tcBorders>
              <w:top w:val="nil"/>
              <w:left w:val="nil"/>
              <w:bottom w:val="nil"/>
              <w:right w:val="nil"/>
            </w:tcBorders>
            <w:shd w:val="clear" w:color="000000" w:fill="FFFFFF"/>
            <w:noWrap/>
            <w:vAlign w:val="bottom"/>
            <w:hideMark/>
          </w:tcPr>
          <w:p w14:paraId="50D6D3D6"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[4]   P.11+P.12+P.131+D.39+D.7+D.9 (other than D.91).</w:t>
            </w:r>
          </w:p>
        </w:tc>
        <w:tc>
          <w:tcPr>
            <w:tcW w:w="136" w:type="dxa"/>
            <w:tcBorders>
              <w:top w:val="nil"/>
              <w:left w:val="nil"/>
              <w:bottom w:val="nil"/>
              <w:right w:val="nil"/>
            </w:tcBorders>
            <w:shd w:val="clear" w:color="000000" w:fill="FFFFFF"/>
            <w:noWrap/>
            <w:vAlign w:val="center"/>
            <w:hideMark/>
          </w:tcPr>
          <w:p w14:paraId="5C89A0F7"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26F116F9"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0A0B0FE0"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656CA771"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14607431"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535642FB"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2F548674"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r>
      <w:tr w:rsidR="000843CA" w:rsidRPr="000843CA" w14:paraId="6BE17E8A" w14:textId="77777777" w:rsidTr="000843CA">
        <w:trPr>
          <w:trHeight w:val="258"/>
        </w:trPr>
        <w:tc>
          <w:tcPr>
            <w:tcW w:w="13229" w:type="dxa"/>
            <w:gridSpan w:val="6"/>
            <w:tcBorders>
              <w:top w:val="nil"/>
              <w:left w:val="nil"/>
              <w:bottom w:val="nil"/>
              <w:right w:val="nil"/>
            </w:tcBorders>
            <w:shd w:val="clear" w:color="000000" w:fill="FFFFFF"/>
            <w:noWrap/>
            <w:vAlign w:val="bottom"/>
            <w:hideMark/>
          </w:tcPr>
          <w:p w14:paraId="7AB70550"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[5]   Including those collected by the EU and including an adjustment for uncollected taxes and social contributions (D995), if appropriate.</w:t>
            </w:r>
          </w:p>
        </w:tc>
        <w:tc>
          <w:tcPr>
            <w:tcW w:w="136" w:type="dxa"/>
            <w:tcBorders>
              <w:top w:val="nil"/>
              <w:left w:val="nil"/>
              <w:bottom w:val="nil"/>
              <w:right w:val="nil"/>
            </w:tcBorders>
            <w:shd w:val="clear" w:color="000000" w:fill="FFFFFF"/>
            <w:noWrap/>
            <w:vAlign w:val="center"/>
            <w:hideMark/>
          </w:tcPr>
          <w:p w14:paraId="5A53BAB5"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592E9A47"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r>
      <w:tr w:rsidR="000843CA" w:rsidRPr="000843CA" w14:paraId="322CDF03" w14:textId="77777777" w:rsidTr="000843CA">
        <w:trPr>
          <w:trHeight w:val="258"/>
        </w:trPr>
        <w:tc>
          <w:tcPr>
            <w:tcW w:w="12685" w:type="dxa"/>
            <w:gridSpan w:val="2"/>
            <w:tcBorders>
              <w:top w:val="nil"/>
              <w:left w:val="nil"/>
              <w:bottom w:val="nil"/>
              <w:right w:val="nil"/>
            </w:tcBorders>
            <w:shd w:val="clear" w:color="000000" w:fill="FFFFFF"/>
            <w:noWrap/>
            <w:vAlign w:val="bottom"/>
            <w:hideMark/>
          </w:tcPr>
          <w:p w14:paraId="44C071CA"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[6]   D.29+D4 (other than D.41)+ D.5+D.7+D.9+P.52+P.53+K.2+D.8.</w:t>
            </w:r>
          </w:p>
        </w:tc>
        <w:tc>
          <w:tcPr>
            <w:tcW w:w="136" w:type="dxa"/>
            <w:tcBorders>
              <w:top w:val="nil"/>
              <w:left w:val="nil"/>
              <w:bottom w:val="nil"/>
              <w:right w:val="nil"/>
            </w:tcBorders>
            <w:shd w:val="clear" w:color="000000" w:fill="FFFFFF"/>
            <w:noWrap/>
            <w:vAlign w:val="center"/>
            <w:hideMark/>
          </w:tcPr>
          <w:p w14:paraId="25DA1D63"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3BA631FC"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71D87446"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17F19892"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2A76C553"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14:paraId="297CC20B" w14:textId="77777777" w:rsidR="000843CA" w:rsidRPr="000843CA" w:rsidRDefault="000843CA" w:rsidP="000843CA">
            <w:pPr>
              <w:spacing w:after="0"/>
              <w:jc w:val="left"/>
              <w:rPr>
                <w:rFonts w:eastAsia="Times New Roman" w:cs="Times New Roman"/>
                <w:sz w:val="20"/>
                <w:szCs w:val="20"/>
              </w:rPr>
            </w:pPr>
            <w:r w:rsidRPr="000843CA">
              <w:rPr>
                <w:rFonts w:eastAsia="Times New Roman" w:cs="Times New Roman"/>
                <w:sz w:val="20"/>
                <w:szCs w:val="20"/>
              </w:rPr>
              <w:t> </w:t>
            </w:r>
          </w:p>
        </w:tc>
      </w:tr>
    </w:tbl>
    <w:p w14:paraId="4862B3AF" w14:textId="77777777" w:rsidR="006B676B" w:rsidRDefault="006B676B">
      <w:pPr>
        <w:spacing w:after="160" w:line="259" w:lineRule="auto"/>
        <w:jc w:val="left"/>
      </w:pPr>
    </w:p>
    <w:p w14:paraId="08302A61" w14:textId="77777777" w:rsidR="006B676B" w:rsidRDefault="006B676B">
      <w:pPr>
        <w:spacing w:after="160" w:line="259" w:lineRule="auto"/>
        <w:jc w:val="left"/>
      </w:pPr>
      <w:r>
        <w:br w:type="page"/>
      </w:r>
    </w:p>
    <w:p w14:paraId="4B0BB8B2" w14:textId="429A7F65" w:rsidR="006B676B" w:rsidRDefault="006B676B" w:rsidP="006B676B">
      <w:pPr>
        <w:spacing w:after="0"/>
        <w:jc w:val="left"/>
        <w:rPr>
          <w:rFonts w:eastAsia="Times New Roman" w:cs="Times New Roman"/>
          <w:bCs/>
          <w:szCs w:val="24"/>
        </w:rPr>
      </w:pPr>
      <w:r w:rsidRPr="006B676B">
        <w:rPr>
          <w:rFonts w:eastAsia="Times New Roman" w:cs="Times New Roman"/>
          <w:bCs/>
          <w:szCs w:val="24"/>
        </w:rPr>
        <w:lastRenderedPageBreak/>
        <w:t>Table 2b:  General government budgetary prospects</w:t>
      </w:r>
    </w:p>
    <w:p w14:paraId="3C16160D" w14:textId="4D36A607" w:rsidR="006B676B" w:rsidRDefault="006B676B" w:rsidP="006B676B">
      <w:pPr>
        <w:spacing w:after="0"/>
        <w:jc w:val="left"/>
        <w:rPr>
          <w:rFonts w:eastAsia="Times New Roman" w:cs="Times New Roman"/>
          <w:bCs/>
          <w:szCs w:val="24"/>
        </w:rPr>
      </w:pPr>
    </w:p>
    <w:p w14:paraId="3256C0BF" w14:textId="09846380" w:rsidR="006B676B" w:rsidRDefault="006B676B" w:rsidP="006B676B">
      <w:pPr>
        <w:spacing w:after="0"/>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Tab2b-GG!R4C2:R40C9 </w:instrText>
      </w:r>
      <w:r>
        <w:instrText xml:space="preserve">\a \f 4 \h  \* MERGEFORMAT </w:instrText>
      </w:r>
      <w:r>
        <w:fldChar w:fldCharType="separate"/>
      </w:r>
    </w:p>
    <w:tbl>
      <w:tblPr>
        <w:tblW w:w="15029" w:type="dxa"/>
        <w:tblLook w:val="04A0" w:firstRow="1" w:lastRow="0" w:firstColumn="1" w:lastColumn="0" w:noHBand="0" w:noVBand="1"/>
      </w:tblPr>
      <w:tblGrid>
        <w:gridCol w:w="5830"/>
        <w:gridCol w:w="1152"/>
        <w:gridCol w:w="1152"/>
        <w:gridCol w:w="1378"/>
        <w:gridCol w:w="1378"/>
        <w:gridCol w:w="1378"/>
        <w:gridCol w:w="1378"/>
        <w:gridCol w:w="1383"/>
      </w:tblGrid>
      <w:tr w:rsidR="006B676B" w:rsidRPr="006B676B" w14:paraId="177FDCE5" w14:textId="77777777" w:rsidTr="006B676B">
        <w:trPr>
          <w:trHeight w:val="287"/>
        </w:trPr>
        <w:tc>
          <w:tcPr>
            <w:tcW w:w="5830" w:type="dxa"/>
            <w:vMerge w:val="restart"/>
            <w:tcBorders>
              <w:top w:val="double" w:sz="6" w:space="0" w:color="auto"/>
              <w:left w:val="double" w:sz="6" w:space="0" w:color="auto"/>
              <w:bottom w:val="nil"/>
              <w:right w:val="nil"/>
            </w:tcBorders>
            <w:shd w:val="clear" w:color="000000" w:fill="FFFFFF"/>
            <w:vAlign w:val="center"/>
            <w:hideMark/>
          </w:tcPr>
          <w:p w14:paraId="48D0F95B" w14:textId="488F08F0"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 </w:t>
            </w:r>
          </w:p>
        </w:tc>
        <w:tc>
          <w:tcPr>
            <w:tcW w:w="1152" w:type="dxa"/>
            <w:vMerge w:val="restart"/>
            <w:tcBorders>
              <w:top w:val="double" w:sz="6" w:space="0" w:color="auto"/>
              <w:left w:val="nil"/>
              <w:bottom w:val="single" w:sz="8" w:space="0" w:color="000000"/>
              <w:right w:val="single" w:sz="8" w:space="0" w:color="auto"/>
            </w:tcBorders>
            <w:shd w:val="clear" w:color="000000" w:fill="FFFFFF"/>
            <w:vAlign w:val="center"/>
            <w:hideMark/>
          </w:tcPr>
          <w:p w14:paraId="13FAFC1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 </w:t>
            </w:r>
          </w:p>
        </w:tc>
        <w:tc>
          <w:tcPr>
            <w:tcW w:w="1152"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1EA5C4A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ESA code</w:t>
            </w:r>
          </w:p>
        </w:tc>
        <w:tc>
          <w:tcPr>
            <w:tcW w:w="1378" w:type="dxa"/>
            <w:tcBorders>
              <w:top w:val="double" w:sz="6" w:space="0" w:color="auto"/>
              <w:left w:val="nil"/>
              <w:bottom w:val="nil"/>
              <w:right w:val="dotted" w:sz="4" w:space="0" w:color="auto"/>
            </w:tcBorders>
            <w:shd w:val="clear" w:color="000000" w:fill="FFFFFF"/>
            <w:vAlign w:val="center"/>
            <w:hideMark/>
          </w:tcPr>
          <w:p w14:paraId="5875899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Year</w:t>
            </w:r>
          </w:p>
        </w:tc>
        <w:tc>
          <w:tcPr>
            <w:tcW w:w="1378" w:type="dxa"/>
            <w:tcBorders>
              <w:top w:val="double" w:sz="6" w:space="0" w:color="auto"/>
              <w:left w:val="nil"/>
              <w:bottom w:val="nil"/>
              <w:right w:val="dotted" w:sz="4" w:space="0" w:color="auto"/>
            </w:tcBorders>
            <w:shd w:val="clear" w:color="000000" w:fill="FFFFFF"/>
            <w:vAlign w:val="center"/>
            <w:hideMark/>
          </w:tcPr>
          <w:p w14:paraId="302C40A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Year</w:t>
            </w:r>
          </w:p>
        </w:tc>
        <w:tc>
          <w:tcPr>
            <w:tcW w:w="1378" w:type="dxa"/>
            <w:tcBorders>
              <w:top w:val="double" w:sz="6" w:space="0" w:color="auto"/>
              <w:left w:val="nil"/>
              <w:bottom w:val="nil"/>
              <w:right w:val="dotted" w:sz="4" w:space="0" w:color="auto"/>
            </w:tcBorders>
            <w:shd w:val="clear" w:color="000000" w:fill="FFFFFF"/>
            <w:vAlign w:val="center"/>
            <w:hideMark/>
          </w:tcPr>
          <w:p w14:paraId="2CB9BFA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Year</w:t>
            </w:r>
          </w:p>
        </w:tc>
        <w:tc>
          <w:tcPr>
            <w:tcW w:w="1378" w:type="dxa"/>
            <w:tcBorders>
              <w:top w:val="double" w:sz="6" w:space="0" w:color="auto"/>
              <w:left w:val="nil"/>
              <w:bottom w:val="nil"/>
              <w:right w:val="dotted" w:sz="4" w:space="0" w:color="auto"/>
            </w:tcBorders>
            <w:shd w:val="clear" w:color="000000" w:fill="FFFFFF"/>
            <w:vAlign w:val="center"/>
            <w:hideMark/>
          </w:tcPr>
          <w:p w14:paraId="6CFA5A35"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Year</w:t>
            </w:r>
          </w:p>
        </w:tc>
        <w:tc>
          <w:tcPr>
            <w:tcW w:w="1378" w:type="dxa"/>
            <w:tcBorders>
              <w:top w:val="double" w:sz="6" w:space="0" w:color="auto"/>
              <w:left w:val="nil"/>
              <w:bottom w:val="nil"/>
              <w:right w:val="double" w:sz="6" w:space="0" w:color="auto"/>
            </w:tcBorders>
            <w:shd w:val="clear" w:color="000000" w:fill="FFFFFF"/>
            <w:vAlign w:val="center"/>
            <w:hideMark/>
          </w:tcPr>
          <w:p w14:paraId="5B639CB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Year</w:t>
            </w:r>
          </w:p>
        </w:tc>
      </w:tr>
      <w:tr w:rsidR="006B676B" w:rsidRPr="006B676B" w14:paraId="09BC6C90" w14:textId="77777777" w:rsidTr="006B676B">
        <w:trPr>
          <w:trHeight w:val="269"/>
        </w:trPr>
        <w:tc>
          <w:tcPr>
            <w:tcW w:w="5830" w:type="dxa"/>
            <w:vMerge/>
            <w:tcBorders>
              <w:top w:val="double" w:sz="6" w:space="0" w:color="auto"/>
              <w:left w:val="double" w:sz="6" w:space="0" w:color="auto"/>
              <w:bottom w:val="nil"/>
              <w:right w:val="nil"/>
            </w:tcBorders>
            <w:vAlign w:val="center"/>
            <w:hideMark/>
          </w:tcPr>
          <w:p w14:paraId="1F49EA73" w14:textId="77777777" w:rsidR="006B676B" w:rsidRPr="006B676B" w:rsidRDefault="006B676B" w:rsidP="006B676B">
            <w:pPr>
              <w:spacing w:after="0"/>
              <w:jc w:val="left"/>
              <w:rPr>
                <w:rFonts w:eastAsia="Times New Roman" w:cs="Times New Roman"/>
                <w:szCs w:val="24"/>
              </w:rPr>
            </w:pPr>
          </w:p>
        </w:tc>
        <w:tc>
          <w:tcPr>
            <w:tcW w:w="1152" w:type="dxa"/>
            <w:vMerge/>
            <w:tcBorders>
              <w:top w:val="double" w:sz="6" w:space="0" w:color="auto"/>
              <w:left w:val="nil"/>
              <w:bottom w:val="single" w:sz="8" w:space="0" w:color="000000"/>
              <w:right w:val="single" w:sz="8" w:space="0" w:color="auto"/>
            </w:tcBorders>
            <w:vAlign w:val="center"/>
            <w:hideMark/>
          </w:tcPr>
          <w:p w14:paraId="71B40C86" w14:textId="77777777" w:rsidR="006B676B" w:rsidRPr="006B676B" w:rsidRDefault="006B676B" w:rsidP="006B676B">
            <w:pPr>
              <w:spacing w:after="0"/>
              <w:jc w:val="left"/>
              <w:rPr>
                <w:rFonts w:eastAsia="Times New Roman" w:cs="Times New Roman"/>
                <w:szCs w:val="24"/>
              </w:rPr>
            </w:pPr>
          </w:p>
        </w:tc>
        <w:tc>
          <w:tcPr>
            <w:tcW w:w="1152" w:type="dxa"/>
            <w:vMerge/>
            <w:tcBorders>
              <w:top w:val="double" w:sz="6" w:space="0" w:color="auto"/>
              <w:left w:val="dotted" w:sz="4" w:space="0" w:color="auto"/>
              <w:bottom w:val="single" w:sz="8" w:space="0" w:color="000000"/>
              <w:right w:val="single" w:sz="8" w:space="0" w:color="auto"/>
            </w:tcBorders>
            <w:vAlign w:val="center"/>
            <w:hideMark/>
          </w:tcPr>
          <w:p w14:paraId="23516D36" w14:textId="77777777" w:rsidR="006B676B" w:rsidRPr="006B676B" w:rsidRDefault="006B676B" w:rsidP="006B676B">
            <w:pPr>
              <w:spacing w:after="0"/>
              <w:jc w:val="left"/>
              <w:rPr>
                <w:rFonts w:eastAsia="Times New Roman" w:cs="Times New Roman"/>
                <w:szCs w:val="24"/>
              </w:rPr>
            </w:pPr>
          </w:p>
        </w:tc>
        <w:tc>
          <w:tcPr>
            <w:tcW w:w="1378" w:type="dxa"/>
            <w:tcBorders>
              <w:top w:val="nil"/>
              <w:left w:val="nil"/>
              <w:bottom w:val="dotted" w:sz="4" w:space="0" w:color="auto"/>
              <w:right w:val="dotted" w:sz="4" w:space="0" w:color="auto"/>
            </w:tcBorders>
            <w:shd w:val="clear" w:color="000000" w:fill="FFFFFF"/>
            <w:vAlign w:val="center"/>
            <w:hideMark/>
          </w:tcPr>
          <w:p w14:paraId="05D7864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2023</w:t>
            </w:r>
          </w:p>
        </w:tc>
        <w:tc>
          <w:tcPr>
            <w:tcW w:w="1378" w:type="dxa"/>
            <w:tcBorders>
              <w:top w:val="nil"/>
              <w:left w:val="nil"/>
              <w:bottom w:val="dotted" w:sz="4" w:space="0" w:color="auto"/>
              <w:right w:val="dotted" w:sz="4" w:space="0" w:color="auto"/>
            </w:tcBorders>
            <w:shd w:val="clear" w:color="000000" w:fill="FFFFFF"/>
            <w:vAlign w:val="center"/>
            <w:hideMark/>
          </w:tcPr>
          <w:p w14:paraId="3846836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2024</w:t>
            </w:r>
          </w:p>
        </w:tc>
        <w:tc>
          <w:tcPr>
            <w:tcW w:w="1378" w:type="dxa"/>
            <w:tcBorders>
              <w:top w:val="nil"/>
              <w:left w:val="nil"/>
              <w:bottom w:val="dotted" w:sz="4" w:space="0" w:color="auto"/>
              <w:right w:val="dotted" w:sz="4" w:space="0" w:color="auto"/>
            </w:tcBorders>
            <w:shd w:val="clear" w:color="000000" w:fill="FFFFFF"/>
            <w:vAlign w:val="center"/>
            <w:hideMark/>
          </w:tcPr>
          <w:p w14:paraId="042C79DD"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2025</w:t>
            </w:r>
          </w:p>
        </w:tc>
        <w:tc>
          <w:tcPr>
            <w:tcW w:w="1378" w:type="dxa"/>
            <w:tcBorders>
              <w:top w:val="nil"/>
              <w:left w:val="nil"/>
              <w:bottom w:val="dotted" w:sz="4" w:space="0" w:color="auto"/>
              <w:right w:val="dotted" w:sz="4" w:space="0" w:color="auto"/>
            </w:tcBorders>
            <w:shd w:val="clear" w:color="000000" w:fill="FFFFFF"/>
            <w:vAlign w:val="center"/>
            <w:hideMark/>
          </w:tcPr>
          <w:p w14:paraId="394BCC8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2026</w:t>
            </w:r>
          </w:p>
        </w:tc>
        <w:tc>
          <w:tcPr>
            <w:tcW w:w="1378" w:type="dxa"/>
            <w:tcBorders>
              <w:top w:val="nil"/>
              <w:left w:val="nil"/>
              <w:bottom w:val="dotted" w:sz="4" w:space="0" w:color="auto"/>
              <w:right w:val="double" w:sz="6" w:space="0" w:color="auto"/>
            </w:tcBorders>
            <w:shd w:val="clear" w:color="000000" w:fill="FFFFFF"/>
            <w:vAlign w:val="center"/>
            <w:hideMark/>
          </w:tcPr>
          <w:p w14:paraId="2BF24E8E"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2027</w:t>
            </w:r>
          </w:p>
        </w:tc>
      </w:tr>
      <w:tr w:rsidR="006B676B" w:rsidRPr="006B676B" w14:paraId="1FB4ABA2" w14:textId="77777777" w:rsidTr="006B676B">
        <w:trPr>
          <w:trHeight w:val="560"/>
        </w:trPr>
        <w:tc>
          <w:tcPr>
            <w:tcW w:w="5830" w:type="dxa"/>
            <w:tcBorders>
              <w:top w:val="nil"/>
              <w:left w:val="double" w:sz="6" w:space="0" w:color="auto"/>
              <w:bottom w:val="single" w:sz="8" w:space="0" w:color="auto"/>
              <w:right w:val="nil"/>
            </w:tcBorders>
            <w:shd w:val="clear" w:color="000000" w:fill="FFFFFF"/>
            <w:vAlign w:val="center"/>
            <w:hideMark/>
          </w:tcPr>
          <w:p w14:paraId="1C9D9506"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 </w:t>
            </w:r>
          </w:p>
        </w:tc>
        <w:tc>
          <w:tcPr>
            <w:tcW w:w="1152" w:type="dxa"/>
            <w:vMerge/>
            <w:tcBorders>
              <w:top w:val="double" w:sz="6" w:space="0" w:color="auto"/>
              <w:left w:val="nil"/>
              <w:bottom w:val="single" w:sz="8" w:space="0" w:color="000000"/>
              <w:right w:val="single" w:sz="8" w:space="0" w:color="auto"/>
            </w:tcBorders>
            <w:vAlign w:val="center"/>
            <w:hideMark/>
          </w:tcPr>
          <w:p w14:paraId="646AD04F" w14:textId="77777777" w:rsidR="006B676B" w:rsidRPr="006B676B" w:rsidRDefault="006B676B" w:rsidP="006B676B">
            <w:pPr>
              <w:spacing w:after="0"/>
              <w:jc w:val="left"/>
              <w:rPr>
                <w:rFonts w:eastAsia="Times New Roman" w:cs="Times New Roman"/>
                <w:szCs w:val="24"/>
              </w:rPr>
            </w:pPr>
          </w:p>
        </w:tc>
        <w:tc>
          <w:tcPr>
            <w:tcW w:w="1152" w:type="dxa"/>
            <w:vMerge/>
            <w:tcBorders>
              <w:top w:val="double" w:sz="6" w:space="0" w:color="auto"/>
              <w:left w:val="dotted" w:sz="4" w:space="0" w:color="auto"/>
              <w:bottom w:val="single" w:sz="8" w:space="0" w:color="000000"/>
              <w:right w:val="single" w:sz="8" w:space="0" w:color="auto"/>
            </w:tcBorders>
            <w:vAlign w:val="center"/>
            <w:hideMark/>
          </w:tcPr>
          <w:p w14:paraId="70C64B53" w14:textId="77777777" w:rsidR="006B676B" w:rsidRPr="006B676B" w:rsidRDefault="006B676B" w:rsidP="006B676B">
            <w:pPr>
              <w:spacing w:after="0"/>
              <w:jc w:val="left"/>
              <w:rPr>
                <w:rFonts w:eastAsia="Times New Roman" w:cs="Times New Roman"/>
                <w:szCs w:val="24"/>
              </w:rPr>
            </w:pPr>
          </w:p>
        </w:tc>
        <w:tc>
          <w:tcPr>
            <w:tcW w:w="6893" w:type="dxa"/>
            <w:gridSpan w:val="5"/>
            <w:tcBorders>
              <w:top w:val="dotted" w:sz="4" w:space="0" w:color="auto"/>
              <w:left w:val="nil"/>
              <w:bottom w:val="single" w:sz="8" w:space="0" w:color="auto"/>
              <w:right w:val="double" w:sz="6" w:space="0" w:color="000000"/>
            </w:tcBorders>
            <w:shd w:val="clear" w:color="000000" w:fill="FFFFFF"/>
            <w:vAlign w:val="center"/>
            <w:hideMark/>
          </w:tcPr>
          <w:p w14:paraId="0244AD3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bn NCU</w:t>
            </w:r>
          </w:p>
        </w:tc>
      </w:tr>
      <w:tr w:rsidR="006B676B" w:rsidRPr="006B676B" w14:paraId="02FD7B7B" w14:textId="77777777" w:rsidTr="006B676B">
        <w:trPr>
          <w:trHeight w:val="470"/>
        </w:trPr>
        <w:tc>
          <w:tcPr>
            <w:tcW w:w="5830" w:type="dxa"/>
            <w:tcBorders>
              <w:top w:val="nil"/>
              <w:left w:val="double" w:sz="6" w:space="0" w:color="auto"/>
              <w:bottom w:val="single" w:sz="8" w:space="0" w:color="auto"/>
              <w:right w:val="nil"/>
            </w:tcBorders>
            <w:shd w:val="clear" w:color="000000" w:fill="FFFFFF"/>
            <w:vAlign w:val="center"/>
            <w:hideMark/>
          </w:tcPr>
          <w:p w14:paraId="71292B3C" w14:textId="77777777" w:rsidR="006B676B" w:rsidRPr="006B676B" w:rsidRDefault="006B676B" w:rsidP="006B676B">
            <w:pPr>
              <w:spacing w:after="0"/>
              <w:jc w:val="center"/>
              <w:rPr>
                <w:rFonts w:eastAsia="Times New Roman" w:cs="Times New Roman"/>
                <w:b/>
                <w:bCs/>
                <w:szCs w:val="24"/>
              </w:rPr>
            </w:pPr>
            <w:r w:rsidRPr="006B676B">
              <w:rPr>
                <w:rFonts w:eastAsia="Times New Roman" w:cs="Times New Roman"/>
                <w:b/>
                <w:bCs/>
                <w:szCs w:val="24"/>
              </w:rPr>
              <w:t>Net lending (B9) by sub-sectors</w:t>
            </w:r>
          </w:p>
        </w:tc>
        <w:tc>
          <w:tcPr>
            <w:tcW w:w="1152" w:type="dxa"/>
            <w:tcBorders>
              <w:top w:val="nil"/>
              <w:left w:val="nil"/>
              <w:bottom w:val="single" w:sz="8" w:space="0" w:color="auto"/>
              <w:right w:val="nil"/>
            </w:tcBorders>
            <w:shd w:val="clear" w:color="000000" w:fill="FFFFFF"/>
            <w:vAlign w:val="center"/>
            <w:hideMark/>
          </w:tcPr>
          <w:p w14:paraId="536C9548" w14:textId="77777777" w:rsidR="006B676B" w:rsidRPr="006B676B" w:rsidRDefault="006B676B" w:rsidP="006B676B">
            <w:pPr>
              <w:spacing w:after="0"/>
              <w:jc w:val="left"/>
              <w:rPr>
                <w:rFonts w:eastAsia="Times New Roman" w:cs="Times New Roman"/>
                <w:b/>
                <w:bCs/>
                <w:szCs w:val="24"/>
              </w:rPr>
            </w:pPr>
            <w:r w:rsidRPr="006B676B">
              <w:rPr>
                <w:rFonts w:eastAsia="Times New Roman" w:cs="Times New Roman"/>
                <w:b/>
                <w:bCs/>
                <w:szCs w:val="24"/>
              </w:rPr>
              <w:t> </w:t>
            </w:r>
          </w:p>
        </w:tc>
        <w:tc>
          <w:tcPr>
            <w:tcW w:w="1152" w:type="dxa"/>
            <w:tcBorders>
              <w:top w:val="nil"/>
              <w:left w:val="nil"/>
              <w:bottom w:val="single" w:sz="8" w:space="0" w:color="auto"/>
              <w:right w:val="nil"/>
            </w:tcBorders>
            <w:shd w:val="clear" w:color="000000" w:fill="FFFFFF"/>
            <w:vAlign w:val="center"/>
            <w:hideMark/>
          </w:tcPr>
          <w:p w14:paraId="07A7C7FF" w14:textId="77777777" w:rsidR="006B676B" w:rsidRPr="006B676B" w:rsidRDefault="006B676B" w:rsidP="006B676B">
            <w:pPr>
              <w:spacing w:after="0"/>
              <w:jc w:val="left"/>
              <w:rPr>
                <w:rFonts w:eastAsia="Times New Roman" w:cs="Times New Roman"/>
                <w:b/>
                <w:bCs/>
                <w:szCs w:val="24"/>
              </w:rPr>
            </w:pPr>
            <w:r w:rsidRPr="006B676B">
              <w:rPr>
                <w:rFonts w:eastAsia="Times New Roman" w:cs="Times New Roman"/>
                <w:b/>
                <w:bCs/>
                <w:szCs w:val="24"/>
              </w:rPr>
              <w:t> </w:t>
            </w:r>
          </w:p>
        </w:tc>
        <w:tc>
          <w:tcPr>
            <w:tcW w:w="1378" w:type="dxa"/>
            <w:tcBorders>
              <w:top w:val="nil"/>
              <w:left w:val="nil"/>
              <w:bottom w:val="single" w:sz="8" w:space="0" w:color="auto"/>
              <w:right w:val="nil"/>
            </w:tcBorders>
            <w:shd w:val="clear" w:color="000000" w:fill="FFFFFF"/>
            <w:vAlign w:val="center"/>
            <w:hideMark/>
          </w:tcPr>
          <w:p w14:paraId="4AB03723" w14:textId="77777777" w:rsidR="006B676B" w:rsidRPr="006B676B" w:rsidRDefault="006B676B" w:rsidP="006B676B">
            <w:pPr>
              <w:spacing w:after="0"/>
              <w:jc w:val="left"/>
              <w:rPr>
                <w:rFonts w:eastAsia="Times New Roman" w:cs="Times New Roman"/>
                <w:b/>
                <w:bCs/>
                <w:szCs w:val="24"/>
              </w:rPr>
            </w:pPr>
            <w:r w:rsidRPr="006B676B">
              <w:rPr>
                <w:rFonts w:eastAsia="Times New Roman" w:cs="Times New Roman"/>
                <w:b/>
                <w:bCs/>
                <w:szCs w:val="24"/>
              </w:rPr>
              <w:t> </w:t>
            </w:r>
          </w:p>
        </w:tc>
        <w:tc>
          <w:tcPr>
            <w:tcW w:w="1378" w:type="dxa"/>
            <w:tcBorders>
              <w:top w:val="nil"/>
              <w:left w:val="nil"/>
              <w:bottom w:val="single" w:sz="8" w:space="0" w:color="auto"/>
              <w:right w:val="nil"/>
            </w:tcBorders>
            <w:shd w:val="clear" w:color="000000" w:fill="FFFFFF"/>
            <w:vAlign w:val="center"/>
            <w:hideMark/>
          </w:tcPr>
          <w:p w14:paraId="654007B7" w14:textId="77777777" w:rsidR="006B676B" w:rsidRPr="006B676B" w:rsidRDefault="006B676B" w:rsidP="006B676B">
            <w:pPr>
              <w:spacing w:after="0"/>
              <w:jc w:val="left"/>
              <w:rPr>
                <w:rFonts w:eastAsia="Times New Roman" w:cs="Times New Roman"/>
                <w:b/>
                <w:bCs/>
                <w:szCs w:val="24"/>
              </w:rPr>
            </w:pPr>
            <w:r w:rsidRPr="006B676B">
              <w:rPr>
                <w:rFonts w:eastAsia="Times New Roman" w:cs="Times New Roman"/>
                <w:b/>
                <w:bCs/>
                <w:szCs w:val="24"/>
              </w:rPr>
              <w:t> </w:t>
            </w:r>
          </w:p>
        </w:tc>
        <w:tc>
          <w:tcPr>
            <w:tcW w:w="1378" w:type="dxa"/>
            <w:tcBorders>
              <w:top w:val="nil"/>
              <w:left w:val="nil"/>
              <w:bottom w:val="single" w:sz="8" w:space="0" w:color="auto"/>
              <w:right w:val="nil"/>
            </w:tcBorders>
            <w:shd w:val="clear" w:color="000000" w:fill="FFFFFF"/>
            <w:vAlign w:val="center"/>
            <w:hideMark/>
          </w:tcPr>
          <w:p w14:paraId="6474D4B0" w14:textId="77777777" w:rsidR="006B676B" w:rsidRPr="006B676B" w:rsidRDefault="006B676B" w:rsidP="006B676B">
            <w:pPr>
              <w:spacing w:after="0"/>
              <w:jc w:val="left"/>
              <w:rPr>
                <w:rFonts w:eastAsia="Times New Roman" w:cs="Times New Roman"/>
                <w:b/>
                <w:bCs/>
                <w:szCs w:val="24"/>
              </w:rPr>
            </w:pPr>
            <w:r w:rsidRPr="006B676B">
              <w:rPr>
                <w:rFonts w:eastAsia="Times New Roman" w:cs="Times New Roman"/>
                <w:b/>
                <w:bCs/>
                <w:szCs w:val="24"/>
              </w:rPr>
              <w:t> </w:t>
            </w:r>
          </w:p>
        </w:tc>
        <w:tc>
          <w:tcPr>
            <w:tcW w:w="1378" w:type="dxa"/>
            <w:tcBorders>
              <w:top w:val="nil"/>
              <w:left w:val="nil"/>
              <w:bottom w:val="single" w:sz="8" w:space="0" w:color="auto"/>
              <w:right w:val="nil"/>
            </w:tcBorders>
            <w:shd w:val="clear" w:color="000000" w:fill="FFFFFF"/>
            <w:vAlign w:val="center"/>
            <w:hideMark/>
          </w:tcPr>
          <w:p w14:paraId="711062A3" w14:textId="77777777" w:rsidR="006B676B" w:rsidRPr="006B676B" w:rsidRDefault="006B676B" w:rsidP="006B676B">
            <w:pPr>
              <w:spacing w:after="0"/>
              <w:jc w:val="left"/>
              <w:rPr>
                <w:rFonts w:eastAsia="Times New Roman" w:cs="Times New Roman"/>
                <w:b/>
                <w:bCs/>
                <w:szCs w:val="24"/>
              </w:rPr>
            </w:pPr>
            <w:r w:rsidRPr="006B676B">
              <w:rPr>
                <w:rFonts w:eastAsia="Times New Roman" w:cs="Times New Roman"/>
                <w:b/>
                <w:bCs/>
                <w:szCs w:val="24"/>
              </w:rPr>
              <w:t> </w:t>
            </w:r>
          </w:p>
        </w:tc>
        <w:tc>
          <w:tcPr>
            <w:tcW w:w="1378" w:type="dxa"/>
            <w:tcBorders>
              <w:top w:val="nil"/>
              <w:left w:val="nil"/>
              <w:bottom w:val="single" w:sz="8" w:space="0" w:color="auto"/>
              <w:right w:val="double" w:sz="6" w:space="0" w:color="auto"/>
            </w:tcBorders>
            <w:shd w:val="clear" w:color="000000" w:fill="FFFFFF"/>
            <w:vAlign w:val="center"/>
            <w:hideMark/>
          </w:tcPr>
          <w:p w14:paraId="1CA50D57" w14:textId="77777777" w:rsidR="006B676B" w:rsidRPr="006B676B" w:rsidRDefault="006B676B" w:rsidP="006B676B">
            <w:pPr>
              <w:spacing w:after="0"/>
              <w:jc w:val="left"/>
              <w:rPr>
                <w:rFonts w:eastAsia="Times New Roman" w:cs="Times New Roman"/>
                <w:b/>
                <w:bCs/>
                <w:szCs w:val="24"/>
              </w:rPr>
            </w:pPr>
            <w:r w:rsidRPr="006B676B">
              <w:rPr>
                <w:rFonts w:eastAsia="Times New Roman" w:cs="Times New Roman"/>
                <w:b/>
                <w:bCs/>
                <w:szCs w:val="24"/>
              </w:rPr>
              <w:t> </w:t>
            </w:r>
          </w:p>
        </w:tc>
      </w:tr>
      <w:tr w:rsidR="006B676B" w:rsidRPr="006B676B" w14:paraId="21586694"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5176CBFD"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 xml:space="preserve">1. General government </w:t>
            </w:r>
          </w:p>
        </w:tc>
        <w:tc>
          <w:tcPr>
            <w:tcW w:w="1152" w:type="dxa"/>
            <w:tcBorders>
              <w:top w:val="nil"/>
              <w:left w:val="nil"/>
              <w:bottom w:val="dotted" w:sz="4" w:space="0" w:color="auto"/>
              <w:right w:val="single" w:sz="8" w:space="0" w:color="auto"/>
            </w:tcBorders>
            <w:shd w:val="clear" w:color="000000" w:fill="FFFFFF"/>
            <w:vAlign w:val="center"/>
            <w:hideMark/>
          </w:tcPr>
          <w:p w14:paraId="557C8C7E"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2626979D"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S13</w:t>
            </w:r>
          </w:p>
        </w:tc>
        <w:tc>
          <w:tcPr>
            <w:tcW w:w="1378" w:type="dxa"/>
            <w:tcBorders>
              <w:top w:val="nil"/>
              <w:left w:val="nil"/>
              <w:bottom w:val="dotted" w:sz="4" w:space="0" w:color="auto"/>
              <w:right w:val="dotted" w:sz="4" w:space="0" w:color="auto"/>
            </w:tcBorders>
            <w:shd w:val="clear" w:color="000000" w:fill="FFFFFF"/>
            <w:vAlign w:val="center"/>
            <w:hideMark/>
          </w:tcPr>
          <w:p w14:paraId="319333B5"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-181,1</w:t>
            </w:r>
          </w:p>
        </w:tc>
        <w:tc>
          <w:tcPr>
            <w:tcW w:w="1378" w:type="dxa"/>
            <w:tcBorders>
              <w:top w:val="nil"/>
              <w:left w:val="nil"/>
              <w:bottom w:val="dotted" w:sz="4" w:space="0" w:color="auto"/>
              <w:right w:val="dotted" w:sz="4" w:space="0" w:color="auto"/>
            </w:tcBorders>
            <w:shd w:val="clear" w:color="000000" w:fill="FFFFFF"/>
            <w:vAlign w:val="center"/>
            <w:hideMark/>
          </w:tcPr>
          <w:p w14:paraId="7733802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-263,0</w:t>
            </w:r>
          </w:p>
        </w:tc>
        <w:tc>
          <w:tcPr>
            <w:tcW w:w="1378" w:type="dxa"/>
            <w:tcBorders>
              <w:top w:val="nil"/>
              <w:left w:val="nil"/>
              <w:bottom w:val="dotted" w:sz="4" w:space="0" w:color="auto"/>
              <w:right w:val="dotted" w:sz="4" w:space="0" w:color="auto"/>
            </w:tcBorders>
            <w:shd w:val="clear" w:color="000000" w:fill="FFFFFF"/>
            <w:vAlign w:val="center"/>
            <w:hideMark/>
          </w:tcPr>
          <w:p w14:paraId="0DC7D9AC"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-314,0</w:t>
            </w:r>
          </w:p>
        </w:tc>
        <w:tc>
          <w:tcPr>
            <w:tcW w:w="1378" w:type="dxa"/>
            <w:tcBorders>
              <w:top w:val="nil"/>
              <w:left w:val="nil"/>
              <w:bottom w:val="dotted" w:sz="4" w:space="0" w:color="auto"/>
              <w:right w:val="dotted" w:sz="4" w:space="0" w:color="auto"/>
            </w:tcBorders>
            <w:shd w:val="clear" w:color="000000" w:fill="FFFFFF"/>
            <w:vAlign w:val="center"/>
            <w:hideMark/>
          </w:tcPr>
          <w:p w14:paraId="46F640E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-336,0</w:t>
            </w:r>
          </w:p>
        </w:tc>
        <w:tc>
          <w:tcPr>
            <w:tcW w:w="1378" w:type="dxa"/>
            <w:tcBorders>
              <w:top w:val="nil"/>
              <w:left w:val="nil"/>
              <w:bottom w:val="dotted" w:sz="4" w:space="0" w:color="auto"/>
              <w:right w:val="double" w:sz="6" w:space="0" w:color="auto"/>
            </w:tcBorders>
            <w:shd w:val="clear" w:color="000000" w:fill="FFFFFF"/>
            <w:vAlign w:val="center"/>
            <w:hideMark/>
          </w:tcPr>
          <w:p w14:paraId="70239D5A"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-360,0</w:t>
            </w:r>
          </w:p>
        </w:tc>
      </w:tr>
      <w:tr w:rsidR="006B676B" w:rsidRPr="006B676B" w14:paraId="74B3640F"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5764105C"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2. Central government</w:t>
            </w:r>
          </w:p>
        </w:tc>
        <w:tc>
          <w:tcPr>
            <w:tcW w:w="1152" w:type="dxa"/>
            <w:tcBorders>
              <w:top w:val="nil"/>
              <w:left w:val="nil"/>
              <w:bottom w:val="dotted" w:sz="4" w:space="0" w:color="auto"/>
              <w:right w:val="single" w:sz="8" w:space="0" w:color="auto"/>
            </w:tcBorders>
            <w:shd w:val="clear" w:color="000000" w:fill="FFFFFF"/>
            <w:vAlign w:val="center"/>
            <w:hideMark/>
          </w:tcPr>
          <w:p w14:paraId="34D47609"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55C0FE3A"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S1311</w:t>
            </w:r>
          </w:p>
        </w:tc>
        <w:tc>
          <w:tcPr>
            <w:tcW w:w="1378" w:type="dxa"/>
            <w:tcBorders>
              <w:top w:val="nil"/>
              <w:left w:val="nil"/>
              <w:bottom w:val="dotted" w:sz="4" w:space="0" w:color="auto"/>
              <w:right w:val="dotted" w:sz="4" w:space="0" w:color="auto"/>
            </w:tcBorders>
            <w:shd w:val="clear" w:color="000000" w:fill="FFFFFF"/>
            <w:vAlign w:val="center"/>
            <w:hideMark/>
          </w:tcPr>
          <w:p w14:paraId="67E5D16F"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-177,2</w:t>
            </w:r>
          </w:p>
        </w:tc>
        <w:tc>
          <w:tcPr>
            <w:tcW w:w="1378" w:type="dxa"/>
            <w:tcBorders>
              <w:top w:val="nil"/>
              <w:left w:val="nil"/>
              <w:bottom w:val="dotted" w:sz="4" w:space="0" w:color="auto"/>
              <w:right w:val="dotted" w:sz="4" w:space="0" w:color="auto"/>
            </w:tcBorders>
            <w:shd w:val="clear" w:color="000000" w:fill="FFFFFF"/>
            <w:vAlign w:val="center"/>
            <w:hideMark/>
          </w:tcPr>
          <w:p w14:paraId="76A06B6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-263,0</w:t>
            </w:r>
          </w:p>
        </w:tc>
        <w:tc>
          <w:tcPr>
            <w:tcW w:w="1378" w:type="dxa"/>
            <w:tcBorders>
              <w:top w:val="nil"/>
              <w:left w:val="nil"/>
              <w:bottom w:val="dotted" w:sz="4" w:space="0" w:color="auto"/>
              <w:right w:val="dotted" w:sz="4" w:space="0" w:color="auto"/>
            </w:tcBorders>
            <w:shd w:val="clear" w:color="000000" w:fill="FFFFFF"/>
            <w:vAlign w:val="center"/>
            <w:hideMark/>
          </w:tcPr>
          <w:p w14:paraId="03457E0E"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-314,0</w:t>
            </w:r>
          </w:p>
        </w:tc>
        <w:tc>
          <w:tcPr>
            <w:tcW w:w="1378" w:type="dxa"/>
            <w:tcBorders>
              <w:top w:val="nil"/>
              <w:left w:val="nil"/>
              <w:bottom w:val="dotted" w:sz="4" w:space="0" w:color="auto"/>
              <w:right w:val="dotted" w:sz="4" w:space="0" w:color="auto"/>
            </w:tcBorders>
            <w:shd w:val="clear" w:color="000000" w:fill="FFFFFF"/>
            <w:vAlign w:val="center"/>
            <w:hideMark/>
          </w:tcPr>
          <w:p w14:paraId="1C01899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-336,0</w:t>
            </w:r>
          </w:p>
        </w:tc>
        <w:tc>
          <w:tcPr>
            <w:tcW w:w="1378" w:type="dxa"/>
            <w:tcBorders>
              <w:top w:val="nil"/>
              <w:left w:val="nil"/>
              <w:bottom w:val="dotted" w:sz="4" w:space="0" w:color="auto"/>
              <w:right w:val="double" w:sz="6" w:space="0" w:color="auto"/>
            </w:tcBorders>
            <w:shd w:val="clear" w:color="000000" w:fill="FFFFFF"/>
            <w:vAlign w:val="center"/>
            <w:hideMark/>
          </w:tcPr>
          <w:p w14:paraId="02077F8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-360,0</w:t>
            </w:r>
          </w:p>
        </w:tc>
      </w:tr>
      <w:tr w:rsidR="006B676B" w:rsidRPr="006B676B" w14:paraId="5513296F"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21127862"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3. State government</w:t>
            </w:r>
          </w:p>
        </w:tc>
        <w:tc>
          <w:tcPr>
            <w:tcW w:w="1152" w:type="dxa"/>
            <w:tcBorders>
              <w:top w:val="nil"/>
              <w:left w:val="nil"/>
              <w:bottom w:val="dotted" w:sz="4" w:space="0" w:color="auto"/>
              <w:right w:val="single" w:sz="8" w:space="0" w:color="auto"/>
            </w:tcBorders>
            <w:shd w:val="clear" w:color="000000" w:fill="FFFFFF"/>
            <w:vAlign w:val="center"/>
            <w:hideMark/>
          </w:tcPr>
          <w:p w14:paraId="5CA1056A"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2859AE18"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S1312</w:t>
            </w:r>
          </w:p>
        </w:tc>
        <w:tc>
          <w:tcPr>
            <w:tcW w:w="1378" w:type="dxa"/>
            <w:tcBorders>
              <w:top w:val="nil"/>
              <w:left w:val="nil"/>
              <w:bottom w:val="dotted" w:sz="4" w:space="0" w:color="auto"/>
              <w:right w:val="dotted" w:sz="4" w:space="0" w:color="auto"/>
            </w:tcBorders>
            <w:shd w:val="clear" w:color="000000" w:fill="FFFFFF"/>
            <w:vAlign w:val="center"/>
            <w:hideMark/>
          </w:tcPr>
          <w:p w14:paraId="1378887E"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dotted" w:sz="4" w:space="0" w:color="auto"/>
              <w:right w:val="dotted" w:sz="4" w:space="0" w:color="auto"/>
            </w:tcBorders>
            <w:shd w:val="clear" w:color="000000" w:fill="FFFFFF"/>
            <w:vAlign w:val="center"/>
            <w:hideMark/>
          </w:tcPr>
          <w:p w14:paraId="1218FEFA"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dotted" w:sz="4" w:space="0" w:color="auto"/>
              <w:right w:val="dotted" w:sz="4" w:space="0" w:color="auto"/>
            </w:tcBorders>
            <w:shd w:val="clear" w:color="000000" w:fill="FFFFFF"/>
            <w:vAlign w:val="center"/>
            <w:hideMark/>
          </w:tcPr>
          <w:p w14:paraId="63FA6EF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dotted" w:sz="4" w:space="0" w:color="auto"/>
              <w:right w:val="dotted" w:sz="4" w:space="0" w:color="auto"/>
            </w:tcBorders>
            <w:shd w:val="clear" w:color="000000" w:fill="FFFFFF"/>
            <w:vAlign w:val="center"/>
            <w:hideMark/>
          </w:tcPr>
          <w:p w14:paraId="197F279D"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dotted" w:sz="4" w:space="0" w:color="auto"/>
              <w:right w:val="double" w:sz="6" w:space="0" w:color="auto"/>
            </w:tcBorders>
            <w:shd w:val="clear" w:color="000000" w:fill="FFFFFF"/>
            <w:vAlign w:val="center"/>
            <w:hideMark/>
          </w:tcPr>
          <w:p w14:paraId="3E1F628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r>
      <w:tr w:rsidR="006B676B" w:rsidRPr="006B676B" w14:paraId="6FA15E52"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5B296C1A"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4. Local government</w:t>
            </w:r>
          </w:p>
        </w:tc>
        <w:tc>
          <w:tcPr>
            <w:tcW w:w="1152" w:type="dxa"/>
            <w:tcBorders>
              <w:top w:val="nil"/>
              <w:left w:val="nil"/>
              <w:bottom w:val="dotted" w:sz="4" w:space="0" w:color="auto"/>
              <w:right w:val="single" w:sz="8" w:space="0" w:color="auto"/>
            </w:tcBorders>
            <w:shd w:val="clear" w:color="000000" w:fill="FFFFFF"/>
            <w:vAlign w:val="center"/>
            <w:hideMark/>
          </w:tcPr>
          <w:p w14:paraId="5F25070C"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2A8C3CE4"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S1313</w:t>
            </w:r>
          </w:p>
        </w:tc>
        <w:tc>
          <w:tcPr>
            <w:tcW w:w="1378" w:type="dxa"/>
            <w:tcBorders>
              <w:top w:val="nil"/>
              <w:left w:val="nil"/>
              <w:bottom w:val="dotted" w:sz="4" w:space="0" w:color="auto"/>
              <w:right w:val="dotted" w:sz="4" w:space="0" w:color="auto"/>
            </w:tcBorders>
            <w:shd w:val="clear" w:color="000000" w:fill="FFFFFF"/>
            <w:vAlign w:val="center"/>
            <w:hideMark/>
          </w:tcPr>
          <w:p w14:paraId="6108AF0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-8,9</w:t>
            </w:r>
          </w:p>
        </w:tc>
        <w:tc>
          <w:tcPr>
            <w:tcW w:w="1378" w:type="dxa"/>
            <w:tcBorders>
              <w:top w:val="nil"/>
              <w:left w:val="nil"/>
              <w:bottom w:val="dotted" w:sz="4" w:space="0" w:color="auto"/>
              <w:right w:val="dotted" w:sz="4" w:space="0" w:color="auto"/>
            </w:tcBorders>
            <w:shd w:val="clear" w:color="000000" w:fill="FFFFFF"/>
            <w:vAlign w:val="center"/>
            <w:hideMark/>
          </w:tcPr>
          <w:p w14:paraId="252F5BDD"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0,0</w:t>
            </w:r>
          </w:p>
        </w:tc>
        <w:tc>
          <w:tcPr>
            <w:tcW w:w="1378" w:type="dxa"/>
            <w:tcBorders>
              <w:top w:val="nil"/>
              <w:left w:val="nil"/>
              <w:bottom w:val="dotted" w:sz="4" w:space="0" w:color="auto"/>
              <w:right w:val="dotted" w:sz="4" w:space="0" w:color="auto"/>
            </w:tcBorders>
            <w:shd w:val="clear" w:color="000000" w:fill="FFFFFF"/>
            <w:vAlign w:val="center"/>
            <w:hideMark/>
          </w:tcPr>
          <w:p w14:paraId="24E3E93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0,0</w:t>
            </w:r>
          </w:p>
        </w:tc>
        <w:tc>
          <w:tcPr>
            <w:tcW w:w="1378" w:type="dxa"/>
            <w:tcBorders>
              <w:top w:val="nil"/>
              <w:left w:val="nil"/>
              <w:bottom w:val="dotted" w:sz="4" w:space="0" w:color="auto"/>
              <w:right w:val="dotted" w:sz="4" w:space="0" w:color="auto"/>
            </w:tcBorders>
            <w:shd w:val="clear" w:color="000000" w:fill="FFFFFF"/>
            <w:vAlign w:val="center"/>
            <w:hideMark/>
          </w:tcPr>
          <w:p w14:paraId="56773BE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0,0</w:t>
            </w:r>
          </w:p>
        </w:tc>
        <w:tc>
          <w:tcPr>
            <w:tcW w:w="1378" w:type="dxa"/>
            <w:tcBorders>
              <w:top w:val="nil"/>
              <w:left w:val="nil"/>
              <w:bottom w:val="dotted" w:sz="4" w:space="0" w:color="auto"/>
              <w:right w:val="double" w:sz="6" w:space="0" w:color="auto"/>
            </w:tcBorders>
            <w:shd w:val="clear" w:color="000000" w:fill="FFFFFF"/>
            <w:vAlign w:val="center"/>
            <w:hideMark/>
          </w:tcPr>
          <w:p w14:paraId="3741BAA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0,0</w:t>
            </w:r>
          </w:p>
        </w:tc>
      </w:tr>
      <w:tr w:rsidR="006B676B" w:rsidRPr="006B676B" w14:paraId="14C70D9C" w14:textId="77777777" w:rsidTr="006B676B">
        <w:trPr>
          <w:trHeight w:val="366"/>
        </w:trPr>
        <w:tc>
          <w:tcPr>
            <w:tcW w:w="5830" w:type="dxa"/>
            <w:tcBorders>
              <w:top w:val="nil"/>
              <w:left w:val="double" w:sz="6" w:space="0" w:color="auto"/>
              <w:bottom w:val="single" w:sz="8" w:space="0" w:color="auto"/>
              <w:right w:val="nil"/>
            </w:tcBorders>
            <w:shd w:val="clear" w:color="000000" w:fill="FFFFFF"/>
            <w:vAlign w:val="center"/>
            <w:hideMark/>
          </w:tcPr>
          <w:p w14:paraId="1CAC5399"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5. Social security funds</w:t>
            </w:r>
          </w:p>
        </w:tc>
        <w:tc>
          <w:tcPr>
            <w:tcW w:w="1152" w:type="dxa"/>
            <w:tcBorders>
              <w:top w:val="nil"/>
              <w:left w:val="nil"/>
              <w:bottom w:val="single" w:sz="8" w:space="0" w:color="auto"/>
              <w:right w:val="single" w:sz="8" w:space="0" w:color="auto"/>
            </w:tcBorders>
            <w:shd w:val="clear" w:color="000000" w:fill="FFFFFF"/>
            <w:vAlign w:val="center"/>
            <w:hideMark/>
          </w:tcPr>
          <w:p w14:paraId="1A0FC5F6"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single" w:sz="8" w:space="0" w:color="auto"/>
              <w:right w:val="single" w:sz="8" w:space="0" w:color="auto"/>
            </w:tcBorders>
            <w:shd w:val="clear" w:color="000000" w:fill="FFFFFF"/>
            <w:vAlign w:val="center"/>
            <w:hideMark/>
          </w:tcPr>
          <w:p w14:paraId="6A2A3CBD"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S1314</w:t>
            </w:r>
          </w:p>
        </w:tc>
        <w:tc>
          <w:tcPr>
            <w:tcW w:w="1378" w:type="dxa"/>
            <w:tcBorders>
              <w:top w:val="nil"/>
              <w:left w:val="nil"/>
              <w:bottom w:val="single" w:sz="8" w:space="0" w:color="auto"/>
              <w:right w:val="dotted" w:sz="4" w:space="0" w:color="auto"/>
            </w:tcBorders>
            <w:shd w:val="clear" w:color="000000" w:fill="FFFFFF"/>
            <w:vAlign w:val="center"/>
            <w:hideMark/>
          </w:tcPr>
          <w:p w14:paraId="71691EB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5,0</w:t>
            </w:r>
          </w:p>
        </w:tc>
        <w:tc>
          <w:tcPr>
            <w:tcW w:w="1378" w:type="dxa"/>
            <w:tcBorders>
              <w:top w:val="nil"/>
              <w:left w:val="nil"/>
              <w:bottom w:val="single" w:sz="8" w:space="0" w:color="auto"/>
              <w:right w:val="dotted" w:sz="4" w:space="0" w:color="auto"/>
            </w:tcBorders>
            <w:shd w:val="clear" w:color="000000" w:fill="FFFFFF"/>
            <w:vAlign w:val="center"/>
            <w:hideMark/>
          </w:tcPr>
          <w:p w14:paraId="68CC163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0,0</w:t>
            </w:r>
          </w:p>
        </w:tc>
        <w:tc>
          <w:tcPr>
            <w:tcW w:w="1378" w:type="dxa"/>
            <w:tcBorders>
              <w:top w:val="nil"/>
              <w:left w:val="nil"/>
              <w:bottom w:val="single" w:sz="8" w:space="0" w:color="auto"/>
              <w:right w:val="dotted" w:sz="4" w:space="0" w:color="auto"/>
            </w:tcBorders>
            <w:shd w:val="clear" w:color="000000" w:fill="FFFFFF"/>
            <w:vAlign w:val="center"/>
            <w:hideMark/>
          </w:tcPr>
          <w:p w14:paraId="787D1D9C"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0,0</w:t>
            </w:r>
          </w:p>
        </w:tc>
        <w:tc>
          <w:tcPr>
            <w:tcW w:w="1378" w:type="dxa"/>
            <w:tcBorders>
              <w:top w:val="nil"/>
              <w:left w:val="nil"/>
              <w:bottom w:val="single" w:sz="8" w:space="0" w:color="auto"/>
              <w:right w:val="dotted" w:sz="4" w:space="0" w:color="auto"/>
            </w:tcBorders>
            <w:shd w:val="clear" w:color="000000" w:fill="FFFFFF"/>
            <w:vAlign w:val="center"/>
            <w:hideMark/>
          </w:tcPr>
          <w:p w14:paraId="72E5DD8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0,0</w:t>
            </w:r>
          </w:p>
        </w:tc>
        <w:tc>
          <w:tcPr>
            <w:tcW w:w="1378" w:type="dxa"/>
            <w:tcBorders>
              <w:top w:val="nil"/>
              <w:left w:val="nil"/>
              <w:bottom w:val="single" w:sz="8" w:space="0" w:color="auto"/>
              <w:right w:val="double" w:sz="6" w:space="0" w:color="auto"/>
            </w:tcBorders>
            <w:shd w:val="clear" w:color="000000" w:fill="FFFFFF"/>
            <w:vAlign w:val="center"/>
            <w:hideMark/>
          </w:tcPr>
          <w:p w14:paraId="776FBD8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0,0</w:t>
            </w:r>
          </w:p>
        </w:tc>
      </w:tr>
      <w:tr w:rsidR="006B676B" w:rsidRPr="006B676B" w14:paraId="4A5878DB" w14:textId="77777777" w:rsidTr="006B676B">
        <w:trPr>
          <w:trHeight w:val="366"/>
        </w:trPr>
        <w:tc>
          <w:tcPr>
            <w:tcW w:w="15029" w:type="dxa"/>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14:paraId="3361CF3F" w14:textId="77777777" w:rsidR="006B676B" w:rsidRPr="006B676B" w:rsidRDefault="006B676B" w:rsidP="006B676B">
            <w:pPr>
              <w:spacing w:after="0"/>
              <w:jc w:val="center"/>
              <w:rPr>
                <w:rFonts w:eastAsia="Times New Roman" w:cs="Times New Roman"/>
                <w:b/>
                <w:bCs/>
                <w:szCs w:val="24"/>
              </w:rPr>
            </w:pPr>
            <w:r w:rsidRPr="006B676B">
              <w:rPr>
                <w:rFonts w:eastAsia="Times New Roman" w:cs="Times New Roman"/>
                <w:b/>
                <w:bCs/>
                <w:szCs w:val="24"/>
              </w:rPr>
              <w:t>General government (S13)</w:t>
            </w:r>
          </w:p>
        </w:tc>
      </w:tr>
      <w:tr w:rsidR="006B676B" w:rsidRPr="006B676B" w14:paraId="333D2BA7"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3F2142A6"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6. Total revenue</w:t>
            </w:r>
          </w:p>
        </w:tc>
        <w:tc>
          <w:tcPr>
            <w:tcW w:w="1152" w:type="dxa"/>
            <w:tcBorders>
              <w:top w:val="nil"/>
              <w:left w:val="nil"/>
              <w:bottom w:val="dotted" w:sz="4" w:space="0" w:color="auto"/>
              <w:right w:val="single" w:sz="8" w:space="0" w:color="auto"/>
            </w:tcBorders>
            <w:shd w:val="clear" w:color="000000" w:fill="FFFFFF"/>
            <w:vAlign w:val="center"/>
            <w:hideMark/>
          </w:tcPr>
          <w:p w14:paraId="7A06B304"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6E0EA30D"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TR</w:t>
            </w:r>
          </w:p>
        </w:tc>
        <w:tc>
          <w:tcPr>
            <w:tcW w:w="1378" w:type="dxa"/>
            <w:tcBorders>
              <w:top w:val="nil"/>
              <w:left w:val="nil"/>
              <w:bottom w:val="dotted" w:sz="4" w:space="0" w:color="auto"/>
              <w:right w:val="dotted" w:sz="4" w:space="0" w:color="auto"/>
            </w:tcBorders>
            <w:shd w:val="clear" w:color="000000" w:fill="FFFFFF"/>
            <w:vAlign w:val="center"/>
            <w:hideMark/>
          </w:tcPr>
          <w:p w14:paraId="42921AA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3473,3</w:t>
            </w:r>
          </w:p>
        </w:tc>
        <w:tc>
          <w:tcPr>
            <w:tcW w:w="1378" w:type="dxa"/>
            <w:tcBorders>
              <w:top w:val="nil"/>
              <w:left w:val="nil"/>
              <w:bottom w:val="dotted" w:sz="4" w:space="0" w:color="auto"/>
              <w:right w:val="dotted" w:sz="4" w:space="0" w:color="auto"/>
            </w:tcBorders>
            <w:shd w:val="clear" w:color="000000" w:fill="FFFFFF"/>
            <w:vAlign w:val="center"/>
            <w:hideMark/>
          </w:tcPr>
          <w:p w14:paraId="7A14D539"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3922,2</w:t>
            </w:r>
          </w:p>
        </w:tc>
        <w:tc>
          <w:tcPr>
            <w:tcW w:w="1378" w:type="dxa"/>
            <w:tcBorders>
              <w:top w:val="nil"/>
              <w:left w:val="nil"/>
              <w:bottom w:val="dotted" w:sz="4" w:space="0" w:color="auto"/>
              <w:right w:val="dotted" w:sz="4" w:space="0" w:color="auto"/>
            </w:tcBorders>
            <w:shd w:val="clear" w:color="000000" w:fill="FFFFFF"/>
            <w:vAlign w:val="center"/>
            <w:hideMark/>
          </w:tcPr>
          <w:p w14:paraId="0C44EF2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4264,3</w:t>
            </w:r>
          </w:p>
        </w:tc>
        <w:tc>
          <w:tcPr>
            <w:tcW w:w="1378" w:type="dxa"/>
            <w:tcBorders>
              <w:top w:val="nil"/>
              <w:left w:val="nil"/>
              <w:bottom w:val="dotted" w:sz="4" w:space="0" w:color="auto"/>
              <w:right w:val="dotted" w:sz="4" w:space="0" w:color="auto"/>
            </w:tcBorders>
            <w:shd w:val="clear" w:color="000000" w:fill="FFFFFF"/>
            <w:vAlign w:val="center"/>
            <w:hideMark/>
          </w:tcPr>
          <w:p w14:paraId="4B96B5E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4534,0</w:t>
            </w:r>
          </w:p>
        </w:tc>
        <w:tc>
          <w:tcPr>
            <w:tcW w:w="1378" w:type="dxa"/>
            <w:tcBorders>
              <w:top w:val="nil"/>
              <w:left w:val="nil"/>
              <w:bottom w:val="dotted" w:sz="4" w:space="0" w:color="auto"/>
              <w:right w:val="double" w:sz="6" w:space="0" w:color="auto"/>
            </w:tcBorders>
            <w:shd w:val="clear" w:color="000000" w:fill="FFFFFF"/>
            <w:vAlign w:val="center"/>
            <w:hideMark/>
          </w:tcPr>
          <w:p w14:paraId="6FCD54DA"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4854,7</w:t>
            </w:r>
          </w:p>
        </w:tc>
      </w:tr>
      <w:tr w:rsidR="006B676B" w:rsidRPr="006B676B" w14:paraId="6DC04FB5"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4CC07444"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7. Total expenditure[1]</w:t>
            </w:r>
          </w:p>
        </w:tc>
        <w:tc>
          <w:tcPr>
            <w:tcW w:w="1152" w:type="dxa"/>
            <w:tcBorders>
              <w:top w:val="nil"/>
              <w:left w:val="nil"/>
              <w:bottom w:val="dotted" w:sz="4" w:space="0" w:color="auto"/>
              <w:right w:val="single" w:sz="8" w:space="0" w:color="auto"/>
            </w:tcBorders>
            <w:shd w:val="clear" w:color="000000" w:fill="FFFFFF"/>
            <w:vAlign w:val="center"/>
            <w:hideMark/>
          </w:tcPr>
          <w:p w14:paraId="0E39434D"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45D79858"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TE</w:t>
            </w:r>
          </w:p>
        </w:tc>
        <w:tc>
          <w:tcPr>
            <w:tcW w:w="1378" w:type="dxa"/>
            <w:tcBorders>
              <w:top w:val="nil"/>
              <w:left w:val="nil"/>
              <w:bottom w:val="dotted" w:sz="4" w:space="0" w:color="auto"/>
              <w:right w:val="dotted" w:sz="4" w:space="0" w:color="auto"/>
            </w:tcBorders>
            <w:shd w:val="clear" w:color="000000" w:fill="FFFFFF"/>
            <w:vAlign w:val="center"/>
            <w:hideMark/>
          </w:tcPr>
          <w:p w14:paraId="7AFC4AB9"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3654,4</w:t>
            </w:r>
          </w:p>
        </w:tc>
        <w:tc>
          <w:tcPr>
            <w:tcW w:w="1378" w:type="dxa"/>
            <w:tcBorders>
              <w:top w:val="nil"/>
              <w:left w:val="nil"/>
              <w:bottom w:val="dotted" w:sz="4" w:space="0" w:color="auto"/>
              <w:right w:val="dotted" w:sz="4" w:space="0" w:color="auto"/>
            </w:tcBorders>
            <w:shd w:val="clear" w:color="000000" w:fill="FFFFFF"/>
            <w:vAlign w:val="center"/>
            <w:hideMark/>
          </w:tcPr>
          <w:p w14:paraId="3BCB847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4185,2</w:t>
            </w:r>
          </w:p>
        </w:tc>
        <w:tc>
          <w:tcPr>
            <w:tcW w:w="1378" w:type="dxa"/>
            <w:tcBorders>
              <w:top w:val="nil"/>
              <w:left w:val="nil"/>
              <w:bottom w:val="dotted" w:sz="4" w:space="0" w:color="auto"/>
              <w:right w:val="dotted" w:sz="4" w:space="0" w:color="auto"/>
            </w:tcBorders>
            <w:shd w:val="clear" w:color="000000" w:fill="FFFFFF"/>
            <w:vAlign w:val="center"/>
            <w:hideMark/>
          </w:tcPr>
          <w:p w14:paraId="09A6447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4578,3</w:t>
            </w:r>
          </w:p>
        </w:tc>
        <w:tc>
          <w:tcPr>
            <w:tcW w:w="1378" w:type="dxa"/>
            <w:tcBorders>
              <w:top w:val="nil"/>
              <w:left w:val="nil"/>
              <w:bottom w:val="dotted" w:sz="4" w:space="0" w:color="auto"/>
              <w:right w:val="dotted" w:sz="4" w:space="0" w:color="auto"/>
            </w:tcBorders>
            <w:shd w:val="clear" w:color="000000" w:fill="FFFFFF"/>
            <w:vAlign w:val="center"/>
            <w:hideMark/>
          </w:tcPr>
          <w:p w14:paraId="4A9D64A5"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4870,0</w:t>
            </w:r>
          </w:p>
        </w:tc>
        <w:tc>
          <w:tcPr>
            <w:tcW w:w="1378" w:type="dxa"/>
            <w:tcBorders>
              <w:top w:val="nil"/>
              <w:left w:val="nil"/>
              <w:bottom w:val="dotted" w:sz="4" w:space="0" w:color="auto"/>
              <w:right w:val="double" w:sz="6" w:space="0" w:color="auto"/>
            </w:tcBorders>
            <w:shd w:val="clear" w:color="000000" w:fill="FFFFFF"/>
            <w:vAlign w:val="center"/>
            <w:hideMark/>
          </w:tcPr>
          <w:p w14:paraId="132AD88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5214,7</w:t>
            </w:r>
          </w:p>
        </w:tc>
      </w:tr>
      <w:tr w:rsidR="006B676B" w:rsidRPr="006B676B" w14:paraId="1823F38A"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05BECF37"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8. Net borrowing/lending</w:t>
            </w:r>
          </w:p>
        </w:tc>
        <w:tc>
          <w:tcPr>
            <w:tcW w:w="1152" w:type="dxa"/>
            <w:tcBorders>
              <w:top w:val="nil"/>
              <w:left w:val="nil"/>
              <w:bottom w:val="dotted" w:sz="4" w:space="0" w:color="auto"/>
              <w:right w:val="single" w:sz="8" w:space="0" w:color="auto"/>
            </w:tcBorders>
            <w:shd w:val="clear" w:color="000000" w:fill="FFFFFF"/>
            <w:vAlign w:val="center"/>
            <w:hideMark/>
          </w:tcPr>
          <w:p w14:paraId="04201939"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5E744193"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EDP.B9</w:t>
            </w:r>
          </w:p>
        </w:tc>
        <w:tc>
          <w:tcPr>
            <w:tcW w:w="1378" w:type="dxa"/>
            <w:tcBorders>
              <w:top w:val="nil"/>
              <w:left w:val="nil"/>
              <w:bottom w:val="dotted" w:sz="4" w:space="0" w:color="auto"/>
              <w:right w:val="dotted" w:sz="4" w:space="0" w:color="auto"/>
            </w:tcBorders>
            <w:shd w:val="clear" w:color="000000" w:fill="FFFFFF"/>
            <w:vAlign w:val="center"/>
            <w:hideMark/>
          </w:tcPr>
          <w:p w14:paraId="2D04822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-181,1</w:t>
            </w:r>
          </w:p>
        </w:tc>
        <w:tc>
          <w:tcPr>
            <w:tcW w:w="1378" w:type="dxa"/>
            <w:tcBorders>
              <w:top w:val="nil"/>
              <w:left w:val="nil"/>
              <w:bottom w:val="dotted" w:sz="4" w:space="0" w:color="auto"/>
              <w:right w:val="dotted" w:sz="4" w:space="0" w:color="auto"/>
            </w:tcBorders>
            <w:shd w:val="clear" w:color="000000" w:fill="FFFFFF"/>
            <w:vAlign w:val="center"/>
            <w:hideMark/>
          </w:tcPr>
          <w:p w14:paraId="21015B79"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-263,0</w:t>
            </w:r>
          </w:p>
        </w:tc>
        <w:tc>
          <w:tcPr>
            <w:tcW w:w="1378" w:type="dxa"/>
            <w:tcBorders>
              <w:top w:val="nil"/>
              <w:left w:val="nil"/>
              <w:bottom w:val="dotted" w:sz="4" w:space="0" w:color="auto"/>
              <w:right w:val="dotted" w:sz="4" w:space="0" w:color="auto"/>
            </w:tcBorders>
            <w:shd w:val="clear" w:color="000000" w:fill="FFFFFF"/>
            <w:vAlign w:val="center"/>
            <w:hideMark/>
          </w:tcPr>
          <w:p w14:paraId="4C1EF3DE"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-314,0</w:t>
            </w:r>
          </w:p>
        </w:tc>
        <w:tc>
          <w:tcPr>
            <w:tcW w:w="1378" w:type="dxa"/>
            <w:tcBorders>
              <w:top w:val="nil"/>
              <w:left w:val="nil"/>
              <w:bottom w:val="dotted" w:sz="4" w:space="0" w:color="auto"/>
              <w:right w:val="dotted" w:sz="4" w:space="0" w:color="auto"/>
            </w:tcBorders>
            <w:shd w:val="clear" w:color="000000" w:fill="FFFFFF"/>
            <w:vAlign w:val="center"/>
            <w:hideMark/>
          </w:tcPr>
          <w:p w14:paraId="5A7E6D5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-336,0</w:t>
            </w:r>
          </w:p>
        </w:tc>
        <w:tc>
          <w:tcPr>
            <w:tcW w:w="1378" w:type="dxa"/>
            <w:tcBorders>
              <w:top w:val="nil"/>
              <w:left w:val="nil"/>
              <w:bottom w:val="dotted" w:sz="4" w:space="0" w:color="auto"/>
              <w:right w:val="double" w:sz="6" w:space="0" w:color="auto"/>
            </w:tcBorders>
            <w:shd w:val="clear" w:color="000000" w:fill="FFFFFF"/>
            <w:vAlign w:val="center"/>
            <w:hideMark/>
          </w:tcPr>
          <w:p w14:paraId="3F361081"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-360,0</w:t>
            </w:r>
          </w:p>
        </w:tc>
      </w:tr>
      <w:tr w:rsidR="006B676B" w:rsidRPr="006B676B" w14:paraId="04BA8FE2" w14:textId="77777777" w:rsidTr="006B676B">
        <w:trPr>
          <w:trHeight w:val="405"/>
        </w:trPr>
        <w:tc>
          <w:tcPr>
            <w:tcW w:w="5830" w:type="dxa"/>
            <w:tcBorders>
              <w:top w:val="nil"/>
              <w:left w:val="double" w:sz="6" w:space="0" w:color="auto"/>
              <w:bottom w:val="dotted" w:sz="4" w:space="0" w:color="auto"/>
              <w:right w:val="nil"/>
            </w:tcBorders>
            <w:shd w:val="clear" w:color="000000" w:fill="FFFFFF"/>
            <w:vAlign w:val="center"/>
            <w:hideMark/>
          </w:tcPr>
          <w:p w14:paraId="3642C455"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9. Interest expenditure</w:t>
            </w:r>
          </w:p>
        </w:tc>
        <w:tc>
          <w:tcPr>
            <w:tcW w:w="1152" w:type="dxa"/>
            <w:tcBorders>
              <w:top w:val="nil"/>
              <w:left w:val="nil"/>
              <w:bottom w:val="dotted" w:sz="4" w:space="0" w:color="auto"/>
              <w:right w:val="single" w:sz="8" w:space="0" w:color="auto"/>
            </w:tcBorders>
            <w:shd w:val="clear" w:color="000000" w:fill="FFFFFF"/>
            <w:vAlign w:val="center"/>
            <w:hideMark/>
          </w:tcPr>
          <w:p w14:paraId="3A72CA7E"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60CF26E7"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EDP.D41 incl. FISIM</w:t>
            </w:r>
          </w:p>
        </w:tc>
        <w:tc>
          <w:tcPr>
            <w:tcW w:w="1378" w:type="dxa"/>
            <w:tcBorders>
              <w:top w:val="nil"/>
              <w:left w:val="nil"/>
              <w:bottom w:val="dotted" w:sz="4" w:space="0" w:color="auto"/>
              <w:right w:val="dotted" w:sz="4" w:space="0" w:color="auto"/>
            </w:tcBorders>
            <w:shd w:val="clear" w:color="000000" w:fill="FFFFFF"/>
            <w:vAlign w:val="center"/>
            <w:hideMark/>
          </w:tcPr>
          <w:p w14:paraId="061451AD"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149,3</w:t>
            </w:r>
          </w:p>
        </w:tc>
        <w:tc>
          <w:tcPr>
            <w:tcW w:w="1378" w:type="dxa"/>
            <w:tcBorders>
              <w:top w:val="nil"/>
              <w:left w:val="nil"/>
              <w:bottom w:val="dotted" w:sz="4" w:space="0" w:color="auto"/>
              <w:right w:val="dotted" w:sz="4" w:space="0" w:color="auto"/>
            </w:tcBorders>
            <w:shd w:val="clear" w:color="000000" w:fill="FFFFFF"/>
            <w:vAlign w:val="center"/>
            <w:hideMark/>
          </w:tcPr>
          <w:p w14:paraId="548E009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187,6</w:t>
            </w:r>
          </w:p>
        </w:tc>
        <w:tc>
          <w:tcPr>
            <w:tcW w:w="1378" w:type="dxa"/>
            <w:tcBorders>
              <w:top w:val="nil"/>
              <w:left w:val="nil"/>
              <w:bottom w:val="dotted" w:sz="4" w:space="0" w:color="auto"/>
              <w:right w:val="dotted" w:sz="4" w:space="0" w:color="auto"/>
            </w:tcBorders>
            <w:shd w:val="clear" w:color="000000" w:fill="FFFFFF"/>
            <w:vAlign w:val="center"/>
            <w:hideMark/>
          </w:tcPr>
          <w:p w14:paraId="66B950CF"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222,7</w:t>
            </w:r>
          </w:p>
        </w:tc>
        <w:tc>
          <w:tcPr>
            <w:tcW w:w="1378" w:type="dxa"/>
            <w:tcBorders>
              <w:top w:val="nil"/>
              <w:left w:val="nil"/>
              <w:bottom w:val="dotted" w:sz="4" w:space="0" w:color="auto"/>
              <w:right w:val="dotted" w:sz="4" w:space="0" w:color="auto"/>
            </w:tcBorders>
            <w:shd w:val="clear" w:color="000000" w:fill="FFFFFF"/>
            <w:vAlign w:val="center"/>
            <w:hideMark/>
          </w:tcPr>
          <w:p w14:paraId="6E5DF8A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235,6</w:t>
            </w:r>
          </w:p>
        </w:tc>
        <w:tc>
          <w:tcPr>
            <w:tcW w:w="1378" w:type="dxa"/>
            <w:tcBorders>
              <w:top w:val="nil"/>
              <w:left w:val="nil"/>
              <w:bottom w:val="dotted" w:sz="4" w:space="0" w:color="auto"/>
              <w:right w:val="double" w:sz="6" w:space="0" w:color="auto"/>
            </w:tcBorders>
            <w:shd w:val="clear" w:color="000000" w:fill="FFFFFF"/>
            <w:vAlign w:val="center"/>
            <w:hideMark/>
          </w:tcPr>
          <w:p w14:paraId="261813C1"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236,5</w:t>
            </w:r>
          </w:p>
        </w:tc>
      </w:tr>
      <w:tr w:rsidR="006B676B" w:rsidRPr="006B676B" w14:paraId="744FBF5B"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042E907F"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10. Primary balance[2]</w:t>
            </w:r>
          </w:p>
        </w:tc>
        <w:tc>
          <w:tcPr>
            <w:tcW w:w="1152" w:type="dxa"/>
            <w:tcBorders>
              <w:top w:val="nil"/>
              <w:left w:val="nil"/>
              <w:bottom w:val="dotted" w:sz="4" w:space="0" w:color="auto"/>
              <w:right w:val="single" w:sz="8" w:space="0" w:color="auto"/>
            </w:tcBorders>
            <w:shd w:val="clear" w:color="000000" w:fill="FFFFFF"/>
            <w:vAlign w:val="center"/>
            <w:hideMark/>
          </w:tcPr>
          <w:p w14:paraId="0969FEE1"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4263ADB1"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378" w:type="dxa"/>
            <w:tcBorders>
              <w:top w:val="nil"/>
              <w:left w:val="nil"/>
              <w:bottom w:val="dotted" w:sz="4" w:space="0" w:color="auto"/>
              <w:right w:val="dotted" w:sz="4" w:space="0" w:color="auto"/>
            </w:tcBorders>
            <w:shd w:val="clear" w:color="000000" w:fill="FFFFFF"/>
            <w:vAlign w:val="center"/>
            <w:hideMark/>
          </w:tcPr>
          <w:p w14:paraId="050B42BC"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-31,8</w:t>
            </w:r>
          </w:p>
        </w:tc>
        <w:tc>
          <w:tcPr>
            <w:tcW w:w="1378" w:type="dxa"/>
            <w:tcBorders>
              <w:top w:val="nil"/>
              <w:left w:val="nil"/>
              <w:bottom w:val="dotted" w:sz="4" w:space="0" w:color="auto"/>
              <w:right w:val="dotted" w:sz="4" w:space="0" w:color="auto"/>
            </w:tcBorders>
            <w:shd w:val="clear" w:color="000000" w:fill="FFFFFF"/>
            <w:vAlign w:val="center"/>
            <w:hideMark/>
          </w:tcPr>
          <w:p w14:paraId="1C0BDB3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-75,4</w:t>
            </w:r>
          </w:p>
        </w:tc>
        <w:tc>
          <w:tcPr>
            <w:tcW w:w="1378" w:type="dxa"/>
            <w:tcBorders>
              <w:top w:val="nil"/>
              <w:left w:val="nil"/>
              <w:bottom w:val="dotted" w:sz="4" w:space="0" w:color="auto"/>
              <w:right w:val="dotted" w:sz="4" w:space="0" w:color="auto"/>
            </w:tcBorders>
            <w:shd w:val="clear" w:color="000000" w:fill="FFFFFF"/>
            <w:vAlign w:val="center"/>
            <w:hideMark/>
          </w:tcPr>
          <w:p w14:paraId="0DE4F02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-91,3</w:t>
            </w:r>
          </w:p>
        </w:tc>
        <w:tc>
          <w:tcPr>
            <w:tcW w:w="1378" w:type="dxa"/>
            <w:tcBorders>
              <w:top w:val="nil"/>
              <w:left w:val="nil"/>
              <w:bottom w:val="dotted" w:sz="4" w:space="0" w:color="auto"/>
              <w:right w:val="dotted" w:sz="4" w:space="0" w:color="auto"/>
            </w:tcBorders>
            <w:shd w:val="clear" w:color="000000" w:fill="FFFFFF"/>
            <w:vAlign w:val="center"/>
            <w:hideMark/>
          </w:tcPr>
          <w:p w14:paraId="22DD934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-100,4</w:t>
            </w:r>
          </w:p>
        </w:tc>
        <w:tc>
          <w:tcPr>
            <w:tcW w:w="1378" w:type="dxa"/>
            <w:tcBorders>
              <w:top w:val="nil"/>
              <w:left w:val="nil"/>
              <w:bottom w:val="dotted" w:sz="4" w:space="0" w:color="auto"/>
              <w:right w:val="double" w:sz="6" w:space="0" w:color="auto"/>
            </w:tcBorders>
            <w:shd w:val="clear" w:color="000000" w:fill="FFFFFF"/>
            <w:vAlign w:val="center"/>
            <w:hideMark/>
          </w:tcPr>
          <w:p w14:paraId="2967205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-123,5</w:t>
            </w:r>
          </w:p>
        </w:tc>
      </w:tr>
      <w:tr w:rsidR="006B676B" w:rsidRPr="006B676B" w14:paraId="27EFBFB0" w14:textId="77777777" w:rsidTr="006B676B">
        <w:trPr>
          <w:trHeight w:val="366"/>
        </w:trPr>
        <w:tc>
          <w:tcPr>
            <w:tcW w:w="5830" w:type="dxa"/>
            <w:tcBorders>
              <w:top w:val="nil"/>
              <w:left w:val="double" w:sz="6" w:space="0" w:color="auto"/>
              <w:bottom w:val="single" w:sz="8" w:space="0" w:color="auto"/>
              <w:right w:val="nil"/>
            </w:tcBorders>
            <w:shd w:val="clear" w:color="000000" w:fill="FFFFFF"/>
            <w:vAlign w:val="center"/>
            <w:hideMark/>
          </w:tcPr>
          <w:p w14:paraId="326CF088"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11. One-off and other temporary measures [3]</w:t>
            </w:r>
          </w:p>
        </w:tc>
        <w:tc>
          <w:tcPr>
            <w:tcW w:w="1152" w:type="dxa"/>
            <w:tcBorders>
              <w:top w:val="nil"/>
              <w:left w:val="nil"/>
              <w:bottom w:val="single" w:sz="8" w:space="0" w:color="auto"/>
              <w:right w:val="single" w:sz="8" w:space="0" w:color="auto"/>
            </w:tcBorders>
            <w:shd w:val="clear" w:color="000000" w:fill="FFFFFF"/>
            <w:vAlign w:val="center"/>
            <w:hideMark/>
          </w:tcPr>
          <w:p w14:paraId="18546F98"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single" w:sz="8" w:space="0" w:color="auto"/>
              <w:right w:val="single" w:sz="8" w:space="0" w:color="auto"/>
            </w:tcBorders>
            <w:shd w:val="clear" w:color="000000" w:fill="FFFFFF"/>
            <w:vAlign w:val="center"/>
            <w:hideMark/>
          </w:tcPr>
          <w:p w14:paraId="7A49DA0E"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378" w:type="dxa"/>
            <w:tcBorders>
              <w:top w:val="nil"/>
              <w:left w:val="nil"/>
              <w:bottom w:val="single" w:sz="8" w:space="0" w:color="auto"/>
              <w:right w:val="dotted" w:sz="4" w:space="0" w:color="auto"/>
            </w:tcBorders>
            <w:shd w:val="clear" w:color="000000" w:fill="FFFFFF"/>
            <w:vAlign w:val="center"/>
            <w:hideMark/>
          </w:tcPr>
          <w:p w14:paraId="7E3F41FE"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single" w:sz="8" w:space="0" w:color="auto"/>
              <w:right w:val="dotted" w:sz="4" w:space="0" w:color="auto"/>
            </w:tcBorders>
            <w:shd w:val="clear" w:color="000000" w:fill="FFFFFF"/>
            <w:vAlign w:val="center"/>
            <w:hideMark/>
          </w:tcPr>
          <w:p w14:paraId="5BD3B7AA"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single" w:sz="8" w:space="0" w:color="auto"/>
              <w:right w:val="dotted" w:sz="4" w:space="0" w:color="auto"/>
            </w:tcBorders>
            <w:shd w:val="clear" w:color="000000" w:fill="FFFFFF"/>
            <w:vAlign w:val="center"/>
            <w:hideMark/>
          </w:tcPr>
          <w:p w14:paraId="6439E17A"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single" w:sz="8" w:space="0" w:color="auto"/>
              <w:right w:val="dotted" w:sz="4" w:space="0" w:color="auto"/>
            </w:tcBorders>
            <w:shd w:val="clear" w:color="000000" w:fill="FFFFFF"/>
            <w:vAlign w:val="center"/>
            <w:hideMark/>
          </w:tcPr>
          <w:p w14:paraId="1B8BF4A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single" w:sz="8" w:space="0" w:color="auto"/>
              <w:right w:val="double" w:sz="6" w:space="0" w:color="auto"/>
            </w:tcBorders>
            <w:shd w:val="clear" w:color="000000" w:fill="FFFFFF"/>
            <w:vAlign w:val="center"/>
            <w:hideMark/>
          </w:tcPr>
          <w:p w14:paraId="6335F47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r>
      <w:tr w:rsidR="006B676B" w:rsidRPr="006B676B" w14:paraId="24407113" w14:textId="77777777" w:rsidTr="006B676B">
        <w:trPr>
          <w:trHeight w:val="366"/>
        </w:trPr>
        <w:tc>
          <w:tcPr>
            <w:tcW w:w="15029" w:type="dxa"/>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14:paraId="33998999" w14:textId="77777777" w:rsidR="006B676B" w:rsidRPr="006B676B" w:rsidRDefault="006B676B" w:rsidP="006B676B">
            <w:pPr>
              <w:spacing w:after="0"/>
              <w:jc w:val="center"/>
              <w:rPr>
                <w:rFonts w:eastAsia="Times New Roman" w:cs="Times New Roman"/>
                <w:b/>
                <w:bCs/>
                <w:szCs w:val="24"/>
              </w:rPr>
            </w:pPr>
            <w:r w:rsidRPr="006B676B">
              <w:rPr>
                <w:rFonts w:eastAsia="Times New Roman" w:cs="Times New Roman"/>
                <w:b/>
                <w:bCs/>
                <w:szCs w:val="24"/>
              </w:rPr>
              <w:t>Components of revenues</w:t>
            </w:r>
          </w:p>
        </w:tc>
      </w:tr>
      <w:tr w:rsidR="006B676B" w:rsidRPr="006B676B" w14:paraId="7A447BE2"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573EAC1C"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12. Total taxes  (12 = 12a+12b+12c)</w:t>
            </w:r>
          </w:p>
        </w:tc>
        <w:tc>
          <w:tcPr>
            <w:tcW w:w="1152" w:type="dxa"/>
            <w:tcBorders>
              <w:top w:val="nil"/>
              <w:left w:val="nil"/>
              <w:bottom w:val="dotted" w:sz="4" w:space="0" w:color="auto"/>
              <w:right w:val="single" w:sz="8" w:space="0" w:color="auto"/>
            </w:tcBorders>
            <w:shd w:val="clear" w:color="000000" w:fill="FFFFFF"/>
            <w:vAlign w:val="center"/>
            <w:hideMark/>
          </w:tcPr>
          <w:p w14:paraId="1A5D8F95"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1259FFB4"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378" w:type="dxa"/>
            <w:tcBorders>
              <w:top w:val="nil"/>
              <w:left w:val="nil"/>
              <w:bottom w:val="dotted" w:sz="4" w:space="0" w:color="auto"/>
              <w:right w:val="dotted" w:sz="4" w:space="0" w:color="auto"/>
            </w:tcBorders>
            <w:shd w:val="clear" w:color="000000" w:fill="FFFFFF"/>
            <w:vAlign w:val="center"/>
            <w:hideMark/>
          </w:tcPr>
          <w:p w14:paraId="21B3553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2017,9</w:t>
            </w:r>
          </w:p>
        </w:tc>
        <w:tc>
          <w:tcPr>
            <w:tcW w:w="1378" w:type="dxa"/>
            <w:tcBorders>
              <w:top w:val="nil"/>
              <w:left w:val="nil"/>
              <w:bottom w:val="dotted" w:sz="4" w:space="0" w:color="auto"/>
              <w:right w:val="dotted" w:sz="4" w:space="0" w:color="auto"/>
            </w:tcBorders>
            <w:shd w:val="clear" w:color="000000" w:fill="FFFFFF"/>
            <w:vAlign w:val="center"/>
            <w:hideMark/>
          </w:tcPr>
          <w:p w14:paraId="77D7E02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2258,8</w:t>
            </w:r>
          </w:p>
        </w:tc>
        <w:tc>
          <w:tcPr>
            <w:tcW w:w="1378" w:type="dxa"/>
            <w:tcBorders>
              <w:top w:val="nil"/>
              <w:left w:val="nil"/>
              <w:bottom w:val="dotted" w:sz="4" w:space="0" w:color="auto"/>
              <w:right w:val="dotted" w:sz="4" w:space="0" w:color="auto"/>
            </w:tcBorders>
            <w:shd w:val="clear" w:color="000000" w:fill="FFFFFF"/>
            <w:vAlign w:val="center"/>
            <w:hideMark/>
          </w:tcPr>
          <w:p w14:paraId="2FBE866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2405,4</w:t>
            </w:r>
          </w:p>
        </w:tc>
        <w:tc>
          <w:tcPr>
            <w:tcW w:w="1378" w:type="dxa"/>
            <w:tcBorders>
              <w:top w:val="nil"/>
              <w:left w:val="nil"/>
              <w:bottom w:val="dotted" w:sz="4" w:space="0" w:color="auto"/>
              <w:right w:val="dotted" w:sz="4" w:space="0" w:color="auto"/>
            </w:tcBorders>
            <w:shd w:val="clear" w:color="000000" w:fill="FFFFFF"/>
            <w:vAlign w:val="center"/>
            <w:hideMark/>
          </w:tcPr>
          <w:p w14:paraId="3B377955"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2572,6</w:t>
            </w:r>
          </w:p>
        </w:tc>
        <w:tc>
          <w:tcPr>
            <w:tcW w:w="1378" w:type="dxa"/>
            <w:tcBorders>
              <w:top w:val="nil"/>
              <w:left w:val="nil"/>
              <w:bottom w:val="dotted" w:sz="4" w:space="0" w:color="auto"/>
              <w:right w:val="double" w:sz="6" w:space="0" w:color="auto"/>
            </w:tcBorders>
            <w:shd w:val="clear" w:color="000000" w:fill="FFFFFF"/>
            <w:vAlign w:val="center"/>
            <w:hideMark/>
          </w:tcPr>
          <w:p w14:paraId="5A36902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2756,4</w:t>
            </w:r>
          </w:p>
        </w:tc>
      </w:tr>
      <w:tr w:rsidR="006B676B" w:rsidRPr="006B676B" w14:paraId="29B7C4AB"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30517FE5"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12a. Taxes on production and imports</w:t>
            </w:r>
          </w:p>
        </w:tc>
        <w:tc>
          <w:tcPr>
            <w:tcW w:w="1152" w:type="dxa"/>
            <w:tcBorders>
              <w:top w:val="nil"/>
              <w:left w:val="nil"/>
              <w:bottom w:val="dotted" w:sz="4" w:space="0" w:color="auto"/>
              <w:right w:val="single" w:sz="8" w:space="0" w:color="auto"/>
            </w:tcBorders>
            <w:shd w:val="clear" w:color="000000" w:fill="FFFFFF"/>
            <w:vAlign w:val="center"/>
            <w:hideMark/>
          </w:tcPr>
          <w:p w14:paraId="41A43228"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53250AB0"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D2</w:t>
            </w:r>
          </w:p>
        </w:tc>
        <w:tc>
          <w:tcPr>
            <w:tcW w:w="1378" w:type="dxa"/>
            <w:tcBorders>
              <w:top w:val="nil"/>
              <w:left w:val="nil"/>
              <w:bottom w:val="dotted" w:sz="4" w:space="0" w:color="auto"/>
              <w:right w:val="dotted" w:sz="4" w:space="0" w:color="auto"/>
            </w:tcBorders>
            <w:shd w:val="clear" w:color="000000" w:fill="FFFFFF"/>
            <w:vAlign w:val="center"/>
            <w:hideMark/>
          </w:tcPr>
          <w:p w14:paraId="4F17D9D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1340,4</w:t>
            </w:r>
          </w:p>
        </w:tc>
        <w:tc>
          <w:tcPr>
            <w:tcW w:w="1378" w:type="dxa"/>
            <w:tcBorders>
              <w:top w:val="nil"/>
              <w:left w:val="nil"/>
              <w:bottom w:val="dotted" w:sz="4" w:space="0" w:color="auto"/>
              <w:right w:val="dotted" w:sz="4" w:space="0" w:color="auto"/>
            </w:tcBorders>
            <w:shd w:val="clear" w:color="000000" w:fill="FFFFFF"/>
            <w:vAlign w:val="center"/>
            <w:hideMark/>
          </w:tcPr>
          <w:p w14:paraId="610C765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1510,8</w:t>
            </w:r>
          </w:p>
        </w:tc>
        <w:tc>
          <w:tcPr>
            <w:tcW w:w="1378" w:type="dxa"/>
            <w:tcBorders>
              <w:top w:val="nil"/>
              <w:left w:val="nil"/>
              <w:bottom w:val="dotted" w:sz="4" w:space="0" w:color="auto"/>
              <w:right w:val="dotted" w:sz="4" w:space="0" w:color="auto"/>
            </w:tcBorders>
            <w:shd w:val="clear" w:color="000000" w:fill="FFFFFF"/>
            <w:vAlign w:val="center"/>
            <w:hideMark/>
          </w:tcPr>
          <w:p w14:paraId="362445F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1630,2</w:t>
            </w:r>
          </w:p>
        </w:tc>
        <w:tc>
          <w:tcPr>
            <w:tcW w:w="1378" w:type="dxa"/>
            <w:tcBorders>
              <w:top w:val="nil"/>
              <w:left w:val="nil"/>
              <w:bottom w:val="dotted" w:sz="4" w:space="0" w:color="auto"/>
              <w:right w:val="dotted" w:sz="4" w:space="0" w:color="auto"/>
            </w:tcBorders>
            <w:shd w:val="clear" w:color="000000" w:fill="FFFFFF"/>
            <w:vAlign w:val="center"/>
            <w:hideMark/>
          </w:tcPr>
          <w:p w14:paraId="289CD93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1741,8</w:t>
            </w:r>
          </w:p>
        </w:tc>
        <w:tc>
          <w:tcPr>
            <w:tcW w:w="1378" w:type="dxa"/>
            <w:tcBorders>
              <w:top w:val="nil"/>
              <w:left w:val="nil"/>
              <w:bottom w:val="dotted" w:sz="4" w:space="0" w:color="auto"/>
              <w:right w:val="double" w:sz="6" w:space="0" w:color="auto"/>
            </w:tcBorders>
            <w:shd w:val="clear" w:color="000000" w:fill="FFFFFF"/>
            <w:vAlign w:val="center"/>
            <w:hideMark/>
          </w:tcPr>
          <w:p w14:paraId="2445ED9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1866,6</w:t>
            </w:r>
          </w:p>
        </w:tc>
      </w:tr>
      <w:tr w:rsidR="006B676B" w:rsidRPr="006B676B" w14:paraId="5FCE3D07"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0A00AAAB"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12b. Current taxes on income and wealth</w:t>
            </w:r>
          </w:p>
        </w:tc>
        <w:tc>
          <w:tcPr>
            <w:tcW w:w="1152" w:type="dxa"/>
            <w:tcBorders>
              <w:top w:val="nil"/>
              <w:left w:val="nil"/>
              <w:bottom w:val="dotted" w:sz="4" w:space="0" w:color="auto"/>
              <w:right w:val="single" w:sz="8" w:space="0" w:color="auto"/>
            </w:tcBorders>
            <w:shd w:val="clear" w:color="000000" w:fill="FFFFFF"/>
            <w:vAlign w:val="center"/>
            <w:hideMark/>
          </w:tcPr>
          <w:p w14:paraId="56A00DBA"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553B8DD5"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D5</w:t>
            </w:r>
          </w:p>
        </w:tc>
        <w:tc>
          <w:tcPr>
            <w:tcW w:w="1378" w:type="dxa"/>
            <w:tcBorders>
              <w:top w:val="nil"/>
              <w:left w:val="nil"/>
              <w:bottom w:val="dotted" w:sz="4" w:space="0" w:color="auto"/>
              <w:right w:val="dotted" w:sz="4" w:space="0" w:color="auto"/>
            </w:tcBorders>
            <w:shd w:val="clear" w:color="000000" w:fill="FFFFFF"/>
            <w:vAlign w:val="center"/>
            <w:hideMark/>
          </w:tcPr>
          <w:p w14:paraId="68BD087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676,6</w:t>
            </w:r>
          </w:p>
        </w:tc>
        <w:tc>
          <w:tcPr>
            <w:tcW w:w="1378" w:type="dxa"/>
            <w:tcBorders>
              <w:top w:val="nil"/>
              <w:left w:val="nil"/>
              <w:bottom w:val="dotted" w:sz="4" w:space="0" w:color="auto"/>
              <w:right w:val="dotted" w:sz="4" w:space="0" w:color="auto"/>
            </w:tcBorders>
            <w:shd w:val="clear" w:color="000000" w:fill="FFFFFF"/>
            <w:vAlign w:val="center"/>
            <w:hideMark/>
          </w:tcPr>
          <w:p w14:paraId="36FB4A4C"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747,0</w:t>
            </w:r>
          </w:p>
        </w:tc>
        <w:tc>
          <w:tcPr>
            <w:tcW w:w="1378" w:type="dxa"/>
            <w:tcBorders>
              <w:top w:val="nil"/>
              <w:left w:val="nil"/>
              <w:bottom w:val="dotted" w:sz="4" w:space="0" w:color="auto"/>
              <w:right w:val="dotted" w:sz="4" w:space="0" w:color="auto"/>
            </w:tcBorders>
            <w:shd w:val="clear" w:color="000000" w:fill="FFFFFF"/>
            <w:vAlign w:val="center"/>
            <w:hideMark/>
          </w:tcPr>
          <w:p w14:paraId="615E29DD"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773,9</w:t>
            </w:r>
          </w:p>
        </w:tc>
        <w:tc>
          <w:tcPr>
            <w:tcW w:w="1378" w:type="dxa"/>
            <w:tcBorders>
              <w:top w:val="nil"/>
              <w:left w:val="nil"/>
              <w:bottom w:val="dotted" w:sz="4" w:space="0" w:color="auto"/>
              <w:right w:val="dotted" w:sz="4" w:space="0" w:color="auto"/>
            </w:tcBorders>
            <w:shd w:val="clear" w:color="000000" w:fill="FFFFFF"/>
            <w:vAlign w:val="center"/>
            <w:hideMark/>
          </w:tcPr>
          <w:p w14:paraId="7478DE7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829,3</w:t>
            </w:r>
          </w:p>
        </w:tc>
        <w:tc>
          <w:tcPr>
            <w:tcW w:w="1378" w:type="dxa"/>
            <w:tcBorders>
              <w:top w:val="nil"/>
              <w:left w:val="nil"/>
              <w:bottom w:val="dotted" w:sz="4" w:space="0" w:color="auto"/>
              <w:right w:val="double" w:sz="6" w:space="0" w:color="auto"/>
            </w:tcBorders>
            <w:shd w:val="clear" w:color="000000" w:fill="FFFFFF"/>
            <w:vAlign w:val="center"/>
            <w:hideMark/>
          </w:tcPr>
          <w:p w14:paraId="5BFBA3F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887,9</w:t>
            </w:r>
          </w:p>
        </w:tc>
      </w:tr>
      <w:tr w:rsidR="006B676B" w:rsidRPr="006B676B" w14:paraId="3A40A6F8"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060830E1"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12c. Capital taxes</w:t>
            </w:r>
          </w:p>
        </w:tc>
        <w:tc>
          <w:tcPr>
            <w:tcW w:w="1152" w:type="dxa"/>
            <w:tcBorders>
              <w:top w:val="nil"/>
              <w:left w:val="nil"/>
              <w:bottom w:val="dotted" w:sz="4" w:space="0" w:color="auto"/>
              <w:right w:val="single" w:sz="8" w:space="0" w:color="auto"/>
            </w:tcBorders>
            <w:shd w:val="clear" w:color="000000" w:fill="FFFFFF"/>
            <w:vAlign w:val="center"/>
            <w:hideMark/>
          </w:tcPr>
          <w:p w14:paraId="0347DA78"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7694DFF1"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D91</w:t>
            </w:r>
          </w:p>
        </w:tc>
        <w:tc>
          <w:tcPr>
            <w:tcW w:w="1378" w:type="dxa"/>
            <w:tcBorders>
              <w:top w:val="nil"/>
              <w:left w:val="nil"/>
              <w:bottom w:val="dotted" w:sz="4" w:space="0" w:color="auto"/>
              <w:right w:val="dotted" w:sz="4" w:space="0" w:color="auto"/>
            </w:tcBorders>
            <w:shd w:val="clear" w:color="000000" w:fill="FFFFFF"/>
            <w:vAlign w:val="center"/>
            <w:hideMark/>
          </w:tcPr>
          <w:p w14:paraId="4860232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0,9</w:t>
            </w:r>
          </w:p>
        </w:tc>
        <w:tc>
          <w:tcPr>
            <w:tcW w:w="1378" w:type="dxa"/>
            <w:tcBorders>
              <w:top w:val="nil"/>
              <w:left w:val="nil"/>
              <w:bottom w:val="dotted" w:sz="4" w:space="0" w:color="auto"/>
              <w:right w:val="dotted" w:sz="4" w:space="0" w:color="auto"/>
            </w:tcBorders>
            <w:shd w:val="clear" w:color="000000" w:fill="FFFFFF"/>
            <w:vAlign w:val="center"/>
            <w:hideMark/>
          </w:tcPr>
          <w:p w14:paraId="2B3170A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1,0</w:t>
            </w:r>
          </w:p>
        </w:tc>
        <w:tc>
          <w:tcPr>
            <w:tcW w:w="1378" w:type="dxa"/>
            <w:tcBorders>
              <w:top w:val="nil"/>
              <w:left w:val="nil"/>
              <w:bottom w:val="dotted" w:sz="4" w:space="0" w:color="auto"/>
              <w:right w:val="dotted" w:sz="4" w:space="0" w:color="auto"/>
            </w:tcBorders>
            <w:shd w:val="clear" w:color="000000" w:fill="FFFFFF"/>
            <w:vAlign w:val="center"/>
            <w:hideMark/>
          </w:tcPr>
          <w:p w14:paraId="22BB763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1,3</w:t>
            </w:r>
          </w:p>
        </w:tc>
        <w:tc>
          <w:tcPr>
            <w:tcW w:w="1378" w:type="dxa"/>
            <w:tcBorders>
              <w:top w:val="nil"/>
              <w:left w:val="nil"/>
              <w:bottom w:val="dotted" w:sz="4" w:space="0" w:color="auto"/>
              <w:right w:val="dotted" w:sz="4" w:space="0" w:color="auto"/>
            </w:tcBorders>
            <w:shd w:val="clear" w:color="000000" w:fill="FFFFFF"/>
            <w:vAlign w:val="center"/>
            <w:hideMark/>
          </w:tcPr>
          <w:p w14:paraId="0CB2AA4C"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1,6</w:t>
            </w:r>
          </w:p>
        </w:tc>
        <w:tc>
          <w:tcPr>
            <w:tcW w:w="1378" w:type="dxa"/>
            <w:tcBorders>
              <w:top w:val="nil"/>
              <w:left w:val="nil"/>
              <w:bottom w:val="dotted" w:sz="4" w:space="0" w:color="auto"/>
              <w:right w:val="double" w:sz="6" w:space="0" w:color="auto"/>
            </w:tcBorders>
            <w:shd w:val="clear" w:color="000000" w:fill="FFFFFF"/>
            <w:vAlign w:val="center"/>
            <w:hideMark/>
          </w:tcPr>
          <w:p w14:paraId="3D3BCD5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1,9</w:t>
            </w:r>
          </w:p>
        </w:tc>
      </w:tr>
      <w:tr w:rsidR="006B676B" w:rsidRPr="006B676B" w14:paraId="5DD1A0E5"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5D524C50"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13. Social contributions</w:t>
            </w:r>
          </w:p>
        </w:tc>
        <w:tc>
          <w:tcPr>
            <w:tcW w:w="1152" w:type="dxa"/>
            <w:tcBorders>
              <w:top w:val="nil"/>
              <w:left w:val="nil"/>
              <w:bottom w:val="dotted" w:sz="4" w:space="0" w:color="auto"/>
              <w:right w:val="single" w:sz="8" w:space="0" w:color="auto"/>
            </w:tcBorders>
            <w:shd w:val="clear" w:color="000000" w:fill="FFFFFF"/>
            <w:vAlign w:val="center"/>
            <w:hideMark/>
          </w:tcPr>
          <w:p w14:paraId="39467932"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5FA44EBA"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D61</w:t>
            </w:r>
          </w:p>
        </w:tc>
        <w:tc>
          <w:tcPr>
            <w:tcW w:w="1378" w:type="dxa"/>
            <w:tcBorders>
              <w:top w:val="nil"/>
              <w:left w:val="nil"/>
              <w:bottom w:val="dotted" w:sz="4" w:space="0" w:color="auto"/>
              <w:right w:val="dotted" w:sz="4" w:space="0" w:color="auto"/>
            </w:tcBorders>
            <w:shd w:val="clear" w:color="000000" w:fill="FFFFFF"/>
            <w:vAlign w:val="center"/>
            <w:hideMark/>
          </w:tcPr>
          <w:p w14:paraId="3D6D0E1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1060,9</w:t>
            </w:r>
          </w:p>
        </w:tc>
        <w:tc>
          <w:tcPr>
            <w:tcW w:w="1378" w:type="dxa"/>
            <w:tcBorders>
              <w:top w:val="nil"/>
              <w:left w:val="nil"/>
              <w:bottom w:val="dotted" w:sz="4" w:space="0" w:color="auto"/>
              <w:right w:val="dotted" w:sz="4" w:space="0" w:color="auto"/>
            </w:tcBorders>
            <w:shd w:val="clear" w:color="000000" w:fill="FFFFFF"/>
            <w:vAlign w:val="center"/>
            <w:hideMark/>
          </w:tcPr>
          <w:p w14:paraId="1BC1432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1220,1</w:t>
            </w:r>
          </w:p>
        </w:tc>
        <w:tc>
          <w:tcPr>
            <w:tcW w:w="1378" w:type="dxa"/>
            <w:tcBorders>
              <w:top w:val="nil"/>
              <w:left w:val="nil"/>
              <w:bottom w:val="dotted" w:sz="4" w:space="0" w:color="auto"/>
              <w:right w:val="dotted" w:sz="4" w:space="0" w:color="auto"/>
            </w:tcBorders>
            <w:shd w:val="clear" w:color="000000" w:fill="FFFFFF"/>
            <w:vAlign w:val="center"/>
            <w:hideMark/>
          </w:tcPr>
          <w:p w14:paraId="6039B94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1344,6</w:t>
            </w:r>
          </w:p>
        </w:tc>
        <w:tc>
          <w:tcPr>
            <w:tcW w:w="1378" w:type="dxa"/>
            <w:tcBorders>
              <w:top w:val="nil"/>
              <w:left w:val="nil"/>
              <w:bottom w:val="dotted" w:sz="4" w:space="0" w:color="auto"/>
              <w:right w:val="dotted" w:sz="4" w:space="0" w:color="auto"/>
            </w:tcBorders>
            <w:shd w:val="clear" w:color="000000" w:fill="FFFFFF"/>
            <w:vAlign w:val="center"/>
            <w:hideMark/>
          </w:tcPr>
          <w:p w14:paraId="2185ED01"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1466,9</w:t>
            </w:r>
          </w:p>
        </w:tc>
        <w:tc>
          <w:tcPr>
            <w:tcW w:w="1378" w:type="dxa"/>
            <w:tcBorders>
              <w:top w:val="nil"/>
              <w:left w:val="nil"/>
              <w:bottom w:val="dotted" w:sz="4" w:space="0" w:color="auto"/>
              <w:right w:val="double" w:sz="6" w:space="0" w:color="auto"/>
            </w:tcBorders>
            <w:shd w:val="clear" w:color="000000" w:fill="FFFFFF"/>
            <w:vAlign w:val="center"/>
            <w:hideMark/>
          </w:tcPr>
          <w:p w14:paraId="29E1FDC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1602,3</w:t>
            </w:r>
          </w:p>
        </w:tc>
      </w:tr>
      <w:tr w:rsidR="006B676B" w:rsidRPr="006B676B" w14:paraId="5EFB3B18"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4E1656B8"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14. Property income</w:t>
            </w:r>
          </w:p>
        </w:tc>
        <w:tc>
          <w:tcPr>
            <w:tcW w:w="1152" w:type="dxa"/>
            <w:tcBorders>
              <w:top w:val="nil"/>
              <w:left w:val="nil"/>
              <w:bottom w:val="dotted" w:sz="4" w:space="0" w:color="auto"/>
              <w:right w:val="single" w:sz="8" w:space="0" w:color="auto"/>
            </w:tcBorders>
            <w:shd w:val="clear" w:color="000000" w:fill="FFFFFF"/>
            <w:vAlign w:val="center"/>
            <w:hideMark/>
          </w:tcPr>
          <w:p w14:paraId="4A09AF67"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709AE519"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D4</w:t>
            </w:r>
          </w:p>
        </w:tc>
        <w:tc>
          <w:tcPr>
            <w:tcW w:w="1378" w:type="dxa"/>
            <w:tcBorders>
              <w:top w:val="nil"/>
              <w:left w:val="nil"/>
              <w:bottom w:val="dotted" w:sz="4" w:space="0" w:color="auto"/>
              <w:right w:val="dotted" w:sz="4" w:space="0" w:color="auto"/>
            </w:tcBorders>
            <w:shd w:val="clear" w:color="000000" w:fill="FFFFFF"/>
            <w:vAlign w:val="center"/>
            <w:hideMark/>
          </w:tcPr>
          <w:p w14:paraId="0153D26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96,7</w:t>
            </w:r>
          </w:p>
        </w:tc>
        <w:tc>
          <w:tcPr>
            <w:tcW w:w="1378" w:type="dxa"/>
            <w:tcBorders>
              <w:top w:val="nil"/>
              <w:left w:val="nil"/>
              <w:bottom w:val="dotted" w:sz="4" w:space="0" w:color="auto"/>
              <w:right w:val="dotted" w:sz="4" w:space="0" w:color="auto"/>
            </w:tcBorders>
            <w:shd w:val="clear" w:color="000000" w:fill="FFFFFF"/>
            <w:vAlign w:val="center"/>
            <w:hideMark/>
          </w:tcPr>
          <w:p w14:paraId="07BB05CC"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120,4</w:t>
            </w:r>
          </w:p>
        </w:tc>
        <w:tc>
          <w:tcPr>
            <w:tcW w:w="1378" w:type="dxa"/>
            <w:tcBorders>
              <w:top w:val="nil"/>
              <w:left w:val="nil"/>
              <w:bottom w:val="dotted" w:sz="4" w:space="0" w:color="auto"/>
              <w:right w:val="dotted" w:sz="4" w:space="0" w:color="auto"/>
            </w:tcBorders>
            <w:shd w:val="clear" w:color="000000" w:fill="FFFFFF"/>
            <w:vAlign w:val="center"/>
            <w:hideMark/>
          </w:tcPr>
          <w:p w14:paraId="2CDA10D1"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116,5</w:t>
            </w:r>
          </w:p>
        </w:tc>
        <w:tc>
          <w:tcPr>
            <w:tcW w:w="1378" w:type="dxa"/>
            <w:tcBorders>
              <w:top w:val="nil"/>
              <w:left w:val="nil"/>
              <w:bottom w:val="dotted" w:sz="4" w:space="0" w:color="auto"/>
              <w:right w:val="dotted" w:sz="4" w:space="0" w:color="auto"/>
            </w:tcBorders>
            <w:shd w:val="clear" w:color="000000" w:fill="FFFFFF"/>
            <w:vAlign w:val="center"/>
            <w:hideMark/>
          </w:tcPr>
          <w:p w14:paraId="44C3FFA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127,0</w:t>
            </w:r>
          </w:p>
        </w:tc>
        <w:tc>
          <w:tcPr>
            <w:tcW w:w="1378" w:type="dxa"/>
            <w:tcBorders>
              <w:top w:val="nil"/>
              <w:left w:val="nil"/>
              <w:bottom w:val="dotted" w:sz="4" w:space="0" w:color="auto"/>
              <w:right w:val="double" w:sz="6" w:space="0" w:color="auto"/>
            </w:tcBorders>
            <w:shd w:val="clear" w:color="000000" w:fill="FFFFFF"/>
            <w:vAlign w:val="center"/>
            <w:hideMark/>
          </w:tcPr>
          <w:p w14:paraId="2E32693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139,1</w:t>
            </w:r>
          </w:p>
        </w:tc>
      </w:tr>
      <w:tr w:rsidR="006B676B" w:rsidRPr="006B676B" w14:paraId="355B053A"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6716F8EF"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lastRenderedPageBreak/>
              <w:t>15. Other (15 = 16-(12+13+14)) [4]</w:t>
            </w:r>
          </w:p>
        </w:tc>
        <w:tc>
          <w:tcPr>
            <w:tcW w:w="1152" w:type="dxa"/>
            <w:tcBorders>
              <w:top w:val="nil"/>
              <w:left w:val="nil"/>
              <w:bottom w:val="dotted" w:sz="4" w:space="0" w:color="auto"/>
              <w:right w:val="single" w:sz="8" w:space="0" w:color="auto"/>
            </w:tcBorders>
            <w:shd w:val="clear" w:color="000000" w:fill="FFFFFF"/>
            <w:vAlign w:val="center"/>
            <w:hideMark/>
          </w:tcPr>
          <w:p w14:paraId="7758D445"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25D4470A"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378" w:type="dxa"/>
            <w:tcBorders>
              <w:top w:val="nil"/>
              <w:left w:val="nil"/>
              <w:bottom w:val="dotted" w:sz="4" w:space="0" w:color="auto"/>
              <w:right w:val="dotted" w:sz="4" w:space="0" w:color="auto"/>
            </w:tcBorders>
            <w:shd w:val="clear" w:color="000000" w:fill="FFFFFF"/>
            <w:vAlign w:val="center"/>
            <w:hideMark/>
          </w:tcPr>
          <w:p w14:paraId="5BB61AB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297,9</w:t>
            </w:r>
          </w:p>
        </w:tc>
        <w:tc>
          <w:tcPr>
            <w:tcW w:w="1378" w:type="dxa"/>
            <w:tcBorders>
              <w:top w:val="nil"/>
              <w:left w:val="nil"/>
              <w:bottom w:val="dotted" w:sz="4" w:space="0" w:color="auto"/>
              <w:right w:val="dotted" w:sz="4" w:space="0" w:color="auto"/>
            </w:tcBorders>
            <w:shd w:val="clear" w:color="000000" w:fill="FFFFFF"/>
            <w:vAlign w:val="center"/>
            <w:hideMark/>
          </w:tcPr>
          <w:p w14:paraId="742C587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322,9</w:t>
            </w:r>
          </w:p>
        </w:tc>
        <w:tc>
          <w:tcPr>
            <w:tcW w:w="1378" w:type="dxa"/>
            <w:tcBorders>
              <w:top w:val="nil"/>
              <w:left w:val="nil"/>
              <w:bottom w:val="dotted" w:sz="4" w:space="0" w:color="auto"/>
              <w:right w:val="dotted" w:sz="4" w:space="0" w:color="auto"/>
            </w:tcBorders>
            <w:shd w:val="clear" w:color="000000" w:fill="FFFFFF"/>
            <w:vAlign w:val="center"/>
            <w:hideMark/>
          </w:tcPr>
          <w:p w14:paraId="6449BF1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397,8</w:t>
            </w:r>
          </w:p>
        </w:tc>
        <w:tc>
          <w:tcPr>
            <w:tcW w:w="1378" w:type="dxa"/>
            <w:tcBorders>
              <w:top w:val="nil"/>
              <w:left w:val="nil"/>
              <w:bottom w:val="dotted" w:sz="4" w:space="0" w:color="auto"/>
              <w:right w:val="dotted" w:sz="4" w:space="0" w:color="auto"/>
            </w:tcBorders>
            <w:shd w:val="clear" w:color="000000" w:fill="FFFFFF"/>
            <w:vAlign w:val="center"/>
            <w:hideMark/>
          </w:tcPr>
          <w:p w14:paraId="7C34BFAD"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367,5</w:t>
            </w:r>
          </w:p>
        </w:tc>
        <w:tc>
          <w:tcPr>
            <w:tcW w:w="1378" w:type="dxa"/>
            <w:tcBorders>
              <w:top w:val="nil"/>
              <w:left w:val="nil"/>
              <w:bottom w:val="dotted" w:sz="4" w:space="0" w:color="auto"/>
              <w:right w:val="double" w:sz="6" w:space="0" w:color="auto"/>
            </w:tcBorders>
            <w:shd w:val="clear" w:color="000000" w:fill="FFFFFF"/>
            <w:vAlign w:val="center"/>
            <w:hideMark/>
          </w:tcPr>
          <w:p w14:paraId="0EAA466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357,0</w:t>
            </w:r>
          </w:p>
        </w:tc>
      </w:tr>
      <w:tr w:rsidR="006B676B" w:rsidRPr="006B676B" w14:paraId="27853964"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7FE463EC"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 xml:space="preserve">16 = 6. Total revenue </w:t>
            </w:r>
          </w:p>
        </w:tc>
        <w:tc>
          <w:tcPr>
            <w:tcW w:w="1152" w:type="dxa"/>
            <w:tcBorders>
              <w:top w:val="nil"/>
              <w:left w:val="nil"/>
              <w:bottom w:val="nil"/>
              <w:right w:val="single" w:sz="8" w:space="0" w:color="auto"/>
            </w:tcBorders>
            <w:shd w:val="clear" w:color="000000" w:fill="FFFFFF"/>
            <w:vAlign w:val="center"/>
            <w:hideMark/>
          </w:tcPr>
          <w:p w14:paraId="77DA5D7A"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0F40FE32"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TR</w:t>
            </w:r>
          </w:p>
        </w:tc>
        <w:tc>
          <w:tcPr>
            <w:tcW w:w="1378" w:type="dxa"/>
            <w:tcBorders>
              <w:top w:val="nil"/>
              <w:left w:val="nil"/>
              <w:bottom w:val="dotted" w:sz="4" w:space="0" w:color="auto"/>
              <w:right w:val="dotted" w:sz="4" w:space="0" w:color="auto"/>
            </w:tcBorders>
            <w:shd w:val="clear" w:color="000000" w:fill="FFFFFF"/>
            <w:vAlign w:val="center"/>
            <w:hideMark/>
          </w:tcPr>
          <w:p w14:paraId="4B6474C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3473,3</w:t>
            </w:r>
          </w:p>
        </w:tc>
        <w:tc>
          <w:tcPr>
            <w:tcW w:w="1378" w:type="dxa"/>
            <w:tcBorders>
              <w:top w:val="nil"/>
              <w:left w:val="nil"/>
              <w:bottom w:val="dotted" w:sz="4" w:space="0" w:color="auto"/>
              <w:right w:val="dotted" w:sz="4" w:space="0" w:color="auto"/>
            </w:tcBorders>
            <w:shd w:val="clear" w:color="000000" w:fill="FFFFFF"/>
            <w:vAlign w:val="center"/>
            <w:hideMark/>
          </w:tcPr>
          <w:p w14:paraId="67E1652A"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3922,2</w:t>
            </w:r>
          </w:p>
        </w:tc>
        <w:tc>
          <w:tcPr>
            <w:tcW w:w="1378" w:type="dxa"/>
            <w:tcBorders>
              <w:top w:val="nil"/>
              <w:left w:val="nil"/>
              <w:bottom w:val="dotted" w:sz="4" w:space="0" w:color="auto"/>
              <w:right w:val="dotted" w:sz="4" w:space="0" w:color="auto"/>
            </w:tcBorders>
            <w:shd w:val="clear" w:color="000000" w:fill="FFFFFF"/>
            <w:vAlign w:val="center"/>
            <w:hideMark/>
          </w:tcPr>
          <w:p w14:paraId="4CF2D8C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4264,3</w:t>
            </w:r>
          </w:p>
        </w:tc>
        <w:tc>
          <w:tcPr>
            <w:tcW w:w="1378" w:type="dxa"/>
            <w:tcBorders>
              <w:top w:val="nil"/>
              <w:left w:val="nil"/>
              <w:bottom w:val="dotted" w:sz="4" w:space="0" w:color="auto"/>
              <w:right w:val="dotted" w:sz="4" w:space="0" w:color="auto"/>
            </w:tcBorders>
            <w:shd w:val="clear" w:color="000000" w:fill="FFFFFF"/>
            <w:vAlign w:val="center"/>
            <w:hideMark/>
          </w:tcPr>
          <w:p w14:paraId="1B73CA1A"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4534,0</w:t>
            </w:r>
          </w:p>
        </w:tc>
        <w:tc>
          <w:tcPr>
            <w:tcW w:w="1378" w:type="dxa"/>
            <w:tcBorders>
              <w:top w:val="nil"/>
              <w:left w:val="nil"/>
              <w:bottom w:val="dotted" w:sz="4" w:space="0" w:color="auto"/>
              <w:right w:val="double" w:sz="6" w:space="0" w:color="auto"/>
            </w:tcBorders>
            <w:shd w:val="clear" w:color="000000" w:fill="FFFFFF"/>
            <w:vAlign w:val="center"/>
            <w:hideMark/>
          </w:tcPr>
          <w:p w14:paraId="441CFF91"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4854,7</w:t>
            </w:r>
          </w:p>
        </w:tc>
      </w:tr>
      <w:tr w:rsidR="006B676B" w:rsidRPr="006B676B" w14:paraId="4C4AE24A" w14:textId="77777777" w:rsidTr="006B676B">
        <w:trPr>
          <w:trHeight w:val="366"/>
        </w:trPr>
        <w:tc>
          <w:tcPr>
            <w:tcW w:w="5830" w:type="dxa"/>
            <w:tcBorders>
              <w:top w:val="nil"/>
              <w:left w:val="double" w:sz="6" w:space="0" w:color="auto"/>
              <w:bottom w:val="single" w:sz="8" w:space="0" w:color="auto"/>
              <w:right w:val="nil"/>
            </w:tcBorders>
            <w:shd w:val="clear" w:color="auto" w:fill="auto"/>
            <w:noWrap/>
            <w:vAlign w:val="bottom"/>
            <w:hideMark/>
          </w:tcPr>
          <w:p w14:paraId="3CF77164" w14:textId="77777777" w:rsidR="006B676B" w:rsidRPr="006B676B" w:rsidRDefault="006B676B" w:rsidP="006B676B">
            <w:pPr>
              <w:spacing w:after="0"/>
              <w:jc w:val="left"/>
              <w:rPr>
                <w:rFonts w:ascii="Arial" w:eastAsia="Times New Roman" w:hAnsi="Arial" w:cs="Arial"/>
                <w:sz w:val="20"/>
                <w:szCs w:val="20"/>
              </w:rPr>
            </w:pPr>
            <w:r w:rsidRPr="006B676B">
              <w:rPr>
                <w:rFonts w:ascii="Arial" w:eastAsia="Times New Roman" w:hAnsi="Arial" w:cs="Arial"/>
                <w:sz w:val="20"/>
                <w:szCs w:val="20"/>
              </w:rPr>
              <w:t>p.m.: Tax burden (D2+D5+D61+D91-D995) [5]</w:t>
            </w:r>
          </w:p>
        </w:tc>
        <w:tc>
          <w:tcPr>
            <w:tcW w:w="1152" w:type="dxa"/>
            <w:tcBorders>
              <w:top w:val="dotted" w:sz="4" w:space="0" w:color="auto"/>
              <w:left w:val="nil"/>
              <w:bottom w:val="single" w:sz="8" w:space="0" w:color="auto"/>
              <w:right w:val="single" w:sz="8" w:space="0" w:color="auto"/>
            </w:tcBorders>
            <w:shd w:val="clear" w:color="000000" w:fill="FFFFFF"/>
            <w:vAlign w:val="center"/>
            <w:hideMark/>
          </w:tcPr>
          <w:p w14:paraId="7BC5EEC7"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single" w:sz="8" w:space="0" w:color="000000"/>
              <w:right w:val="single" w:sz="8" w:space="0" w:color="auto"/>
            </w:tcBorders>
            <w:shd w:val="clear" w:color="000000" w:fill="FFFFFF"/>
            <w:vAlign w:val="center"/>
            <w:hideMark/>
          </w:tcPr>
          <w:p w14:paraId="7366463F"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378" w:type="dxa"/>
            <w:tcBorders>
              <w:top w:val="nil"/>
              <w:left w:val="nil"/>
              <w:bottom w:val="single" w:sz="8" w:space="0" w:color="000000"/>
              <w:right w:val="dotted" w:sz="4" w:space="0" w:color="auto"/>
            </w:tcBorders>
            <w:shd w:val="clear" w:color="000000" w:fill="FFFFFF"/>
            <w:vAlign w:val="center"/>
            <w:hideMark/>
          </w:tcPr>
          <w:p w14:paraId="35A1C5C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3078,7</w:t>
            </w:r>
          </w:p>
        </w:tc>
        <w:tc>
          <w:tcPr>
            <w:tcW w:w="1378" w:type="dxa"/>
            <w:tcBorders>
              <w:top w:val="nil"/>
              <w:left w:val="nil"/>
              <w:bottom w:val="single" w:sz="8" w:space="0" w:color="000000"/>
              <w:right w:val="dotted" w:sz="4" w:space="0" w:color="auto"/>
            </w:tcBorders>
            <w:shd w:val="clear" w:color="000000" w:fill="FFFFFF"/>
            <w:vAlign w:val="center"/>
            <w:hideMark/>
          </w:tcPr>
          <w:p w14:paraId="1A2CB2D1"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3478,9</w:t>
            </w:r>
          </w:p>
        </w:tc>
        <w:tc>
          <w:tcPr>
            <w:tcW w:w="1378" w:type="dxa"/>
            <w:tcBorders>
              <w:top w:val="nil"/>
              <w:left w:val="nil"/>
              <w:bottom w:val="single" w:sz="8" w:space="0" w:color="000000"/>
              <w:right w:val="dotted" w:sz="4" w:space="0" w:color="auto"/>
            </w:tcBorders>
            <w:shd w:val="clear" w:color="000000" w:fill="FFFFFF"/>
            <w:vAlign w:val="center"/>
            <w:hideMark/>
          </w:tcPr>
          <w:p w14:paraId="3FD4C1C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3750,0</w:t>
            </w:r>
          </w:p>
        </w:tc>
        <w:tc>
          <w:tcPr>
            <w:tcW w:w="1378" w:type="dxa"/>
            <w:tcBorders>
              <w:top w:val="nil"/>
              <w:left w:val="nil"/>
              <w:bottom w:val="single" w:sz="8" w:space="0" w:color="000000"/>
              <w:right w:val="dotted" w:sz="4" w:space="0" w:color="auto"/>
            </w:tcBorders>
            <w:shd w:val="clear" w:color="000000" w:fill="FFFFFF"/>
            <w:vAlign w:val="center"/>
            <w:hideMark/>
          </w:tcPr>
          <w:p w14:paraId="601A146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4039,5</w:t>
            </w:r>
          </w:p>
        </w:tc>
        <w:tc>
          <w:tcPr>
            <w:tcW w:w="1378" w:type="dxa"/>
            <w:tcBorders>
              <w:top w:val="nil"/>
              <w:left w:val="nil"/>
              <w:bottom w:val="single" w:sz="8" w:space="0" w:color="auto"/>
              <w:right w:val="double" w:sz="6" w:space="0" w:color="auto"/>
            </w:tcBorders>
            <w:shd w:val="clear" w:color="000000" w:fill="FFFFFF"/>
            <w:vAlign w:val="center"/>
            <w:hideMark/>
          </w:tcPr>
          <w:p w14:paraId="638DA6F5"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4358,6</w:t>
            </w:r>
          </w:p>
        </w:tc>
      </w:tr>
      <w:tr w:rsidR="006B676B" w:rsidRPr="006B676B" w14:paraId="4EF20370" w14:textId="77777777" w:rsidTr="006B676B">
        <w:trPr>
          <w:trHeight w:val="366"/>
        </w:trPr>
        <w:tc>
          <w:tcPr>
            <w:tcW w:w="15029" w:type="dxa"/>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14:paraId="6FD81030" w14:textId="77777777" w:rsidR="006B676B" w:rsidRPr="006B676B" w:rsidRDefault="006B676B" w:rsidP="006B676B">
            <w:pPr>
              <w:spacing w:after="0"/>
              <w:jc w:val="center"/>
              <w:rPr>
                <w:rFonts w:eastAsia="Times New Roman" w:cs="Times New Roman"/>
                <w:b/>
                <w:bCs/>
                <w:szCs w:val="24"/>
              </w:rPr>
            </w:pPr>
            <w:r w:rsidRPr="006B676B">
              <w:rPr>
                <w:rFonts w:eastAsia="Times New Roman" w:cs="Times New Roman"/>
                <w:b/>
                <w:bCs/>
                <w:szCs w:val="24"/>
              </w:rPr>
              <w:t>Selected components of expenditures</w:t>
            </w:r>
          </w:p>
        </w:tc>
      </w:tr>
      <w:tr w:rsidR="006B676B" w:rsidRPr="006B676B" w14:paraId="3492E32A"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357ABF39"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17. Collective consumption</w:t>
            </w:r>
          </w:p>
        </w:tc>
        <w:tc>
          <w:tcPr>
            <w:tcW w:w="1152" w:type="dxa"/>
            <w:tcBorders>
              <w:top w:val="nil"/>
              <w:left w:val="nil"/>
              <w:bottom w:val="dotted" w:sz="4" w:space="0" w:color="auto"/>
              <w:right w:val="single" w:sz="8" w:space="0" w:color="auto"/>
            </w:tcBorders>
            <w:shd w:val="clear" w:color="000000" w:fill="FFFFFF"/>
            <w:vAlign w:val="center"/>
            <w:hideMark/>
          </w:tcPr>
          <w:p w14:paraId="4106B7E3"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39C95290"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P32</w:t>
            </w:r>
          </w:p>
        </w:tc>
        <w:tc>
          <w:tcPr>
            <w:tcW w:w="1378" w:type="dxa"/>
            <w:tcBorders>
              <w:top w:val="nil"/>
              <w:left w:val="nil"/>
              <w:bottom w:val="dotted" w:sz="4" w:space="0" w:color="auto"/>
              <w:right w:val="dotted" w:sz="4" w:space="0" w:color="auto"/>
            </w:tcBorders>
            <w:shd w:val="clear" w:color="000000" w:fill="FFFFFF"/>
            <w:vAlign w:val="center"/>
            <w:hideMark/>
          </w:tcPr>
          <w:p w14:paraId="7B7122A5"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1403,0</w:t>
            </w:r>
          </w:p>
        </w:tc>
        <w:tc>
          <w:tcPr>
            <w:tcW w:w="1378" w:type="dxa"/>
            <w:tcBorders>
              <w:top w:val="nil"/>
              <w:left w:val="nil"/>
              <w:bottom w:val="dotted" w:sz="4" w:space="0" w:color="auto"/>
              <w:right w:val="dotted" w:sz="4" w:space="0" w:color="auto"/>
            </w:tcBorders>
            <w:shd w:val="clear" w:color="000000" w:fill="FFFFFF"/>
            <w:vAlign w:val="center"/>
            <w:hideMark/>
          </w:tcPr>
          <w:p w14:paraId="3E4B06F5"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1618,0</w:t>
            </w:r>
          </w:p>
        </w:tc>
        <w:tc>
          <w:tcPr>
            <w:tcW w:w="1378" w:type="dxa"/>
            <w:tcBorders>
              <w:top w:val="nil"/>
              <w:left w:val="nil"/>
              <w:bottom w:val="dotted" w:sz="4" w:space="0" w:color="auto"/>
              <w:right w:val="dotted" w:sz="4" w:space="0" w:color="auto"/>
            </w:tcBorders>
            <w:shd w:val="clear" w:color="000000" w:fill="FFFFFF"/>
            <w:vAlign w:val="center"/>
            <w:hideMark/>
          </w:tcPr>
          <w:p w14:paraId="5F56B7F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1836,1</w:t>
            </w:r>
          </w:p>
        </w:tc>
        <w:tc>
          <w:tcPr>
            <w:tcW w:w="1378" w:type="dxa"/>
            <w:tcBorders>
              <w:top w:val="nil"/>
              <w:left w:val="nil"/>
              <w:bottom w:val="dotted" w:sz="4" w:space="0" w:color="auto"/>
              <w:right w:val="dotted" w:sz="4" w:space="0" w:color="auto"/>
            </w:tcBorders>
            <w:shd w:val="clear" w:color="000000" w:fill="FFFFFF"/>
            <w:vAlign w:val="center"/>
            <w:hideMark/>
          </w:tcPr>
          <w:p w14:paraId="1CDBC20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1952,5</w:t>
            </w:r>
          </w:p>
        </w:tc>
        <w:tc>
          <w:tcPr>
            <w:tcW w:w="1378" w:type="dxa"/>
            <w:tcBorders>
              <w:top w:val="nil"/>
              <w:left w:val="nil"/>
              <w:bottom w:val="dotted" w:sz="4" w:space="0" w:color="auto"/>
              <w:right w:val="double" w:sz="6" w:space="0" w:color="auto"/>
            </w:tcBorders>
            <w:shd w:val="clear" w:color="000000" w:fill="FFFFFF"/>
            <w:vAlign w:val="center"/>
            <w:hideMark/>
          </w:tcPr>
          <w:p w14:paraId="35AFCE8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2105,0</w:t>
            </w:r>
          </w:p>
        </w:tc>
      </w:tr>
      <w:tr w:rsidR="006B676B" w:rsidRPr="006B676B" w14:paraId="09A26B91"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02219F19"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18. Total social transfers</w:t>
            </w:r>
          </w:p>
        </w:tc>
        <w:tc>
          <w:tcPr>
            <w:tcW w:w="1152" w:type="dxa"/>
            <w:tcBorders>
              <w:top w:val="nil"/>
              <w:left w:val="nil"/>
              <w:bottom w:val="dotted" w:sz="4" w:space="0" w:color="auto"/>
              <w:right w:val="single" w:sz="8" w:space="0" w:color="auto"/>
            </w:tcBorders>
            <w:shd w:val="clear" w:color="000000" w:fill="FFFFFF"/>
            <w:vAlign w:val="center"/>
            <w:hideMark/>
          </w:tcPr>
          <w:p w14:paraId="5EE13794"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011E1D23"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D62 + D63</w:t>
            </w:r>
          </w:p>
        </w:tc>
        <w:tc>
          <w:tcPr>
            <w:tcW w:w="1378" w:type="dxa"/>
            <w:tcBorders>
              <w:top w:val="nil"/>
              <w:left w:val="nil"/>
              <w:bottom w:val="dotted" w:sz="4" w:space="0" w:color="auto"/>
              <w:right w:val="dotted" w:sz="4" w:space="0" w:color="auto"/>
            </w:tcBorders>
            <w:shd w:val="clear" w:color="000000" w:fill="FFFFFF"/>
            <w:vAlign w:val="center"/>
            <w:hideMark/>
          </w:tcPr>
          <w:p w14:paraId="7B506F3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1098,6</w:t>
            </w:r>
          </w:p>
        </w:tc>
        <w:tc>
          <w:tcPr>
            <w:tcW w:w="1378" w:type="dxa"/>
            <w:tcBorders>
              <w:top w:val="nil"/>
              <w:left w:val="nil"/>
              <w:bottom w:val="dotted" w:sz="4" w:space="0" w:color="auto"/>
              <w:right w:val="dotted" w:sz="4" w:space="0" w:color="auto"/>
            </w:tcBorders>
            <w:shd w:val="clear" w:color="000000" w:fill="FFFFFF"/>
            <w:vAlign w:val="center"/>
            <w:hideMark/>
          </w:tcPr>
          <w:p w14:paraId="57C6ED2A"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1250,0</w:t>
            </w:r>
          </w:p>
        </w:tc>
        <w:tc>
          <w:tcPr>
            <w:tcW w:w="1378" w:type="dxa"/>
            <w:tcBorders>
              <w:top w:val="nil"/>
              <w:left w:val="nil"/>
              <w:bottom w:val="dotted" w:sz="4" w:space="0" w:color="auto"/>
              <w:right w:val="dotted" w:sz="4" w:space="0" w:color="auto"/>
            </w:tcBorders>
            <w:shd w:val="clear" w:color="000000" w:fill="FFFFFF"/>
            <w:vAlign w:val="center"/>
            <w:hideMark/>
          </w:tcPr>
          <w:p w14:paraId="0585506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1344,3</w:t>
            </w:r>
          </w:p>
        </w:tc>
        <w:tc>
          <w:tcPr>
            <w:tcW w:w="1378" w:type="dxa"/>
            <w:tcBorders>
              <w:top w:val="nil"/>
              <w:left w:val="nil"/>
              <w:bottom w:val="dotted" w:sz="4" w:space="0" w:color="auto"/>
              <w:right w:val="dotted" w:sz="4" w:space="0" w:color="auto"/>
            </w:tcBorders>
            <w:shd w:val="clear" w:color="000000" w:fill="FFFFFF"/>
            <w:vAlign w:val="center"/>
            <w:hideMark/>
          </w:tcPr>
          <w:p w14:paraId="6669773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1448,7</w:t>
            </w:r>
          </w:p>
        </w:tc>
        <w:tc>
          <w:tcPr>
            <w:tcW w:w="1378" w:type="dxa"/>
            <w:tcBorders>
              <w:top w:val="nil"/>
              <w:left w:val="nil"/>
              <w:bottom w:val="dotted" w:sz="4" w:space="0" w:color="auto"/>
              <w:right w:val="double" w:sz="6" w:space="0" w:color="auto"/>
            </w:tcBorders>
            <w:shd w:val="clear" w:color="000000" w:fill="FFFFFF"/>
            <w:vAlign w:val="center"/>
            <w:hideMark/>
          </w:tcPr>
          <w:p w14:paraId="770EB0D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1539,9</w:t>
            </w:r>
          </w:p>
        </w:tc>
      </w:tr>
      <w:tr w:rsidR="006B676B" w:rsidRPr="006B676B" w14:paraId="7896C98F"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37055625"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18a. Social transfers in kind</w:t>
            </w:r>
          </w:p>
        </w:tc>
        <w:tc>
          <w:tcPr>
            <w:tcW w:w="1152" w:type="dxa"/>
            <w:tcBorders>
              <w:top w:val="nil"/>
              <w:left w:val="nil"/>
              <w:bottom w:val="dotted" w:sz="4" w:space="0" w:color="auto"/>
              <w:right w:val="single" w:sz="8" w:space="0" w:color="auto"/>
            </w:tcBorders>
            <w:shd w:val="clear" w:color="000000" w:fill="FFFFFF"/>
            <w:vAlign w:val="center"/>
            <w:hideMark/>
          </w:tcPr>
          <w:p w14:paraId="62C69352"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770E8E5F"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P31 = D63</w:t>
            </w:r>
          </w:p>
        </w:tc>
        <w:tc>
          <w:tcPr>
            <w:tcW w:w="1378" w:type="dxa"/>
            <w:tcBorders>
              <w:top w:val="nil"/>
              <w:left w:val="nil"/>
              <w:bottom w:val="dotted" w:sz="4" w:space="0" w:color="auto"/>
              <w:right w:val="dotted" w:sz="4" w:space="0" w:color="auto"/>
            </w:tcBorders>
            <w:shd w:val="clear" w:color="000000" w:fill="FFFFFF"/>
            <w:vAlign w:val="center"/>
            <w:hideMark/>
          </w:tcPr>
          <w:p w14:paraId="0478CDB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dotted" w:sz="4" w:space="0" w:color="auto"/>
              <w:right w:val="dotted" w:sz="4" w:space="0" w:color="auto"/>
            </w:tcBorders>
            <w:shd w:val="clear" w:color="000000" w:fill="FFFFFF"/>
            <w:vAlign w:val="center"/>
            <w:hideMark/>
          </w:tcPr>
          <w:p w14:paraId="2977F0D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dotted" w:sz="4" w:space="0" w:color="auto"/>
              <w:right w:val="dotted" w:sz="4" w:space="0" w:color="auto"/>
            </w:tcBorders>
            <w:shd w:val="clear" w:color="000000" w:fill="FFFFFF"/>
            <w:vAlign w:val="center"/>
            <w:hideMark/>
          </w:tcPr>
          <w:p w14:paraId="795E62E1"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dotted" w:sz="4" w:space="0" w:color="auto"/>
              <w:right w:val="dotted" w:sz="4" w:space="0" w:color="auto"/>
            </w:tcBorders>
            <w:shd w:val="clear" w:color="000000" w:fill="FFFFFF"/>
            <w:vAlign w:val="center"/>
            <w:hideMark/>
          </w:tcPr>
          <w:p w14:paraId="3504539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c>
          <w:tcPr>
            <w:tcW w:w="1378" w:type="dxa"/>
            <w:tcBorders>
              <w:top w:val="nil"/>
              <w:left w:val="nil"/>
              <w:bottom w:val="dotted" w:sz="4" w:space="0" w:color="auto"/>
              <w:right w:val="double" w:sz="6" w:space="0" w:color="auto"/>
            </w:tcBorders>
            <w:shd w:val="clear" w:color="000000" w:fill="FFFFFF"/>
            <w:vAlign w:val="center"/>
            <w:hideMark/>
          </w:tcPr>
          <w:p w14:paraId="02079975"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w:t>
            </w:r>
          </w:p>
        </w:tc>
      </w:tr>
      <w:tr w:rsidR="006B676B" w:rsidRPr="006B676B" w14:paraId="49F5FD53"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4BBF6BA9"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18b. Social transfers other than in kind</w:t>
            </w:r>
          </w:p>
        </w:tc>
        <w:tc>
          <w:tcPr>
            <w:tcW w:w="1152" w:type="dxa"/>
            <w:tcBorders>
              <w:top w:val="nil"/>
              <w:left w:val="nil"/>
              <w:bottom w:val="dotted" w:sz="4" w:space="0" w:color="auto"/>
              <w:right w:val="single" w:sz="8" w:space="0" w:color="auto"/>
            </w:tcBorders>
            <w:shd w:val="clear" w:color="000000" w:fill="FFFFFF"/>
            <w:vAlign w:val="center"/>
            <w:hideMark/>
          </w:tcPr>
          <w:p w14:paraId="099214C7"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4433DCBA"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D62</w:t>
            </w:r>
          </w:p>
        </w:tc>
        <w:tc>
          <w:tcPr>
            <w:tcW w:w="1378" w:type="dxa"/>
            <w:tcBorders>
              <w:top w:val="nil"/>
              <w:left w:val="nil"/>
              <w:bottom w:val="dotted" w:sz="4" w:space="0" w:color="auto"/>
              <w:right w:val="dotted" w:sz="4" w:space="0" w:color="auto"/>
            </w:tcBorders>
            <w:shd w:val="clear" w:color="000000" w:fill="FFFFFF"/>
            <w:vAlign w:val="center"/>
            <w:hideMark/>
          </w:tcPr>
          <w:p w14:paraId="14A79B8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1098,6</w:t>
            </w:r>
          </w:p>
        </w:tc>
        <w:tc>
          <w:tcPr>
            <w:tcW w:w="1378" w:type="dxa"/>
            <w:tcBorders>
              <w:top w:val="nil"/>
              <w:left w:val="nil"/>
              <w:bottom w:val="dotted" w:sz="4" w:space="0" w:color="auto"/>
              <w:right w:val="dotted" w:sz="4" w:space="0" w:color="auto"/>
            </w:tcBorders>
            <w:shd w:val="clear" w:color="000000" w:fill="FFFFFF"/>
            <w:vAlign w:val="center"/>
            <w:hideMark/>
          </w:tcPr>
          <w:p w14:paraId="7D060FE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1250,0</w:t>
            </w:r>
          </w:p>
        </w:tc>
        <w:tc>
          <w:tcPr>
            <w:tcW w:w="1378" w:type="dxa"/>
            <w:tcBorders>
              <w:top w:val="nil"/>
              <w:left w:val="nil"/>
              <w:bottom w:val="dotted" w:sz="4" w:space="0" w:color="auto"/>
              <w:right w:val="dotted" w:sz="4" w:space="0" w:color="auto"/>
            </w:tcBorders>
            <w:shd w:val="clear" w:color="000000" w:fill="FFFFFF"/>
            <w:vAlign w:val="center"/>
            <w:hideMark/>
          </w:tcPr>
          <w:p w14:paraId="6C9C57BF"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1344,3</w:t>
            </w:r>
          </w:p>
        </w:tc>
        <w:tc>
          <w:tcPr>
            <w:tcW w:w="1378" w:type="dxa"/>
            <w:tcBorders>
              <w:top w:val="nil"/>
              <w:left w:val="nil"/>
              <w:bottom w:val="dotted" w:sz="4" w:space="0" w:color="auto"/>
              <w:right w:val="dotted" w:sz="4" w:space="0" w:color="auto"/>
            </w:tcBorders>
            <w:shd w:val="clear" w:color="000000" w:fill="FFFFFF"/>
            <w:vAlign w:val="center"/>
            <w:hideMark/>
          </w:tcPr>
          <w:p w14:paraId="44DF23F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1448,7</w:t>
            </w:r>
          </w:p>
        </w:tc>
        <w:tc>
          <w:tcPr>
            <w:tcW w:w="1378" w:type="dxa"/>
            <w:tcBorders>
              <w:top w:val="nil"/>
              <w:left w:val="nil"/>
              <w:bottom w:val="dotted" w:sz="4" w:space="0" w:color="auto"/>
              <w:right w:val="double" w:sz="6" w:space="0" w:color="auto"/>
            </w:tcBorders>
            <w:shd w:val="clear" w:color="000000" w:fill="FFFFFF"/>
            <w:vAlign w:val="center"/>
            <w:hideMark/>
          </w:tcPr>
          <w:p w14:paraId="3F736BA9"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1539,9</w:t>
            </w:r>
          </w:p>
        </w:tc>
      </w:tr>
      <w:tr w:rsidR="006B676B" w:rsidRPr="006B676B" w14:paraId="08677BAE"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7D042533"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 xml:space="preserve">19 = 9. Interest expenditure (incl. FISIM) </w:t>
            </w:r>
          </w:p>
        </w:tc>
        <w:tc>
          <w:tcPr>
            <w:tcW w:w="1152" w:type="dxa"/>
            <w:tcBorders>
              <w:top w:val="nil"/>
              <w:left w:val="nil"/>
              <w:bottom w:val="dotted" w:sz="4" w:space="0" w:color="auto"/>
              <w:right w:val="single" w:sz="8" w:space="0" w:color="auto"/>
            </w:tcBorders>
            <w:shd w:val="clear" w:color="000000" w:fill="FFFFFF"/>
            <w:vAlign w:val="center"/>
            <w:hideMark/>
          </w:tcPr>
          <w:p w14:paraId="231423BE"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56AC0092"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EDP.D41 + FISIM</w:t>
            </w:r>
          </w:p>
        </w:tc>
        <w:tc>
          <w:tcPr>
            <w:tcW w:w="1378" w:type="dxa"/>
            <w:tcBorders>
              <w:top w:val="nil"/>
              <w:left w:val="nil"/>
              <w:bottom w:val="dotted" w:sz="4" w:space="0" w:color="auto"/>
              <w:right w:val="dotted" w:sz="4" w:space="0" w:color="auto"/>
            </w:tcBorders>
            <w:shd w:val="clear" w:color="000000" w:fill="FFFFFF"/>
            <w:vAlign w:val="center"/>
            <w:hideMark/>
          </w:tcPr>
          <w:p w14:paraId="1F9EC4FF"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149,3</w:t>
            </w:r>
          </w:p>
        </w:tc>
        <w:tc>
          <w:tcPr>
            <w:tcW w:w="1378" w:type="dxa"/>
            <w:tcBorders>
              <w:top w:val="nil"/>
              <w:left w:val="nil"/>
              <w:bottom w:val="dotted" w:sz="4" w:space="0" w:color="auto"/>
              <w:right w:val="dotted" w:sz="4" w:space="0" w:color="auto"/>
            </w:tcBorders>
            <w:shd w:val="clear" w:color="000000" w:fill="FFFFFF"/>
            <w:vAlign w:val="center"/>
            <w:hideMark/>
          </w:tcPr>
          <w:p w14:paraId="28F829F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187,6</w:t>
            </w:r>
          </w:p>
        </w:tc>
        <w:tc>
          <w:tcPr>
            <w:tcW w:w="1378" w:type="dxa"/>
            <w:tcBorders>
              <w:top w:val="nil"/>
              <w:left w:val="nil"/>
              <w:bottom w:val="dotted" w:sz="4" w:space="0" w:color="auto"/>
              <w:right w:val="dotted" w:sz="4" w:space="0" w:color="auto"/>
            </w:tcBorders>
            <w:shd w:val="clear" w:color="000000" w:fill="FFFFFF"/>
            <w:vAlign w:val="center"/>
            <w:hideMark/>
          </w:tcPr>
          <w:p w14:paraId="536E3BC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222,7</w:t>
            </w:r>
          </w:p>
        </w:tc>
        <w:tc>
          <w:tcPr>
            <w:tcW w:w="1378" w:type="dxa"/>
            <w:tcBorders>
              <w:top w:val="nil"/>
              <w:left w:val="nil"/>
              <w:bottom w:val="dotted" w:sz="4" w:space="0" w:color="auto"/>
              <w:right w:val="dotted" w:sz="4" w:space="0" w:color="auto"/>
            </w:tcBorders>
            <w:shd w:val="clear" w:color="000000" w:fill="FFFFFF"/>
            <w:vAlign w:val="center"/>
            <w:hideMark/>
          </w:tcPr>
          <w:p w14:paraId="46F7F55E"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235,6</w:t>
            </w:r>
          </w:p>
        </w:tc>
        <w:tc>
          <w:tcPr>
            <w:tcW w:w="1378" w:type="dxa"/>
            <w:tcBorders>
              <w:top w:val="nil"/>
              <w:left w:val="nil"/>
              <w:bottom w:val="dotted" w:sz="4" w:space="0" w:color="auto"/>
              <w:right w:val="double" w:sz="6" w:space="0" w:color="auto"/>
            </w:tcBorders>
            <w:shd w:val="clear" w:color="000000" w:fill="FFFFFF"/>
            <w:vAlign w:val="center"/>
            <w:hideMark/>
          </w:tcPr>
          <w:p w14:paraId="318CFA3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236,5</w:t>
            </w:r>
          </w:p>
        </w:tc>
      </w:tr>
      <w:tr w:rsidR="006B676B" w:rsidRPr="006B676B" w14:paraId="3E28FD11"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05006D13"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20. Subsidies</w:t>
            </w:r>
          </w:p>
        </w:tc>
        <w:tc>
          <w:tcPr>
            <w:tcW w:w="1152" w:type="dxa"/>
            <w:tcBorders>
              <w:top w:val="nil"/>
              <w:left w:val="nil"/>
              <w:bottom w:val="dotted" w:sz="4" w:space="0" w:color="auto"/>
              <w:right w:val="single" w:sz="8" w:space="0" w:color="auto"/>
            </w:tcBorders>
            <w:shd w:val="clear" w:color="000000" w:fill="FFFFFF"/>
            <w:vAlign w:val="center"/>
            <w:hideMark/>
          </w:tcPr>
          <w:p w14:paraId="7C65217A"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4EC252A2"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D3</w:t>
            </w:r>
          </w:p>
        </w:tc>
        <w:tc>
          <w:tcPr>
            <w:tcW w:w="1378" w:type="dxa"/>
            <w:tcBorders>
              <w:top w:val="nil"/>
              <w:left w:val="nil"/>
              <w:bottom w:val="dotted" w:sz="4" w:space="0" w:color="auto"/>
              <w:right w:val="dotted" w:sz="4" w:space="0" w:color="auto"/>
            </w:tcBorders>
            <w:shd w:val="clear" w:color="000000" w:fill="FFFFFF"/>
            <w:vAlign w:val="center"/>
            <w:hideMark/>
          </w:tcPr>
          <w:p w14:paraId="0FE900DF"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213,8</w:t>
            </w:r>
          </w:p>
        </w:tc>
        <w:tc>
          <w:tcPr>
            <w:tcW w:w="1378" w:type="dxa"/>
            <w:tcBorders>
              <w:top w:val="nil"/>
              <w:left w:val="nil"/>
              <w:bottom w:val="dotted" w:sz="4" w:space="0" w:color="auto"/>
              <w:right w:val="dotted" w:sz="4" w:space="0" w:color="auto"/>
            </w:tcBorders>
            <w:shd w:val="clear" w:color="000000" w:fill="FFFFFF"/>
            <w:vAlign w:val="center"/>
            <w:hideMark/>
          </w:tcPr>
          <w:p w14:paraId="78D333B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243,6</w:t>
            </w:r>
          </w:p>
        </w:tc>
        <w:tc>
          <w:tcPr>
            <w:tcW w:w="1378" w:type="dxa"/>
            <w:tcBorders>
              <w:top w:val="nil"/>
              <w:left w:val="nil"/>
              <w:bottom w:val="dotted" w:sz="4" w:space="0" w:color="auto"/>
              <w:right w:val="dotted" w:sz="4" w:space="0" w:color="auto"/>
            </w:tcBorders>
            <w:shd w:val="clear" w:color="000000" w:fill="FFFFFF"/>
            <w:vAlign w:val="center"/>
            <w:hideMark/>
          </w:tcPr>
          <w:p w14:paraId="5972EE7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245,7</w:t>
            </w:r>
          </w:p>
        </w:tc>
        <w:tc>
          <w:tcPr>
            <w:tcW w:w="1378" w:type="dxa"/>
            <w:tcBorders>
              <w:top w:val="nil"/>
              <w:left w:val="nil"/>
              <w:bottom w:val="dotted" w:sz="4" w:space="0" w:color="auto"/>
              <w:right w:val="dotted" w:sz="4" w:space="0" w:color="auto"/>
            </w:tcBorders>
            <w:shd w:val="clear" w:color="000000" w:fill="FFFFFF"/>
            <w:vAlign w:val="center"/>
            <w:hideMark/>
          </w:tcPr>
          <w:p w14:paraId="2933D527"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261,8</w:t>
            </w:r>
          </w:p>
        </w:tc>
        <w:tc>
          <w:tcPr>
            <w:tcW w:w="1378" w:type="dxa"/>
            <w:tcBorders>
              <w:top w:val="nil"/>
              <w:left w:val="nil"/>
              <w:bottom w:val="dotted" w:sz="4" w:space="0" w:color="auto"/>
              <w:right w:val="double" w:sz="6" w:space="0" w:color="auto"/>
            </w:tcBorders>
            <w:shd w:val="clear" w:color="000000" w:fill="FFFFFF"/>
            <w:vAlign w:val="center"/>
            <w:hideMark/>
          </w:tcPr>
          <w:p w14:paraId="4485054C"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268,6</w:t>
            </w:r>
          </w:p>
        </w:tc>
      </w:tr>
      <w:tr w:rsidR="006B676B" w:rsidRPr="006B676B" w14:paraId="5CEC07AF"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45814174"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21. Gross fixed capital formation</w:t>
            </w:r>
          </w:p>
        </w:tc>
        <w:tc>
          <w:tcPr>
            <w:tcW w:w="1152" w:type="dxa"/>
            <w:tcBorders>
              <w:top w:val="nil"/>
              <w:left w:val="nil"/>
              <w:bottom w:val="dotted" w:sz="4" w:space="0" w:color="auto"/>
              <w:right w:val="single" w:sz="8" w:space="0" w:color="auto"/>
            </w:tcBorders>
            <w:shd w:val="clear" w:color="000000" w:fill="FFFFFF"/>
            <w:vAlign w:val="center"/>
            <w:hideMark/>
          </w:tcPr>
          <w:p w14:paraId="0AB8D589"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6FE4ACCD"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P51</w:t>
            </w:r>
          </w:p>
        </w:tc>
        <w:tc>
          <w:tcPr>
            <w:tcW w:w="1378" w:type="dxa"/>
            <w:tcBorders>
              <w:top w:val="nil"/>
              <w:left w:val="nil"/>
              <w:bottom w:val="dotted" w:sz="4" w:space="0" w:color="auto"/>
              <w:right w:val="dotted" w:sz="4" w:space="0" w:color="auto"/>
            </w:tcBorders>
            <w:shd w:val="clear" w:color="000000" w:fill="FFFFFF"/>
            <w:vAlign w:val="center"/>
            <w:hideMark/>
          </w:tcPr>
          <w:p w14:paraId="32C631FB"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568,6</w:t>
            </w:r>
          </w:p>
        </w:tc>
        <w:tc>
          <w:tcPr>
            <w:tcW w:w="1378" w:type="dxa"/>
            <w:tcBorders>
              <w:top w:val="nil"/>
              <w:left w:val="nil"/>
              <w:bottom w:val="dotted" w:sz="4" w:space="0" w:color="auto"/>
              <w:right w:val="dotted" w:sz="4" w:space="0" w:color="auto"/>
            </w:tcBorders>
            <w:shd w:val="clear" w:color="000000" w:fill="FFFFFF"/>
            <w:vAlign w:val="center"/>
            <w:hideMark/>
          </w:tcPr>
          <w:p w14:paraId="7878273F"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706,3</w:t>
            </w:r>
          </w:p>
        </w:tc>
        <w:tc>
          <w:tcPr>
            <w:tcW w:w="1378" w:type="dxa"/>
            <w:tcBorders>
              <w:top w:val="nil"/>
              <w:left w:val="nil"/>
              <w:bottom w:val="dotted" w:sz="4" w:space="0" w:color="auto"/>
              <w:right w:val="dotted" w:sz="4" w:space="0" w:color="auto"/>
            </w:tcBorders>
            <w:shd w:val="clear" w:color="000000" w:fill="FFFFFF"/>
            <w:vAlign w:val="center"/>
            <w:hideMark/>
          </w:tcPr>
          <w:p w14:paraId="34869D8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761,7</w:t>
            </w:r>
          </w:p>
        </w:tc>
        <w:tc>
          <w:tcPr>
            <w:tcW w:w="1378" w:type="dxa"/>
            <w:tcBorders>
              <w:top w:val="nil"/>
              <w:left w:val="nil"/>
              <w:bottom w:val="dotted" w:sz="4" w:space="0" w:color="auto"/>
              <w:right w:val="dotted" w:sz="4" w:space="0" w:color="auto"/>
            </w:tcBorders>
            <w:shd w:val="clear" w:color="000000" w:fill="FFFFFF"/>
            <w:vAlign w:val="center"/>
            <w:hideMark/>
          </w:tcPr>
          <w:p w14:paraId="2B558DB9"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796,9</w:t>
            </w:r>
          </w:p>
        </w:tc>
        <w:tc>
          <w:tcPr>
            <w:tcW w:w="1378" w:type="dxa"/>
            <w:tcBorders>
              <w:top w:val="nil"/>
              <w:left w:val="nil"/>
              <w:bottom w:val="dotted" w:sz="4" w:space="0" w:color="auto"/>
              <w:right w:val="double" w:sz="6" w:space="0" w:color="auto"/>
            </w:tcBorders>
            <w:shd w:val="clear" w:color="000000" w:fill="FFFFFF"/>
            <w:vAlign w:val="center"/>
            <w:hideMark/>
          </w:tcPr>
          <w:p w14:paraId="0C2AB19A"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884,2</w:t>
            </w:r>
          </w:p>
        </w:tc>
      </w:tr>
      <w:tr w:rsidR="006B676B" w:rsidRPr="006B676B" w14:paraId="157BEE6E"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65EF9AE4"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22. Other (22 = 23-(17+18+19+20+21)) [6]</w:t>
            </w:r>
          </w:p>
        </w:tc>
        <w:tc>
          <w:tcPr>
            <w:tcW w:w="1152" w:type="dxa"/>
            <w:tcBorders>
              <w:top w:val="nil"/>
              <w:left w:val="nil"/>
              <w:bottom w:val="dotted" w:sz="4" w:space="0" w:color="auto"/>
              <w:right w:val="single" w:sz="8" w:space="0" w:color="auto"/>
            </w:tcBorders>
            <w:shd w:val="clear" w:color="000000" w:fill="FFFFFF"/>
            <w:vAlign w:val="center"/>
            <w:hideMark/>
          </w:tcPr>
          <w:p w14:paraId="34160042"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4B14BF3D"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378" w:type="dxa"/>
            <w:tcBorders>
              <w:top w:val="nil"/>
              <w:left w:val="nil"/>
              <w:bottom w:val="dotted" w:sz="4" w:space="0" w:color="auto"/>
              <w:right w:val="dotted" w:sz="4" w:space="0" w:color="auto"/>
            </w:tcBorders>
            <w:shd w:val="clear" w:color="000000" w:fill="FFFFFF"/>
            <w:vAlign w:val="center"/>
            <w:hideMark/>
          </w:tcPr>
          <w:p w14:paraId="75F96A23"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221,1</w:t>
            </w:r>
          </w:p>
        </w:tc>
        <w:tc>
          <w:tcPr>
            <w:tcW w:w="1378" w:type="dxa"/>
            <w:tcBorders>
              <w:top w:val="nil"/>
              <w:left w:val="nil"/>
              <w:bottom w:val="dotted" w:sz="4" w:space="0" w:color="auto"/>
              <w:right w:val="dotted" w:sz="4" w:space="0" w:color="auto"/>
            </w:tcBorders>
            <w:shd w:val="clear" w:color="000000" w:fill="FFFFFF"/>
            <w:vAlign w:val="center"/>
            <w:hideMark/>
          </w:tcPr>
          <w:p w14:paraId="7C69BEE4"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179,6</w:t>
            </w:r>
          </w:p>
        </w:tc>
        <w:tc>
          <w:tcPr>
            <w:tcW w:w="1378" w:type="dxa"/>
            <w:tcBorders>
              <w:top w:val="nil"/>
              <w:left w:val="nil"/>
              <w:bottom w:val="dotted" w:sz="4" w:space="0" w:color="auto"/>
              <w:right w:val="dotted" w:sz="4" w:space="0" w:color="auto"/>
            </w:tcBorders>
            <w:shd w:val="clear" w:color="000000" w:fill="FFFFFF"/>
            <w:vAlign w:val="center"/>
            <w:hideMark/>
          </w:tcPr>
          <w:p w14:paraId="7FCD2C8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167,8</w:t>
            </w:r>
          </w:p>
        </w:tc>
        <w:tc>
          <w:tcPr>
            <w:tcW w:w="1378" w:type="dxa"/>
            <w:tcBorders>
              <w:top w:val="nil"/>
              <w:left w:val="nil"/>
              <w:bottom w:val="dotted" w:sz="4" w:space="0" w:color="auto"/>
              <w:right w:val="dotted" w:sz="4" w:space="0" w:color="auto"/>
            </w:tcBorders>
            <w:shd w:val="clear" w:color="000000" w:fill="FFFFFF"/>
            <w:vAlign w:val="center"/>
            <w:hideMark/>
          </w:tcPr>
          <w:p w14:paraId="7D325969"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174,6</w:t>
            </w:r>
          </w:p>
        </w:tc>
        <w:tc>
          <w:tcPr>
            <w:tcW w:w="1378" w:type="dxa"/>
            <w:tcBorders>
              <w:top w:val="nil"/>
              <w:left w:val="nil"/>
              <w:bottom w:val="dotted" w:sz="4" w:space="0" w:color="auto"/>
              <w:right w:val="double" w:sz="6" w:space="0" w:color="auto"/>
            </w:tcBorders>
            <w:shd w:val="clear" w:color="000000" w:fill="FFFFFF"/>
            <w:vAlign w:val="center"/>
            <w:hideMark/>
          </w:tcPr>
          <w:p w14:paraId="0F9D02AA"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180,5</w:t>
            </w:r>
          </w:p>
        </w:tc>
      </w:tr>
      <w:tr w:rsidR="006B676B" w:rsidRPr="006B676B" w14:paraId="67EA8A9C" w14:textId="77777777" w:rsidTr="006B676B">
        <w:trPr>
          <w:trHeight w:val="366"/>
        </w:trPr>
        <w:tc>
          <w:tcPr>
            <w:tcW w:w="5830" w:type="dxa"/>
            <w:tcBorders>
              <w:top w:val="nil"/>
              <w:left w:val="double" w:sz="6" w:space="0" w:color="auto"/>
              <w:bottom w:val="dotted" w:sz="4" w:space="0" w:color="auto"/>
              <w:right w:val="nil"/>
            </w:tcBorders>
            <w:shd w:val="clear" w:color="000000" w:fill="FFFFFF"/>
            <w:vAlign w:val="center"/>
            <w:hideMark/>
          </w:tcPr>
          <w:p w14:paraId="4E76AE0E"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 xml:space="preserve">23. Total expenditures </w:t>
            </w:r>
          </w:p>
        </w:tc>
        <w:tc>
          <w:tcPr>
            <w:tcW w:w="1152" w:type="dxa"/>
            <w:tcBorders>
              <w:top w:val="nil"/>
              <w:left w:val="nil"/>
              <w:bottom w:val="dotted" w:sz="4" w:space="0" w:color="auto"/>
              <w:right w:val="single" w:sz="8" w:space="0" w:color="auto"/>
            </w:tcBorders>
            <w:shd w:val="clear" w:color="000000" w:fill="FFFFFF"/>
            <w:vAlign w:val="center"/>
            <w:hideMark/>
          </w:tcPr>
          <w:p w14:paraId="3A001C7D"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tted" w:sz="4" w:space="0" w:color="auto"/>
              <w:right w:val="single" w:sz="8" w:space="0" w:color="auto"/>
            </w:tcBorders>
            <w:shd w:val="clear" w:color="000000" w:fill="FFFFFF"/>
            <w:vAlign w:val="center"/>
            <w:hideMark/>
          </w:tcPr>
          <w:p w14:paraId="3151B33D"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TE [1]</w:t>
            </w:r>
          </w:p>
        </w:tc>
        <w:tc>
          <w:tcPr>
            <w:tcW w:w="1378" w:type="dxa"/>
            <w:tcBorders>
              <w:top w:val="nil"/>
              <w:left w:val="nil"/>
              <w:bottom w:val="dotted" w:sz="4" w:space="0" w:color="auto"/>
              <w:right w:val="dotted" w:sz="4" w:space="0" w:color="auto"/>
            </w:tcBorders>
            <w:shd w:val="clear" w:color="000000" w:fill="FFFFFF"/>
            <w:vAlign w:val="center"/>
            <w:hideMark/>
          </w:tcPr>
          <w:p w14:paraId="2655FE1C"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3654,4</w:t>
            </w:r>
          </w:p>
        </w:tc>
        <w:tc>
          <w:tcPr>
            <w:tcW w:w="1378" w:type="dxa"/>
            <w:tcBorders>
              <w:top w:val="nil"/>
              <w:left w:val="nil"/>
              <w:bottom w:val="dotted" w:sz="4" w:space="0" w:color="auto"/>
              <w:right w:val="dotted" w:sz="4" w:space="0" w:color="auto"/>
            </w:tcBorders>
            <w:shd w:val="clear" w:color="000000" w:fill="FFFFFF"/>
            <w:vAlign w:val="center"/>
            <w:hideMark/>
          </w:tcPr>
          <w:p w14:paraId="4C022E9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4185,2</w:t>
            </w:r>
          </w:p>
        </w:tc>
        <w:tc>
          <w:tcPr>
            <w:tcW w:w="1378" w:type="dxa"/>
            <w:tcBorders>
              <w:top w:val="nil"/>
              <w:left w:val="nil"/>
              <w:bottom w:val="dotted" w:sz="4" w:space="0" w:color="auto"/>
              <w:right w:val="dotted" w:sz="4" w:space="0" w:color="auto"/>
            </w:tcBorders>
            <w:shd w:val="clear" w:color="000000" w:fill="FFFFFF"/>
            <w:vAlign w:val="center"/>
            <w:hideMark/>
          </w:tcPr>
          <w:p w14:paraId="0AC16BF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4578,3</w:t>
            </w:r>
          </w:p>
        </w:tc>
        <w:tc>
          <w:tcPr>
            <w:tcW w:w="1378" w:type="dxa"/>
            <w:tcBorders>
              <w:top w:val="nil"/>
              <w:left w:val="nil"/>
              <w:bottom w:val="dotted" w:sz="4" w:space="0" w:color="auto"/>
              <w:right w:val="dotted" w:sz="4" w:space="0" w:color="auto"/>
            </w:tcBorders>
            <w:shd w:val="clear" w:color="000000" w:fill="FFFFFF"/>
            <w:vAlign w:val="center"/>
            <w:hideMark/>
          </w:tcPr>
          <w:p w14:paraId="395681F2"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4870,0</w:t>
            </w:r>
          </w:p>
        </w:tc>
        <w:tc>
          <w:tcPr>
            <w:tcW w:w="1378" w:type="dxa"/>
            <w:tcBorders>
              <w:top w:val="nil"/>
              <w:left w:val="nil"/>
              <w:bottom w:val="dotted" w:sz="4" w:space="0" w:color="auto"/>
              <w:right w:val="double" w:sz="6" w:space="0" w:color="auto"/>
            </w:tcBorders>
            <w:shd w:val="clear" w:color="000000" w:fill="FFFFFF"/>
            <w:vAlign w:val="center"/>
            <w:hideMark/>
          </w:tcPr>
          <w:p w14:paraId="46C3FDC0"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5214,7</w:t>
            </w:r>
          </w:p>
        </w:tc>
      </w:tr>
      <w:tr w:rsidR="006B676B" w:rsidRPr="006B676B" w14:paraId="63A83F3E" w14:textId="77777777" w:rsidTr="006B676B">
        <w:trPr>
          <w:trHeight w:val="300"/>
        </w:trPr>
        <w:tc>
          <w:tcPr>
            <w:tcW w:w="5830" w:type="dxa"/>
            <w:tcBorders>
              <w:top w:val="nil"/>
              <w:left w:val="double" w:sz="6" w:space="0" w:color="auto"/>
              <w:bottom w:val="double" w:sz="6" w:space="0" w:color="auto"/>
              <w:right w:val="nil"/>
            </w:tcBorders>
            <w:shd w:val="clear" w:color="000000" w:fill="FFFFFF"/>
            <w:vAlign w:val="bottom"/>
            <w:hideMark/>
          </w:tcPr>
          <w:p w14:paraId="2BD47709" w14:textId="77777777" w:rsidR="006B676B" w:rsidRPr="006B676B" w:rsidRDefault="006B676B" w:rsidP="006B676B">
            <w:pPr>
              <w:spacing w:after="0"/>
              <w:jc w:val="left"/>
              <w:rPr>
                <w:rFonts w:eastAsia="Times New Roman" w:cs="Times New Roman"/>
                <w:szCs w:val="24"/>
              </w:rPr>
            </w:pPr>
            <w:r w:rsidRPr="006B676B">
              <w:rPr>
                <w:rFonts w:eastAsia="Times New Roman" w:cs="Times New Roman"/>
                <w:szCs w:val="24"/>
              </w:rPr>
              <w:t>p.m.  compensation of employees</w:t>
            </w:r>
          </w:p>
        </w:tc>
        <w:tc>
          <w:tcPr>
            <w:tcW w:w="1152" w:type="dxa"/>
            <w:tcBorders>
              <w:top w:val="nil"/>
              <w:left w:val="nil"/>
              <w:bottom w:val="double" w:sz="6" w:space="0" w:color="auto"/>
              <w:right w:val="single" w:sz="8" w:space="0" w:color="auto"/>
            </w:tcBorders>
            <w:shd w:val="clear" w:color="000000" w:fill="FFFFFF"/>
            <w:vAlign w:val="bottom"/>
            <w:hideMark/>
          </w:tcPr>
          <w:p w14:paraId="10E7717C"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 </w:t>
            </w:r>
          </w:p>
        </w:tc>
        <w:tc>
          <w:tcPr>
            <w:tcW w:w="1152" w:type="dxa"/>
            <w:tcBorders>
              <w:top w:val="nil"/>
              <w:left w:val="nil"/>
              <w:bottom w:val="double" w:sz="6" w:space="0" w:color="auto"/>
              <w:right w:val="single" w:sz="8" w:space="0" w:color="auto"/>
            </w:tcBorders>
            <w:shd w:val="clear" w:color="000000" w:fill="FFFFFF"/>
            <w:vAlign w:val="bottom"/>
            <w:hideMark/>
          </w:tcPr>
          <w:p w14:paraId="19F95407" w14:textId="77777777" w:rsidR="006B676B" w:rsidRPr="006B676B" w:rsidRDefault="006B676B" w:rsidP="006B676B">
            <w:pPr>
              <w:spacing w:after="0"/>
              <w:jc w:val="center"/>
              <w:rPr>
                <w:rFonts w:eastAsia="Times New Roman" w:cs="Times New Roman"/>
                <w:sz w:val="20"/>
                <w:szCs w:val="20"/>
              </w:rPr>
            </w:pPr>
            <w:r w:rsidRPr="006B676B">
              <w:rPr>
                <w:rFonts w:eastAsia="Times New Roman" w:cs="Times New Roman"/>
                <w:sz w:val="20"/>
                <w:szCs w:val="20"/>
              </w:rPr>
              <w:t>D1</w:t>
            </w:r>
          </w:p>
        </w:tc>
        <w:tc>
          <w:tcPr>
            <w:tcW w:w="1378" w:type="dxa"/>
            <w:tcBorders>
              <w:top w:val="nil"/>
              <w:left w:val="nil"/>
              <w:bottom w:val="double" w:sz="6" w:space="0" w:color="auto"/>
              <w:right w:val="dotted" w:sz="4" w:space="0" w:color="auto"/>
            </w:tcBorders>
            <w:shd w:val="clear" w:color="000000" w:fill="FFFFFF"/>
            <w:vAlign w:val="bottom"/>
            <w:hideMark/>
          </w:tcPr>
          <w:p w14:paraId="0D1949F1"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774,9</w:t>
            </w:r>
          </w:p>
        </w:tc>
        <w:tc>
          <w:tcPr>
            <w:tcW w:w="1378" w:type="dxa"/>
            <w:tcBorders>
              <w:top w:val="nil"/>
              <w:left w:val="nil"/>
              <w:bottom w:val="double" w:sz="6" w:space="0" w:color="auto"/>
              <w:right w:val="dotted" w:sz="4" w:space="0" w:color="auto"/>
            </w:tcBorders>
            <w:shd w:val="clear" w:color="000000" w:fill="FFFFFF"/>
            <w:vAlign w:val="bottom"/>
            <w:hideMark/>
          </w:tcPr>
          <w:p w14:paraId="1E365B46"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911,3</w:t>
            </w:r>
          </w:p>
        </w:tc>
        <w:tc>
          <w:tcPr>
            <w:tcW w:w="1378" w:type="dxa"/>
            <w:tcBorders>
              <w:top w:val="nil"/>
              <w:left w:val="nil"/>
              <w:bottom w:val="double" w:sz="6" w:space="0" w:color="auto"/>
              <w:right w:val="dotted" w:sz="4" w:space="0" w:color="auto"/>
            </w:tcBorders>
            <w:shd w:val="clear" w:color="000000" w:fill="FFFFFF"/>
            <w:vAlign w:val="bottom"/>
            <w:hideMark/>
          </w:tcPr>
          <w:p w14:paraId="2658532A"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1016,4</w:t>
            </w:r>
          </w:p>
        </w:tc>
        <w:tc>
          <w:tcPr>
            <w:tcW w:w="1378" w:type="dxa"/>
            <w:tcBorders>
              <w:top w:val="nil"/>
              <w:left w:val="nil"/>
              <w:bottom w:val="double" w:sz="6" w:space="0" w:color="auto"/>
              <w:right w:val="dotted" w:sz="4" w:space="0" w:color="auto"/>
            </w:tcBorders>
            <w:shd w:val="clear" w:color="000000" w:fill="FFFFFF"/>
            <w:vAlign w:val="bottom"/>
            <w:hideMark/>
          </w:tcPr>
          <w:p w14:paraId="257B37B8"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1088,2</w:t>
            </w:r>
          </w:p>
        </w:tc>
        <w:tc>
          <w:tcPr>
            <w:tcW w:w="1378" w:type="dxa"/>
            <w:tcBorders>
              <w:top w:val="nil"/>
              <w:left w:val="nil"/>
              <w:bottom w:val="double" w:sz="6" w:space="0" w:color="auto"/>
              <w:right w:val="double" w:sz="6" w:space="0" w:color="auto"/>
            </w:tcBorders>
            <w:shd w:val="clear" w:color="000000" w:fill="FFFFFF"/>
            <w:vAlign w:val="bottom"/>
            <w:hideMark/>
          </w:tcPr>
          <w:p w14:paraId="03154FEF" w14:textId="77777777" w:rsidR="006B676B" w:rsidRPr="006B676B" w:rsidRDefault="006B676B" w:rsidP="006B676B">
            <w:pPr>
              <w:spacing w:after="0"/>
              <w:jc w:val="center"/>
              <w:rPr>
                <w:rFonts w:eastAsia="Times New Roman" w:cs="Times New Roman"/>
                <w:szCs w:val="24"/>
              </w:rPr>
            </w:pPr>
            <w:r w:rsidRPr="006B676B">
              <w:rPr>
                <w:rFonts w:eastAsia="Times New Roman" w:cs="Times New Roman"/>
                <w:szCs w:val="24"/>
              </w:rPr>
              <w:t>1177,8</w:t>
            </w:r>
          </w:p>
        </w:tc>
      </w:tr>
    </w:tbl>
    <w:p w14:paraId="448C49A9" w14:textId="01679DCD" w:rsidR="006B676B" w:rsidRPr="006B676B" w:rsidRDefault="006B676B" w:rsidP="006B676B">
      <w:pPr>
        <w:spacing w:after="0"/>
        <w:jc w:val="left"/>
        <w:rPr>
          <w:rFonts w:eastAsia="Times New Roman" w:cs="Times New Roman"/>
          <w:bCs/>
          <w:szCs w:val="24"/>
        </w:rPr>
      </w:pPr>
      <w:r>
        <w:rPr>
          <w:rFonts w:eastAsia="Times New Roman" w:cs="Times New Roman"/>
          <w:bCs/>
          <w:szCs w:val="24"/>
        </w:rPr>
        <w:fldChar w:fldCharType="end"/>
      </w:r>
    </w:p>
    <w:tbl>
      <w:tblPr>
        <w:tblW w:w="13308" w:type="dxa"/>
        <w:tblLook w:val="04A0" w:firstRow="1" w:lastRow="0" w:firstColumn="1" w:lastColumn="0" w:noHBand="0" w:noVBand="1"/>
      </w:tblPr>
      <w:tblGrid>
        <w:gridCol w:w="12370"/>
        <w:gridCol w:w="266"/>
        <w:gridCol w:w="266"/>
        <w:gridCol w:w="266"/>
        <w:gridCol w:w="266"/>
        <w:gridCol w:w="266"/>
        <w:gridCol w:w="266"/>
        <w:gridCol w:w="266"/>
      </w:tblGrid>
      <w:tr w:rsidR="006B676B" w:rsidRPr="006B676B" w14:paraId="06EA2F1A" w14:textId="77777777" w:rsidTr="006B676B">
        <w:trPr>
          <w:trHeight w:val="258"/>
        </w:trPr>
        <w:tc>
          <w:tcPr>
            <w:tcW w:w="13308" w:type="dxa"/>
            <w:gridSpan w:val="8"/>
            <w:tcBorders>
              <w:top w:val="nil"/>
              <w:left w:val="nil"/>
              <w:bottom w:val="nil"/>
              <w:right w:val="nil"/>
            </w:tcBorders>
            <w:shd w:val="clear" w:color="auto" w:fill="auto"/>
            <w:noWrap/>
            <w:vAlign w:val="bottom"/>
            <w:hideMark/>
          </w:tcPr>
          <w:p w14:paraId="3E4562C0"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[1]   Adjusted for the next flow of swap-related flows, so the TR-TE = EDP.B9.</w:t>
            </w:r>
          </w:p>
        </w:tc>
      </w:tr>
      <w:tr w:rsidR="006B676B" w:rsidRPr="006B676B" w14:paraId="20D9EE8F" w14:textId="77777777" w:rsidTr="006B676B">
        <w:trPr>
          <w:trHeight w:val="258"/>
        </w:trPr>
        <w:tc>
          <w:tcPr>
            <w:tcW w:w="12638" w:type="dxa"/>
            <w:gridSpan w:val="3"/>
            <w:tcBorders>
              <w:top w:val="nil"/>
              <w:left w:val="nil"/>
              <w:bottom w:val="nil"/>
              <w:right w:val="nil"/>
            </w:tcBorders>
            <w:shd w:val="clear" w:color="000000" w:fill="FFFFFF"/>
            <w:noWrap/>
            <w:vAlign w:val="bottom"/>
            <w:hideMark/>
          </w:tcPr>
          <w:p w14:paraId="611DB9A2"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[2]   The primary balance is calculated as (EDP B.9, item 8) plus (EDP D.41, item 9).</w:t>
            </w:r>
          </w:p>
        </w:tc>
        <w:tc>
          <w:tcPr>
            <w:tcW w:w="134" w:type="dxa"/>
            <w:tcBorders>
              <w:top w:val="nil"/>
              <w:left w:val="nil"/>
              <w:bottom w:val="nil"/>
              <w:right w:val="nil"/>
            </w:tcBorders>
            <w:shd w:val="clear" w:color="000000" w:fill="FFFFFF"/>
            <w:noWrap/>
            <w:vAlign w:val="center"/>
            <w:hideMark/>
          </w:tcPr>
          <w:p w14:paraId="4C6756BD"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3377772A"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09234C52"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2A3392E6"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1797425F"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r>
      <w:tr w:rsidR="006B676B" w:rsidRPr="006B676B" w14:paraId="07756616" w14:textId="77777777" w:rsidTr="006B676B">
        <w:trPr>
          <w:trHeight w:val="258"/>
        </w:trPr>
        <w:tc>
          <w:tcPr>
            <w:tcW w:w="12370" w:type="dxa"/>
            <w:tcBorders>
              <w:top w:val="nil"/>
              <w:left w:val="nil"/>
              <w:bottom w:val="nil"/>
              <w:right w:val="nil"/>
            </w:tcBorders>
            <w:shd w:val="clear" w:color="000000" w:fill="FFFFFF"/>
            <w:noWrap/>
            <w:vAlign w:val="center"/>
            <w:hideMark/>
          </w:tcPr>
          <w:p w14:paraId="63A1B8B1"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[3]   A plus sign means deficit-reducing one-off measures</w:t>
            </w:r>
          </w:p>
        </w:tc>
        <w:tc>
          <w:tcPr>
            <w:tcW w:w="134" w:type="dxa"/>
            <w:tcBorders>
              <w:top w:val="nil"/>
              <w:left w:val="nil"/>
              <w:bottom w:val="nil"/>
              <w:right w:val="nil"/>
            </w:tcBorders>
            <w:shd w:val="clear" w:color="000000" w:fill="FFFFFF"/>
            <w:noWrap/>
            <w:vAlign w:val="center"/>
            <w:hideMark/>
          </w:tcPr>
          <w:p w14:paraId="4E3748D9" w14:textId="77777777" w:rsidR="006B676B" w:rsidRPr="006B676B" w:rsidRDefault="006B676B" w:rsidP="006B676B">
            <w:pPr>
              <w:spacing w:after="0"/>
              <w:rPr>
                <w:rFonts w:eastAsia="Times New Roman" w:cs="Times New Roman"/>
                <w:sz w:val="16"/>
                <w:szCs w:val="16"/>
              </w:rPr>
            </w:pPr>
            <w:r w:rsidRPr="006B676B">
              <w:rPr>
                <w:rFonts w:eastAsia="Times New Roman" w:cs="Times New Roman"/>
                <w:sz w:val="16"/>
                <w:szCs w:val="16"/>
              </w:rPr>
              <w:t> </w:t>
            </w:r>
          </w:p>
        </w:tc>
        <w:tc>
          <w:tcPr>
            <w:tcW w:w="134" w:type="dxa"/>
            <w:tcBorders>
              <w:top w:val="nil"/>
              <w:left w:val="nil"/>
              <w:bottom w:val="nil"/>
              <w:right w:val="nil"/>
            </w:tcBorders>
            <w:shd w:val="clear" w:color="000000" w:fill="FFFFFF"/>
            <w:noWrap/>
            <w:vAlign w:val="center"/>
            <w:hideMark/>
          </w:tcPr>
          <w:p w14:paraId="39F291E9" w14:textId="77777777" w:rsidR="006B676B" w:rsidRPr="006B676B" w:rsidRDefault="006B676B" w:rsidP="006B676B">
            <w:pPr>
              <w:spacing w:after="0"/>
              <w:rPr>
                <w:rFonts w:eastAsia="Times New Roman" w:cs="Times New Roman"/>
                <w:sz w:val="16"/>
                <w:szCs w:val="16"/>
              </w:rPr>
            </w:pPr>
            <w:r w:rsidRPr="006B676B">
              <w:rPr>
                <w:rFonts w:eastAsia="Times New Roman" w:cs="Times New Roman"/>
                <w:sz w:val="16"/>
                <w:szCs w:val="16"/>
              </w:rPr>
              <w:t> </w:t>
            </w:r>
          </w:p>
        </w:tc>
        <w:tc>
          <w:tcPr>
            <w:tcW w:w="134" w:type="dxa"/>
            <w:tcBorders>
              <w:top w:val="nil"/>
              <w:left w:val="nil"/>
              <w:bottom w:val="nil"/>
              <w:right w:val="nil"/>
            </w:tcBorders>
            <w:shd w:val="clear" w:color="000000" w:fill="FFFFFF"/>
            <w:noWrap/>
            <w:vAlign w:val="center"/>
            <w:hideMark/>
          </w:tcPr>
          <w:p w14:paraId="29D472C2"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56435185"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6F9B3B5F"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3141A678"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3E9C2648"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r>
      <w:tr w:rsidR="006B676B" w:rsidRPr="006B676B" w14:paraId="2552F2ED" w14:textId="77777777" w:rsidTr="006B676B">
        <w:trPr>
          <w:trHeight w:val="258"/>
        </w:trPr>
        <w:tc>
          <w:tcPr>
            <w:tcW w:w="12370" w:type="dxa"/>
            <w:tcBorders>
              <w:top w:val="nil"/>
              <w:left w:val="nil"/>
              <w:bottom w:val="nil"/>
              <w:right w:val="nil"/>
            </w:tcBorders>
            <w:shd w:val="clear" w:color="000000" w:fill="FFFFFF"/>
            <w:noWrap/>
            <w:vAlign w:val="bottom"/>
            <w:hideMark/>
          </w:tcPr>
          <w:p w14:paraId="3DDA09DF"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[4]   P.11+P.12+P.131+D.39+D.7+D.9 (other than D.91).</w:t>
            </w:r>
          </w:p>
        </w:tc>
        <w:tc>
          <w:tcPr>
            <w:tcW w:w="134" w:type="dxa"/>
            <w:tcBorders>
              <w:top w:val="nil"/>
              <w:left w:val="nil"/>
              <w:bottom w:val="nil"/>
              <w:right w:val="nil"/>
            </w:tcBorders>
            <w:shd w:val="clear" w:color="000000" w:fill="FFFFFF"/>
            <w:noWrap/>
            <w:vAlign w:val="center"/>
            <w:hideMark/>
          </w:tcPr>
          <w:p w14:paraId="70B98C78"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194EDD58"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018E354A"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479F13D3"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3CC86B7B"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6FD02D37"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20638786"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r>
      <w:tr w:rsidR="006B676B" w:rsidRPr="006B676B" w14:paraId="261F716E" w14:textId="77777777" w:rsidTr="006B676B">
        <w:trPr>
          <w:trHeight w:val="258"/>
        </w:trPr>
        <w:tc>
          <w:tcPr>
            <w:tcW w:w="13174" w:type="dxa"/>
            <w:gridSpan w:val="7"/>
            <w:tcBorders>
              <w:top w:val="nil"/>
              <w:left w:val="nil"/>
              <w:bottom w:val="nil"/>
              <w:right w:val="nil"/>
            </w:tcBorders>
            <w:shd w:val="clear" w:color="000000" w:fill="FFFFFF"/>
            <w:noWrap/>
            <w:vAlign w:val="bottom"/>
            <w:hideMark/>
          </w:tcPr>
          <w:p w14:paraId="7A3E405E"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[5]   Including those collected by the EU and including an adjustment for uncollected taxes and social contributions (D995), if appropriate.</w:t>
            </w:r>
          </w:p>
        </w:tc>
        <w:tc>
          <w:tcPr>
            <w:tcW w:w="134" w:type="dxa"/>
            <w:tcBorders>
              <w:top w:val="nil"/>
              <w:left w:val="nil"/>
              <w:bottom w:val="nil"/>
              <w:right w:val="nil"/>
            </w:tcBorders>
            <w:shd w:val="clear" w:color="000000" w:fill="FFFFFF"/>
            <w:noWrap/>
            <w:vAlign w:val="center"/>
            <w:hideMark/>
          </w:tcPr>
          <w:p w14:paraId="413840EC"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r>
      <w:tr w:rsidR="006B676B" w:rsidRPr="006B676B" w14:paraId="06126475" w14:textId="77777777" w:rsidTr="006B676B">
        <w:trPr>
          <w:trHeight w:val="258"/>
        </w:trPr>
        <w:tc>
          <w:tcPr>
            <w:tcW w:w="12504" w:type="dxa"/>
            <w:gridSpan w:val="2"/>
            <w:tcBorders>
              <w:top w:val="nil"/>
              <w:left w:val="nil"/>
              <w:bottom w:val="nil"/>
              <w:right w:val="nil"/>
            </w:tcBorders>
            <w:shd w:val="clear" w:color="000000" w:fill="FFFFFF"/>
            <w:noWrap/>
            <w:vAlign w:val="bottom"/>
            <w:hideMark/>
          </w:tcPr>
          <w:p w14:paraId="1F4F5EAE"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[6]   D.29+D4 (other than D.41)+ D.5+D.7+D.9+P.52+P.53+K.2+D.8.</w:t>
            </w:r>
          </w:p>
        </w:tc>
        <w:tc>
          <w:tcPr>
            <w:tcW w:w="134" w:type="dxa"/>
            <w:tcBorders>
              <w:top w:val="nil"/>
              <w:left w:val="nil"/>
              <w:bottom w:val="nil"/>
              <w:right w:val="nil"/>
            </w:tcBorders>
            <w:shd w:val="clear" w:color="000000" w:fill="FFFFFF"/>
            <w:noWrap/>
            <w:vAlign w:val="center"/>
            <w:hideMark/>
          </w:tcPr>
          <w:p w14:paraId="42F00B42"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0DECB8D9"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4D7C1674"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2C762DC5"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4CC698EF"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14:paraId="79E5F5C4" w14:textId="77777777" w:rsidR="006B676B" w:rsidRPr="006B676B" w:rsidRDefault="006B676B" w:rsidP="006B676B">
            <w:pPr>
              <w:spacing w:after="0"/>
              <w:jc w:val="left"/>
              <w:rPr>
                <w:rFonts w:eastAsia="Times New Roman" w:cs="Times New Roman"/>
                <w:sz w:val="20"/>
                <w:szCs w:val="20"/>
              </w:rPr>
            </w:pPr>
            <w:r w:rsidRPr="006B676B">
              <w:rPr>
                <w:rFonts w:eastAsia="Times New Roman" w:cs="Times New Roman"/>
                <w:sz w:val="20"/>
                <w:szCs w:val="20"/>
              </w:rPr>
              <w:t> </w:t>
            </w:r>
          </w:p>
        </w:tc>
      </w:tr>
    </w:tbl>
    <w:p w14:paraId="5FDB9E96" w14:textId="77777777" w:rsidR="00F13531" w:rsidRDefault="00F13531">
      <w:pPr>
        <w:spacing w:after="160" w:line="259" w:lineRule="auto"/>
        <w:jc w:val="left"/>
      </w:pPr>
    </w:p>
    <w:p w14:paraId="011142CF" w14:textId="77777777" w:rsidR="00F13531" w:rsidRDefault="00F13531">
      <w:pPr>
        <w:spacing w:after="160" w:line="259" w:lineRule="auto"/>
        <w:jc w:val="left"/>
      </w:pPr>
      <w:r>
        <w:br w:type="page"/>
      </w:r>
    </w:p>
    <w:p w14:paraId="17C3222B" w14:textId="77777777" w:rsidR="00F13531" w:rsidRDefault="00F13531">
      <w:pPr>
        <w:spacing w:after="160" w:line="259" w:lineRule="auto"/>
        <w:jc w:val="left"/>
      </w:pPr>
      <w:r>
        <w:lastRenderedPageBreak/>
        <w:t>Table 2c:</w:t>
      </w:r>
      <w:r w:rsidRPr="00F13531">
        <w:t xml:space="preserve"> Discretionary measures adopted/announced according to the Programme</w:t>
      </w:r>
    </w:p>
    <w:p w14:paraId="2F9F35BA" w14:textId="082C7FB2" w:rsidR="00F13531" w:rsidRDefault="00F13531">
      <w:pPr>
        <w:spacing w:after="160" w:line="259" w:lineRule="auto"/>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data!R159C2:R189C10 </w:instrText>
      </w:r>
      <w:r>
        <w:instrText xml:space="preserve">\a \f 4 \h  \* MERGEFORMAT </w:instrText>
      </w:r>
      <w:r>
        <w:fldChar w:fldCharType="separate"/>
      </w:r>
    </w:p>
    <w:tbl>
      <w:tblPr>
        <w:tblW w:w="15559" w:type="dxa"/>
        <w:tblLook w:val="04A0" w:firstRow="1" w:lastRow="0" w:firstColumn="1" w:lastColumn="0" w:noHBand="0" w:noVBand="1"/>
      </w:tblPr>
      <w:tblGrid>
        <w:gridCol w:w="5236"/>
        <w:gridCol w:w="1350"/>
        <w:gridCol w:w="1364"/>
        <w:gridCol w:w="1256"/>
        <w:gridCol w:w="1310"/>
        <w:gridCol w:w="1328"/>
        <w:gridCol w:w="1328"/>
        <w:gridCol w:w="1328"/>
        <w:gridCol w:w="1094"/>
      </w:tblGrid>
      <w:tr w:rsidR="00F13531" w:rsidRPr="00F13531" w14:paraId="37A6B108" w14:textId="77777777" w:rsidTr="00F13531">
        <w:trPr>
          <w:trHeight w:val="323"/>
        </w:trPr>
        <w:tc>
          <w:tcPr>
            <w:tcW w:w="5236" w:type="dxa"/>
            <w:tcBorders>
              <w:top w:val="double" w:sz="6" w:space="0" w:color="auto"/>
              <w:left w:val="double" w:sz="6" w:space="0" w:color="auto"/>
              <w:bottom w:val="double" w:sz="6" w:space="0" w:color="auto"/>
              <w:right w:val="nil"/>
            </w:tcBorders>
            <w:shd w:val="clear" w:color="auto" w:fill="auto"/>
            <w:noWrap/>
            <w:vAlign w:val="center"/>
            <w:hideMark/>
          </w:tcPr>
          <w:p w14:paraId="5D458FE2" w14:textId="5AA98C93" w:rsidR="00F13531" w:rsidRPr="00F13531" w:rsidRDefault="00F13531" w:rsidP="00F13531">
            <w:pPr>
              <w:spacing w:after="0"/>
              <w:jc w:val="left"/>
              <w:rPr>
                <w:rFonts w:eastAsia="Times New Roman" w:cs="Times New Roman"/>
                <w:b/>
                <w:bCs/>
                <w:sz w:val="20"/>
                <w:szCs w:val="20"/>
              </w:rPr>
            </w:pPr>
          </w:p>
        </w:tc>
        <w:tc>
          <w:tcPr>
            <w:tcW w:w="1310" w:type="dxa"/>
            <w:tcBorders>
              <w:top w:val="double" w:sz="6" w:space="0" w:color="auto"/>
              <w:left w:val="double" w:sz="6" w:space="0" w:color="auto"/>
              <w:bottom w:val="double" w:sz="6" w:space="0" w:color="auto"/>
              <w:right w:val="nil"/>
            </w:tcBorders>
            <w:shd w:val="clear" w:color="auto" w:fill="auto"/>
            <w:noWrap/>
            <w:vAlign w:val="center"/>
            <w:hideMark/>
          </w:tcPr>
          <w:p w14:paraId="50ADC53D" w14:textId="77777777" w:rsidR="00F13531" w:rsidRPr="00F13531" w:rsidRDefault="00F13531" w:rsidP="00F13531">
            <w:pPr>
              <w:spacing w:after="0"/>
              <w:jc w:val="left"/>
              <w:rPr>
                <w:rFonts w:eastAsia="Times New Roman" w:cs="Times New Roman"/>
                <w:b/>
                <w:bCs/>
                <w:sz w:val="20"/>
                <w:szCs w:val="20"/>
              </w:rPr>
            </w:pPr>
            <w:r w:rsidRPr="00F13531">
              <w:rPr>
                <w:rFonts w:eastAsia="Times New Roman" w:cs="Times New Roman"/>
                <w:b/>
                <w:bCs/>
                <w:sz w:val="20"/>
                <w:szCs w:val="20"/>
              </w:rPr>
              <w:t> </w:t>
            </w:r>
          </w:p>
        </w:tc>
        <w:tc>
          <w:tcPr>
            <w:tcW w:w="1364" w:type="dxa"/>
            <w:tcBorders>
              <w:top w:val="double" w:sz="6" w:space="0" w:color="auto"/>
              <w:left w:val="double" w:sz="6" w:space="0" w:color="auto"/>
              <w:bottom w:val="double" w:sz="6" w:space="0" w:color="auto"/>
              <w:right w:val="nil"/>
            </w:tcBorders>
            <w:shd w:val="clear" w:color="auto" w:fill="auto"/>
            <w:noWrap/>
            <w:vAlign w:val="center"/>
            <w:hideMark/>
          </w:tcPr>
          <w:p w14:paraId="3574A3D5" w14:textId="77777777" w:rsidR="00F13531" w:rsidRPr="00F13531" w:rsidRDefault="00F13531" w:rsidP="00F13531">
            <w:pPr>
              <w:spacing w:after="0"/>
              <w:jc w:val="left"/>
              <w:rPr>
                <w:rFonts w:eastAsia="Times New Roman" w:cs="Times New Roman"/>
                <w:b/>
                <w:bCs/>
                <w:sz w:val="20"/>
                <w:szCs w:val="20"/>
              </w:rPr>
            </w:pPr>
            <w:r w:rsidRPr="00F13531">
              <w:rPr>
                <w:rFonts w:eastAsia="Times New Roman" w:cs="Times New Roman"/>
                <w:b/>
                <w:bCs/>
                <w:sz w:val="20"/>
                <w:szCs w:val="20"/>
              </w:rPr>
              <w:t> </w:t>
            </w:r>
          </w:p>
        </w:tc>
        <w:tc>
          <w:tcPr>
            <w:tcW w:w="1256" w:type="dxa"/>
            <w:tcBorders>
              <w:top w:val="double" w:sz="6" w:space="0" w:color="auto"/>
              <w:left w:val="single" w:sz="8" w:space="0" w:color="auto"/>
              <w:bottom w:val="double" w:sz="6" w:space="0" w:color="auto"/>
              <w:right w:val="dashed" w:sz="4" w:space="0" w:color="auto"/>
            </w:tcBorders>
            <w:shd w:val="clear" w:color="auto" w:fill="auto"/>
            <w:noWrap/>
            <w:vAlign w:val="center"/>
            <w:hideMark/>
          </w:tcPr>
          <w:p w14:paraId="56BDE0B8"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2022</w:t>
            </w:r>
          </w:p>
        </w:tc>
        <w:tc>
          <w:tcPr>
            <w:tcW w:w="1310" w:type="dxa"/>
            <w:tcBorders>
              <w:top w:val="double" w:sz="6" w:space="0" w:color="auto"/>
              <w:left w:val="nil"/>
              <w:bottom w:val="double" w:sz="6" w:space="0" w:color="auto"/>
              <w:right w:val="dashed" w:sz="4" w:space="0" w:color="auto"/>
            </w:tcBorders>
            <w:shd w:val="clear" w:color="auto" w:fill="auto"/>
            <w:noWrap/>
            <w:vAlign w:val="center"/>
            <w:hideMark/>
          </w:tcPr>
          <w:p w14:paraId="4D62D17A"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2023</w:t>
            </w:r>
          </w:p>
        </w:tc>
        <w:tc>
          <w:tcPr>
            <w:tcW w:w="1328" w:type="dxa"/>
            <w:tcBorders>
              <w:top w:val="double" w:sz="6" w:space="0" w:color="auto"/>
              <w:left w:val="nil"/>
              <w:bottom w:val="double" w:sz="6" w:space="0" w:color="auto"/>
              <w:right w:val="dashed" w:sz="4" w:space="0" w:color="auto"/>
            </w:tcBorders>
            <w:shd w:val="clear" w:color="auto" w:fill="auto"/>
            <w:noWrap/>
            <w:vAlign w:val="center"/>
            <w:hideMark/>
          </w:tcPr>
          <w:p w14:paraId="630B1EF8"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2024</w:t>
            </w:r>
          </w:p>
        </w:tc>
        <w:tc>
          <w:tcPr>
            <w:tcW w:w="1328" w:type="dxa"/>
            <w:tcBorders>
              <w:top w:val="double" w:sz="6" w:space="0" w:color="auto"/>
              <w:left w:val="nil"/>
              <w:bottom w:val="double" w:sz="6" w:space="0" w:color="auto"/>
              <w:right w:val="dashed" w:sz="4" w:space="0" w:color="auto"/>
            </w:tcBorders>
            <w:shd w:val="clear" w:color="auto" w:fill="auto"/>
            <w:noWrap/>
            <w:vAlign w:val="center"/>
            <w:hideMark/>
          </w:tcPr>
          <w:p w14:paraId="3CAFEE47"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2025</w:t>
            </w:r>
          </w:p>
        </w:tc>
        <w:tc>
          <w:tcPr>
            <w:tcW w:w="1328" w:type="dxa"/>
            <w:tcBorders>
              <w:top w:val="double" w:sz="6" w:space="0" w:color="auto"/>
              <w:left w:val="nil"/>
              <w:bottom w:val="double" w:sz="6" w:space="0" w:color="auto"/>
              <w:right w:val="dashed" w:sz="4" w:space="0" w:color="auto"/>
            </w:tcBorders>
            <w:shd w:val="clear" w:color="auto" w:fill="auto"/>
            <w:noWrap/>
            <w:vAlign w:val="center"/>
            <w:hideMark/>
          </w:tcPr>
          <w:p w14:paraId="4454FFFF"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2026</w:t>
            </w:r>
          </w:p>
        </w:tc>
        <w:tc>
          <w:tcPr>
            <w:tcW w:w="1094" w:type="dxa"/>
            <w:tcBorders>
              <w:top w:val="double" w:sz="6" w:space="0" w:color="auto"/>
              <w:left w:val="nil"/>
              <w:bottom w:val="double" w:sz="6" w:space="0" w:color="auto"/>
              <w:right w:val="double" w:sz="6" w:space="0" w:color="auto"/>
            </w:tcBorders>
            <w:shd w:val="clear" w:color="auto" w:fill="auto"/>
            <w:noWrap/>
            <w:vAlign w:val="center"/>
            <w:hideMark/>
          </w:tcPr>
          <w:p w14:paraId="0BEDAA30"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2027</w:t>
            </w:r>
          </w:p>
        </w:tc>
      </w:tr>
      <w:tr w:rsidR="00F13531" w:rsidRPr="00F13531" w14:paraId="50319C02" w14:textId="77777777" w:rsidTr="00F13531">
        <w:trPr>
          <w:trHeight w:val="1355"/>
        </w:trPr>
        <w:tc>
          <w:tcPr>
            <w:tcW w:w="5236" w:type="dxa"/>
            <w:tcBorders>
              <w:top w:val="single" w:sz="8" w:space="0" w:color="auto"/>
              <w:left w:val="double" w:sz="6" w:space="0" w:color="auto"/>
              <w:bottom w:val="nil"/>
              <w:right w:val="nil"/>
            </w:tcBorders>
            <w:shd w:val="clear" w:color="auto" w:fill="auto"/>
            <w:vAlign w:val="center"/>
            <w:hideMark/>
          </w:tcPr>
          <w:p w14:paraId="10E23F39" w14:textId="77777777" w:rsidR="00F13531" w:rsidRPr="00F13531" w:rsidRDefault="00F13531" w:rsidP="00F13531">
            <w:pPr>
              <w:spacing w:after="0"/>
              <w:jc w:val="center"/>
              <w:rPr>
                <w:rFonts w:eastAsia="Times New Roman" w:cs="Times New Roman"/>
                <w:b/>
                <w:bCs/>
                <w:sz w:val="20"/>
                <w:szCs w:val="20"/>
              </w:rPr>
            </w:pPr>
            <w:r w:rsidRPr="00F13531">
              <w:rPr>
                <w:rFonts w:eastAsia="Times New Roman" w:cs="Times New Roman"/>
                <w:b/>
                <w:bCs/>
                <w:sz w:val="20"/>
                <w:szCs w:val="20"/>
              </w:rPr>
              <w:t>Measures</w:t>
            </w:r>
          </w:p>
        </w:tc>
        <w:tc>
          <w:tcPr>
            <w:tcW w:w="1310" w:type="dxa"/>
            <w:tcBorders>
              <w:top w:val="single" w:sz="8" w:space="0" w:color="auto"/>
              <w:left w:val="single" w:sz="4" w:space="0" w:color="auto"/>
              <w:bottom w:val="nil"/>
              <w:right w:val="single" w:sz="4" w:space="0" w:color="auto"/>
            </w:tcBorders>
            <w:shd w:val="clear" w:color="auto" w:fill="auto"/>
            <w:vAlign w:val="center"/>
            <w:hideMark/>
          </w:tcPr>
          <w:p w14:paraId="52A033D7" w14:textId="77777777" w:rsidR="00F13531" w:rsidRPr="00F13531" w:rsidRDefault="00F13531" w:rsidP="00F13531">
            <w:pPr>
              <w:spacing w:after="0"/>
              <w:jc w:val="center"/>
              <w:rPr>
                <w:rFonts w:eastAsia="Times New Roman" w:cs="Times New Roman"/>
                <w:b/>
                <w:bCs/>
                <w:sz w:val="20"/>
                <w:szCs w:val="20"/>
              </w:rPr>
            </w:pPr>
            <w:r w:rsidRPr="00F13531">
              <w:rPr>
                <w:rFonts w:eastAsia="Times New Roman" w:cs="Times New Roman"/>
                <w:b/>
                <w:bCs/>
                <w:sz w:val="20"/>
                <w:szCs w:val="20"/>
              </w:rPr>
              <w:t>ESA Code (Expenditure / Revenue component)</w:t>
            </w:r>
          </w:p>
        </w:tc>
        <w:tc>
          <w:tcPr>
            <w:tcW w:w="1364" w:type="dxa"/>
            <w:tcBorders>
              <w:top w:val="single" w:sz="8" w:space="0" w:color="auto"/>
              <w:left w:val="nil"/>
              <w:bottom w:val="nil"/>
              <w:right w:val="single" w:sz="8" w:space="0" w:color="auto"/>
            </w:tcBorders>
            <w:shd w:val="clear" w:color="auto" w:fill="auto"/>
            <w:vAlign w:val="center"/>
            <w:hideMark/>
          </w:tcPr>
          <w:p w14:paraId="66F1998B" w14:textId="77777777" w:rsidR="00F13531" w:rsidRPr="00F13531" w:rsidRDefault="00F13531" w:rsidP="00F13531">
            <w:pPr>
              <w:spacing w:after="0"/>
              <w:jc w:val="center"/>
              <w:rPr>
                <w:rFonts w:eastAsia="Times New Roman" w:cs="Times New Roman"/>
                <w:b/>
                <w:bCs/>
                <w:sz w:val="20"/>
                <w:szCs w:val="20"/>
              </w:rPr>
            </w:pPr>
            <w:r w:rsidRPr="00F13531">
              <w:rPr>
                <w:rFonts w:eastAsia="Times New Roman" w:cs="Times New Roman"/>
                <w:b/>
                <w:bCs/>
                <w:sz w:val="20"/>
                <w:szCs w:val="20"/>
              </w:rPr>
              <w:t xml:space="preserve">Date of adoption </w:t>
            </w:r>
            <w:r w:rsidRPr="00F13531">
              <w:rPr>
                <w:rFonts w:eastAsia="Times New Roman" w:cs="Times New Roman"/>
                <w:b/>
                <w:bCs/>
                <w:sz w:val="20"/>
                <w:szCs w:val="20"/>
              </w:rPr>
              <w:br/>
              <w:t>(yyyy-mm)</w:t>
            </w:r>
          </w:p>
        </w:tc>
        <w:tc>
          <w:tcPr>
            <w:tcW w:w="7649" w:type="dxa"/>
            <w:gridSpan w:val="6"/>
            <w:tcBorders>
              <w:top w:val="double" w:sz="6" w:space="0" w:color="auto"/>
              <w:left w:val="single" w:sz="8" w:space="0" w:color="auto"/>
              <w:bottom w:val="single" w:sz="8" w:space="0" w:color="auto"/>
              <w:right w:val="double" w:sz="6" w:space="0" w:color="000000"/>
            </w:tcBorders>
            <w:shd w:val="clear" w:color="auto" w:fill="auto"/>
            <w:vAlign w:val="center"/>
            <w:hideMark/>
          </w:tcPr>
          <w:p w14:paraId="5D9C4C8D" w14:textId="77777777" w:rsidR="00F13531" w:rsidRPr="00F13531" w:rsidRDefault="00F13531" w:rsidP="00F13531">
            <w:pPr>
              <w:spacing w:after="0"/>
              <w:jc w:val="center"/>
              <w:rPr>
                <w:rFonts w:eastAsia="Times New Roman" w:cs="Times New Roman"/>
                <w:b/>
                <w:bCs/>
                <w:sz w:val="20"/>
                <w:szCs w:val="20"/>
              </w:rPr>
            </w:pPr>
            <w:r w:rsidRPr="00F13531">
              <w:rPr>
                <w:rFonts w:eastAsia="Times New Roman" w:cs="Times New Roman"/>
                <w:b/>
                <w:bCs/>
                <w:sz w:val="20"/>
                <w:szCs w:val="20"/>
              </w:rPr>
              <w:t xml:space="preserve">Budgetary impact </w:t>
            </w:r>
            <w:r w:rsidRPr="00F13531">
              <w:rPr>
                <w:rFonts w:eastAsia="Times New Roman" w:cs="Times New Roman"/>
                <w:sz w:val="20"/>
                <w:szCs w:val="20"/>
              </w:rPr>
              <w:t>(bn NCU)</w:t>
            </w:r>
          </w:p>
        </w:tc>
      </w:tr>
      <w:tr w:rsidR="00F13531" w:rsidRPr="00F13531" w14:paraId="1367B316" w14:textId="77777777" w:rsidTr="00F13531">
        <w:trPr>
          <w:trHeight w:val="297"/>
        </w:trPr>
        <w:tc>
          <w:tcPr>
            <w:tcW w:w="5236" w:type="dxa"/>
            <w:tcBorders>
              <w:top w:val="single" w:sz="8" w:space="0" w:color="auto"/>
              <w:left w:val="double" w:sz="6" w:space="0" w:color="auto"/>
              <w:bottom w:val="single" w:sz="4" w:space="0" w:color="auto"/>
              <w:right w:val="single" w:sz="4" w:space="0" w:color="auto"/>
            </w:tcBorders>
            <w:shd w:val="clear" w:color="auto" w:fill="auto"/>
            <w:vAlign w:val="center"/>
            <w:hideMark/>
          </w:tcPr>
          <w:p w14:paraId="1A3AC9F4"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i/>
                <w:iCs/>
                <w:sz w:val="20"/>
                <w:szCs w:val="20"/>
              </w:rPr>
              <w:t>Temporary</w:t>
            </w:r>
            <w:r w:rsidRPr="00F13531">
              <w:rPr>
                <w:rFonts w:eastAsia="Times New Roman" w:cs="Times New Roman"/>
                <w:sz w:val="20"/>
                <w:szCs w:val="20"/>
              </w:rPr>
              <w:t xml:space="preserve"> measures</w:t>
            </w:r>
            <w:r w:rsidRPr="00F13531">
              <w:rPr>
                <w:rFonts w:eastAsia="Times New Roman" w:cs="Times New Roman"/>
                <w:sz w:val="20"/>
                <w:szCs w:val="20"/>
                <w:vertAlign w:val="superscript"/>
              </w:rPr>
              <w:t>1</w:t>
            </w:r>
          </w:p>
        </w:tc>
        <w:tc>
          <w:tcPr>
            <w:tcW w:w="1310" w:type="dxa"/>
            <w:tcBorders>
              <w:top w:val="single" w:sz="8" w:space="0" w:color="auto"/>
              <w:left w:val="nil"/>
              <w:bottom w:val="single" w:sz="4" w:space="0" w:color="auto"/>
              <w:right w:val="single" w:sz="4" w:space="0" w:color="auto"/>
            </w:tcBorders>
            <w:shd w:val="clear" w:color="auto" w:fill="auto"/>
            <w:noWrap/>
            <w:vAlign w:val="center"/>
            <w:hideMark/>
          </w:tcPr>
          <w:p w14:paraId="5C624538"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64" w:type="dxa"/>
            <w:tcBorders>
              <w:top w:val="single" w:sz="8" w:space="0" w:color="auto"/>
              <w:left w:val="nil"/>
              <w:bottom w:val="single" w:sz="4" w:space="0" w:color="auto"/>
              <w:right w:val="single" w:sz="8" w:space="0" w:color="auto"/>
            </w:tcBorders>
            <w:shd w:val="clear" w:color="auto" w:fill="auto"/>
            <w:noWrap/>
            <w:vAlign w:val="center"/>
            <w:hideMark/>
          </w:tcPr>
          <w:p w14:paraId="41065C4C"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256" w:type="dxa"/>
            <w:tcBorders>
              <w:top w:val="single" w:sz="8" w:space="0" w:color="auto"/>
              <w:left w:val="nil"/>
              <w:bottom w:val="single" w:sz="4" w:space="0" w:color="auto"/>
              <w:right w:val="single" w:sz="4" w:space="0" w:color="auto"/>
            </w:tcBorders>
            <w:shd w:val="clear" w:color="auto" w:fill="auto"/>
            <w:noWrap/>
            <w:vAlign w:val="center"/>
            <w:hideMark/>
          </w:tcPr>
          <w:p w14:paraId="2C0F991E"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single" w:sz="8" w:space="0" w:color="auto"/>
              <w:left w:val="nil"/>
              <w:bottom w:val="single" w:sz="4" w:space="0" w:color="auto"/>
              <w:right w:val="single" w:sz="4" w:space="0" w:color="auto"/>
            </w:tcBorders>
            <w:shd w:val="clear" w:color="auto" w:fill="auto"/>
            <w:noWrap/>
            <w:vAlign w:val="center"/>
            <w:hideMark/>
          </w:tcPr>
          <w:p w14:paraId="6D71CEA4"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single" w:sz="8" w:space="0" w:color="auto"/>
              <w:left w:val="nil"/>
              <w:bottom w:val="single" w:sz="4" w:space="0" w:color="auto"/>
              <w:right w:val="nil"/>
            </w:tcBorders>
            <w:shd w:val="clear" w:color="auto" w:fill="auto"/>
            <w:noWrap/>
            <w:vAlign w:val="center"/>
            <w:hideMark/>
          </w:tcPr>
          <w:p w14:paraId="4211530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single" w:sz="8" w:space="0" w:color="auto"/>
              <w:left w:val="single" w:sz="4" w:space="0" w:color="auto"/>
              <w:bottom w:val="single" w:sz="4" w:space="0" w:color="auto"/>
              <w:right w:val="nil"/>
            </w:tcBorders>
            <w:shd w:val="clear" w:color="auto" w:fill="auto"/>
            <w:noWrap/>
            <w:vAlign w:val="center"/>
            <w:hideMark/>
          </w:tcPr>
          <w:p w14:paraId="2DAA16B8"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single" w:sz="8" w:space="0" w:color="auto"/>
              <w:left w:val="single" w:sz="4" w:space="0" w:color="auto"/>
              <w:bottom w:val="single" w:sz="4" w:space="0" w:color="auto"/>
              <w:right w:val="nil"/>
            </w:tcBorders>
            <w:shd w:val="clear" w:color="auto" w:fill="auto"/>
            <w:noWrap/>
            <w:vAlign w:val="center"/>
            <w:hideMark/>
          </w:tcPr>
          <w:p w14:paraId="71366403"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single" w:sz="8" w:space="0" w:color="auto"/>
              <w:left w:val="single" w:sz="4" w:space="0" w:color="auto"/>
              <w:bottom w:val="single" w:sz="4" w:space="0" w:color="auto"/>
              <w:right w:val="double" w:sz="6" w:space="0" w:color="auto"/>
            </w:tcBorders>
            <w:shd w:val="clear" w:color="auto" w:fill="auto"/>
            <w:noWrap/>
            <w:vAlign w:val="center"/>
            <w:hideMark/>
          </w:tcPr>
          <w:p w14:paraId="4EA7B8C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58E7FE8D" w14:textId="77777777" w:rsidTr="00F13531">
        <w:trPr>
          <w:trHeight w:val="76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0C4E06D9"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Assistance to pensioners</w:t>
            </w:r>
          </w:p>
        </w:tc>
        <w:tc>
          <w:tcPr>
            <w:tcW w:w="1310" w:type="dxa"/>
            <w:tcBorders>
              <w:top w:val="nil"/>
              <w:left w:val="nil"/>
              <w:bottom w:val="dotted" w:sz="4" w:space="0" w:color="auto"/>
              <w:right w:val="single" w:sz="4" w:space="0" w:color="auto"/>
            </w:tcBorders>
            <w:shd w:val="clear" w:color="auto" w:fill="auto"/>
            <w:noWrap/>
            <w:vAlign w:val="center"/>
            <w:hideMark/>
          </w:tcPr>
          <w:p w14:paraId="28695A9F"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D62</w:t>
            </w:r>
          </w:p>
        </w:tc>
        <w:tc>
          <w:tcPr>
            <w:tcW w:w="1364" w:type="dxa"/>
            <w:tcBorders>
              <w:top w:val="nil"/>
              <w:left w:val="single" w:sz="4" w:space="0" w:color="auto"/>
              <w:bottom w:val="dotted" w:sz="4" w:space="0" w:color="auto"/>
              <w:right w:val="single" w:sz="8" w:space="0" w:color="auto"/>
            </w:tcBorders>
            <w:shd w:val="clear" w:color="auto" w:fill="auto"/>
            <w:vAlign w:val="center"/>
            <w:hideMark/>
          </w:tcPr>
          <w:p w14:paraId="6CC64A8B"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2020-04;2021-04;2021-11;2023-09</w:t>
            </w:r>
          </w:p>
        </w:tc>
        <w:tc>
          <w:tcPr>
            <w:tcW w:w="1256" w:type="dxa"/>
            <w:tcBorders>
              <w:top w:val="nil"/>
              <w:left w:val="single" w:sz="4" w:space="0" w:color="auto"/>
              <w:bottom w:val="dotted" w:sz="4" w:space="0" w:color="auto"/>
              <w:right w:val="nil"/>
            </w:tcBorders>
            <w:shd w:val="clear" w:color="auto" w:fill="auto"/>
            <w:noWrap/>
            <w:vAlign w:val="center"/>
            <w:hideMark/>
          </w:tcPr>
          <w:p w14:paraId="0E26ACF6"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-33,6</w:t>
            </w:r>
          </w:p>
        </w:tc>
        <w:tc>
          <w:tcPr>
            <w:tcW w:w="1310" w:type="dxa"/>
            <w:tcBorders>
              <w:top w:val="nil"/>
              <w:left w:val="single" w:sz="4" w:space="0" w:color="auto"/>
              <w:bottom w:val="dotted" w:sz="4" w:space="0" w:color="auto"/>
              <w:right w:val="nil"/>
            </w:tcBorders>
            <w:shd w:val="clear" w:color="auto" w:fill="auto"/>
            <w:noWrap/>
            <w:vAlign w:val="center"/>
            <w:hideMark/>
          </w:tcPr>
          <w:p w14:paraId="7CC61395"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-33,6</w:t>
            </w:r>
          </w:p>
        </w:tc>
        <w:tc>
          <w:tcPr>
            <w:tcW w:w="1328" w:type="dxa"/>
            <w:tcBorders>
              <w:top w:val="nil"/>
              <w:left w:val="single" w:sz="4" w:space="0" w:color="auto"/>
              <w:bottom w:val="dotted" w:sz="4" w:space="0" w:color="auto"/>
              <w:right w:val="nil"/>
            </w:tcBorders>
            <w:shd w:val="clear" w:color="auto" w:fill="auto"/>
            <w:noWrap/>
            <w:vAlign w:val="center"/>
            <w:hideMark/>
          </w:tcPr>
          <w:p w14:paraId="55EA4080"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16B954A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5EF06E1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48BB6A40"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2223701A"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571D573D"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Assistance to unemployed</w:t>
            </w:r>
          </w:p>
        </w:tc>
        <w:tc>
          <w:tcPr>
            <w:tcW w:w="1310" w:type="dxa"/>
            <w:tcBorders>
              <w:top w:val="nil"/>
              <w:left w:val="nil"/>
              <w:bottom w:val="dotted" w:sz="4" w:space="0" w:color="auto"/>
              <w:right w:val="single" w:sz="4" w:space="0" w:color="auto"/>
            </w:tcBorders>
            <w:shd w:val="clear" w:color="auto" w:fill="auto"/>
            <w:noWrap/>
            <w:vAlign w:val="center"/>
            <w:hideMark/>
          </w:tcPr>
          <w:p w14:paraId="1BA8AE35"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D62</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312FE213"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2021-04</w:t>
            </w:r>
          </w:p>
        </w:tc>
        <w:tc>
          <w:tcPr>
            <w:tcW w:w="1256" w:type="dxa"/>
            <w:tcBorders>
              <w:top w:val="nil"/>
              <w:left w:val="single" w:sz="4" w:space="0" w:color="auto"/>
              <w:bottom w:val="dotted" w:sz="4" w:space="0" w:color="auto"/>
              <w:right w:val="nil"/>
            </w:tcBorders>
            <w:shd w:val="clear" w:color="auto" w:fill="auto"/>
            <w:noWrap/>
            <w:vAlign w:val="center"/>
            <w:hideMark/>
          </w:tcPr>
          <w:p w14:paraId="1500BCEF"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nil"/>
              <w:left w:val="single" w:sz="4" w:space="0" w:color="auto"/>
              <w:bottom w:val="dotted" w:sz="4" w:space="0" w:color="auto"/>
              <w:right w:val="nil"/>
            </w:tcBorders>
            <w:shd w:val="clear" w:color="auto" w:fill="auto"/>
            <w:noWrap/>
            <w:vAlign w:val="center"/>
            <w:hideMark/>
          </w:tcPr>
          <w:p w14:paraId="585CE1FB"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7E564D1F"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4FD99087"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688A6508"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2052C384"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1B1F1242" w14:textId="77777777" w:rsidTr="00F13531">
        <w:trPr>
          <w:trHeight w:val="511"/>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4490646B"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Assistance to young people</w:t>
            </w:r>
          </w:p>
        </w:tc>
        <w:tc>
          <w:tcPr>
            <w:tcW w:w="1310" w:type="dxa"/>
            <w:tcBorders>
              <w:top w:val="nil"/>
              <w:left w:val="nil"/>
              <w:bottom w:val="dotted" w:sz="4" w:space="0" w:color="auto"/>
              <w:right w:val="single" w:sz="4" w:space="0" w:color="auto"/>
            </w:tcBorders>
            <w:shd w:val="clear" w:color="auto" w:fill="auto"/>
            <w:noWrap/>
            <w:vAlign w:val="center"/>
            <w:hideMark/>
          </w:tcPr>
          <w:p w14:paraId="726947F1"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D7</w:t>
            </w:r>
          </w:p>
        </w:tc>
        <w:tc>
          <w:tcPr>
            <w:tcW w:w="1364" w:type="dxa"/>
            <w:tcBorders>
              <w:top w:val="nil"/>
              <w:left w:val="single" w:sz="4" w:space="0" w:color="auto"/>
              <w:bottom w:val="dotted" w:sz="4" w:space="0" w:color="auto"/>
              <w:right w:val="single" w:sz="8" w:space="0" w:color="auto"/>
            </w:tcBorders>
            <w:shd w:val="clear" w:color="auto" w:fill="auto"/>
            <w:vAlign w:val="center"/>
            <w:hideMark/>
          </w:tcPr>
          <w:p w14:paraId="4BF9D80B"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2022-02;2022-06;2022-12</w:t>
            </w:r>
          </w:p>
        </w:tc>
        <w:tc>
          <w:tcPr>
            <w:tcW w:w="1256" w:type="dxa"/>
            <w:tcBorders>
              <w:top w:val="nil"/>
              <w:left w:val="single" w:sz="4" w:space="0" w:color="auto"/>
              <w:bottom w:val="dotted" w:sz="4" w:space="0" w:color="auto"/>
              <w:right w:val="nil"/>
            </w:tcBorders>
            <w:shd w:val="clear" w:color="auto" w:fill="auto"/>
            <w:noWrap/>
            <w:vAlign w:val="center"/>
            <w:hideMark/>
          </w:tcPr>
          <w:p w14:paraId="4AE202A0"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-30,6</w:t>
            </w:r>
          </w:p>
        </w:tc>
        <w:tc>
          <w:tcPr>
            <w:tcW w:w="1310" w:type="dxa"/>
            <w:tcBorders>
              <w:top w:val="nil"/>
              <w:left w:val="single" w:sz="4" w:space="0" w:color="auto"/>
              <w:bottom w:val="dotted" w:sz="4" w:space="0" w:color="auto"/>
              <w:right w:val="nil"/>
            </w:tcBorders>
            <w:shd w:val="clear" w:color="auto" w:fill="auto"/>
            <w:noWrap/>
            <w:vAlign w:val="center"/>
            <w:hideMark/>
          </w:tcPr>
          <w:p w14:paraId="5B8B8BCA"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137EB228"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7E855FFA"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5DBFE38B"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258930BA"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602C4329"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120C3AC8"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Assistance to health, education and science workers in public sector</w:t>
            </w:r>
          </w:p>
        </w:tc>
        <w:tc>
          <w:tcPr>
            <w:tcW w:w="1310" w:type="dxa"/>
            <w:tcBorders>
              <w:top w:val="nil"/>
              <w:left w:val="nil"/>
              <w:bottom w:val="dotted" w:sz="4" w:space="0" w:color="auto"/>
              <w:right w:val="single" w:sz="4" w:space="0" w:color="auto"/>
            </w:tcBorders>
            <w:shd w:val="clear" w:color="auto" w:fill="auto"/>
            <w:noWrap/>
            <w:vAlign w:val="center"/>
            <w:hideMark/>
          </w:tcPr>
          <w:p w14:paraId="7A37C519"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D1</w:t>
            </w:r>
          </w:p>
        </w:tc>
        <w:tc>
          <w:tcPr>
            <w:tcW w:w="1364" w:type="dxa"/>
            <w:tcBorders>
              <w:top w:val="nil"/>
              <w:left w:val="single" w:sz="4" w:space="0" w:color="auto"/>
              <w:bottom w:val="dotted" w:sz="4" w:space="0" w:color="auto"/>
              <w:right w:val="single" w:sz="8" w:space="0" w:color="auto"/>
            </w:tcBorders>
            <w:shd w:val="clear" w:color="auto" w:fill="auto"/>
            <w:vAlign w:val="center"/>
            <w:hideMark/>
          </w:tcPr>
          <w:p w14:paraId="489143FF"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2022-01;2022-04</w:t>
            </w:r>
          </w:p>
        </w:tc>
        <w:tc>
          <w:tcPr>
            <w:tcW w:w="1256" w:type="dxa"/>
            <w:tcBorders>
              <w:top w:val="nil"/>
              <w:left w:val="single" w:sz="4" w:space="0" w:color="auto"/>
              <w:bottom w:val="dotted" w:sz="4" w:space="0" w:color="auto"/>
              <w:right w:val="nil"/>
            </w:tcBorders>
            <w:shd w:val="clear" w:color="auto" w:fill="auto"/>
            <w:noWrap/>
            <w:vAlign w:val="center"/>
            <w:hideMark/>
          </w:tcPr>
          <w:p w14:paraId="07EA677B"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-3,15</w:t>
            </w:r>
          </w:p>
        </w:tc>
        <w:tc>
          <w:tcPr>
            <w:tcW w:w="1310" w:type="dxa"/>
            <w:tcBorders>
              <w:top w:val="nil"/>
              <w:left w:val="single" w:sz="4" w:space="0" w:color="auto"/>
              <w:bottom w:val="dotted" w:sz="4" w:space="0" w:color="auto"/>
              <w:right w:val="nil"/>
            </w:tcBorders>
            <w:shd w:val="clear" w:color="auto" w:fill="auto"/>
            <w:noWrap/>
            <w:vAlign w:val="center"/>
            <w:hideMark/>
          </w:tcPr>
          <w:p w14:paraId="469084FE"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314ADDAA"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202690FC"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0294DF4E"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244758F4"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5030F1B2"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1D19676B"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Temporary reduction in oil excises</w:t>
            </w:r>
          </w:p>
        </w:tc>
        <w:tc>
          <w:tcPr>
            <w:tcW w:w="1310" w:type="dxa"/>
            <w:tcBorders>
              <w:top w:val="dotted" w:sz="4" w:space="0" w:color="auto"/>
              <w:left w:val="nil"/>
              <w:bottom w:val="dotted" w:sz="4" w:space="0" w:color="auto"/>
              <w:right w:val="single" w:sz="4" w:space="0" w:color="auto"/>
            </w:tcBorders>
            <w:shd w:val="clear" w:color="auto" w:fill="auto"/>
            <w:noWrap/>
            <w:vAlign w:val="center"/>
            <w:hideMark/>
          </w:tcPr>
          <w:p w14:paraId="72A14072"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D2</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2F3247AE"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2022-04</w:t>
            </w:r>
          </w:p>
        </w:tc>
        <w:tc>
          <w:tcPr>
            <w:tcW w:w="1256" w:type="dxa"/>
            <w:tcBorders>
              <w:top w:val="nil"/>
              <w:left w:val="single" w:sz="4" w:space="0" w:color="auto"/>
              <w:bottom w:val="dotted" w:sz="4" w:space="0" w:color="auto"/>
              <w:right w:val="nil"/>
            </w:tcBorders>
            <w:shd w:val="clear" w:color="auto" w:fill="auto"/>
            <w:noWrap/>
            <w:vAlign w:val="center"/>
            <w:hideMark/>
          </w:tcPr>
          <w:p w14:paraId="36F4B833"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-16</w:t>
            </w:r>
          </w:p>
        </w:tc>
        <w:tc>
          <w:tcPr>
            <w:tcW w:w="1310" w:type="dxa"/>
            <w:tcBorders>
              <w:top w:val="nil"/>
              <w:left w:val="single" w:sz="4" w:space="0" w:color="auto"/>
              <w:bottom w:val="dotted" w:sz="4" w:space="0" w:color="auto"/>
              <w:right w:val="nil"/>
            </w:tcBorders>
            <w:shd w:val="clear" w:color="auto" w:fill="auto"/>
            <w:noWrap/>
            <w:vAlign w:val="center"/>
            <w:hideMark/>
          </w:tcPr>
          <w:p w14:paraId="654B5C22"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-19</w:t>
            </w:r>
          </w:p>
        </w:tc>
        <w:tc>
          <w:tcPr>
            <w:tcW w:w="1328" w:type="dxa"/>
            <w:tcBorders>
              <w:top w:val="nil"/>
              <w:left w:val="single" w:sz="4" w:space="0" w:color="auto"/>
              <w:bottom w:val="dotted" w:sz="4" w:space="0" w:color="auto"/>
              <w:right w:val="nil"/>
            </w:tcBorders>
            <w:shd w:val="clear" w:color="auto" w:fill="auto"/>
            <w:noWrap/>
            <w:vAlign w:val="center"/>
            <w:hideMark/>
          </w:tcPr>
          <w:p w14:paraId="171A7BDD"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6E0E9C42"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418D7B0D"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6BB66AED"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4E167544"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00B50D37"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Energy sector subsidies</w:t>
            </w:r>
          </w:p>
        </w:tc>
        <w:tc>
          <w:tcPr>
            <w:tcW w:w="1310" w:type="dxa"/>
            <w:tcBorders>
              <w:top w:val="nil"/>
              <w:left w:val="nil"/>
              <w:bottom w:val="dotted" w:sz="4" w:space="0" w:color="auto"/>
              <w:right w:val="single" w:sz="4" w:space="0" w:color="auto"/>
            </w:tcBorders>
            <w:shd w:val="clear" w:color="auto" w:fill="auto"/>
            <w:noWrap/>
            <w:vAlign w:val="center"/>
            <w:hideMark/>
          </w:tcPr>
          <w:p w14:paraId="3CC89866"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D3</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768B5B57"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2022-11</w:t>
            </w:r>
          </w:p>
        </w:tc>
        <w:tc>
          <w:tcPr>
            <w:tcW w:w="1256" w:type="dxa"/>
            <w:tcBorders>
              <w:top w:val="nil"/>
              <w:left w:val="single" w:sz="4" w:space="0" w:color="auto"/>
              <w:bottom w:val="dotted" w:sz="4" w:space="0" w:color="auto"/>
              <w:right w:val="single" w:sz="4" w:space="0" w:color="auto"/>
            </w:tcBorders>
            <w:shd w:val="clear" w:color="auto" w:fill="auto"/>
            <w:noWrap/>
            <w:vAlign w:val="center"/>
            <w:hideMark/>
          </w:tcPr>
          <w:p w14:paraId="5B3C1F8D"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-189</w:t>
            </w:r>
          </w:p>
        </w:tc>
        <w:tc>
          <w:tcPr>
            <w:tcW w:w="1310" w:type="dxa"/>
            <w:tcBorders>
              <w:top w:val="nil"/>
              <w:left w:val="single" w:sz="4" w:space="0" w:color="auto"/>
              <w:bottom w:val="dotted" w:sz="4" w:space="0" w:color="auto"/>
              <w:right w:val="nil"/>
            </w:tcBorders>
            <w:shd w:val="clear" w:color="auto" w:fill="auto"/>
            <w:noWrap/>
            <w:vAlign w:val="center"/>
            <w:hideMark/>
          </w:tcPr>
          <w:p w14:paraId="2C93434F"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-43</w:t>
            </w:r>
          </w:p>
        </w:tc>
        <w:tc>
          <w:tcPr>
            <w:tcW w:w="1328" w:type="dxa"/>
            <w:tcBorders>
              <w:top w:val="nil"/>
              <w:left w:val="single" w:sz="4" w:space="0" w:color="auto"/>
              <w:bottom w:val="dotted" w:sz="4" w:space="0" w:color="auto"/>
              <w:right w:val="nil"/>
            </w:tcBorders>
            <w:shd w:val="clear" w:color="auto" w:fill="auto"/>
            <w:noWrap/>
            <w:vAlign w:val="center"/>
            <w:hideMark/>
          </w:tcPr>
          <w:p w14:paraId="2889F46F"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-16</w:t>
            </w:r>
          </w:p>
        </w:tc>
        <w:tc>
          <w:tcPr>
            <w:tcW w:w="1328" w:type="dxa"/>
            <w:tcBorders>
              <w:top w:val="nil"/>
              <w:left w:val="single" w:sz="4" w:space="0" w:color="auto"/>
              <w:bottom w:val="dotted" w:sz="4" w:space="0" w:color="auto"/>
              <w:right w:val="nil"/>
            </w:tcBorders>
            <w:shd w:val="clear" w:color="auto" w:fill="auto"/>
            <w:noWrap/>
            <w:vAlign w:val="center"/>
            <w:hideMark/>
          </w:tcPr>
          <w:p w14:paraId="4F730BC8"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0B97E01C"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5C7D4D97"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6131D957"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4E9DA29F"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Assistance to mothers</w:t>
            </w:r>
          </w:p>
        </w:tc>
        <w:tc>
          <w:tcPr>
            <w:tcW w:w="1310" w:type="dxa"/>
            <w:tcBorders>
              <w:top w:val="nil"/>
              <w:left w:val="nil"/>
              <w:bottom w:val="dotted" w:sz="4" w:space="0" w:color="auto"/>
              <w:right w:val="single" w:sz="4" w:space="0" w:color="auto"/>
            </w:tcBorders>
            <w:shd w:val="clear" w:color="auto" w:fill="auto"/>
            <w:noWrap/>
            <w:vAlign w:val="center"/>
            <w:hideMark/>
          </w:tcPr>
          <w:p w14:paraId="10747D57"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D7</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5FF92255"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2023-09</w:t>
            </w:r>
          </w:p>
        </w:tc>
        <w:tc>
          <w:tcPr>
            <w:tcW w:w="1256" w:type="dxa"/>
            <w:tcBorders>
              <w:top w:val="nil"/>
              <w:left w:val="single" w:sz="4" w:space="0" w:color="auto"/>
              <w:bottom w:val="dotted" w:sz="4" w:space="0" w:color="auto"/>
              <w:right w:val="single" w:sz="4" w:space="0" w:color="auto"/>
            </w:tcBorders>
            <w:shd w:val="clear" w:color="auto" w:fill="auto"/>
            <w:noWrap/>
            <w:vAlign w:val="center"/>
            <w:hideMark/>
          </w:tcPr>
          <w:p w14:paraId="73A70BC4"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nil"/>
              <w:left w:val="single" w:sz="4" w:space="0" w:color="auto"/>
              <w:bottom w:val="dotted" w:sz="4" w:space="0" w:color="auto"/>
              <w:right w:val="nil"/>
            </w:tcBorders>
            <w:shd w:val="clear" w:color="auto" w:fill="auto"/>
            <w:noWrap/>
            <w:vAlign w:val="center"/>
            <w:hideMark/>
          </w:tcPr>
          <w:p w14:paraId="6A7B45D4"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-12</w:t>
            </w:r>
          </w:p>
        </w:tc>
        <w:tc>
          <w:tcPr>
            <w:tcW w:w="1328" w:type="dxa"/>
            <w:tcBorders>
              <w:top w:val="nil"/>
              <w:left w:val="single" w:sz="4" w:space="0" w:color="auto"/>
              <w:bottom w:val="dotted" w:sz="4" w:space="0" w:color="auto"/>
              <w:right w:val="nil"/>
            </w:tcBorders>
            <w:shd w:val="clear" w:color="auto" w:fill="auto"/>
            <w:noWrap/>
            <w:vAlign w:val="center"/>
            <w:hideMark/>
          </w:tcPr>
          <w:p w14:paraId="1632B7F3"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32C7A844"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308EFB04"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784098C6"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756E3E84"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506BD0B8"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Assistance to social benefits users</w:t>
            </w:r>
          </w:p>
        </w:tc>
        <w:tc>
          <w:tcPr>
            <w:tcW w:w="1310" w:type="dxa"/>
            <w:tcBorders>
              <w:top w:val="nil"/>
              <w:left w:val="nil"/>
              <w:bottom w:val="dotted" w:sz="4" w:space="0" w:color="auto"/>
              <w:right w:val="single" w:sz="4" w:space="0" w:color="auto"/>
            </w:tcBorders>
            <w:shd w:val="clear" w:color="auto" w:fill="auto"/>
            <w:noWrap/>
            <w:vAlign w:val="center"/>
            <w:hideMark/>
          </w:tcPr>
          <w:p w14:paraId="5333152F"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D62</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69C08CF4"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2023-10</w:t>
            </w:r>
          </w:p>
        </w:tc>
        <w:tc>
          <w:tcPr>
            <w:tcW w:w="1256" w:type="dxa"/>
            <w:tcBorders>
              <w:top w:val="nil"/>
              <w:left w:val="single" w:sz="4" w:space="0" w:color="auto"/>
              <w:bottom w:val="dotted" w:sz="4" w:space="0" w:color="auto"/>
              <w:right w:val="single" w:sz="4" w:space="0" w:color="auto"/>
            </w:tcBorders>
            <w:shd w:val="clear" w:color="auto" w:fill="auto"/>
            <w:noWrap/>
            <w:vAlign w:val="center"/>
            <w:hideMark/>
          </w:tcPr>
          <w:p w14:paraId="1AEC6787"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nil"/>
              <w:left w:val="single" w:sz="4" w:space="0" w:color="auto"/>
              <w:bottom w:val="dotted" w:sz="4" w:space="0" w:color="auto"/>
              <w:right w:val="nil"/>
            </w:tcBorders>
            <w:shd w:val="clear" w:color="auto" w:fill="auto"/>
            <w:noWrap/>
            <w:vAlign w:val="center"/>
            <w:hideMark/>
          </w:tcPr>
          <w:p w14:paraId="7A4C5552" w14:textId="77777777" w:rsidR="00F13531" w:rsidRPr="00F13531" w:rsidRDefault="00F13531" w:rsidP="00F13531">
            <w:pPr>
              <w:spacing w:after="0"/>
              <w:jc w:val="right"/>
              <w:outlineLvl w:val="0"/>
              <w:rPr>
                <w:rFonts w:eastAsia="Times New Roman" w:cs="Times New Roman"/>
                <w:sz w:val="20"/>
                <w:szCs w:val="20"/>
              </w:rPr>
            </w:pPr>
            <w:r w:rsidRPr="00F13531">
              <w:rPr>
                <w:rFonts w:eastAsia="Times New Roman" w:cs="Times New Roman"/>
                <w:sz w:val="20"/>
                <w:szCs w:val="20"/>
              </w:rPr>
              <w:t>-2,5</w:t>
            </w:r>
          </w:p>
        </w:tc>
        <w:tc>
          <w:tcPr>
            <w:tcW w:w="1328" w:type="dxa"/>
            <w:tcBorders>
              <w:top w:val="nil"/>
              <w:left w:val="single" w:sz="4" w:space="0" w:color="auto"/>
              <w:bottom w:val="dotted" w:sz="4" w:space="0" w:color="auto"/>
              <w:right w:val="nil"/>
            </w:tcBorders>
            <w:shd w:val="clear" w:color="auto" w:fill="auto"/>
            <w:noWrap/>
            <w:vAlign w:val="center"/>
            <w:hideMark/>
          </w:tcPr>
          <w:p w14:paraId="5D721C3B"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7DB1DD92"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2B8E1796"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052B9E8D"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r>
      <w:tr w:rsidR="00F13531" w:rsidRPr="00F13531" w14:paraId="5F70E85D"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2161501B"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Increase in gross fixed capital formation spending</w:t>
            </w:r>
          </w:p>
        </w:tc>
        <w:tc>
          <w:tcPr>
            <w:tcW w:w="1310" w:type="dxa"/>
            <w:tcBorders>
              <w:top w:val="nil"/>
              <w:left w:val="nil"/>
              <w:bottom w:val="dotted" w:sz="4" w:space="0" w:color="auto"/>
              <w:right w:val="single" w:sz="4" w:space="0" w:color="auto"/>
            </w:tcBorders>
            <w:shd w:val="clear" w:color="auto" w:fill="auto"/>
            <w:noWrap/>
            <w:vAlign w:val="center"/>
            <w:hideMark/>
          </w:tcPr>
          <w:p w14:paraId="2D4AE2EB"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P51</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2CF0134F"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2024-12</w:t>
            </w:r>
          </w:p>
        </w:tc>
        <w:tc>
          <w:tcPr>
            <w:tcW w:w="1256" w:type="dxa"/>
            <w:tcBorders>
              <w:top w:val="nil"/>
              <w:left w:val="single" w:sz="4" w:space="0" w:color="auto"/>
              <w:bottom w:val="nil"/>
              <w:right w:val="single" w:sz="4" w:space="0" w:color="auto"/>
            </w:tcBorders>
            <w:shd w:val="clear" w:color="auto" w:fill="auto"/>
            <w:noWrap/>
            <w:vAlign w:val="center"/>
            <w:hideMark/>
          </w:tcPr>
          <w:p w14:paraId="1121918C"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nil"/>
              <w:right w:val="nil"/>
            </w:tcBorders>
            <w:shd w:val="clear" w:color="auto" w:fill="auto"/>
            <w:noWrap/>
            <w:vAlign w:val="center"/>
            <w:hideMark/>
          </w:tcPr>
          <w:p w14:paraId="4FD96526"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nil"/>
              <w:right w:val="nil"/>
            </w:tcBorders>
            <w:shd w:val="clear" w:color="auto" w:fill="auto"/>
            <w:noWrap/>
            <w:vAlign w:val="center"/>
            <w:hideMark/>
          </w:tcPr>
          <w:p w14:paraId="620A52F8" w14:textId="77777777" w:rsidR="00F13531" w:rsidRPr="00F13531" w:rsidRDefault="00F13531" w:rsidP="00F13531">
            <w:pPr>
              <w:spacing w:after="0"/>
              <w:jc w:val="right"/>
              <w:outlineLvl w:val="0"/>
              <w:rPr>
                <w:rFonts w:eastAsia="Times New Roman" w:cs="Times New Roman"/>
                <w:sz w:val="20"/>
                <w:szCs w:val="20"/>
              </w:rPr>
            </w:pPr>
            <w:r w:rsidRPr="00F13531">
              <w:rPr>
                <w:rFonts w:eastAsia="Times New Roman" w:cs="Times New Roman"/>
                <w:sz w:val="20"/>
                <w:szCs w:val="20"/>
              </w:rPr>
              <w:t>-49</w:t>
            </w:r>
          </w:p>
        </w:tc>
        <w:tc>
          <w:tcPr>
            <w:tcW w:w="1328" w:type="dxa"/>
            <w:tcBorders>
              <w:top w:val="nil"/>
              <w:left w:val="single" w:sz="4" w:space="0" w:color="auto"/>
              <w:bottom w:val="dotted" w:sz="4" w:space="0" w:color="auto"/>
              <w:right w:val="nil"/>
            </w:tcBorders>
            <w:shd w:val="clear" w:color="auto" w:fill="auto"/>
            <w:noWrap/>
            <w:vAlign w:val="center"/>
            <w:hideMark/>
          </w:tcPr>
          <w:p w14:paraId="411DF113" w14:textId="77777777" w:rsidR="00F13531" w:rsidRPr="00F13531" w:rsidRDefault="00F13531" w:rsidP="00F13531">
            <w:pPr>
              <w:spacing w:after="0"/>
              <w:jc w:val="right"/>
              <w:outlineLvl w:val="0"/>
              <w:rPr>
                <w:rFonts w:eastAsia="Times New Roman" w:cs="Times New Roman"/>
                <w:sz w:val="20"/>
                <w:szCs w:val="20"/>
              </w:rPr>
            </w:pPr>
            <w:r w:rsidRPr="00F13531">
              <w:rPr>
                <w:rFonts w:eastAsia="Times New Roman" w:cs="Times New Roman"/>
                <w:sz w:val="20"/>
                <w:szCs w:val="20"/>
              </w:rPr>
              <w:t>-72</w:t>
            </w:r>
          </w:p>
        </w:tc>
        <w:tc>
          <w:tcPr>
            <w:tcW w:w="1328" w:type="dxa"/>
            <w:tcBorders>
              <w:top w:val="nil"/>
              <w:left w:val="single" w:sz="4" w:space="0" w:color="auto"/>
              <w:bottom w:val="dotted" w:sz="4" w:space="0" w:color="auto"/>
              <w:right w:val="nil"/>
            </w:tcBorders>
            <w:shd w:val="clear" w:color="auto" w:fill="auto"/>
            <w:noWrap/>
            <w:vAlign w:val="center"/>
            <w:hideMark/>
          </w:tcPr>
          <w:p w14:paraId="34B63ED8" w14:textId="77777777" w:rsidR="00F13531" w:rsidRPr="00F13531" w:rsidRDefault="00F13531" w:rsidP="00F13531">
            <w:pPr>
              <w:spacing w:after="0"/>
              <w:jc w:val="right"/>
              <w:outlineLvl w:val="0"/>
              <w:rPr>
                <w:rFonts w:eastAsia="Times New Roman" w:cs="Times New Roman"/>
                <w:sz w:val="20"/>
                <w:szCs w:val="20"/>
              </w:rPr>
            </w:pPr>
            <w:r w:rsidRPr="00F13531">
              <w:rPr>
                <w:rFonts w:eastAsia="Times New Roman" w:cs="Times New Roman"/>
                <w:sz w:val="20"/>
                <w:szCs w:val="20"/>
              </w:rPr>
              <w:t>-144</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4E95AF3F" w14:textId="77777777" w:rsidR="00F13531" w:rsidRPr="00F13531" w:rsidRDefault="00F13531" w:rsidP="00F13531">
            <w:pPr>
              <w:spacing w:after="0"/>
              <w:jc w:val="right"/>
              <w:outlineLvl w:val="0"/>
              <w:rPr>
                <w:rFonts w:eastAsia="Times New Roman" w:cs="Times New Roman"/>
                <w:sz w:val="20"/>
                <w:szCs w:val="20"/>
              </w:rPr>
            </w:pPr>
            <w:r w:rsidRPr="00F13531">
              <w:rPr>
                <w:rFonts w:eastAsia="Times New Roman" w:cs="Times New Roman"/>
                <w:sz w:val="20"/>
                <w:szCs w:val="20"/>
              </w:rPr>
              <w:t>-180</w:t>
            </w:r>
          </w:p>
        </w:tc>
      </w:tr>
      <w:tr w:rsidR="00F13531" w:rsidRPr="00F13531" w14:paraId="7F5128FF" w14:textId="77777777" w:rsidTr="00F13531">
        <w:trPr>
          <w:trHeight w:val="287"/>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098F27E2"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dotted" w:sz="4" w:space="0" w:color="auto"/>
              <w:left w:val="nil"/>
              <w:bottom w:val="dotted" w:sz="4" w:space="0" w:color="auto"/>
              <w:right w:val="single" w:sz="4" w:space="0" w:color="auto"/>
            </w:tcBorders>
            <w:shd w:val="clear" w:color="auto" w:fill="auto"/>
            <w:noWrap/>
            <w:vAlign w:val="center"/>
            <w:hideMark/>
          </w:tcPr>
          <w:p w14:paraId="53F9B263"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2D3D5D07"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 </w:t>
            </w:r>
          </w:p>
        </w:tc>
        <w:tc>
          <w:tcPr>
            <w:tcW w:w="1256" w:type="dxa"/>
            <w:tcBorders>
              <w:top w:val="dotted" w:sz="4" w:space="0" w:color="auto"/>
              <w:left w:val="nil"/>
              <w:bottom w:val="nil"/>
              <w:right w:val="single" w:sz="4" w:space="0" w:color="auto"/>
            </w:tcBorders>
            <w:shd w:val="clear" w:color="auto" w:fill="auto"/>
            <w:noWrap/>
            <w:vAlign w:val="center"/>
            <w:hideMark/>
          </w:tcPr>
          <w:p w14:paraId="26269FF3"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dotted" w:sz="4" w:space="0" w:color="auto"/>
              <w:left w:val="single" w:sz="4" w:space="0" w:color="auto"/>
              <w:bottom w:val="nil"/>
              <w:right w:val="single" w:sz="4" w:space="0" w:color="auto"/>
            </w:tcBorders>
            <w:shd w:val="clear" w:color="auto" w:fill="auto"/>
            <w:noWrap/>
            <w:vAlign w:val="center"/>
            <w:hideMark/>
          </w:tcPr>
          <w:p w14:paraId="32D2EEEA"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dotted" w:sz="4" w:space="0" w:color="auto"/>
              <w:left w:val="nil"/>
              <w:bottom w:val="nil"/>
              <w:right w:val="nil"/>
            </w:tcBorders>
            <w:shd w:val="clear" w:color="auto" w:fill="auto"/>
            <w:noWrap/>
            <w:vAlign w:val="center"/>
            <w:hideMark/>
          </w:tcPr>
          <w:p w14:paraId="61246557"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4C50AEBE"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4E4C9DB1"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6C4A7401"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r>
      <w:tr w:rsidR="00F13531" w:rsidRPr="00F13531" w14:paraId="4E3772D5"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679EA85C"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4CADB6A6"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3F44E75B"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 </w:t>
            </w:r>
          </w:p>
        </w:tc>
        <w:tc>
          <w:tcPr>
            <w:tcW w:w="1256" w:type="dxa"/>
            <w:tcBorders>
              <w:top w:val="dotted" w:sz="4" w:space="0" w:color="auto"/>
              <w:left w:val="single" w:sz="4" w:space="0" w:color="auto"/>
              <w:bottom w:val="nil"/>
              <w:right w:val="single" w:sz="4" w:space="0" w:color="auto"/>
            </w:tcBorders>
            <w:shd w:val="clear" w:color="auto" w:fill="auto"/>
            <w:noWrap/>
            <w:vAlign w:val="center"/>
            <w:hideMark/>
          </w:tcPr>
          <w:p w14:paraId="516C5ADC"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dotted" w:sz="4" w:space="0" w:color="auto"/>
              <w:left w:val="nil"/>
              <w:bottom w:val="nil"/>
              <w:right w:val="nil"/>
            </w:tcBorders>
            <w:shd w:val="clear" w:color="auto" w:fill="auto"/>
            <w:noWrap/>
            <w:vAlign w:val="center"/>
            <w:hideMark/>
          </w:tcPr>
          <w:p w14:paraId="44E68ABB"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dotted" w:sz="4" w:space="0" w:color="auto"/>
              <w:left w:val="single" w:sz="4" w:space="0" w:color="auto"/>
              <w:bottom w:val="nil"/>
              <w:right w:val="nil"/>
            </w:tcBorders>
            <w:shd w:val="clear" w:color="auto" w:fill="auto"/>
            <w:noWrap/>
            <w:vAlign w:val="center"/>
            <w:hideMark/>
          </w:tcPr>
          <w:p w14:paraId="5B64F57C"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4B2A6FD0"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36104944"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29D79337"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r>
      <w:tr w:rsidR="00F13531" w:rsidRPr="00F13531" w14:paraId="096003FE" w14:textId="77777777" w:rsidTr="00F13531">
        <w:trPr>
          <w:trHeight w:val="315"/>
        </w:trPr>
        <w:tc>
          <w:tcPr>
            <w:tcW w:w="5236" w:type="dxa"/>
            <w:tcBorders>
              <w:top w:val="nil"/>
              <w:left w:val="double" w:sz="6" w:space="0" w:color="auto"/>
              <w:bottom w:val="single" w:sz="8" w:space="0" w:color="auto"/>
              <w:right w:val="single" w:sz="4" w:space="0" w:color="auto"/>
            </w:tcBorders>
            <w:shd w:val="clear" w:color="auto" w:fill="auto"/>
            <w:vAlign w:val="center"/>
            <w:hideMark/>
          </w:tcPr>
          <w:p w14:paraId="403D24A7"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dotted" w:sz="4" w:space="0" w:color="auto"/>
              <w:left w:val="single" w:sz="4" w:space="0" w:color="auto"/>
              <w:bottom w:val="nil"/>
              <w:right w:val="single" w:sz="4" w:space="0" w:color="auto"/>
            </w:tcBorders>
            <w:shd w:val="clear" w:color="auto" w:fill="auto"/>
            <w:noWrap/>
            <w:vAlign w:val="center"/>
            <w:hideMark/>
          </w:tcPr>
          <w:p w14:paraId="04B3FB41"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64" w:type="dxa"/>
            <w:tcBorders>
              <w:top w:val="nil"/>
              <w:left w:val="nil"/>
              <w:bottom w:val="nil"/>
              <w:right w:val="single" w:sz="8" w:space="0" w:color="auto"/>
            </w:tcBorders>
            <w:shd w:val="clear" w:color="auto" w:fill="auto"/>
            <w:noWrap/>
            <w:vAlign w:val="center"/>
            <w:hideMark/>
          </w:tcPr>
          <w:p w14:paraId="07BAA543"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 </w:t>
            </w:r>
          </w:p>
        </w:tc>
        <w:tc>
          <w:tcPr>
            <w:tcW w:w="1256" w:type="dxa"/>
            <w:tcBorders>
              <w:top w:val="dotted" w:sz="4" w:space="0" w:color="auto"/>
              <w:left w:val="nil"/>
              <w:bottom w:val="nil"/>
              <w:right w:val="single" w:sz="4" w:space="0" w:color="auto"/>
            </w:tcBorders>
            <w:shd w:val="clear" w:color="auto" w:fill="auto"/>
            <w:noWrap/>
            <w:vAlign w:val="center"/>
            <w:hideMark/>
          </w:tcPr>
          <w:p w14:paraId="1E62BB1B"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dotted" w:sz="4" w:space="0" w:color="auto"/>
              <w:left w:val="single" w:sz="4" w:space="0" w:color="auto"/>
              <w:bottom w:val="nil"/>
              <w:right w:val="single" w:sz="4" w:space="0" w:color="auto"/>
            </w:tcBorders>
            <w:shd w:val="clear" w:color="auto" w:fill="auto"/>
            <w:noWrap/>
            <w:vAlign w:val="center"/>
            <w:hideMark/>
          </w:tcPr>
          <w:p w14:paraId="4CB0C463"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dotted" w:sz="4" w:space="0" w:color="auto"/>
              <w:left w:val="nil"/>
              <w:bottom w:val="nil"/>
              <w:right w:val="nil"/>
            </w:tcBorders>
            <w:shd w:val="clear" w:color="auto" w:fill="auto"/>
            <w:noWrap/>
            <w:vAlign w:val="center"/>
            <w:hideMark/>
          </w:tcPr>
          <w:p w14:paraId="346AF20B"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nil"/>
              <w:right w:val="nil"/>
            </w:tcBorders>
            <w:shd w:val="clear" w:color="auto" w:fill="auto"/>
            <w:noWrap/>
            <w:vAlign w:val="center"/>
            <w:hideMark/>
          </w:tcPr>
          <w:p w14:paraId="05D44EF1"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nil"/>
              <w:right w:val="nil"/>
            </w:tcBorders>
            <w:shd w:val="clear" w:color="auto" w:fill="auto"/>
            <w:noWrap/>
            <w:vAlign w:val="center"/>
            <w:hideMark/>
          </w:tcPr>
          <w:p w14:paraId="3CE516D8"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nil"/>
              <w:right w:val="double" w:sz="6" w:space="0" w:color="auto"/>
            </w:tcBorders>
            <w:shd w:val="clear" w:color="auto" w:fill="auto"/>
            <w:noWrap/>
            <w:vAlign w:val="center"/>
            <w:hideMark/>
          </w:tcPr>
          <w:p w14:paraId="3BAA2526"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r>
      <w:tr w:rsidR="00F13531" w:rsidRPr="00F13531" w14:paraId="1EC675A6" w14:textId="77777777" w:rsidTr="00F13531">
        <w:trPr>
          <w:trHeight w:val="312"/>
        </w:trPr>
        <w:tc>
          <w:tcPr>
            <w:tcW w:w="5236" w:type="dxa"/>
            <w:tcBorders>
              <w:top w:val="nil"/>
              <w:left w:val="double" w:sz="6" w:space="0" w:color="auto"/>
              <w:bottom w:val="single" w:sz="8" w:space="0" w:color="auto"/>
              <w:right w:val="single" w:sz="4" w:space="0" w:color="auto"/>
            </w:tcBorders>
            <w:shd w:val="clear" w:color="auto" w:fill="auto"/>
            <w:vAlign w:val="center"/>
            <w:hideMark/>
          </w:tcPr>
          <w:p w14:paraId="4385CAF0"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2675" w:type="dxa"/>
            <w:gridSpan w:val="2"/>
            <w:tcBorders>
              <w:top w:val="single" w:sz="8" w:space="0" w:color="auto"/>
              <w:left w:val="nil"/>
              <w:bottom w:val="single" w:sz="8" w:space="0" w:color="auto"/>
              <w:right w:val="single" w:sz="8" w:space="0" w:color="000000"/>
            </w:tcBorders>
            <w:shd w:val="clear" w:color="auto" w:fill="auto"/>
            <w:vAlign w:val="center"/>
            <w:hideMark/>
          </w:tcPr>
          <w:p w14:paraId="7EC744B5"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xml:space="preserve">                 Subtotal     </w:t>
            </w:r>
          </w:p>
        </w:tc>
        <w:tc>
          <w:tcPr>
            <w:tcW w:w="1256" w:type="dxa"/>
            <w:tcBorders>
              <w:top w:val="single" w:sz="8" w:space="0" w:color="auto"/>
              <w:left w:val="nil"/>
              <w:bottom w:val="single" w:sz="8" w:space="0" w:color="auto"/>
              <w:right w:val="single" w:sz="4" w:space="0" w:color="auto"/>
            </w:tcBorders>
            <w:shd w:val="clear" w:color="auto" w:fill="auto"/>
            <w:noWrap/>
            <w:vAlign w:val="center"/>
            <w:hideMark/>
          </w:tcPr>
          <w:p w14:paraId="3DA3C6B2"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-272,35</w:t>
            </w:r>
          </w:p>
        </w:tc>
        <w:tc>
          <w:tcPr>
            <w:tcW w:w="1310" w:type="dxa"/>
            <w:tcBorders>
              <w:top w:val="single" w:sz="8" w:space="0" w:color="auto"/>
              <w:left w:val="nil"/>
              <w:bottom w:val="single" w:sz="8" w:space="0" w:color="auto"/>
              <w:right w:val="single" w:sz="4" w:space="0" w:color="auto"/>
            </w:tcBorders>
            <w:shd w:val="clear" w:color="auto" w:fill="auto"/>
            <w:noWrap/>
            <w:vAlign w:val="center"/>
            <w:hideMark/>
          </w:tcPr>
          <w:p w14:paraId="4F0A66B7"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-110,1</w:t>
            </w:r>
          </w:p>
        </w:tc>
        <w:tc>
          <w:tcPr>
            <w:tcW w:w="1328" w:type="dxa"/>
            <w:tcBorders>
              <w:top w:val="single" w:sz="8" w:space="0" w:color="auto"/>
              <w:left w:val="nil"/>
              <w:bottom w:val="single" w:sz="8" w:space="0" w:color="auto"/>
              <w:right w:val="nil"/>
            </w:tcBorders>
            <w:shd w:val="clear" w:color="auto" w:fill="auto"/>
            <w:noWrap/>
            <w:vAlign w:val="center"/>
            <w:hideMark/>
          </w:tcPr>
          <w:p w14:paraId="5D136254"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-65</w:t>
            </w:r>
          </w:p>
        </w:tc>
        <w:tc>
          <w:tcPr>
            <w:tcW w:w="1328" w:type="dxa"/>
            <w:tcBorders>
              <w:top w:val="single" w:sz="8" w:space="0" w:color="auto"/>
              <w:left w:val="single" w:sz="4" w:space="0" w:color="auto"/>
              <w:bottom w:val="single" w:sz="8" w:space="0" w:color="auto"/>
              <w:right w:val="nil"/>
            </w:tcBorders>
            <w:shd w:val="clear" w:color="auto" w:fill="auto"/>
            <w:noWrap/>
            <w:vAlign w:val="center"/>
            <w:hideMark/>
          </w:tcPr>
          <w:p w14:paraId="4BB02747"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-72</w:t>
            </w:r>
          </w:p>
        </w:tc>
        <w:tc>
          <w:tcPr>
            <w:tcW w:w="1328" w:type="dxa"/>
            <w:tcBorders>
              <w:top w:val="single" w:sz="8" w:space="0" w:color="auto"/>
              <w:left w:val="single" w:sz="4" w:space="0" w:color="auto"/>
              <w:bottom w:val="single" w:sz="8" w:space="0" w:color="auto"/>
              <w:right w:val="nil"/>
            </w:tcBorders>
            <w:shd w:val="clear" w:color="auto" w:fill="auto"/>
            <w:noWrap/>
            <w:vAlign w:val="center"/>
            <w:hideMark/>
          </w:tcPr>
          <w:p w14:paraId="3FDFA4D0"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-144</w:t>
            </w:r>
          </w:p>
        </w:tc>
        <w:tc>
          <w:tcPr>
            <w:tcW w:w="1094" w:type="dxa"/>
            <w:tcBorders>
              <w:top w:val="single" w:sz="8" w:space="0" w:color="auto"/>
              <w:left w:val="single" w:sz="4" w:space="0" w:color="auto"/>
              <w:bottom w:val="single" w:sz="8" w:space="0" w:color="auto"/>
              <w:right w:val="double" w:sz="6" w:space="0" w:color="auto"/>
            </w:tcBorders>
            <w:shd w:val="clear" w:color="auto" w:fill="auto"/>
            <w:noWrap/>
            <w:vAlign w:val="center"/>
            <w:hideMark/>
          </w:tcPr>
          <w:p w14:paraId="01C28720"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-180</w:t>
            </w:r>
          </w:p>
        </w:tc>
      </w:tr>
      <w:tr w:rsidR="00F13531" w:rsidRPr="00F13531" w14:paraId="703E46C1" w14:textId="77777777" w:rsidTr="00F13531">
        <w:trPr>
          <w:trHeight w:val="306"/>
        </w:trPr>
        <w:tc>
          <w:tcPr>
            <w:tcW w:w="5236" w:type="dxa"/>
            <w:tcBorders>
              <w:top w:val="nil"/>
              <w:left w:val="double" w:sz="6" w:space="0" w:color="auto"/>
              <w:bottom w:val="nil"/>
              <w:right w:val="single" w:sz="4" w:space="0" w:color="auto"/>
            </w:tcBorders>
            <w:shd w:val="clear" w:color="auto" w:fill="auto"/>
            <w:vAlign w:val="center"/>
            <w:hideMark/>
          </w:tcPr>
          <w:p w14:paraId="3E9C1C6D"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i/>
                <w:iCs/>
                <w:sz w:val="20"/>
                <w:szCs w:val="20"/>
              </w:rPr>
              <w:t>Non-temporary</w:t>
            </w:r>
            <w:r w:rsidRPr="00F13531">
              <w:rPr>
                <w:rFonts w:eastAsia="Times New Roman" w:cs="Times New Roman"/>
                <w:sz w:val="20"/>
                <w:szCs w:val="20"/>
              </w:rPr>
              <w:t xml:space="preserve"> measures</w:t>
            </w:r>
            <w:r w:rsidRPr="00F13531">
              <w:rPr>
                <w:rFonts w:eastAsia="Times New Roman" w:cs="Times New Roman"/>
                <w:sz w:val="20"/>
                <w:szCs w:val="20"/>
                <w:vertAlign w:val="superscript"/>
              </w:rPr>
              <w:t>1</w:t>
            </w:r>
          </w:p>
        </w:tc>
        <w:tc>
          <w:tcPr>
            <w:tcW w:w="1310" w:type="dxa"/>
            <w:tcBorders>
              <w:top w:val="nil"/>
              <w:left w:val="nil"/>
              <w:bottom w:val="nil"/>
              <w:right w:val="single" w:sz="4" w:space="0" w:color="auto"/>
            </w:tcBorders>
            <w:shd w:val="clear" w:color="auto" w:fill="auto"/>
            <w:noWrap/>
            <w:vAlign w:val="center"/>
            <w:hideMark/>
          </w:tcPr>
          <w:p w14:paraId="05FB5825"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64" w:type="dxa"/>
            <w:tcBorders>
              <w:top w:val="nil"/>
              <w:left w:val="single" w:sz="4" w:space="0" w:color="auto"/>
              <w:bottom w:val="single" w:sz="4" w:space="0" w:color="auto"/>
              <w:right w:val="single" w:sz="8" w:space="0" w:color="auto"/>
            </w:tcBorders>
            <w:shd w:val="clear" w:color="auto" w:fill="auto"/>
            <w:noWrap/>
            <w:vAlign w:val="center"/>
            <w:hideMark/>
          </w:tcPr>
          <w:p w14:paraId="16712F0D"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256" w:type="dxa"/>
            <w:tcBorders>
              <w:top w:val="nil"/>
              <w:left w:val="nil"/>
              <w:bottom w:val="nil"/>
              <w:right w:val="single" w:sz="4" w:space="0" w:color="auto"/>
            </w:tcBorders>
            <w:shd w:val="clear" w:color="auto" w:fill="auto"/>
            <w:noWrap/>
            <w:vAlign w:val="center"/>
            <w:hideMark/>
          </w:tcPr>
          <w:p w14:paraId="0F26D4A0"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nil"/>
              <w:right w:val="single" w:sz="4" w:space="0" w:color="auto"/>
            </w:tcBorders>
            <w:shd w:val="clear" w:color="auto" w:fill="auto"/>
            <w:noWrap/>
            <w:vAlign w:val="center"/>
            <w:hideMark/>
          </w:tcPr>
          <w:p w14:paraId="5FB7BBDD"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nil"/>
              <w:right w:val="nil"/>
            </w:tcBorders>
            <w:shd w:val="clear" w:color="auto" w:fill="auto"/>
            <w:noWrap/>
            <w:vAlign w:val="center"/>
            <w:hideMark/>
          </w:tcPr>
          <w:p w14:paraId="26AF00E7"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nil"/>
              <w:right w:val="nil"/>
            </w:tcBorders>
            <w:shd w:val="clear" w:color="auto" w:fill="auto"/>
            <w:noWrap/>
            <w:vAlign w:val="center"/>
            <w:hideMark/>
          </w:tcPr>
          <w:p w14:paraId="22C25BD0"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nil"/>
              <w:right w:val="nil"/>
            </w:tcBorders>
            <w:shd w:val="clear" w:color="auto" w:fill="auto"/>
            <w:noWrap/>
            <w:vAlign w:val="center"/>
            <w:hideMark/>
          </w:tcPr>
          <w:p w14:paraId="1548EF64"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nil"/>
              <w:right w:val="double" w:sz="6" w:space="0" w:color="auto"/>
            </w:tcBorders>
            <w:shd w:val="clear" w:color="auto" w:fill="auto"/>
            <w:noWrap/>
            <w:vAlign w:val="center"/>
            <w:hideMark/>
          </w:tcPr>
          <w:p w14:paraId="2A1484FA"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0F0C46CB" w14:textId="77777777" w:rsidTr="00F13531">
        <w:trPr>
          <w:trHeight w:val="766"/>
        </w:trPr>
        <w:tc>
          <w:tcPr>
            <w:tcW w:w="5236" w:type="dxa"/>
            <w:tcBorders>
              <w:top w:val="single" w:sz="4" w:space="0" w:color="auto"/>
              <w:left w:val="double" w:sz="6" w:space="0" w:color="auto"/>
              <w:bottom w:val="dotted" w:sz="4" w:space="0" w:color="auto"/>
              <w:right w:val="single" w:sz="4" w:space="0" w:color="auto"/>
            </w:tcBorders>
            <w:shd w:val="clear" w:color="auto" w:fill="auto"/>
            <w:vAlign w:val="center"/>
            <w:hideMark/>
          </w:tcPr>
          <w:p w14:paraId="202D5573"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Decrease of pension contribution and increase of nontaxable census on wages</w:t>
            </w:r>
          </w:p>
        </w:tc>
        <w:tc>
          <w:tcPr>
            <w:tcW w:w="1310" w:type="dxa"/>
            <w:tcBorders>
              <w:top w:val="single" w:sz="4" w:space="0" w:color="auto"/>
              <w:left w:val="nil"/>
              <w:bottom w:val="dotted" w:sz="4" w:space="0" w:color="auto"/>
              <w:right w:val="single" w:sz="4" w:space="0" w:color="auto"/>
            </w:tcBorders>
            <w:shd w:val="clear" w:color="auto" w:fill="auto"/>
            <w:noWrap/>
            <w:vAlign w:val="center"/>
            <w:hideMark/>
          </w:tcPr>
          <w:p w14:paraId="0633CFA8"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D5, D61</w:t>
            </w:r>
          </w:p>
        </w:tc>
        <w:tc>
          <w:tcPr>
            <w:tcW w:w="1364" w:type="dxa"/>
            <w:tcBorders>
              <w:top w:val="nil"/>
              <w:left w:val="single" w:sz="4" w:space="0" w:color="auto"/>
              <w:bottom w:val="dotted" w:sz="4" w:space="0" w:color="auto"/>
              <w:right w:val="single" w:sz="8" w:space="0" w:color="auto"/>
            </w:tcBorders>
            <w:shd w:val="clear" w:color="auto" w:fill="auto"/>
            <w:vAlign w:val="center"/>
            <w:hideMark/>
          </w:tcPr>
          <w:p w14:paraId="0CB22053"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2019-11;2020-11;2021-11;2022-11</w:t>
            </w:r>
          </w:p>
        </w:tc>
        <w:tc>
          <w:tcPr>
            <w:tcW w:w="1256" w:type="dxa"/>
            <w:tcBorders>
              <w:top w:val="single" w:sz="4" w:space="0" w:color="auto"/>
              <w:left w:val="single" w:sz="4" w:space="0" w:color="auto"/>
              <w:bottom w:val="dotted" w:sz="4" w:space="0" w:color="auto"/>
              <w:right w:val="nil"/>
            </w:tcBorders>
            <w:shd w:val="clear" w:color="auto" w:fill="auto"/>
            <w:noWrap/>
            <w:vAlign w:val="center"/>
            <w:hideMark/>
          </w:tcPr>
          <w:p w14:paraId="288EBDC9"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-16,2</w:t>
            </w:r>
          </w:p>
        </w:tc>
        <w:tc>
          <w:tcPr>
            <w:tcW w:w="131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7139340"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-41</w:t>
            </w:r>
          </w:p>
        </w:tc>
        <w:tc>
          <w:tcPr>
            <w:tcW w:w="1328" w:type="dxa"/>
            <w:tcBorders>
              <w:top w:val="single" w:sz="4" w:space="0" w:color="auto"/>
              <w:left w:val="single" w:sz="4" w:space="0" w:color="auto"/>
              <w:bottom w:val="dotted" w:sz="4" w:space="0" w:color="auto"/>
              <w:right w:val="nil"/>
            </w:tcBorders>
            <w:shd w:val="clear" w:color="auto" w:fill="auto"/>
            <w:noWrap/>
            <w:vAlign w:val="center"/>
            <w:hideMark/>
          </w:tcPr>
          <w:p w14:paraId="1504BFD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single" w:sz="4" w:space="0" w:color="auto"/>
              <w:left w:val="single" w:sz="4" w:space="0" w:color="auto"/>
              <w:bottom w:val="dotted" w:sz="4" w:space="0" w:color="auto"/>
              <w:right w:val="nil"/>
            </w:tcBorders>
            <w:shd w:val="clear" w:color="auto" w:fill="auto"/>
            <w:noWrap/>
            <w:vAlign w:val="center"/>
            <w:hideMark/>
          </w:tcPr>
          <w:p w14:paraId="723F65ED"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single" w:sz="4" w:space="0" w:color="auto"/>
              <w:left w:val="single" w:sz="4" w:space="0" w:color="auto"/>
              <w:bottom w:val="dotted" w:sz="4" w:space="0" w:color="auto"/>
              <w:right w:val="nil"/>
            </w:tcBorders>
            <w:shd w:val="clear" w:color="auto" w:fill="auto"/>
            <w:noWrap/>
            <w:vAlign w:val="center"/>
            <w:hideMark/>
          </w:tcPr>
          <w:p w14:paraId="05362D5D"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single" w:sz="4" w:space="0" w:color="auto"/>
              <w:left w:val="single" w:sz="4" w:space="0" w:color="auto"/>
              <w:bottom w:val="dotted" w:sz="4" w:space="0" w:color="auto"/>
              <w:right w:val="double" w:sz="6" w:space="0" w:color="auto"/>
            </w:tcBorders>
            <w:shd w:val="clear" w:color="auto" w:fill="auto"/>
            <w:noWrap/>
            <w:vAlign w:val="center"/>
            <w:hideMark/>
          </w:tcPr>
          <w:p w14:paraId="0A76EA6E"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01DC8C77"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6504A280"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Change in demographic policy</w:t>
            </w:r>
          </w:p>
        </w:tc>
        <w:tc>
          <w:tcPr>
            <w:tcW w:w="1310" w:type="dxa"/>
            <w:tcBorders>
              <w:top w:val="nil"/>
              <w:left w:val="nil"/>
              <w:bottom w:val="dotted" w:sz="4" w:space="0" w:color="auto"/>
              <w:right w:val="single" w:sz="4" w:space="0" w:color="auto"/>
            </w:tcBorders>
            <w:shd w:val="clear" w:color="auto" w:fill="auto"/>
            <w:noWrap/>
            <w:vAlign w:val="center"/>
            <w:hideMark/>
          </w:tcPr>
          <w:p w14:paraId="7DDAF0A6"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D62</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534EFC93"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2021-12</w:t>
            </w:r>
          </w:p>
        </w:tc>
        <w:tc>
          <w:tcPr>
            <w:tcW w:w="1256" w:type="dxa"/>
            <w:tcBorders>
              <w:top w:val="nil"/>
              <w:left w:val="single" w:sz="4" w:space="0" w:color="auto"/>
              <w:bottom w:val="dotted" w:sz="4" w:space="0" w:color="auto"/>
              <w:right w:val="nil"/>
            </w:tcBorders>
            <w:shd w:val="clear" w:color="auto" w:fill="auto"/>
            <w:noWrap/>
            <w:vAlign w:val="center"/>
            <w:hideMark/>
          </w:tcPr>
          <w:p w14:paraId="183C7F60"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-15</w:t>
            </w:r>
          </w:p>
        </w:tc>
        <w:tc>
          <w:tcPr>
            <w:tcW w:w="1310" w:type="dxa"/>
            <w:tcBorders>
              <w:top w:val="nil"/>
              <w:left w:val="single" w:sz="4" w:space="0" w:color="auto"/>
              <w:bottom w:val="dotted" w:sz="4" w:space="0" w:color="auto"/>
              <w:right w:val="nil"/>
            </w:tcBorders>
            <w:shd w:val="clear" w:color="auto" w:fill="auto"/>
            <w:noWrap/>
            <w:vAlign w:val="center"/>
            <w:hideMark/>
          </w:tcPr>
          <w:p w14:paraId="63EF55E6"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-10</w:t>
            </w:r>
          </w:p>
        </w:tc>
        <w:tc>
          <w:tcPr>
            <w:tcW w:w="1328" w:type="dxa"/>
            <w:tcBorders>
              <w:top w:val="nil"/>
              <w:left w:val="single" w:sz="4" w:space="0" w:color="auto"/>
              <w:bottom w:val="dotted" w:sz="4" w:space="0" w:color="auto"/>
              <w:right w:val="nil"/>
            </w:tcBorders>
            <w:shd w:val="clear" w:color="auto" w:fill="auto"/>
            <w:noWrap/>
            <w:vAlign w:val="center"/>
            <w:hideMark/>
          </w:tcPr>
          <w:p w14:paraId="6FBF3217"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14F19EE2"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146907C4"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1C5B9E8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42EE281D"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05055D4B"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lastRenderedPageBreak/>
              <w:t>Increase of nontaxable census on wages</w:t>
            </w:r>
          </w:p>
        </w:tc>
        <w:tc>
          <w:tcPr>
            <w:tcW w:w="1310" w:type="dxa"/>
            <w:tcBorders>
              <w:top w:val="nil"/>
              <w:left w:val="nil"/>
              <w:bottom w:val="dotted" w:sz="4" w:space="0" w:color="auto"/>
              <w:right w:val="single" w:sz="4" w:space="0" w:color="auto"/>
            </w:tcBorders>
            <w:shd w:val="clear" w:color="auto" w:fill="auto"/>
            <w:noWrap/>
            <w:vAlign w:val="center"/>
            <w:hideMark/>
          </w:tcPr>
          <w:p w14:paraId="39D8B23B"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D5,D61</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493A63CE"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2023-10;2024-12</w:t>
            </w:r>
          </w:p>
        </w:tc>
        <w:tc>
          <w:tcPr>
            <w:tcW w:w="1256" w:type="dxa"/>
            <w:tcBorders>
              <w:top w:val="nil"/>
              <w:left w:val="single" w:sz="4" w:space="0" w:color="auto"/>
              <w:bottom w:val="dotted" w:sz="4" w:space="0" w:color="auto"/>
              <w:right w:val="single" w:sz="4" w:space="0" w:color="auto"/>
            </w:tcBorders>
            <w:shd w:val="clear" w:color="auto" w:fill="auto"/>
            <w:noWrap/>
            <w:vAlign w:val="center"/>
            <w:hideMark/>
          </w:tcPr>
          <w:p w14:paraId="6013B358"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nil"/>
              <w:left w:val="single" w:sz="4" w:space="0" w:color="auto"/>
              <w:bottom w:val="dotted" w:sz="4" w:space="0" w:color="auto"/>
              <w:right w:val="nil"/>
            </w:tcBorders>
            <w:shd w:val="clear" w:color="auto" w:fill="auto"/>
            <w:noWrap/>
            <w:vAlign w:val="center"/>
            <w:hideMark/>
          </w:tcPr>
          <w:p w14:paraId="6ED42B2E"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5C897959"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-14</w:t>
            </w:r>
          </w:p>
        </w:tc>
        <w:tc>
          <w:tcPr>
            <w:tcW w:w="1328" w:type="dxa"/>
            <w:tcBorders>
              <w:top w:val="nil"/>
              <w:left w:val="single" w:sz="4" w:space="0" w:color="auto"/>
              <w:bottom w:val="dotted" w:sz="4" w:space="0" w:color="auto"/>
              <w:right w:val="nil"/>
            </w:tcBorders>
            <w:shd w:val="clear" w:color="auto" w:fill="auto"/>
            <w:noWrap/>
            <w:vAlign w:val="center"/>
            <w:hideMark/>
          </w:tcPr>
          <w:p w14:paraId="21012C11" w14:textId="77777777" w:rsidR="00F13531" w:rsidRPr="00F13531" w:rsidRDefault="00F13531" w:rsidP="00F13531">
            <w:pPr>
              <w:spacing w:after="0"/>
              <w:jc w:val="right"/>
              <w:rPr>
                <w:rFonts w:eastAsia="Times New Roman" w:cs="Times New Roman"/>
                <w:sz w:val="20"/>
                <w:szCs w:val="20"/>
              </w:rPr>
            </w:pPr>
            <w:r w:rsidRPr="00F13531">
              <w:rPr>
                <w:rFonts w:eastAsia="Times New Roman" w:cs="Times New Roman"/>
                <w:sz w:val="20"/>
                <w:szCs w:val="20"/>
              </w:rPr>
              <w:t>-14,5</w:t>
            </w:r>
          </w:p>
        </w:tc>
        <w:tc>
          <w:tcPr>
            <w:tcW w:w="1328" w:type="dxa"/>
            <w:tcBorders>
              <w:top w:val="nil"/>
              <w:left w:val="single" w:sz="4" w:space="0" w:color="auto"/>
              <w:bottom w:val="dotted" w:sz="4" w:space="0" w:color="auto"/>
              <w:right w:val="nil"/>
            </w:tcBorders>
            <w:shd w:val="clear" w:color="auto" w:fill="auto"/>
            <w:noWrap/>
            <w:vAlign w:val="center"/>
            <w:hideMark/>
          </w:tcPr>
          <w:p w14:paraId="45044EC2"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514E465C"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23A00331"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4585C19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375FBA22"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 </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6E7477C0"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 </w:t>
            </w:r>
          </w:p>
        </w:tc>
        <w:tc>
          <w:tcPr>
            <w:tcW w:w="1256" w:type="dxa"/>
            <w:tcBorders>
              <w:top w:val="nil"/>
              <w:left w:val="nil"/>
              <w:bottom w:val="dotted" w:sz="4" w:space="0" w:color="auto"/>
              <w:right w:val="single" w:sz="4" w:space="0" w:color="auto"/>
            </w:tcBorders>
            <w:shd w:val="clear" w:color="auto" w:fill="auto"/>
            <w:noWrap/>
            <w:vAlign w:val="center"/>
            <w:hideMark/>
          </w:tcPr>
          <w:p w14:paraId="0522F2F2"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28CEDA80"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22A116E6"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18F84A73"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084CEFE7"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0A9C2765"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6EC415F3"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4CA73CCD"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46D461AF"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5CB44EEA"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 </w:t>
            </w:r>
          </w:p>
        </w:tc>
        <w:tc>
          <w:tcPr>
            <w:tcW w:w="1256" w:type="dxa"/>
            <w:tcBorders>
              <w:top w:val="nil"/>
              <w:left w:val="nil"/>
              <w:bottom w:val="dotted" w:sz="4" w:space="0" w:color="auto"/>
              <w:right w:val="single" w:sz="4" w:space="0" w:color="auto"/>
            </w:tcBorders>
            <w:shd w:val="clear" w:color="auto" w:fill="auto"/>
            <w:noWrap/>
            <w:vAlign w:val="center"/>
            <w:hideMark/>
          </w:tcPr>
          <w:p w14:paraId="0C4446C5"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325BAC4A"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01ED599F"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0993C7DC"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05670504"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5C381680"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757C90C0"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738B0256"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36E58F36"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1FB3C8BC"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 </w:t>
            </w:r>
          </w:p>
        </w:tc>
        <w:tc>
          <w:tcPr>
            <w:tcW w:w="1256" w:type="dxa"/>
            <w:tcBorders>
              <w:top w:val="nil"/>
              <w:left w:val="nil"/>
              <w:bottom w:val="dotted" w:sz="4" w:space="0" w:color="auto"/>
              <w:right w:val="single" w:sz="4" w:space="0" w:color="auto"/>
            </w:tcBorders>
            <w:shd w:val="clear" w:color="auto" w:fill="auto"/>
            <w:noWrap/>
            <w:vAlign w:val="center"/>
            <w:hideMark/>
          </w:tcPr>
          <w:p w14:paraId="4F289E07"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6443423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034F2EDE"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0FC59EB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2B65ADF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76CEC586"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78118138"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46CA055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4F3AE019"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20B3F999" w14:textId="77777777" w:rsidR="00F13531" w:rsidRPr="00F13531" w:rsidRDefault="00F13531" w:rsidP="00F13531">
            <w:pPr>
              <w:spacing w:after="0"/>
              <w:jc w:val="center"/>
              <w:rPr>
                <w:rFonts w:eastAsia="Times New Roman" w:cs="Times New Roman"/>
                <w:sz w:val="20"/>
                <w:szCs w:val="20"/>
              </w:rPr>
            </w:pPr>
            <w:r w:rsidRPr="00F13531">
              <w:rPr>
                <w:rFonts w:eastAsia="Times New Roman" w:cs="Times New Roman"/>
                <w:sz w:val="20"/>
                <w:szCs w:val="20"/>
              </w:rPr>
              <w:t> </w:t>
            </w:r>
          </w:p>
        </w:tc>
        <w:tc>
          <w:tcPr>
            <w:tcW w:w="1256" w:type="dxa"/>
            <w:tcBorders>
              <w:top w:val="single" w:sz="4" w:space="0" w:color="auto"/>
              <w:left w:val="nil"/>
              <w:bottom w:val="dotted" w:sz="4" w:space="0" w:color="auto"/>
              <w:right w:val="single" w:sz="4" w:space="0" w:color="auto"/>
            </w:tcBorders>
            <w:shd w:val="clear" w:color="auto" w:fill="auto"/>
            <w:noWrap/>
            <w:vAlign w:val="center"/>
            <w:hideMark/>
          </w:tcPr>
          <w:p w14:paraId="337B263E"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10" w:type="dxa"/>
            <w:tcBorders>
              <w:top w:val="single" w:sz="4" w:space="0" w:color="auto"/>
              <w:left w:val="nil"/>
              <w:bottom w:val="dotted" w:sz="4" w:space="0" w:color="auto"/>
              <w:right w:val="single" w:sz="4" w:space="0" w:color="auto"/>
            </w:tcBorders>
            <w:shd w:val="clear" w:color="auto" w:fill="auto"/>
            <w:noWrap/>
            <w:vAlign w:val="center"/>
            <w:hideMark/>
          </w:tcPr>
          <w:p w14:paraId="1676F33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single" w:sz="4" w:space="0" w:color="auto"/>
              <w:left w:val="single" w:sz="4" w:space="0" w:color="auto"/>
              <w:bottom w:val="dotted" w:sz="4" w:space="0" w:color="auto"/>
              <w:right w:val="nil"/>
            </w:tcBorders>
            <w:shd w:val="clear" w:color="auto" w:fill="auto"/>
            <w:noWrap/>
            <w:vAlign w:val="center"/>
            <w:hideMark/>
          </w:tcPr>
          <w:p w14:paraId="6C5C4A08"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single" w:sz="4" w:space="0" w:color="auto"/>
              <w:left w:val="single" w:sz="4" w:space="0" w:color="auto"/>
              <w:bottom w:val="dotted" w:sz="4" w:space="0" w:color="auto"/>
              <w:right w:val="nil"/>
            </w:tcBorders>
            <w:shd w:val="clear" w:color="auto" w:fill="auto"/>
            <w:noWrap/>
            <w:vAlign w:val="center"/>
            <w:hideMark/>
          </w:tcPr>
          <w:p w14:paraId="2B910DB1"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328" w:type="dxa"/>
            <w:tcBorders>
              <w:top w:val="single" w:sz="4" w:space="0" w:color="auto"/>
              <w:left w:val="single" w:sz="4" w:space="0" w:color="auto"/>
              <w:bottom w:val="dotted" w:sz="4" w:space="0" w:color="auto"/>
              <w:right w:val="nil"/>
            </w:tcBorders>
            <w:shd w:val="clear" w:color="auto" w:fill="auto"/>
            <w:noWrap/>
            <w:vAlign w:val="center"/>
            <w:hideMark/>
          </w:tcPr>
          <w:p w14:paraId="76C711A5"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1094" w:type="dxa"/>
            <w:tcBorders>
              <w:top w:val="single" w:sz="4" w:space="0" w:color="auto"/>
              <w:left w:val="single" w:sz="4" w:space="0" w:color="auto"/>
              <w:bottom w:val="dotted" w:sz="4" w:space="0" w:color="auto"/>
              <w:right w:val="double" w:sz="6" w:space="0" w:color="auto"/>
            </w:tcBorders>
            <w:shd w:val="clear" w:color="auto" w:fill="auto"/>
            <w:noWrap/>
            <w:vAlign w:val="center"/>
            <w:hideMark/>
          </w:tcPr>
          <w:p w14:paraId="4DFCD8AF"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r>
      <w:tr w:rsidR="00F13531" w:rsidRPr="00F13531" w14:paraId="206FEEBE"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529744C4"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10360420"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0348E8D7"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 </w:t>
            </w:r>
          </w:p>
        </w:tc>
        <w:tc>
          <w:tcPr>
            <w:tcW w:w="1256" w:type="dxa"/>
            <w:tcBorders>
              <w:top w:val="nil"/>
              <w:left w:val="nil"/>
              <w:bottom w:val="dotted" w:sz="4" w:space="0" w:color="auto"/>
              <w:right w:val="single" w:sz="4" w:space="0" w:color="auto"/>
            </w:tcBorders>
            <w:shd w:val="clear" w:color="auto" w:fill="auto"/>
            <w:noWrap/>
            <w:vAlign w:val="center"/>
            <w:hideMark/>
          </w:tcPr>
          <w:p w14:paraId="1F192FD6"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244CF345"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371D7655"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005173AC"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4FCF4A53"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5E633EE0"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r>
      <w:tr w:rsidR="00F13531" w:rsidRPr="00F13531" w14:paraId="77F4CDD2"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0126C0ED"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46C3E5AA"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644E92FB"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 </w:t>
            </w:r>
          </w:p>
        </w:tc>
        <w:tc>
          <w:tcPr>
            <w:tcW w:w="1256" w:type="dxa"/>
            <w:tcBorders>
              <w:top w:val="nil"/>
              <w:left w:val="nil"/>
              <w:bottom w:val="dotted" w:sz="4" w:space="0" w:color="auto"/>
              <w:right w:val="single" w:sz="4" w:space="0" w:color="auto"/>
            </w:tcBorders>
            <w:shd w:val="clear" w:color="auto" w:fill="auto"/>
            <w:noWrap/>
            <w:vAlign w:val="center"/>
            <w:hideMark/>
          </w:tcPr>
          <w:p w14:paraId="3569A5E3"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310DD539"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7AB9CACA"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44A5947A"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1F3DF825"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27656588"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r>
      <w:tr w:rsidR="00F13531" w:rsidRPr="00F13531" w14:paraId="5C27024A"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0588F312"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dotted" w:sz="4" w:space="0" w:color="auto"/>
              <w:left w:val="nil"/>
              <w:bottom w:val="dotted" w:sz="4" w:space="0" w:color="auto"/>
              <w:right w:val="single" w:sz="4" w:space="0" w:color="auto"/>
            </w:tcBorders>
            <w:shd w:val="clear" w:color="auto" w:fill="auto"/>
            <w:noWrap/>
            <w:vAlign w:val="center"/>
            <w:hideMark/>
          </w:tcPr>
          <w:p w14:paraId="71E19DBA"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776CDE81"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 </w:t>
            </w:r>
          </w:p>
        </w:tc>
        <w:tc>
          <w:tcPr>
            <w:tcW w:w="1256" w:type="dxa"/>
            <w:tcBorders>
              <w:top w:val="nil"/>
              <w:left w:val="nil"/>
              <w:bottom w:val="dotted" w:sz="4" w:space="0" w:color="auto"/>
              <w:right w:val="single" w:sz="4" w:space="0" w:color="auto"/>
            </w:tcBorders>
            <w:shd w:val="clear" w:color="auto" w:fill="auto"/>
            <w:noWrap/>
            <w:vAlign w:val="center"/>
            <w:hideMark/>
          </w:tcPr>
          <w:p w14:paraId="26A0F779"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08429322"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7D133F56"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6671CB17"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36890D25"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42CA0B79"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r>
      <w:tr w:rsidR="00F13531" w:rsidRPr="00F13531" w14:paraId="2E7A8026" w14:textId="77777777" w:rsidTr="00F13531">
        <w:trPr>
          <w:trHeight w:val="306"/>
        </w:trPr>
        <w:tc>
          <w:tcPr>
            <w:tcW w:w="5236" w:type="dxa"/>
            <w:tcBorders>
              <w:top w:val="nil"/>
              <w:left w:val="double" w:sz="6" w:space="0" w:color="auto"/>
              <w:bottom w:val="dotted" w:sz="4" w:space="0" w:color="auto"/>
              <w:right w:val="single" w:sz="4" w:space="0" w:color="auto"/>
            </w:tcBorders>
            <w:shd w:val="clear" w:color="auto" w:fill="auto"/>
            <w:vAlign w:val="center"/>
            <w:hideMark/>
          </w:tcPr>
          <w:p w14:paraId="5F8FA8D9"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254D701D"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64" w:type="dxa"/>
            <w:tcBorders>
              <w:top w:val="nil"/>
              <w:left w:val="single" w:sz="4" w:space="0" w:color="auto"/>
              <w:bottom w:val="dotted" w:sz="4" w:space="0" w:color="auto"/>
              <w:right w:val="single" w:sz="8" w:space="0" w:color="auto"/>
            </w:tcBorders>
            <w:shd w:val="clear" w:color="auto" w:fill="auto"/>
            <w:noWrap/>
            <w:vAlign w:val="center"/>
            <w:hideMark/>
          </w:tcPr>
          <w:p w14:paraId="26D2D5DD"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 </w:t>
            </w:r>
          </w:p>
        </w:tc>
        <w:tc>
          <w:tcPr>
            <w:tcW w:w="1256" w:type="dxa"/>
            <w:tcBorders>
              <w:top w:val="nil"/>
              <w:left w:val="nil"/>
              <w:bottom w:val="dotted" w:sz="4" w:space="0" w:color="auto"/>
              <w:right w:val="single" w:sz="4" w:space="0" w:color="auto"/>
            </w:tcBorders>
            <w:shd w:val="clear" w:color="auto" w:fill="auto"/>
            <w:noWrap/>
            <w:vAlign w:val="center"/>
            <w:hideMark/>
          </w:tcPr>
          <w:p w14:paraId="01634426"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583A1682"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477E559D"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54A74BEA"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31182EB8"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07C5131A"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r>
      <w:tr w:rsidR="00F13531" w:rsidRPr="00F13531" w14:paraId="575C6595" w14:textId="77777777" w:rsidTr="00F13531">
        <w:trPr>
          <w:trHeight w:val="297"/>
        </w:trPr>
        <w:tc>
          <w:tcPr>
            <w:tcW w:w="5236" w:type="dxa"/>
            <w:tcBorders>
              <w:top w:val="nil"/>
              <w:left w:val="double" w:sz="6" w:space="0" w:color="auto"/>
              <w:bottom w:val="nil"/>
              <w:right w:val="single" w:sz="4" w:space="0" w:color="auto"/>
            </w:tcBorders>
            <w:shd w:val="clear" w:color="auto" w:fill="auto"/>
            <w:vAlign w:val="center"/>
            <w:hideMark/>
          </w:tcPr>
          <w:p w14:paraId="2C92F205"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dotted" w:sz="4" w:space="0" w:color="auto"/>
              <w:left w:val="single" w:sz="4" w:space="0" w:color="auto"/>
              <w:bottom w:val="nil"/>
              <w:right w:val="single" w:sz="4" w:space="0" w:color="auto"/>
            </w:tcBorders>
            <w:shd w:val="clear" w:color="auto" w:fill="auto"/>
            <w:noWrap/>
            <w:vAlign w:val="center"/>
            <w:hideMark/>
          </w:tcPr>
          <w:p w14:paraId="1C5B76D8"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64" w:type="dxa"/>
            <w:tcBorders>
              <w:top w:val="nil"/>
              <w:left w:val="nil"/>
              <w:bottom w:val="nil"/>
              <w:right w:val="single" w:sz="8" w:space="0" w:color="auto"/>
            </w:tcBorders>
            <w:shd w:val="clear" w:color="auto" w:fill="auto"/>
            <w:noWrap/>
            <w:vAlign w:val="center"/>
            <w:hideMark/>
          </w:tcPr>
          <w:p w14:paraId="7BEB0BD1" w14:textId="77777777" w:rsidR="00F13531" w:rsidRPr="00F13531" w:rsidRDefault="00F13531" w:rsidP="00F13531">
            <w:pPr>
              <w:spacing w:after="0"/>
              <w:jc w:val="center"/>
              <w:outlineLvl w:val="0"/>
              <w:rPr>
                <w:rFonts w:eastAsia="Times New Roman" w:cs="Times New Roman"/>
                <w:sz w:val="20"/>
                <w:szCs w:val="20"/>
              </w:rPr>
            </w:pPr>
            <w:r w:rsidRPr="00F13531">
              <w:rPr>
                <w:rFonts w:eastAsia="Times New Roman" w:cs="Times New Roman"/>
                <w:sz w:val="20"/>
                <w:szCs w:val="20"/>
              </w:rPr>
              <w:t> </w:t>
            </w:r>
          </w:p>
        </w:tc>
        <w:tc>
          <w:tcPr>
            <w:tcW w:w="1256" w:type="dxa"/>
            <w:tcBorders>
              <w:top w:val="nil"/>
              <w:left w:val="nil"/>
              <w:bottom w:val="dotted" w:sz="4" w:space="0" w:color="auto"/>
              <w:right w:val="single" w:sz="4" w:space="0" w:color="auto"/>
            </w:tcBorders>
            <w:shd w:val="clear" w:color="auto" w:fill="auto"/>
            <w:noWrap/>
            <w:vAlign w:val="center"/>
            <w:hideMark/>
          </w:tcPr>
          <w:p w14:paraId="0331387B"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10" w:type="dxa"/>
            <w:tcBorders>
              <w:top w:val="nil"/>
              <w:left w:val="nil"/>
              <w:bottom w:val="dotted" w:sz="4" w:space="0" w:color="auto"/>
              <w:right w:val="single" w:sz="4" w:space="0" w:color="auto"/>
            </w:tcBorders>
            <w:shd w:val="clear" w:color="auto" w:fill="auto"/>
            <w:noWrap/>
            <w:vAlign w:val="center"/>
            <w:hideMark/>
          </w:tcPr>
          <w:p w14:paraId="12507B5C"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34994680"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77327151"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328" w:type="dxa"/>
            <w:tcBorders>
              <w:top w:val="nil"/>
              <w:left w:val="single" w:sz="4" w:space="0" w:color="auto"/>
              <w:bottom w:val="dotted" w:sz="4" w:space="0" w:color="auto"/>
              <w:right w:val="nil"/>
            </w:tcBorders>
            <w:shd w:val="clear" w:color="auto" w:fill="auto"/>
            <w:noWrap/>
            <w:vAlign w:val="center"/>
            <w:hideMark/>
          </w:tcPr>
          <w:p w14:paraId="653221F1"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c>
          <w:tcPr>
            <w:tcW w:w="1094" w:type="dxa"/>
            <w:tcBorders>
              <w:top w:val="nil"/>
              <w:left w:val="single" w:sz="4" w:space="0" w:color="auto"/>
              <w:bottom w:val="dotted" w:sz="4" w:space="0" w:color="auto"/>
              <w:right w:val="double" w:sz="6" w:space="0" w:color="auto"/>
            </w:tcBorders>
            <w:shd w:val="clear" w:color="auto" w:fill="auto"/>
            <w:noWrap/>
            <w:vAlign w:val="center"/>
            <w:hideMark/>
          </w:tcPr>
          <w:p w14:paraId="4F4CFB95" w14:textId="77777777" w:rsidR="00F13531" w:rsidRPr="00F13531" w:rsidRDefault="00F13531" w:rsidP="00F13531">
            <w:pPr>
              <w:spacing w:after="0"/>
              <w:jc w:val="left"/>
              <w:outlineLvl w:val="0"/>
              <w:rPr>
                <w:rFonts w:eastAsia="Times New Roman" w:cs="Times New Roman"/>
                <w:sz w:val="20"/>
                <w:szCs w:val="20"/>
              </w:rPr>
            </w:pPr>
            <w:r w:rsidRPr="00F13531">
              <w:rPr>
                <w:rFonts w:eastAsia="Times New Roman" w:cs="Times New Roman"/>
                <w:sz w:val="20"/>
                <w:szCs w:val="20"/>
              </w:rPr>
              <w:t> </w:t>
            </w:r>
          </w:p>
        </w:tc>
      </w:tr>
      <w:tr w:rsidR="00F13531" w:rsidRPr="00F13531" w14:paraId="4A639320" w14:textId="77777777" w:rsidTr="00F13531">
        <w:trPr>
          <w:trHeight w:val="312"/>
        </w:trPr>
        <w:tc>
          <w:tcPr>
            <w:tcW w:w="5236" w:type="dxa"/>
            <w:tcBorders>
              <w:top w:val="nil"/>
              <w:left w:val="double" w:sz="6" w:space="0" w:color="auto"/>
              <w:bottom w:val="single" w:sz="8" w:space="0" w:color="auto"/>
              <w:right w:val="single" w:sz="4" w:space="0" w:color="auto"/>
            </w:tcBorders>
            <w:shd w:val="clear" w:color="auto" w:fill="auto"/>
            <w:vAlign w:val="center"/>
            <w:hideMark/>
          </w:tcPr>
          <w:p w14:paraId="0EB1F8E5"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2675" w:type="dxa"/>
            <w:gridSpan w:val="2"/>
            <w:tcBorders>
              <w:top w:val="single" w:sz="8" w:space="0" w:color="auto"/>
              <w:left w:val="nil"/>
              <w:bottom w:val="single" w:sz="8" w:space="0" w:color="auto"/>
              <w:right w:val="single" w:sz="8" w:space="0" w:color="000000"/>
            </w:tcBorders>
            <w:shd w:val="clear" w:color="auto" w:fill="auto"/>
            <w:vAlign w:val="center"/>
            <w:hideMark/>
          </w:tcPr>
          <w:p w14:paraId="5CA63504"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xml:space="preserve">                  Subtotal </w:t>
            </w:r>
          </w:p>
        </w:tc>
        <w:tc>
          <w:tcPr>
            <w:tcW w:w="1256" w:type="dxa"/>
            <w:tcBorders>
              <w:top w:val="single" w:sz="8" w:space="0" w:color="auto"/>
              <w:left w:val="nil"/>
              <w:bottom w:val="single" w:sz="8" w:space="0" w:color="auto"/>
              <w:right w:val="single" w:sz="8" w:space="0" w:color="auto"/>
            </w:tcBorders>
            <w:shd w:val="clear" w:color="auto" w:fill="auto"/>
            <w:vAlign w:val="center"/>
            <w:hideMark/>
          </w:tcPr>
          <w:p w14:paraId="6F4CD3C2"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-31,2</w:t>
            </w:r>
          </w:p>
        </w:tc>
        <w:tc>
          <w:tcPr>
            <w:tcW w:w="131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164BC99"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-51</w:t>
            </w:r>
          </w:p>
        </w:tc>
        <w:tc>
          <w:tcPr>
            <w:tcW w:w="1328" w:type="dxa"/>
            <w:tcBorders>
              <w:top w:val="single" w:sz="8" w:space="0" w:color="auto"/>
              <w:left w:val="nil"/>
              <w:bottom w:val="single" w:sz="8" w:space="0" w:color="auto"/>
              <w:right w:val="nil"/>
            </w:tcBorders>
            <w:shd w:val="clear" w:color="auto" w:fill="auto"/>
            <w:noWrap/>
            <w:vAlign w:val="center"/>
            <w:hideMark/>
          </w:tcPr>
          <w:p w14:paraId="40A434FD"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-14</w:t>
            </w:r>
          </w:p>
        </w:tc>
        <w:tc>
          <w:tcPr>
            <w:tcW w:w="1328" w:type="dxa"/>
            <w:tcBorders>
              <w:top w:val="single" w:sz="8" w:space="0" w:color="auto"/>
              <w:left w:val="single" w:sz="4" w:space="0" w:color="auto"/>
              <w:bottom w:val="single" w:sz="8" w:space="0" w:color="auto"/>
              <w:right w:val="nil"/>
            </w:tcBorders>
            <w:shd w:val="clear" w:color="auto" w:fill="auto"/>
            <w:noWrap/>
            <w:vAlign w:val="center"/>
            <w:hideMark/>
          </w:tcPr>
          <w:p w14:paraId="7691AE0A"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-14,5</w:t>
            </w:r>
          </w:p>
        </w:tc>
        <w:tc>
          <w:tcPr>
            <w:tcW w:w="1328" w:type="dxa"/>
            <w:tcBorders>
              <w:top w:val="single" w:sz="8" w:space="0" w:color="auto"/>
              <w:left w:val="single" w:sz="4" w:space="0" w:color="auto"/>
              <w:bottom w:val="single" w:sz="8" w:space="0" w:color="auto"/>
              <w:right w:val="nil"/>
            </w:tcBorders>
            <w:shd w:val="clear" w:color="auto" w:fill="auto"/>
            <w:noWrap/>
            <w:vAlign w:val="center"/>
            <w:hideMark/>
          </w:tcPr>
          <w:p w14:paraId="4DCEB78F"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0</w:t>
            </w:r>
          </w:p>
        </w:tc>
        <w:tc>
          <w:tcPr>
            <w:tcW w:w="1094" w:type="dxa"/>
            <w:tcBorders>
              <w:top w:val="single" w:sz="8" w:space="0" w:color="auto"/>
              <w:left w:val="single" w:sz="4" w:space="0" w:color="auto"/>
              <w:bottom w:val="single" w:sz="8" w:space="0" w:color="auto"/>
              <w:right w:val="double" w:sz="6" w:space="0" w:color="auto"/>
            </w:tcBorders>
            <w:shd w:val="clear" w:color="auto" w:fill="auto"/>
            <w:noWrap/>
            <w:vAlign w:val="center"/>
            <w:hideMark/>
          </w:tcPr>
          <w:p w14:paraId="0E64C198"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0</w:t>
            </w:r>
          </w:p>
        </w:tc>
      </w:tr>
      <w:tr w:rsidR="00F13531" w:rsidRPr="00F13531" w14:paraId="03975D98" w14:textId="77777777" w:rsidTr="00F13531">
        <w:trPr>
          <w:trHeight w:val="315"/>
        </w:trPr>
        <w:tc>
          <w:tcPr>
            <w:tcW w:w="5236" w:type="dxa"/>
            <w:tcBorders>
              <w:top w:val="nil"/>
              <w:left w:val="double" w:sz="6" w:space="0" w:color="auto"/>
              <w:bottom w:val="double" w:sz="6" w:space="0" w:color="auto"/>
              <w:right w:val="nil"/>
            </w:tcBorders>
            <w:shd w:val="clear" w:color="auto" w:fill="auto"/>
            <w:noWrap/>
            <w:vAlign w:val="bottom"/>
            <w:hideMark/>
          </w:tcPr>
          <w:p w14:paraId="69100139" w14:textId="77777777" w:rsidR="00F13531" w:rsidRPr="00F13531" w:rsidRDefault="00F13531" w:rsidP="00F13531">
            <w:pPr>
              <w:spacing w:after="0"/>
              <w:jc w:val="left"/>
              <w:rPr>
                <w:rFonts w:eastAsia="Times New Roman" w:cs="Times New Roman"/>
                <w:sz w:val="20"/>
                <w:szCs w:val="20"/>
              </w:rPr>
            </w:pPr>
            <w:r w:rsidRPr="00F13531">
              <w:rPr>
                <w:rFonts w:eastAsia="Times New Roman" w:cs="Times New Roman"/>
                <w:sz w:val="20"/>
                <w:szCs w:val="20"/>
              </w:rPr>
              <w:t> </w:t>
            </w:r>
          </w:p>
        </w:tc>
        <w:tc>
          <w:tcPr>
            <w:tcW w:w="2675" w:type="dxa"/>
            <w:gridSpan w:val="2"/>
            <w:tcBorders>
              <w:top w:val="nil"/>
              <w:left w:val="nil"/>
              <w:bottom w:val="double" w:sz="6" w:space="0" w:color="auto"/>
              <w:right w:val="single" w:sz="8" w:space="0" w:color="000000"/>
            </w:tcBorders>
            <w:shd w:val="clear" w:color="auto" w:fill="auto"/>
            <w:noWrap/>
            <w:vAlign w:val="center"/>
            <w:hideMark/>
          </w:tcPr>
          <w:p w14:paraId="260BD64E" w14:textId="77777777" w:rsidR="00F13531" w:rsidRPr="00F13531" w:rsidRDefault="00F13531" w:rsidP="00F13531">
            <w:pPr>
              <w:spacing w:after="0"/>
              <w:jc w:val="left"/>
              <w:rPr>
                <w:rFonts w:eastAsia="Times New Roman" w:cs="Times New Roman"/>
                <w:b/>
                <w:bCs/>
                <w:sz w:val="20"/>
                <w:szCs w:val="20"/>
              </w:rPr>
            </w:pPr>
            <w:r w:rsidRPr="00F13531">
              <w:rPr>
                <w:rFonts w:eastAsia="Times New Roman" w:cs="Times New Roman"/>
                <w:b/>
                <w:bCs/>
                <w:sz w:val="20"/>
                <w:szCs w:val="20"/>
              </w:rPr>
              <w:t xml:space="preserve">                   Total</w:t>
            </w:r>
          </w:p>
        </w:tc>
        <w:tc>
          <w:tcPr>
            <w:tcW w:w="1256" w:type="dxa"/>
            <w:tcBorders>
              <w:top w:val="nil"/>
              <w:left w:val="nil"/>
              <w:bottom w:val="double" w:sz="6" w:space="0" w:color="auto"/>
              <w:right w:val="single" w:sz="4" w:space="0" w:color="auto"/>
            </w:tcBorders>
            <w:shd w:val="clear" w:color="auto" w:fill="auto"/>
            <w:noWrap/>
            <w:vAlign w:val="center"/>
            <w:hideMark/>
          </w:tcPr>
          <w:p w14:paraId="2F2925B6"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-303,55</w:t>
            </w:r>
          </w:p>
        </w:tc>
        <w:tc>
          <w:tcPr>
            <w:tcW w:w="1310" w:type="dxa"/>
            <w:tcBorders>
              <w:top w:val="nil"/>
              <w:left w:val="nil"/>
              <w:bottom w:val="double" w:sz="6" w:space="0" w:color="auto"/>
              <w:right w:val="single" w:sz="4" w:space="0" w:color="auto"/>
            </w:tcBorders>
            <w:shd w:val="clear" w:color="auto" w:fill="auto"/>
            <w:noWrap/>
            <w:vAlign w:val="center"/>
            <w:hideMark/>
          </w:tcPr>
          <w:p w14:paraId="58987382"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-161,1</w:t>
            </w:r>
          </w:p>
        </w:tc>
        <w:tc>
          <w:tcPr>
            <w:tcW w:w="1328" w:type="dxa"/>
            <w:tcBorders>
              <w:top w:val="nil"/>
              <w:left w:val="nil"/>
              <w:bottom w:val="double" w:sz="6" w:space="0" w:color="auto"/>
              <w:right w:val="single" w:sz="4" w:space="0" w:color="auto"/>
            </w:tcBorders>
            <w:shd w:val="clear" w:color="auto" w:fill="auto"/>
            <w:noWrap/>
            <w:vAlign w:val="center"/>
            <w:hideMark/>
          </w:tcPr>
          <w:p w14:paraId="6B942B80"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-79</w:t>
            </w:r>
          </w:p>
        </w:tc>
        <w:tc>
          <w:tcPr>
            <w:tcW w:w="1328" w:type="dxa"/>
            <w:tcBorders>
              <w:top w:val="nil"/>
              <w:left w:val="nil"/>
              <w:bottom w:val="double" w:sz="6" w:space="0" w:color="auto"/>
              <w:right w:val="single" w:sz="4" w:space="0" w:color="auto"/>
            </w:tcBorders>
            <w:shd w:val="clear" w:color="auto" w:fill="auto"/>
            <w:noWrap/>
            <w:vAlign w:val="center"/>
            <w:hideMark/>
          </w:tcPr>
          <w:p w14:paraId="2E55AF35"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-86,5</w:t>
            </w:r>
          </w:p>
        </w:tc>
        <w:tc>
          <w:tcPr>
            <w:tcW w:w="1328" w:type="dxa"/>
            <w:tcBorders>
              <w:top w:val="nil"/>
              <w:left w:val="nil"/>
              <w:bottom w:val="double" w:sz="6" w:space="0" w:color="auto"/>
              <w:right w:val="single" w:sz="4" w:space="0" w:color="auto"/>
            </w:tcBorders>
            <w:shd w:val="clear" w:color="auto" w:fill="auto"/>
            <w:noWrap/>
            <w:vAlign w:val="center"/>
            <w:hideMark/>
          </w:tcPr>
          <w:p w14:paraId="282F58B3"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-144</w:t>
            </w:r>
          </w:p>
        </w:tc>
        <w:tc>
          <w:tcPr>
            <w:tcW w:w="1094" w:type="dxa"/>
            <w:tcBorders>
              <w:top w:val="nil"/>
              <w:left w:val="nil"/>
              <w:bottom w:val="double" w:sz="6" w:space="0" w:color="auto"/>
              <w:right w:val="double" w:sz="6" w:space="0" w:color="auto"/>
            </w:tcBorders>
            <w:shd w:val="clear" w:color="auto" w:fill="auto"/>
            <w:noWrap/>
            <w:vAlign w:val="center"/>
            <w:hideMark/>
          </w:tcPr>
          <w:p w14:paraId="3B6A99B4" w14:textId="77777777" w:rsidR="00F13531" w:rsidRPr="00F13531" w:rsidRDefault="00F13531" w:rsidP="00F13531">
            <w:pPr>
              <w:spacing w:after="0"/>
              <w:jc w:val="right"/>
              <w:rPr>
                <w:rFonts w:eastAsia="Times New Roman" w:cs="Times New Roman"/>
                <w:b/>
                <w:bCs/>
                <w:sz w:val="20"/>
                <w:szCs w:val="20"/>
              </w:rPr>
            </w:pPr>
            <w:r w:rsidRPr="00F13531">
              <w:rPr>
                <w:rFonts w:eastAsia="Times New Roman" w:cs="Times New Roman"/>
                <w:b/>
                <w:bCs/>
                <w:sz w:val="20"/>
                <w:szCs w:val="20"/>
              </w:rPr>
              <w:t>-180</w:t>
            </w:r>
          </w:p>
        </w:tc>
      </w:tr>
    </w:tbl>
    <w:p w14:paraId="59EE14E1" w14:textId="77777777" w:rsidR="00F13531" w:rsidRDefault="00F13531">
      <w:pPr>
        <w:spacing w:after="160" w:line="259" w:lineRule="auto"/>
        <w:jc w:val="left"/>
      </w:pPr>
      <w:r>
        <w:fldChar w:fldCharType="end"/>
      </w:r>
    </w:p>
    <w:p w14:paraId="48502D7A" w14:textId="77777777" w:rsidR="00AD19C5" w:rsidRDefault="00F13531">
      <w:pPr>
        <w:spacing w:after="160" w:line="259" w:lineRule="auto"/>
        <w:jc w:val="left"/>
        <w:rPr>
          <w:sz w:val="20"/>
          <w:szCs w:val="20"/>
        </w:rPr>
      </w:pPr>
      <w:r w:rsidRPr="00F13531">
        <w:rPr>
          <w:sz w:val="20"/>
          <w:szCs w:val="20"/>
        </w:rPr>
        <w:t>[1] For the purpose of this table, temporary measures refer to those discretionary measures that have no budgetary impact beyond the year of submission. By contrast, those measures adopted o</w:t>
      </w:r>
    </w:p>
    <w:p w14:paraId="201EDF9F" w14:textId="77777777" w:rsidR="00AD19C5" w:rsidRDefault="00AD19C5">
      <w:pPr>
        <w:spacing w:after="160" w:line="259" w:lineRule="auto"/>
        <w:jc w:val="left"/>
        <w:rPr>
          <w:sz w:val="20"/>
          <w:szCs w:val="20"/>
        </w:rPr>
      </w:pPr>
      <w:r>
        <w:rPr>
          <w:sz w:val="20"/>
          <w:szCs w:val="20"/>
        </w:rPr>
        <w:br w:type="page"/>
      </w:r>
    </w:p>
    <w:p w14:paraId="5285A651" w14:textId="1393571C" w:rsidR="00AE7CDC" w:rsidRDefault="00AE7CDC" w:rsidP="00AE7CDC">
      <w:pPr>
        <w:spacing w:after="0"/>
        <w:jc w:val="left"/>
        <w:rPr>
          <w:rFonts w:eastAsia="Times New Roman" w:cs="Times New Roman"/>
          <w:bCs/>
          <w:szCs w:val="24"/>
        </w:rPr>
      </w:pPr>
      <w:r>
        <w:rPr>
          <w:rFonts w:eastAsia="Times New Roman" w:cs="Times New Roman"/>
          <w:bCs/>
          <w:szCs w:val="24"/>
        </w:rPr>
        <w:lastRenderedPageBreak/>
        <w:t>Table 2c:</w:t>
      </w:r>
      <w:r w:rsidRPr="00AE7CDC">
        <w:rPr>
          <w:rFonts w:eastAsia="Times New Roman" w:cs="Times New Roman"/>
          <w:bCs/>
          <w:szCs w:val="24"/>
        </w:rPr>
        <w:t xml:space="preserve">   Discretionary measures adopted/announced according to the Programme</w:t>
      </w:r>
    </w:p>
    <w:p w14:paraId="16818EF6" w14:textId="47E91DC3" w:rsidR="00AE7CDC" w:rsidRDefault="00AE7CDC" w:rsidP="00AE7CDC">
      <w:pPr>
        <w:spacing w:after="0"/>
        <w:jc w:val="left"/>
        <w:rPr>
          <w:rFonts w:eastAsia="Times New Roman" w:cs="Times New Roman"/>
          <w:bCs/>
          <w:szCs w:val="24"/>
        </w:rPr>
      </w:pPr>
    </w:p>
    <w:p w14:paraId="326ED3AF" w14:textId="1979C629" w:rsidR="00AE7CDC" w:rsidRDefault="00AE7CDC" w:rsidP="00AE7CDC">
      <w:pPr>
        <w:spacing w:after="0"/>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Tab2c-DiscretionaryMeasures!R4C2:R32C11 </w:instrText>
      </w:r>
      <w:r>
        <w:instrText xml:space="preserve">\a \f 4 \h  \* MERGEFORMAT </w:instrText>
      </w:r>
      <w:r>
        <w:fldChar w:fldCharType="separate"/>
      </w:r>
    </w:p>
    <w:tbl>
      <w:tblPr>
        <w:tblW w:w="15490" w:type="dxa"/>
        <w:tblLook w:val="04A0" w:firstRow="1" w:lastRow="0" w:firstColumn="1" w:lastColumn="0" w:noHBand="0" w:noVBand="1"/>
      </w:tblPr>
      <w:tblGrid>
        <w:gridCol w:w="1297"/>
        <w:gridCol w:w="5248"/>
        <w:gridCol w:w="1594"/>
        <w:gridCol w:w="1227"/>
        <w:gridCol w:w="1011"/>
        <w:gridCol w:w="1001"/>
        <w:gridCol w:w="1001"/>
        <w:gridCol w:w="1001"/>
        <w:gridCol w:w="1037"/>
        <w:gridCol w:w="1073"/>
      </w:tblGrid>
      <w:tr w:rsidR="00AE7CDC" w:rsidRPr="00AE7CDC" w14:paraId="662D9DB7" w14:textId="77777777" w:rsidTr="00E7647E">
        <w:trPr>
          <w:trHeight w:val="1256"/>
        </w:trPr>
        <w:tc>
          <w:tcPr>
            <w:tcW w:w="6545" w:type="dxa"/>
            <w:gridSpan w:val="2"/>
            <w:vMerge w:val="restart"/>
            <w:tcBorders>
              <w:top w:val="double" w:sz="6" w:space="0" w:color="auto"/>
              <w:left w:val="double" w:sz="6" w:space="0" w:color="auto"/>
              <w:bottom w:val="single" w:sz="8" w:space="0" w:color="000000"/>
              <w:right w:val="single" w:sz="4" w:space="0" w:color="000000"/>
            </w:tcBorders>
            <w:shd w:val="clear" w:color="auto" w:fill="auto"/>
            <w:vAlign w:val="center"/>
            <w:hideMark/>
          </w:tcPr>
          <w:p w14:paraId="02F406CC" w14:textId="75900DD0"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Measures</w:t>
            </w:r>
          </w:p>
        </w:tc>
        <w:tc>
          <w:tcPr>
            <w:tcW w:w="1594" w:type="dxa"/>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14:paraId="66B57096"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ESA Code (Expenditure / Revenue component)</w:t>
            </w:r>
          </w:p>
        </w:tc>
        <w:tc>
          <w:tcPr>
            <w:tcW w:w="1226" w:type="dxa"/>
            <w:vMerge w:val="restart"/>
            <w:tcBorders>
              <w:top w:val="double" w:sz="6" w:space="0" w:color="auto"/>
              <w:left w:val="single" w:sz="4" w:space="0" w:color="auto"/>
              <w:bottom w:val="single" w:sz="8" w:space="0" w:color="000000"/>
              <w:right w:val="single" w:sz="8" w:space="0" w:color="auto"/>
            </w:tcBorders>
            <w:shd w:val="clear" w:color="auto" w:fill="auto"/>
            <w:vAlign w:val="center"/>
            <w:hideMark/>
          </w:tcPr>
          <w:p w14:paraId="59AD1857"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 xml:space="preserve">Date of adoption </w:t>
            </w:r>
          </w:p>
        </w:tc>
        <w:tc>
          <w:tcPr>
            <w:tcW w:w="6125" w:type="dxa"/>
            <w:gridSpan w:val="6"/>
            <w:tcBorders>
              <w:top w:val="double" w:sz="6" w:space="0" w:color="auto"/>
              <w:left w:val="single" w:sz="8" w:space="0" w:color="auto"/>
              <w:bottom w:val="single" w:sz="4" w:space="0" w:color="auto"/>
              <w:right w:val="double" w:sz="6" w:space="0" w:color="000000"/>
            </w:tcBorders>
            <w:shd w:val="clear" w:color="auto" w:fill="auto"/>
            <w:vAlign w:val="center"/>
            <w:hideMark/>
          </w:tcPr>
          <w:p w14:paraId="608B9706"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 xml:space="preserve">Budgetary impact </w:t>
            </w:r>
            <w:r w:rsidRPr="00AE7CDC">
              <w:rPr>
                <w:rFonts w:eastAsia="Times New Roman" w:cs="Times New Roman"/>
                <w:szCs w:val="24"/>
              </w:rPr>
              <w:t>(% of GDP - change from previous year)</w:t>
            </w:r>
          </w:p>
        </w:tc>
      </w:tr>
      <w:tr w:rsidR="00AE7CDC" w:rsidRPr="00AE7CDC" w14:paraId="2D7F3CFC" w14:textId="77777777" w:rsidTr="00E7647E">
        <w:trPr>
          <w:trHeight w:val="291"/>
        </w:trPr>
        <w:tc>
          <w:tcPr>
            <w:tcW w:w="6545" w:type="dxa"/>
            <w:gridSpan w:val="2"/>
            <w:vMerge/>
            <w:tcBorders>
              <w:top w:val="double" w:sz="6" w:space="0" w:color="auto"/>
              <w:left w:val="double" w:sz="6" w:space="0" w:color="auto"/>
              <w:bottom w:val="single" w:sz="8" w:space="0" w:color="000000"/>
              <w:right w:val="single" w:sz="4" w:space="0" w:color="000000"/>
            </w:tcBorders>
            <w:vAlign w:val="center"/>
            <w:hideMark/>
          </w:tcPr>
          <w:p w14:paraId="7F085BD4" w14:textId="77777777" w:rsidR="00AE7CDC" w:rsidRPr="00AE7CDC" w:rsidRDefault="00AE7CDC" w:rsidP="00AE7CDC">
            <w:pPr>
              <w:spacing w:after="0"/>
              <w:jc w:val="left"/>
              <w:rPr>
                <w:rFonts w:eastAsia="Times New Roman" w:cs="Times New Roman"/>
                <w:b/>
                <w:bCs/>
                <w:szCs w:val="24"/>
              </w:rPr>
            </w:pPr>
          </w:p>
        </w:tc>
        <w:tc>
          <w:tcPr>
            <w:tcW w:w="1594" w:type="dxa"/>
            <w:vMerge/>
            <w:tcBorders>
              <w:top w:val="double" w:sz="6" w:space="0" w:color="auto"/>
              <w:left w:val="single" w:sz="4" w:space="0" w:color="auto"/>
              <w:bottom w:val="single" w:sz="8" w:space="0" w:color="000000"/>
              <w:right w:val="single" w:sz="4" w:space="0" w:color="auto"/>
            </w:tcBorders>
            <w:vAlign w:val="center"/>
            <w:hideMark/>
          </w:tcPr>
          <w:p w14:paraId="7EB7D8DC" w14:textId="77777777" w:rsidR="00AE7CDC" w:rsidRPr="00AE7CDC" w:rsidRDefault="00AE7CDC" w:rsidP="00AE7CDC">
            <w:pPr>
              <w:spacing w:after="0"/>
              <w:jc w:val="left"/>
              <w:rPr>
                <w:rFonts w:eastAsia="Times New Roman" w:cs="Times New Roman"/>
                <w:b/>
                <w:bCs/>
                <w:szCs w:val="24"/>
              </w:rPr>
            </w:pPr>
          </w:p>
        </w:tc>
        <w:tc>
          <w:tcPr>
            <w:tcW w:w="1226" w:type="dxa"/>
            <w:vMerge/>
            <w:tcBorders>
              <w:top w:val="double" w:sz="6" w:space="0" w:color="auto"/>
              <w:left w:val="single" w:sz="4" w:space="0" w:color="auto"/>
              <w:bottom w:val="single" w:sz="8" w:space="0" w:color="000000"/>
              <w:right w:val="single" w:sz="8" w:space="0" w:color="auto"/>
            </w:tcBorders>
            <w:vAlign w:val="center"/>
            <w:hideMark/>
          </w:tcPr>
          <w:p w14:paraId="6E077212" w14:textId="77777777" w:rsidR="00AE7CDC" w:rsidRPr="00AE7CDC" w:rsidRDefault="00AE7CDC" w:rsidP="00AE7CDC">
            <w:pPr>
              <w:spacing w:after="0"/>
              <w:jc w:val="left"/>
              <w:rPr>
                <w:rFonts w:eastAsia="Times New Roman" w:cs="Times New Roman"/>
                <w:b/>
                <w:bCs/>
                <w:szCs w:val="24"/>
              </w:rPr>
            </w:pPr>
          </w:p>
        </w:tc>
        <w:tc>
          <w:tcPr>
            <w:tcW w:w="1011" w:type="dxa"/>
            <w:tcBorders>
              <w:top w:val="nil"/>
              <w:left w:val="single" w:sz="4" w:space="0" w:color="auto"/>
              <w:bottom w:val="single" w:sz="8" w:space="0" w:color="auto"/>
              <w:right w:val="single" w:sz="4" w:space="0" w:color="auto"/>
            </w:tcBorders>
            <w:shd w:val="clear" w:color="auto" w:fill="auto"/>
            <w:noWrap/>
            <w:vAlign w:val="bottom"/>
            <w:hideMark/>
          </w:tcPr>
          <w:p w14:paraId="2EB00A03"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2022</w:t>
            </w:r>
          </w:p>
        </w:tc>
        <w:tc>
          <w:tcPr>
            <w:tcW w:w="1001" w:type="dxa"/>
            <w:tcBorders>
              <w:top w:val="nil"/>
              <w:left w:val="nil"/>
              <w:bottom w:val="single" w:sz="8" w:space="0" w:color="auto"/>
              <w:right w:val="nil"/>
            </w:tcBorders>
            <w:shd w:val="clear" w:color="auto" w:fill="auto"/>
            <w:noWrap/>
            <w:vAlign w:val="bottom"/>
            <w:hideMark/>
          </w:tcPr>
          <w:p w14:paraId="327CD71A"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2023</w:t>
            </w:r>
          </w:p>
        </w:tc>
        <w:tc>
          <w:tcPr>
            <w:tcW w:w="1001" w:type="dxa"/>
            <w:tcBorders>
              <w:top w:val="nil"/>
              <w:left w:val="single" w:sz="4" w:space="0" w:color="auto"/>
              <w:bottom w:val="single" w:sz="8" w:space="0" w:color="auto"/>
              <w:right w:val="nil"/>
            </w:tcBorders>
            <w:shd w:val="clear" w:color="auto" w:fill="auto"/>
            <w:noWrap/>
            <w:vAlign w:val="bottom"/>
            <w:hideMark/>
          </w:tcPr>
          <w:p w14:paraId="7A54DB41"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2024</w:t>
            </w:r>
          </w:p>
        </w:tc>
        <w:tc>
          <w:tcPr>
            <w:tcW w:w="1001" w:type="dxa"/>
            <w:tcBorders>
              <w:top w:val="nil"/>
              <w:left w:val="single" w:sz="4" w:space="0" w:color="auto"/>
              <w:bottom w:val="single" w:sz="8" w:space="0" w:color="auto"/>
              <w:right w:val="nil"/>
            </w:tcBorders>
            <w:shd w:val="clear" w:color="auto" w:fill="auto"/>
            <w:noWrap/>
            <w:vAlign w:val="bottom"/>
            <w:hideMark/>
          </w:tcPr>
          <w:p w14:paraId="246C5283"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2025</w:t>
            </w:r>
          </w:p>
        </w:tc>
        <w:tc>
          <w:tcPr>
            <w:tcW w:w="1037" w:type="dxa"/>
            <w:tcBorders>
              <w:top w:val="nil"/>
              <w:left w:val="single" w:sz="4" w:space="0" w:color="auto"/>
              <w:bottom w:val="single" w:sz="8" w:space="0" w:color="auto"/>
              <w:right w:val="double" w:sz="6" w:space="0" w:color="auto"/>
            </w:tcBorders>
            <w:shd w:val="clear" w:color="auto" w:fill="auto"/>
            <w:noWrap/>
            <w:vAlign w:val="bottom"/>
            <w:hideMark/>
          </w:tcPr>
          <w:p w14:paraId="6AA635D7"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2026</w:t>
            </w:r>
          </w:p>
        </w:tc>
        <w:tc>
          <w:tcPr>
            <w:tcW w:w="1071" w:type="dxa"/>
            <w:tcBorders>
              <w:top w:val="nil"/>
              <w:left w:val="single" w:sz="4" w:space="0" w:color="auto"/>
              <w:bottom w:val="single" w:sz="8" w:space="0" w:color="auto"/>
              <w:right w:val="double" w:sz="6" w:space="0" w:color="auto"/>
            </w:tcBorders>
            <w:shd w:val="clear" w:color="auto" w:fill="auto"/>
            <w:noWrap/>
            <w:vAlign w:val="bottom"/>
            <w:hideMark/>
          </w:tcPr>
          <w:p w14:paraId="056C7989"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2027</w:t>
            </w:r>
          </w:p>
        </w:tc>
      </w:tr>
      <w:tr w:rsidR="00AE7CDC" w:rsidRPr="00AE7CDC" w14:paraId="5FC4D97D" w14:textId="77777777" w:rsidTr="00E7647E">
        <w:trPr>
          <w:trHeight w:val="274"/>
        </w:trPr>
        <w:tc>
          <w:tcPr>
            <w:tcW w:w="1297" w:type="dxa"/>
            <w:vMerge w:val="restart"/>
            <w:tcBorders>
              <w:top w:val="nil"/>
              <w:left w:val="double" w:sz="6" w:space="0" w:color="auto"/>
              <w:bottom w:val="single" w:sz="4" w:space="0" w:color="000000"/>
              <w:right w:val="single" w:sz="4" w:space="0" w:color="auto"/>
            </w:tcBorders>
            <w:shd w:val="clear" w:color="auto" w:fill="auto"/>
            <w:vAlign w:val="center"/>
            <w:hideMark/>
          </w:tcPr>
          <w:p w14:paraId="05535C9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i/>
                <w:iCs/>
                <w:szCs w:val="24"/>
              </w:rPr>
              <w:t>Temporary</w:t>
            </w:r>
            <w:r w:rsidRPr="00AE7CDC">
              <w:rPr>
                <w:rFonts w:eastAsia="Times New Roman" w:cs="Times New Roman"/>
                <w:szCs w:val="24"/>
              </w:rPr>
              <w:t xml:space="preserve"> measures</w:t>
            </w:r>
            <w:r w:rsidRPr="00AE7CDC">
              <w:rPr>
                <w:rFonts w:eastAsia="Times New Roman" w:cs="Times New Roman"/>
                <w:szCs w:val="24"/>
                <w:vertAlign w:val="superscript"/>
              </w:rPr>
              <w:t>1</w:t>
            </w:r>
          </w:p>
        </w:tc>
        <w:tc>
          <w:tcPr>
            <w:tcW w:w="5247" w:type="dxa"/>
            <w:tcBorders>
              <w:top w:val="nil"/>
              <w:left w:val="nil"/>
              <w:bottom w:val="single" w:sz="4" w:space="0" w:color="auto"/>
              <w:right w:val="single" w:sz="4" w:space="0" w:color="auto"/>
            </w:tcBorders>
            <w:shd w:val="clear" w:color="auto" w:fill="auto"/>
            <w:noWrap/>
            <w:vAlign w:val="center"/>
            <w:hideMark/>
          </w:tcPr>
          <w:p w14:paraId="6A1342C0"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Assistance to pensioners</w:t>
            </w:r>
          </w:p>
        </w:tc>
        <w:tc>
          <w:tcPr>
            <w:tcW w:w="1594" w:type="dxa"/>
            <w:tcBorders>
              <w:top w:val="nil"/>
              <w:left w:val="nil"/>
              <w:bottom w:val="single" w:sz="4" w:space="0" w:color="auto"/>
              <w:right w:val="single" w:sz="4" w:space="0" w:color="auto"/>
            </w:tcBorders>
            <w:shd w:val="clear" w:color="auto" w:fill="auto"/>
            <w:noWrap/>
            <w:vAlign w:val="center"/>
            <w:hideMark/>
          </w:tcPr>
          <w:p w14:paraId="7FF4A74C"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D62</w:t>
            </w:r>
          </w:p>
        </w:tc>
        <w:tc>
          <w:tcPr>
            <w:tcW w:w="1226" w:type="dxa"/>
            <w:tcBorders>
              <w:top w:val="nil"/>
              <w:left w:val="nil"/>
              <w:bottom w:val="single" w:sz="4" w:space="0" w:color="auto"/>
              <w:right w:val="single" w:sz="8" w:space="0" w:color="auto"/>
            </w:tcBorders>
            <w:shd w:val="clear" w:color="auto" w:fill="auto"/>
            <w:noWrap/>
            <w:vAlign w:val="center"/>
            <w:hideMark/>
          </w:tcPr>
          <w:p w14:paraId="67C30FDC"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41445180"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-0,3</w:t>
            </w:r>
          </w:p>
        </w:tc>
        <w:tc>
          <w:tcPr>
            <w:tcW w:w="1001" w:type="dxa"/>
            <w:tcBorders>
              <w:top w:val="nil"/>
              <w:left w:val="nil"/>
              <w:bottom w:val="single" w:sz="4" w:space="0" w:color="auto"/>
              <w:right w:val="single" w:sz="4" w:space="0" w:color="auto"/>
            </w:tcBorders>
            <w:shd w:val="clear" w:color="auto" w:fill="auto"/>
            <w:noWrap/>
            <w:vAlign w:val="center"/>
            <w:hideMark/>
          </w:tcPr>
          <w:p w14:paraId="74F76886"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0,1</w:t>
            </w:r>
          </w:p>
        </w:tc>
        <w:tc>
          <w:tcPr>
            <w:tcW w:w="1001" w:type="dxa"/>
            <w:tcBorders>
              <w:top w:val="nil"/>
              <w:left w:val="nil"/>
              <w:bottom w:val="single" w:sz="4" w:space="0" w:color="auto"/>
              <w:right w:val="single" w:sz="4" w:space="0" w:color="auto"/>
            </w:tcBorders>
            <w:shd w:val="clear" w:color="auto" w:fill="auto"/>
            <w:noWrap/>
            <w:vAlign w:val="center"/>
            <w:hideMark/>
          </w:tcPr>
          <w:p w14:paraId="5271D26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73A12DF3"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37" w:type="dxa"/>
            <w:tcBorders>
              <w:top w:val="nil"/>
              <w:left w:val="nil"/>
              <w:bottom w:val="single" w:sz="4" w:space="0" w:color="auto"/>
              <w:right w:val="single" w:sz="4" w:space="0" w:color="auto"/>
            </w:tcBorders>
            <w:shd w:val="clear" w:color="auto" w:fill="auto"/>
            <w:noWrap/>
            <w:vAlign w:val="center"/>
            <w:hideMark/>
          </w:tcPr>
          <w:p w14:paraId="096CCB80"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71" w:type="dxa"/>
            <w:tcBorders>
              <w:top w:val="nil"/>
              <w:left w:val="nil"/>
              <w:bottom w:val="single" w:sz="4" w:space="0" w:color="auto"/>
              <w:right w:val="double" w:sz="6" w:space="0" w:color="auto"/>
            </w:tcBorders>
            <w:shd w:val="clear" w:color="auto" w:fill="auto"/>
            <w:noWrap/>
            <w:vAlign w:val="center"/>
            <w:hideMark/>
          </w:tcPr>
          <w:p w14:paraId="2DC7A9AB"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r>
      <w:tr w:rsidR="00AE7CDC" w:rsidRPr="00AE7CDC" w14:paraId="11F65287" w14:textId="77777777" w:rsidTr="00E7647E">
        <w:trPr>
          <w:trHeight w:val="274"/>
        </w:trPr>
        <w:tc>
          <w:tcPr>
            <w:tcW w:w="1297" w:type="dxa"/>
            <w:vMerge/>
            <w:tcBorders>
              <w:top w:val="nil"/>
              <w:left w:val="double" w:sz="6" w:space="0" w:color="auto"/>
              <w:bottom w:val="single" w:sz="4" w:space="0" w:color="000000"/>
              <w:right w:val="single" w:sz="4" w:space="0" w:color="auto"/>
            </w:tcBorders>
            <w:vAlign w:val="center"/>
            <w:hideMark/>
          </w:tcPr>
          <w:p w14:paraId="1DD87E7B" w14:textId="77777777" w:rsidR="00AE7CDC" w:rsidRPr="00AE7CDC" w:rsidRDefault="00AE7CDC" w:rsidP="00AE7CDC">
            <w:pPr>
              <w:spacing w:after="0"/>
              <w:jc w:val="left"/>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15790802"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Assistance to unemployed</w:t>
            </w:r>
          </w:p>
        </w:tc>
        <w:tc>
          <w:tcPr>
            <w:tcW w:w="1594" w:type="dxa"/>
            <w:tcBorders>
              <w:top w:val="nil"/>
              <w:left w:val="nil"/>
              <w:bottom w:val="single" w:sz="4" w:space="0" w:color="auto"/>
              <w:right w:val="single" w:sz="4" w:space="0" w:color="auto"/>
            </w:tcBorders>
            <w:shd w:val="clear" w:color="auto" w:fill="auto"/>
            <w:noWrap/>
            <w:vAlign w:val="center"/>
            <w:hideMark/>
          </w:tcPr>
          <w:p w14:paraId="5F34E79A"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D62</w:t>
            </w:r>
          </w:p>
        </w:tc>
        <w:tc>
          <w:tcPr>
            <w:tcW w:w="1226" w:type="dxa"/>
            <w:tcBorders>
              <w:top w:val="nil"/>
              <w:left w:val="single" w:sz="4" w:space="0" w:color="auto"/>
              <w:bottom w:val="single" w:sz="4" w:space="0" w:color="auto"/>
              <w:right w:val="single" w:sz="8" w:space="0" w:color="auto"/>
            </w:tcBorders>
            <w:shd w:val="clear" w:color="auto" w:fill="auto"/>
            <w:noWrap/>
            <w:vAlign w:val="center"/>
            <w:hideMark/>
          </w:tcPr>
          <w:p w14:paraId="0BA5E59A"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7665F293"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4017E2FE"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nil"/>
            </w:tcBorders>
            <w:shd w:val="clear" w:color="auto" w:fill="auto"/>
            <w:noWrap/>
            <w:vAlign w:val="center"/>
            <w:hideMark/>
          </w:tcPr>
          <w:p w14:paraId="6F6C1232"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single" w:sz="4" w:space="0" w:color="auto"/>
              <w:bottom w:val="single" w:sz="4" w:space="0" w:color="auto"/>
              <w:right w:val="nil"/>
            </w:tcBorders>
            <w:shd w:val="clear" w:color="auto" w:fill="auto"/>
            <w:noWrap/>
            <w:vAlign w:val="center"/>
            <w:hideMark/>
          </w:tcPr>
          <w:p w14:paraId="200305E5"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37" w:type="dxa"/>
            <w:tcBorders>
              <w:top w:val="nil"/>
              <w:left w:val="single" w:sz="4" w:space="0" w:color="auto"/>
              <w:bottom w:val="single" w:sz="4" w:space="0" w:color="auto"/>
              <w:right w:val="nil"/>
            </w:tcBorders>
            <w:shd w:val="clear" w:color="auto" w:fill="auto"/>
            <w:noWrap/>
            <w:vAlign w:val="center"/>
            <w:hideMark/>
          </w:tcPr>
          <w:p w14:paraId="2F05F43D"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71" w:type="dxa"/>
            <w:tcBorders>
              <w:top w:val="nil"/>
              <w:left w:val="single" w:sz="4" w:space="0" w:color="auto"/>
              <w:bottom w:val="single" w:sz="4" w:space="0" w:color="auto"/>
              <w:right w:val="double" w:sz="6" w:space="0" w:color="auto"/>
            </w:tcBorders>
            <w:shd w:val="clear" w:color="auto" w:fill="auto"/>
            <w:noWrap/>
            <w:vAlign w:val="center"/>
            <w:hideMark/>
          </w:tcPr>
          <w:p w14:paraId="12779E08"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r>
      <w:tr w:rsidR="00AE7CDC" w:rsidRPr="00AE7CDC" w14:paraId="1FEC1714" w14:textId="77777777" w:rsidTr="00E7647E">
        <w:trPr>
          <w:trHeight w:val="274"/>
        </w:trPr>
        <w:tc>
          <w:tcPr>
            <w:tcW w:w="1297" w:type="dxa"/>
            <w:vMerge/>
            <w:tcBorders>
              <w:top w:val="nil"/>
              <w:left w:val="double" w:sz="6" w:space="0" w:color="auto"/>
              <w:bottom w:val="single" w:sz="4" w:space="0" w:color="000000"/>
              <w:right w:val="single" w:sz="4" w:space="0" w:color="auto"/>
            </w:tcBorders>
            <w:vAlign w:val="center"/>
            <w:hideMark/>
          </w:tcPr>
          <w:p w14:paraId="31C8D2AB" w14:textId="77777777" w:rsidR="00AE7CDC" w:rsidRPr="00AE7CDC" w:rsidRDefault="00AE7CDC" w:rsidP="00AE7CDC">
            <w:pPr>
              <w:spacing w:after="0"/>
              <w:jc w:val="left"/>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0046CADC"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Assistance to young people</w:t>
            </w:r>
          </w:p>
        </w:tc>
        <w:tc>
          <w:tcPr>
            <w:tcW w:w="1594" w:type="dxa"/>
            <w:tcBorders>
              <w:top w:val="nil"/>
              <w:left w:val="nil"/>
              <w:bottom w:val="single" w:sz="4" w:space="0" w:color="auto"/>
              <w:right w:val="single" w:sz="4" w:space="0" w:color="auto"/>
            </w:tcBorders>
            <w:shd w:val="clear" w:color="auto" w:fill="auto"/>
            <w:noWrap/>
            <w:vAlign w:val="center"/>
            <w:hideMark/>
          </w:tcPr>
          <w:p w14:paraId="36E0FA2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D7</w:t>
            </w:r>
          </w:p>
        </w:tc>
        <w:tc>
          <w:tcPr>
            <w:tcW w:w="1226" w:type="dxa"/>
            <w:tcBorders>
              <w:top w:val="nil"/>
              <w:left w:val="single" w:sz="4" w:space="0" w:color="auto"/>
              <w:bottom w:val="single" w:sz="4" w:space="0" w:color="auto"/>
              <w:right w:val="single" w:sz="8" w:space="0" w:color="auto"/>
            </w:tcBorders>
            <w:shd w:val="clear" w:color="auto" w:fill="auto"/>
            <w:noWrap/>
            <w:vAlign w:val="center"/>
            <w:hideMark/>
          </w:tcPr>
          <w:p w14:paraId="6FE914F6"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5BD62072"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-0,4</w:t>
            </w:r>
          </w:p>
        </w:tc>
        <w:tc>
          <w:tcPr>
            <w:tcW w:w="1001" w:type="dxa"/>
            <w:tcBorders>
              <w:top w:val="nil"/>
              <w:left w:val="nil"/>
              <w:bottom w:val="single" w:sz="4" w:space="0" w:color="auto"/>
              <w:right w:val="single" w:sz="4" w:space="0" w:color="auto"/>
            </w:tcBorders>
            <w:shd w:val="clear" w:color="auto" w:fill="auto"/>
            <w:noWrap/>
            <w:vAlign w:val="center"/>
            <w:hideMark/>
          </w:tcPr>
          <w:p w14:paraId="40A791A7"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nil"/>
            </w:tcBorders>
            <w:shd w:val="clear" w:color="auto" w:fill="auto"/>
            <w:noWrap/>
            <w:vAlign w:val="center"/>
            <w:hideMark/>
          </w:tcPr>
          <w:p w14:paraId="778B7E25"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single" w:sz="4" w:space="0" w:color="auto"/>
              <w:bottom w:val="single" w:sz="4" w:space="0" w:color="auto"/>
              <w:right w:val="nil"/>
            </w:tcBorders>
            <w:shd w:val="clear" w:color="auto" w:fill="auto"/>
            <w:noWrap/>
            <w:vAlign w:val="center"/>
            <w:hideMark/>
          </w:tcPr>
          <w:p w14:paraId="3D734069"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37" w:type="dxa"/>
            <w:tcBorders>
              <w:top w:val="nil"/>
              <w:left w:val="single" w:sz="4" w:space="0" w:color="auto"/>
              <w:bottom w:val="single" w:sz="4" w:space="0" w:color="auto"/>
              <w:right w:val="nil"/>
            </w:tcBorders>
            <w:shd w:val="clear" w:color="auto" w:fill="auto"/>
            <w:noWrap/>
            <w:vAlign w:val="center"/>
            <w:hideMark/>
          </w:tcPr>
          <w:p w14:paraId="097AD670"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71" w:type="dxa"/>
            <w:tcBorders>
              <w:top w:val="nil"/>
              <w:left w:val="single" w:sz="4" w:space="0" w:color="auto"/>
              <w:bottom w:val="single" w:sz="4" w:space="0" w:color="auto"/>
              <w:right w:val="double" w:sz="6" w:space="0" w:color="auto"/>
            </w:tcBorders>
            <w:shd w:val="clear" w:color="auto" w:fill="auto"/>
            <w:noWrap/>
            <w:vAlign w:val="center"/>
            <w:hideMark/>
          </w:tcPr>
          <w:p w14:paraId="48813571"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r>
      <w:tr w:rsidR="00AE7CDC" w:rsidRPr="00AE7CDC" w14:paraId="6CA9752A" w14:textId="77777777" w:rsidTr="00E7647E">
        <w:trPr>
          <w:trHeight w:val="274"/>
        </w:trPr>
        <w:tc>
          <w:tcPr>
            <w:tcW w:w="1297" w:type="dxa"/>
            <w:vMerge/>
            <w:tcBorders>
              <w:top w:val="nil"/>
              <w:left w:val="double" w:sz="6" w:space="0" w:color="auto"/>
              <w:bottom w:val="single" w:sz="4" w:space="0" w:color="000000"/>
              <w:right w:val="single" w:sz="4" w:space="0" w:color="auto"/>
            </w:tcBorders>
            <w:vAlign w:val="center"/>
            <w:hideMark/>
          </w:tcPr>
          <w:p w14:paraId="3F3E2ABD" w14:textId="77777777" w:rsidR="00AE7CDC" w:rsidRPr="00AE7CDC" w:rsidRDefault="00AE7CDC" w:rsidP="00AE7CDC">
            <w:pPr>
              <w:spacing w:after="0"/>
              <w:jc w:val="left"/>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4EFA71A5"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Assistance to health, education and science workers in public sector</w:t>
            </w:r>
          </w:p>
        </w:tc>
        <w:tc>
          <w:tcPr>
            <w:tcW w:w="1594" w:type="dxa"/>
            <w:tcBorders>
              <w:top w:val="nil"/>
              <w:left w:val="nil"/>
              <w:bottom w:val="single" w:sz="4" w:space="0" w:color="auto"/>
              <w:right w:val="single" w:sz="4" w:space="0" w:color="auto"/>
            </w:tcBorders>
            <w:shd w:val="clear" w:color="auto" w:fill="auto"/>
            <w:noWrap/>
            <w:vAlign w:val="center"/>
            <w:hideMark/>
          </w:tcPr>
          <w:p w14:paraId="78E6B0BD"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D1</w:t>
            </w:r>
          </w:p>
        </w:tc>
        <w:tc>
          <w:tcPr>
            <w:tcW w:w="1226" w:type="dxa"/>
            <w:tcBorders>
              <w:top w:val="nil"/>
              <w:left w:val="single" w:sz="4" w:space="0" w:color="auto"/>
              <w:bottom w:val="single" w:sz="4" w:space="0" w:color="auto"/>
              <w:right w:val="single" w:sz="8" w:space="0" w:color="auto"/>
            </w:tcBorders>
            <w:shd w:val="clear" w:color="auto" w:fill="auto"/>
            <w:noWrap/>
            <w:vAlign w:val="center"/>
            <w:hideMark/>
          </w:tcPr>
          <w:p w14:paraId="45172EC8"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256A8CB1"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0,0</w:t>
            </w:r>
          </w:p>
        </w:tc>
        <w:tc>
          <w:tcPr>
            <w:tcW w:w="1001" w:type="dxa"/>
            <w:tcBorders>
              <w:top w:val="nil"/>
              <w:left w:val="nil"/>
              <w:bottom w:val="single" w:sz="4" w:space="0" w:color="auto"/>
              <w:right w:val="single" w:sz="4" w:space="0" w:color="auto"/>
            </w:tcBorders>
            <w:shd w:val="clear" w:color="auto" w:fill="auto"/>
            <w:noWrap/>
            <w:vAlign w:val="center"/>
            <w:hideMark/>
          </w:tcPr>
          <w:p w14:paraId="03A43A92"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nil"/>
            </w:tcBorders>
            <w:shd w:val="clear" w:color="auto" w:fill="auto"/>
            <w:noWrap/>
            <w:vAlign w:val="center"/>
            <w:hideMark/>
          </w:tcPr>
          <w:p w14:paraId="4E67A577"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single" w:sz="4" w:space="0" w:color="auto"/>
              <w:bottom w:val="single" w:sz="4" w:space="0" w:color="auto"/>
              <w:right w:val="nil"/>
            </w:tcBorders>
            <w:shd w:val="clear" w:color="auto" w:fill="auto"/>
            <w:noWrap/>
            <w:vAlign w:val="center"/>
            <w:hideMark/>
          </w:tcPr>
          <w:p w14:paraId="7943A96F"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37" w:type="dxa"/>
            <w:tcBorders>
              <w:top w:val="nil"/>
              <w:left w:val="single" w:sz="4" w:space="0" w:color="auto"/>
              <w:bottom w:val="single" w:sz="4" w:space="0" w:color="auto"/>
              <w:right w:val="nil"/>
            </w:tcBorders>
            <w:shd w:val="clear" w:color="auto" w:fill="auto"/>
            <w:noWrap/>
            <w:vAlign w:val="center"/>
            <w:hideMark/>
          </w:tcPr>
          <w:p w14:paraId="33C7F40C"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71" w:type="dxa"/>
            <w:tcBorders>
              <w:top w:val="nil"/>
              <w:left w:val="single" w:sz="4" w:space="0" w:color="auto"/>
              <w:bottom w:val="single" w:sz="4" w:space="0" w:color="auto"/>
              <w:right w:val="double" w:sz="6" w:space="0" w:color="auto"/>
            </w:tcBorders>
            <w:shd w:val="clear" w:color="auto" w:fill="auto"/>
            <w:noWrap/>
            <w:vAlign w:val="center"/>
            <w:hideMark/>
          </w:tcPr>
          <w:p w14:paraId="18EA396B"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r>
      <w:tr w:rsidR="00AE7CDC" w:rsidRPr="00AE7CDC" w14:paraId="319B5D0E" w14:textId="77777777" w:rsidTr="00E7647E">
        <w:trPr>
          <w:trHeight w:val="274"/>
        </w:trPr>
        <w:tc>
          <w:tcPr>
            <w:tcW w:w="1297" w:type="dxa"/>
            <w:vMerge/>
            <w:tcBorders>
              <w:top w:val="nil"/>
              <w:left w:val="double" w:sz="6" w:space="0" w:color="auto"/>
              <w:bottom w:val="single" w:sz="4" w:space="0" w:color="000000"/>
              <w:right w:val="single" w:sz="4" w:space="0" w:color="auto"/>
            </w:tcBorders>
            <w:vAlign w:val="center"/>
            <w:hideMark/>
          </w:tcPr>
          <w:p w14:paraId="3C00CE69" w14:textId="77777777" w:rsidR="00AE7CDC" w:rsidRPr="00AE7CDC" w:rsidRDefault="00AE7CDC" w:rsidP="00AE7CDC">
            <w:pPr>
              <w:spacing w:after="0"/>
              <w:jc w:val="left"/>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05FB5941"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Temporary reduction in oil excises</w:t>
            </w:r>
          </w:p>
        </w:tc>
        <w:tc>
          <w:tcPr>
            <w:tcW w:w="1594" w:type="dxa"/>
            <w:tcBorders>
              <w:top w:val="nil"/>
              <w:left w:val="nil"/>
              <w:bottom w:val="single" w:sz="4" w:space="0" w:color="auto"/>
              <w:right w:val="single" w:sz="4" w:space="0" w:color="auto"/>
            </w:tcBorders>
            <w:shd w:val="clear" w:color="auto" w:fill="auto"/>
            <w:noWrap/>
            <w:vAlign w:val="center"/>
            <w:hideMark/>
          </w:tcPr>
          <w:p w14:paraId="169BD48E"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D2</w:t>
            </w:r>
          </w:p>
        </w:tc>
        <w:tc>
          <w:tcPr>
            <w:tcW w:w="1226" w:type="dxa"/>
            <w:tcBorders>
              <w:top w:val="nil"/>
              <w:left w:val="single" w:sz="4" w:space="0" w:color="auto"/>
              <w:bottom w:val="single" w:sz="4" w:space="0" w:color="auto"/>
              <w:right w:val="single" w:sz="8" w:space="0" w:color="auto"/>
            </w:tcBorders>
            <w:shd w:val="clear" w:color="auto" w:fill="auto"/>
            <w:noWrap/>
            <w:vAlign w:val="center"/>
            <w:hideMark/>
          </w:tcPr>
          <w:p w14:paraId="7335F911"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78A0E4D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-0,2</w:t>
            </w:r>
          </w:p>
        </w:tc>
        <w:tc>
          <w:tcPr>
            <w:tcW w:w="1001" w:type="dxa"/>
            <w:tcBorders>
              <w:top w:val="nil"/>
              <w:left w:val="nil"/>
              <w:bottom w:val="single" w:sz="4" w:space="0" w:color="auto"/>
              <w:right w:val="single" w:sz="4" w:space="0" w:color="auto"/>
            </w:tcBorders>
            <w:shd w:val="clear" w:color="auto" w:fill="auto"/>
            <w:noWrap/>
            <w:vAlign w:val="center"/>
            <w:hideMark/>
          </w:tcPr>
          <w:p w14:paraId="4F778955"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0,0</w:t>
            </w:r>
          </w:p>
        </w:tc>
        <w:tc>
          <w:tcPr>
            <w:tcW w:w="1001" w:type="dxa"/>
            <w:tcBorders>
              <w:top w:val="nil"/>
              <w:left w:val="nil"/>
              <w:bottom w:val="single" w:sz="4" w:space="0" w:color="auto"/>
              <w:right w:val="nil"/>
            </w:tcBorders>
            <w:shd w:val="clear" w:color="auto" w:fill="auto"/>
            <w:noWrap/>
            <w:vAlign w:val="center"/>
            <w:hideMark/>
          </w:tcPr>
          <w:p w14:paraId="37DC6682"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single" w:sz="4" w:space="0" w:color="auto"/>
              <w:bottom w:val="single" w:sz="4" w:space="0" w:color="auto"/>
              <w:right w:val="nil"/>
            </w:tcBorders>
            <w:shd w:val="clear" w:color="auto" w:fill="auto"/>
            <w:noWrap/>
            <w:vAlign w:val="center"/>
            <w:hideMark/>
          </w:tcPr>
          <w:p w14:paraId="1D5560E5"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37" w:type="dxa"/>
            <w:tcBorders>
              <w:top w:val="nil"/>
              <w:left w:val="single" w:sz="4" w:space="0" w:color="auto"/>
              <w:bottom w:val="single" w:sz="4" w:space="0" w:color="auto"/>
              <w:right w:val="nil"/>
            </w:tcBorders>
            <w:shd w:val="clear" w:color="auto" w:fill="auto"/>
            <w:noWrap/>
            <w:vAlign w:val="center"/>
            <w:hideMark/>
          </w:tcPr>
          <w:p w14:paraId="6F72F898"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71" w:type="dxa"/>
            <w:tcBorders>
              <w:top w:val="nil"/>
              <w:left w:val="single" w:sz="4" w:space="0" w:color="auto"/>
              <w:bottom w:val="single" w:sz="4" w:space="0" w:color="auto"/>
              <w:right w:val="double" w:sz="6" w:space="0" w:color="auto"/>
            </w:tcBorders>
            <w:shd w:val="clear" w:color="auto" w:fill="auto"/>
            <w:noWrap/>
            <w:vAlign w:val="center"/>
            <w:hideMark/>
          </w:tcPr>
          <w:p w14:paraId="28B7E365"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r>
      <w:tr w:rsidR="00AE7CDC" w:rsidRPr="00AE7CDC" w14:paraId="2C97E32F" w14:textId="77777777" w:rsidTr="00E7647E">
        <w:trPr>
          <w:trHeight w:val="274"/>
        </w:trPr>
        <w:tc>
          <w:tcPr>
            <w:tcW w:w="1297" w:type="dxa"/>
            <w:vMerge/>
            <w:tcBorders>
              <w:top w:val="nil"/>
              <w:left w:val="double" w:sz="6" w:space="0" w:color="auto"/>
              <w:bottom w:val="single" w:sz="4" w:space="0" w:color="000000"/>
              <w:right w:val="single" w:sz="4" w:space="0" w:color="auto"/>
            </w:tcBorders>
            <w:vAlign w:val="center"/>
            <w:hideMark/>
          </w:tcPr>
          <w:p w14:paraId="304DA0E1" w14:textId="77777777" w:rsidR="00AE7CDC" w:rsidRPr="00AE7CDC" w:rsidRDefault="00AE7CDC" w:rsidP="00AE7CDC">
            <w:pPr>
              <w:spacing w:after="0"/>
              <w:jc w:val="left"/>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2D219375"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Energy sector subsidies</w:t>
            </w:r>
          </w:p>
        </w:tc>
        <w:tc>
          <w:tcPr>
            <w:tcW w:w="1594" w:type="dxa"/>
            <w:tcBorders>
              <w:top w:val="nil"/>
              <w:left w:val="nil"/>
              <w:bottom w:val="single" w:sz="4" w:space="0" w:color="auto"/>
              <w:right w:val="single" w:sz="4" w:space="0" w:color="auto"/>
            </w:tcBorders>
            <w:shd w:val="clear" w:color="auto" w:fill="auto"/>
            <w:noWrap/>
            <w:vAlign w:val="center"/>
            <w:hideMark/>
          </w:tcPr>
          <w:p w14:paraId="7C22C06C"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D3</w:t>
            </w:r>
          </w:p>
        </w:tc>
        <w:tc>
          <w:tcPr>
            <w:tcW w:w="1226" w:type="dxa"/>
            <w:tcBorders>
              <w:top w:val="nil"/>
              <w:left w:val="single" w:sz="4" w:space="0" w:color="auto"/>
              <w:bottom w:val="single" w:sz="4" w:space="0" w:color="auto"/>
              <w:right w:val="single" w:sz="8" w:space="0" w:color="auto"/>
            </w:tcBorders>
            <w:shd w:val="clear" w:color="auto" w:fill="auto"/>
            <w:noWrap/>
            <w:vAlign w:val="center"/>
            <w:hideMark/>
          </w:tcPr>
          <w:p w14:paraId="5C3CF607"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29B7620E"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-2,7</w:t>
            </w:r>
          </w:p>
        </w:tc>
        <w:tc>
          <w:tcPr>
            <w:tcW w:w="1001" w:type="dxa"/>
            <w:tcBorders>
              <w:top w:val="nil"/>
              <w:left w:val="nil"/>
              <w:bottom w:val="single" w:sz="4" w:space="0" w:color="auto"/>
              <w:right w:val="single" w:sz="4" w:space="0" w:color="auto"/>
            </w:tcBorders>
            <w:shd w:val="clear" w:color="auto" w:fill="auto"/>
            <w:noWrap/>
            <w:vAlign w:val="center"/>
            <w:hideMark/>
          </w:tcPr>
          <w:p w14:paraId="7B39820F"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2,0</w:t>
            </w:r>
          </w:p>
        </w:tc>
        <w:tc>
          <w:tcPr>
            <w:tcW w:w="1001" w:type="dxa"/>
            <w:tcBorders>
              <w:top w:val="nil"/>
              <w:left w:val="nil"/>
              <w:bottom w:val="single" w:sz="4" w:space="0" w:color="auto"/>
              <w:right w:val="nil"/>
            </w:tcBorders>
            <w:shd w:val="clear" w:color="auto" w:fill="auto"/>
            <w:noWrap/>
            <w:vAlign w:val="center"/>
            <w:hideMark/>
          </w:tcPr>
          <w:p w14:paraId="683F6485"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0,3</w:t>
            </w:r>
          </w:p>
        </w:tc>
        <w:tc>
          <w:tcPr>
            <w:tcW w:w="1001" w:type="dxa"/>
            <w:tcBorders>
              <w:top w:val="nil"/>
              <w:left w:val="single" w:sz="4" w:space="0" w:color="auto"/>
              <w:bottom w:val="single" w:sz="4" w:space="0" w:color="auto"/>
              <w:right w:val="nil"/>
            </w:tcBorders>
            <w:shd w:val="clear" w:color="auto" w:fill="auto"/>
            <w:noWrap/>
            <w:vAlign w:val="center"/>
            <w:hideMark/>
          </w:tcPr>
          <w:p w14:paraId="630031E2"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37" w:type="dxa"/>
            <w:tcBorders>
              <w:top w:val="nil"/>
              <w:left w:val="single" w:sz="4" w:space="0" w:color="auto"/>
              <w:bottom w:val="single" w:sz="4" w:space="0" w:color="auto"/>
              <w:right w:val="nil"/>
            </w:tcBorders>
            <w:shd w:val="clear" w:color="auto" w:fill="auto"/>
            <w:noWrap/>
            <w:vAlign w:val="center"/>
            <w:hideMark/>
          </w:tcPr>
          <w:p w14:paraId="198696B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71" w:type="dxa"/>
            <w:tcBorders>
              <w:top w:val="nil"/>
              <w:left w:val="single" w:sz="4" w:space="0" w:color="auto"/>
              <w:bottom w:val="single" w:sz="4" w:space="0" w:color="auto"/>
              <w:right w:val="double" w:sz="6" w:space="0" w:color="auto"/>
            </w:tcBorders>
            <w:shd w:val="clear" w:color="auto" w:fill="auto"/>
            <w:noWrap/>
            <w:vAlign w:val="center"/>
            <w:hideMark/>
          </w:tcPr>
          <w:p w14:paraId="5B502492"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r>
      <w:tr w:rsidR="00AE7CDC" w:rsidRPr="00AE7CDC" w14:paraId="0923820E" w14:textId="77777777" w:rsidTr="00E7647E">
        <w:trPr>
          <w:trHeight w:val="274"/>
        </w:trPr>
        <w:tc>
          <w:tcPr>
            <w:tcW w:w="1297" w:type="dxa"/>
            <w:vMerge/>
            <w:tcBorders>
              <w:top w:val="nil"/>
              <w:left w:val="double" w:sz="6" w:space="0" w:color="auto"/>
              <w:bottom w:val="single" w:sz="4" w:space="0" w:color="000000"/>
              <w:right w:val="single" w:sz="4" w:space="0" w:color="auto"/>
            </w:tcBorders>
            <w:vAlign w:val="center"/>
            <w:hideMark/>
          </w:tcPr>
          <w:p w14:paraId="59F35C5D" w14:textId="77777777" w:rsidR="00AE7CDC" w:rsidRPr="00AE7CDC" w:rsidRDefault="00AE7CDC" w:rsidP="00AE7CDC">
            <w:pPr>
              <w:spacing w:after="0"/>
              <w:jc w:val="left"/>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682B30E7"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Assistance to mothers</w:t>
            </w:r>
          </w:p>
        </w:tc>
        <w:tc>
          <w:tcPr>
            <w:tcW w:w="1594" w:type="dxa"/>
            <w:tcBorders>
              <w:top w:val="nil"/>
              <w:left w:val="nil"/>
              <w:bottom w:val="single" w:sz="4" w:space="0" w:color="auto"/>
              <w:right w:val="single" w:sz="4" w:space="0" w:color="auto"/>
            </w:tcBorders>
            <w:shd w:val="clear" w:color="auto" w:fill="auto"/>
            <w:noWrap/>
            <w:vAlign w:val="center"/>
            <w:hideMark/>
          </w:tcPr>
          <w:p w14:paraId="5BFFF4F1"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D7</w:t>
            </w:r>
          </w:p>
        </w:tc>
        <w:tc>
          <w:tcPr>
            <w:tcW w:w="1226" w:type="dxa"/>
            <w:tcBorders>
              <w:top w:val="nil"/>
              <w:left w:val="single" w:sz="4" w:space="0" w:color="auto"/>
              <w:bottom w:val="single" w:sz="4" w:space="0" w:color="auto"/>
              <w:right w:val="single" w:sz="8" w:space="0" w:color="auto"/>
            </w:tcBorders>
            <w:shd w:val="clear" w:color="auto" w:fill="auto"/>
            <w:noWrap/>
            <w:vAlign w:val="center"/>
            <w:hideMark/>
          </w:tcPr>
          <w:p w14:paraId="0564B86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04028AF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70997613"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-0,1</w:t>
            </w:r>
          </w:p>
        </w:tc>
        <w:tc>
          <w:tcPr>
            <w:tcW w:w="1001" w:type="dxa"/>
            <w:tcBorders>
              <w:top w:val="nil"/>
              <w:left w:val="nil"/>
              <w:bottom w:val="single" w:sz="4" w:space="0" w:color="auto"/>
              <w:right w:val="nil"/>
            </w:tcBorders>
            <w:shd w:val="clear" w:color="auto" w:fill="auto"/>
            <w:noWrap/>
            <w:vAlign w:val="center"/>
            <w:hideMark/>
          </w:tcPr>
          <w:p w14:paraId="4A53A306"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single" w:sz="4" w:space="0" w:color="auto"/>
              <w:bottom w:val="single" w:sz="4" w:space="0" w:color="auto"/>
              <w:right w:val="nil"/>
            </w:tcBorders>
            <w:shd w:val="clear" w:color="auto" w:fill="auto"/>
            <w:noWrap/>
            <w:vAlign w:val="center"/>
            <w:hideMark/>
          </w:tcPr>
          <w:p w14:paraId="05A1FB38"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37" w:type="dxa"/>
            <w:tcBorders>
              <w:top w:val="nil"/>
              <w:left w:val="single" w:sz="4" w:space="0" w:color="auto"/>
              <w:bottom w:val="single" w:sz="4" w:space="0" w:color="auto"/>
              <w:right w:val="nil"/>
            </w:tcBorders>
            <w:shd w:val="clear" w:color="auto" w:fill="auto"/>
            <w:noWrap/>
            <w:vAlign w:val="center"/>
            <w:hideMark/>
          </w:tcPr>
          <w:p w14:paraId="322F453F"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71" w:type="dxa"/>
            <w:tcBorders>
              <w:top w:val="nil"/>
              <w:left w:val="single" w:sz="4" w:space="0" w:color="auto"/>
              <w:bottom w:val="single" w:sz="4" w:space="0" w:color="auto"/>
              <w:right w:val="double" w:sz="6" w:space="0" w:color="auto"/>
            </w:tcBorders>
            <w:shd w:val="clear" w:color="auto" w:fill="auto"/>
            <w:noWrap/>
            <w:vAlign w:val="center"/>
            <w:hideMark/>
          </w:tcPr>
          <w:p w14:paraId="5A805AAD"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r>
      <w:tr w:rsidR="00AE7CDC" w:rsidRPr="00AE7CDC" w14:paraId="2F234877" w14:textId="77777777" w:rsidTr="00E7647E">
        <w:trPr>
          <w:trHeight w:val="274"/>
        </w:trPr>
        <w:tc>
          <w:tcPr>
            <w:tcW w:w="1297" w:type="dxa"/>
            <w:vMerge/>
            <w:tcBorders>
              <w:top w:val="nil"/>
              <w:left w:val="double" w:sz="6" w:space="0" w:color="auto"/>
              <w:bottom w:val="single" w:sz="4" w:space="0" w:color="000000"/>
              <w:right w:val="single" w:sz="4" w:space="0" w:color="auto"/>
            </w:tcBorders>
            <w:vAlign w:val="center"/>
            <w:hideMark/>
          </w:tcPr>
          <w:p w14:paraId="32411972" w14:textId="77777777" w:rsidR="00AE7CDC" w:rsidRPr="00AE7CDC" w:rsidRDefault="00AE7CDC" w:rsidP="00AE7CDC">
            <w:pPr>
              <w:spacing w:after="0"/>
              <w:jc w:val="left"/>
              <w:outlineLvl w:val="0"/>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0679F366" w14:textId="77777777" w:rsidR="00AE7CDC" w:rsidRPr="00AE7CDC" w:rsidRDefault="00AE7CDC" w:rsidP="00AE7CDC">
            <w:pPr>
              <w:spacing w:after="0"/>
              <w:jc w:val="left"/>
              <w:outlineLvl w:val="0"/>
              <w:rPr>
                <w:rFonts w:eastAsia="Times New Roman" w:cs="Times New Roman"/>
                <w:szCs w:val="24"/>
              </w:rPr>
            </w:pPr>
            <w:r w:rsidRPr="00AE7CDC">
              <w:rPr>
                <w:rFonts w:eastAsia="Times New Roman" w:cs="Times New Roman"/>
                <w:szCs w:val="24"/>
              </w:rPr>
              <w:t>Assistance to social benefits users</w:t>
            </w:r>
          </w:p>
        </w:tc>
        <w:tc>
          <w:tcPr>
            <w:tcW w:w="1594" w:type="dxa"/>
            <w:tcBorders>
              <w:top w:val="nil"/>
              <w:left w:val="nil"/>
              <w:bottom w:val="single" w:sz="4" w:space="0" w:color="auto"/>
              <w:right w:val="single" w:sz="4" w:space="0" w:color="auto"/>
            </w:tcBorders>
            <w:shd w:val="clear" w:color="auto" w:fill="auto"/>
            <w:noWrap/>
            <w:vAlign w:val="center"/>
            <w:hideMark/>
          </w:tcPr>
          <w:p w14:paraId="0F7B4063"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D62</w:t>
            </w:r>
          </w:p>
        </w:tc>
        <w:tc>
          <w:tcPr>
            <w:tcW w:w="1226" w:type="dxa"/>
            <w:tcBorders>
              <w:top w:val="nil"/>
              <w:left w:val="single" w:sz="4" w:space="0" w:color="auto"/>
              <w:bottom w:val="single" w:sz="4" w:space="0" w:color="auto"/>
              <w:right w:val="single" w:sz="8" w:space="0" w:color="auto"/>
            </w:tcBorders>
            <w:shd w:val="clear" w:color="auto" w:fill="auto"/>
            <w:noWrap/>
            <w:vAlign w:val="center"/>
            <w:hideMark/>
          </w:tcPr>
          <w:p w14:paraId="0661CF83"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71629B3F"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6EEAA4BD"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0,0</w:t>
            </w:r>
          </w:p>
        </w:tc>
        <w:tc>
          <w:tcPr>
            <w:tcW w:w="1001" w:type="dxa"/>
            <w:tcBorders>
              <w:top w:val="nil"/>
              <w:left w:val="nil"/>
              <w:bottom w:val="single" w:sz="4" w:space="0" w:color="auto"/>
              <w:right w:val="nil"/>
            </w:tcBorders>
            <w:shd w:val="clear" w:color="auto" w:fill="auto"/>
            <w:noWrap/>
            <w:vAlign w:val="center"/>
            <w:hideMark/>
          </w:tcPr>
          <w:p w14:paraId="3ABED362"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single" w:sz="4" w:space="0" w:color="auto"/>
              <w:bottom w:val="single" w:sz="4" w:space="0" w:color="auto"/>
              <w:right w:val="nil"/>
            </w:tcBorders>
            <w:shd w:val="clear" w:color="auto" w:fill="auto"/>
            <w:noWrap/>
            <w:vAlign w:val="center"/>
            <w:hideMark/>
          </w:tcPr>
          <w:p w14:paraId="45C01FA8"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37" w:type="dxa"/>
            <w:tcBorders>
              <w:top w:val="nil"/>
              <w:left w:val="single" w:sz="4" w:space="0" w:color="auto"/>
              <w:bottom w:val="single" w:sz="4" w:space="0" w:color="auto"/>
              <w:right w:val="nil"/>
            </w:tcBorders>
            <w:shd w:val="clear" w:color="auto" w:fill="auto"/>
            <w:noWrap/>
            <w:vAlign w:val="center"/>
            <w:hideMark/>
          </w:tcPr>
          <w:p w14:paraId="768B4DB0"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71" w:type="dxa"/>
            <w:tcBorders>
              <w:top w:val="nil"/>
              <w:left w:val="single" w:sz="4" w:space="0" w:color="auto"/>
              <w:bottom w:val="single" w:sz="4" w:space="0" w:color="auto"/>
              <w:right w:val="double" w:sz="6" w:space="0" w:color="auto"/>
            </w:tcBorders>
            <w:shd w:val="clear" w:color="auto" w:fill="auto"/>
            <w:noWrap/>
            <w:vAlign w:val="center"/>
            <w:hideMark/>
          </w:tcPr>
          <w:p w14:paraId="59305B16"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r>
      <w:tr w:rsidR="00AE7CDC" w:rsidRPr="00AE7CDC" w14:paraId="52F667D7" w14:textId="77777777" w:rsidTr="00E7647E">
        <w:trPr>
          <w:trHeight w:val="274"/>
        </w:trPr>
        <w:tc>
          <w:tcPr>
            <w:tcW w:w="1297" w:type="dxa"/>
            <w:vMerge/>
            <w:tcBorders>
              <w:top w:val="nil"/>
              <w:left w:val="double" w:sz="6" w:space="0" w:color="auto"/>
              <w:bottom w:val="single" w:sz="4" w:space="0" w:color="000000"/>
              <w:right w:val="single" w:sz="4" w:space="0" w:color="auto"/>
            </w:tcBorders>
            <w:vAlign w:val="center"/>
            <w:hideMark/>
          </w:tcPr>
          <w:p w14:paraId="779FBF2A" w14:textId="77777777" w:rsidR="00AE7CDC" w:rsidRPr="00AE7CDC" w:rsidRDefault="00AE7CDC" w:rsidP="00AE7CDC">
            <w:pPr>
              <w:spacing w:after="0"/>
              <w:jc w:val="left"/>
              <w:outlineLvl w:val="0"/>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4675A877" w14:textId="77777777" w:rsidR="00AE7CDC" w:rsidRPr="00AE7CDC" w:rsidRDefault="00AE7CDC" w:rsidP="00AE7CDC">
            <w:pPr>
              <w:spacing w:after="0"/>
              <w:jc w:val="left"/>
              <w:outlineLvl w:val="0"/>
              <w:rPr>
                <w:rFonts w:eastAsia="Times New Roman" w:cs="Times New Roman"/>
                <w:szCs w:val="24"/>
              </w:rPr>
            </w:pPr>
            <w:r w:rsidRPr="00AE7CDC">
              <w:rPr>
                <w:rFonts w:eastAsia="Times New Roman" w:cs="Times New Roman"/>
                <w:szCs w:val="24"/>
              </w:rPr>
              <w:t>Increase in gross fixed capital formation spending</w:t>
            </w:r>
          </w:p>
        </w:tc>
        <w:tc>
          <w:tcPr>
            <w:tcW w:w="1594" w:type="dxa"/>
            <w:tcBorders>
              <w:top w:val="nil"/>
              <w:left w:val="nil"/>
              <w:bottom w:val="single" w:sz="4" w:space="0" w:color="auto"/>
              <w:right w:val="single" w:sz="4" w:space="0" w:color="auto"/>
            </w:tcBorders>
            <w:shd w:val="clear" w:color="auto" w:fill="auto"/>
            <w:noWrap/>
            <w:vAlign w:val="center"/>
            <w:hideMark/>
          </w:tcPr>
          <w:p w14:paraId="2ACCC0F6"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P51</w:t>
            </w:r>
          </w:p>
        </w:tc>
        <w:tc>
          <w:tcPr>
            <w:tcW w:w="1226" w:type="dxa"/>
            <w:tcBorders>
              <w:top w:val="nil"/>
              <w:left w:val="single" w:sz="4" w:space="0" w:color="auto"/>
              <w:bottom w:val="single" w:sz="4" w:space="0" w:color="auto"/>
              <w:right w:val="single" w:sz="8" w:space="0" w:color="auto"/>
            </w:tcBorders>
            <w:shd w:val="clear" w:color="auto" w:fill="auto"/>
            <w:noWrap/>
            <w:vAlign w:val="center"/>
            <w:hideMark/>
          </w:tcPr>
          <w:p w14:paraId="0C136E25"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60752D93"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0A6239B8"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nil"/>
            </w:tcBorders>
            <w:shd w:val="clear" w:color="auto" w:fill="auto"/>
            <w:noWrap/>
            <w:vAlign w:val="center"/>
            <w:hideMark/>
          </w:tcPr>
          <w:p w14:paraId="754D0F19"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-0,5</w:t>
            </w:r>
          </w:p>
        </w:tc>
        <w:tc>
          <w:tcPr>
            <w:tcW w:w="1001" w:type="dxa"/>
            <w:tcBorders>
              <w:top w:val="nil"/>
              <w:left w:val="single" w:sz="4" w:space="0" w:color="auto"/>
              <w:bottom w:val="single" w:sz="4" w:space="0" w:color="auto"/>
              <w:right w:val="nil"/>
            </w:tcBorders>
            <w:shd w:val="clear" w:color="auto" w:fill="auto"/>
            <w:noWrap/>
            <w:vAlign w:val="center"/>
            <w:hideMark/>
          </w:tcPr>
          <w:p w14:paraId="28492852"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-0,2</w:t>
            </w:r>
          </w:p>
        </w:tc>
        <w:tc>
          <w:tcPr>
            <w:tcW w:w="1037" w:type="dxa"/>
            <w:tcBorders>
              <w:top w:val="nil"/>
              <w:left w:val="single" w:sz="4" w:space="0" w:color="auto"/>
              <w:bottom w:val="single" w:sz="4" w:space="0" w:color="auto"/>
              <w:right w:val="nil"/>
            </w:tcBorders>
            <w:shd w:val="clear" w:color="auto" w:fill="auto"/>
            <w:noWrap/>
            <w:vAlign w:val="center"/>
            <w:hideMark/>
          </w:tcPr>
          <w:p w14:paraId="199C9D8B"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-0,6</w:t>
            </w:r>
          </w:p>
        </w:tc>
        <w:tc>
          <w:tcPr>
            <w:tcW w:w="1071" w:type="dxa"/>
            <w:tcBorders>
              <w:top w:val="nil"/>
              <w:left w:val="single" w:sz="4" w:space="0" w:color="auto"/>
              <w:bottom w:val="single" w:sz="4" w:space="0" w:color="auto"/>
              <w:right w:val="double" w:sz="6" w:space="0" w:color="auto"/>
            </w:tcBorders>
            <w:shd w:val="clear" w:color="auto" w:fill="auto"/>
            <w:noWrap/>
            <w:vAlign w:val="center"/>
            <w:hideMark/>
          </w:tcPr>
          <w:p w14:paraId="2854A97A"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-0,2</w:t>
            </w:r>
          </w:p>
        </w:tc>
      </w:tr>
      <w:tr w:rsidR="00AE7CDC" w:rsidRPr="00AE7CDC" w14:paraId="3F50BBD2" w14:textId="77777777" w:rsidTr="00E7647E">
        <w:trPr>
          <w:trHeight w:val="283"/>
        </w:trPr>
        <w:tc>
          <w:tcPr>
            <w:tcW w:w="1297" w:type="dxa"/>
            <w:vMerge/>
            <w:tcBorders>
              <w:top w:val="nil"/>
              <w:left w:val="double" w:sz="6" w:space="0" w:color="auto"/>
              <w:bottom w:val="single" w:sz="4" w:space="0" w:color="000000"/>
              <w:right w:val="single" w:sz="4" w:space="0" w:color="auto"/>
            </w:tcBorders>
            <w:vAlign w:val="center"/>
            <w:hideMark/>
          </w:tcPr>
          <w:p w14:paraId="51FA77A0" w14:textId="77777777" w:rsidR="00AE7CDC" w:rsidRPr="00AE7CDC" w:rsidRDefault="00AE7CDC" w:rsidP="00AE7CDC">
            <w:pPr>
              <w:spacing w:after="0"/>
              <w:jc w:val="left"/>
              <w:outlineLvl w:val="0"/>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10CC0AC5" w14:textId="77777777" w:rsidR="00AE7CDC" w:rsidRPr="00AE7CDC" w:rsidRDefault="00AE7CDC" w:rsidP="00AE7CDC">
            <w:pPr>
              <w:spacing w:after="0"/>
              <w:jc w:val="left"/>
              <w:outlineLvl w:val="0"/>
              <w:rPr>
                <w:rFonts w:eastAsia="Times New Roman" w:cs="Times New Roman"/>
                <w:szCs w:val="24"/>
              </w:rPr>
            </w:pPr>
            <w:r w:rsidRPr="00AE7CDC">
              <w:rPr>
                <w:rFonts w:eastAsia="Times New Roman" w:cs="Times New Roman"/>
                <w:szCs w:val="24"/>
              </w:rPr>
              <w:t>:</w:t>
            </w:r>
          </w:p>
        </w:tc>
        <w:tc>
          <w:tcPr>
            <w:tcW w:w="1594" w:type="dxa"/>
            <w:tcBorders>
              <w:top w:val="nil"/>
              <w:left w:val="nil"/>
              <w:bottom w:val="single" w:sz="4" w:space="0" w:color="auto"/>
              <w:right w:val="single" w:sz="4" w:space="0" w:color="auto"/>
            </w:tcBorders>
            <w:shd w:val="clear" w:color="auto" w:fill="auto"/>
            <w:noWrap/>
            <w:vAlign w:val="center"/>
            <w:hideMark/>
          </w:tcPr>
          <w:p w14:paraId="7EC5F2A4"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226" w:type="dxa"/>
            <w:tcBorders>
              <w:top w:val="nil"/>
              <w:left w:val="single" w:sz="4" w:space="0" w:color="auto"/>
              <w:bottom w:val="single" w:sz="4" w:space="0" w:color="auto"/>
              <w:right w:val="single" w:sz="8" w:space="0" w:color="auto"/>
            </w:tcBorders>
            <w:shd w:val="clear" w:color="auto" w:fill="auto"/>
            <w:noWrap/>
            <w:vAlign w:val="center"/>
            <w:hideMark/>
          </w:tcPr>
          <w:p w14:paraId="0AFA7DEF"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46BDF325"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0025AA90"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nil"/>
            </w:tcBorders>
            <w:shd w:val="clear" w:color="auto" w:fill="auto"/>
            <w:noWrap/>
            <w:vAlign w:val="center"/>
            <w:hideMark/>
          </w:tcPr>
          <w:p w14:paraId="400CFACE"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single" w:sz="4" w:space="0" w:color="auto"/>
              <w:bottom w:val="single" w:sz="4" w:space="0" w:color="auto"/>
              <w:right w:val="nil"/>
            </w:tcBorders>
            <w:shd w:val="clear" w:color="auto" w:fill="auto"/>
            <w:noWrap/>
            <w:vAlign w:val="center"/>
            <w:hideMark/>
          </w:tcPr>
          <w:p w14:paraId="4CFE75EC"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37" w:type="dxa"/>
            <w:tcBorders>
              <w:top w:val="nil"/>
              <w:left w:val="single" w:sz="4" w:space="0" w:color="auto"/>
              <w:bottom w:val="single" w:sz="4" w:space="0" w:color="auto"/>
              <w:right w:val="nil"/>
            </w:tcBorders>
            <w:shd w:val="clear" w:color="auto" w:fill="auto"/>
            <w:noWrap/>
            <w:vAlign w:val="center"/>
            <w:hideMark/>
          </w:tcPr>
          <w:p w14:paraId="58FEB2BA"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71" w:type="dxa"/>
            <w:tcBorders>
              <w:top w:val="nil"/>
              <w:left w:val="single" w:sz="4" w:space="0" w:color="auto"/>
              <w:bottom w:val="single" w:sz="4" w:space="0" w:color="auto"/>
              <w:right w:val="double" w:sz="6" w:space="0" w:color="auto"/>
            </w:tcBorders>
            <w:shd w:val="clear" w:color="auto" w:fill="auto"/>
            <w:noWrap/>
            <w:vAlign w:val="center"/>
            <w:hideMark/>
          </w:tcPr>
          <w:p w14:paraId="3E1B7B29"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r>
      <w:tr w:rsidR="00AE7CDC" w:rsidRPr="00AE7CDC" w14:paraId="7F9BDB3E" w14:textId="77777777" w:rsidTr="00E7647E">
        <w:trPr>
          <w:trHeight w:val="265"/>
        </w:trPr>
        <w:tc>
          <w:tcPr>
            <w:tcW w:w="1297" w:type="dxa"/>
            <w:vMerge/>
            <w:tcBorders>
              <w:top w:val="nil"/>
              <w:left w:val="double" w:sz="6" w:space="0" w:color="auto"/>
              <w:bottom w:val="single" w:sz="4" w:space="0" w:color="000000"/>
              <w:right w:val="single" w:sz="4" w:space="0" w:color="auto"/>
            </w:tcBorders>
            <w:vAlign w:val="center"/>
            <w:hideMark/>
          </w:tcPr>
          <w:p w14:paraId="17423EA9" w14:textId="77777777" w:rsidR="00AE7CDC" w:rsidRPr="00AE7CDC" w:rsidRDefault="00AE7CDC" w:rsidP="00AE7CDC">
            <w:pPr>
              <w:spacing w:after="0"/>
              <w:jc w:val="left"/>
              <w:outlineLvl w:val="0"/>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636A84ED" w14:textId="77777777" w:rsidR="00AE7CDC" w:rsidRPr="00AE7CDC" w:rsidRDefault="00AE7CDC" w:rsidP="00AE7CDC">
            <w:pPr>
              <w:spacing w:after="0"/>
              <w:jc w:val="left"/>
              <w:outlineLvl w:val="0"/>
              <w:rPr>
                <w:rFonts w:eastAsia="Times New Roman" w:cs="Times New Roman"/>
                <w:szCs w:val="24"/>
              </w:rPr>
            </w:pPr>
            <w:r w:rsidRPr="00AE7CDC">
              <w:rPr>
                <w:rFonts w:eastAsia="Times New Roman" w:cs="Times New Roman"/>
                <w:szCs w:val="24"/>
              </w:rPr>
              <w:t>:</w:t>
            </w:r>
          </w:p>
        </w:tc>
        <w:tc>
          <w:tcPr>
            <w:tcW w:w="1594" w:type="dxa"/>
            <w:tcBorders>
              <w:top w:val="nil"/>
              <w:left w:val="nil"/>
              <w:bottom w:val="single" w:sz="4" w:space="0" w:color="auto"/>
              <w:right w:val="single" w:sz="4" w:space="0" w:color="auto"/>
            </w:tcBorders>
            <w:shd w:val="clear" w:color="auto" w:fill="auto"/>
            <w:noWrap/>
            <w:vAlign w:val="center"/>
            <w:hideMark/>
          </w:tcPr>
          <w:p w14:paraId="087A6665"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226" w:type="dxa"/>
            <w:tcBorders>
              <w:top w:val="nil"/>
              <w:left w:val="single" w:sz="4" w:space="0" w:color="auto"/>
              <w:bottom w:val="single" w:sz="4" w:space="0" w:color="auto"/>
              <w:right w:val="single" w:sz="8" w:space="0" w:color="auto"/>
            </w:tcBorders>
            <w:shd w:val="clear" w:color="auto" w:fill="auto"/>
            <w:noWrap/>
            <w:vAlign w:val="center"/>
            <w:hideMark/>
          </w:tcPr>
          <w:p w14:paraId="5AB6F28D"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3783FE77"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5DC5DCA4"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nil"/>
            </w:tcBorders>
            <w:shd w:val="clear" w:color="auto" w:fill="auto"/>
            <w:noWrap/>
            <w:vAlign w:val="center"/>
            <w:hideMark/>
          </w:tcPr>
          <w:p w14:paraId="0AAE6F60"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single" w:sz="4" w:space="0" w:color="auto"/>
              <w:bottom w:val="single" w:sz="4" w:space="0" w:color="auto"/>
              <w:right w:val="nil"/>
            </w:tcBorders>
            <w:shd w:val="clear" w:color="auto" w:fill="auto"/>
            <w:noWrap/>
            <w:vAlign w:val="center"/>
            <w:hideMark/>
          </w:tcPr>
          <w:p w14:paraId="60F369A6"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37" w:type="dxa"/>
            <w:tcBorders>
              <w:top w:val="nil"/>
              <w:left w:val="single" w:sz="4" w:space="0" w:color="auto"/>
              <w:bottom w:val="single" w:sz="4" w:space="0" w:color="auto"/>
              <w:right w:val="nil"/>
            </w:tcBorders>
            <w:shd w:val="clear" w:color="auto" w:fill="auto"/>
            <w:noWrap/>
            <w:vAlign w:val="center"/>
            <w:hideMark/>
          </w:tcPr>
          <w:p w14:paraId="7528F2D9"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71" w:type="dxa"/>
            <w:tcBorders>
              <w:top w:val="nil"/>
              <w:left w:val="single" w:sz="4" w:space="0" w:color="auto"/>
              <w:bottom w:val="single" w:sz="4" w:space="0" w:color="auto"/>
              <w:right w:val="double" w:sz="6" w:space="0" w:color="auto"/>
            </w:tcBorders>
            <w:shd w:val="clear" w:color="auto" w:fill="auto"/>
            <w:noWrap/>
            <w:vAlign w:val="center"/>
            <w:hideMark/>
          </w:tcPr>
          <w:p w14:paraId="3EF95E1A"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r>
      <w:tr w:rsidR="00AE7CDC" w:rsidRPr="00AE7CDC" w14:paraId="0EA86C8B" w14:textId="77777777" w:rsidTr="00E7647E">
        <w:trPr>
          <w:trHeight w:val="291"/>
        </w:trPr>
        <w:tc>
          <w:tcPr>
            <w:tcW w:w="1297" w:type="dxa"/>
            <w:vMerge/>
            <w:tcBorders>
              <w:top w:val="nil"/>
              <w:left w:val="double" w:sz="6" w:space="0" w:color="auto"/>
              <w:bottom w:val="single" w:sz="4" w:space="0" w:color="000000"/>
              <w:right w:val="single" w:sz="4" w:space="0" w:color="auto"/>
            </w:tcBorders>
            <w:vAlign w:val="center"/>
            <w:hideMark/>
          </w:tcPr>
          <w:p w14:paraId="1936C486" w14:textId="77777777" w:rsidR="00AE7CDC" w:rsidRPr="00AE7CDC" w:rsidRDefault="00AE7CDC" w:rsidP="00AE7CDC">
            <w:pPr>
              <w:spacing w:after="0"/>
              <w:jc w:val="left"/>
              <w:outlineLvl w:val="0"/>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651E0AD7" w14:textId="77777777" w:rsidR="00AE7CDC" w:rsidRPr="00AE7CDC" w:rsidRDefault="00AE7CDC" w:rsidP="00AE7CDC">
            <w:pPr>
              <w:spacing w:after="0"/>
              <w:jc w:val="left"/>
              <w:outlineLvl w:val="0"/>
              <w:rPr>
                <w:rFonts w:eastAsia="Times New Roman" w:cs="Times New Roman"/>
                <w:szCs w:val="24"/>
              </w:rPr>
            </w:pPr>
            <w:r w:rsidRPr="00AE7CDC">
              <w:rPr>
                <w:rFonts w:eastAsia="Times New Roman" w:cs="Times New Roman"/>
                <w:szCs w:val="24"/>
              </w:rPr>
              <w:t>:</w:t>
            </w:r>
          </w:p>
        </w:tc>
        <w:tc>
          <w:tcPr>
            <w:tcW w:w="1594" w:type="dxa"/>
            <w:tcBorders>
              <w:top w:val="nil"/>
              <w:left w:val="nil"/>
              <w:bottom w:val="single" w:sz="4" w:space="0" w:color="auto"/>
              <w:right w:val="single" w:sz="4" w:space="0" w:color="auto"/>
            </w:tcBorders>
            <w:shd w:val="clear" w:color="auto" w:fill="auto"/>
            <w:noWrap/>
            <w:vAlign w:val="center"/>
            <w:hideMark/>
          </w:tcPr>
          <w:p w14:paraId="4C92C2DB"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226" w:type="dxa"/>
            <w:tcBorders>
              <w:top w:val="nil"/>
              <w:left w:val="single" w:sz="4" w:space="0" w:color="auto"/>
              <w:bottom w:val="single" w:sz="4" w:space="0" w:color="auto"/>
              <w:right w:val="single" w:sz="8" w:space="0" w:color="auto"/>
            </w:tcBorders>
            <w:shd w:val="clear" w:color="auto" w:fill="auto"/>
            <w:noWrap/>
            <w:vAlign w:val="center"/>
            <w:hideMark/>
          </w:tcPr>
          <w:p w14:paraId="354A22DA"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7827D01F"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2A6827AE"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nil"/>
            </w:tcBorders>
            <w:shd w:val="clear" w:color="auto" w:fill="auto"/>
            <w:noWrap/>
            <w:vAlign w:val="center"/>
            <w:hideMark/>
          </w:tcPr>
          <w:p w14:paraId="78C6FFC5"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01" w:type="dxa"/>
            <w:tcBorders>
              <w:top w:val="nil"/>
              <w:left w:val="single" w:sz="4" w:space="0" w:color="auto"/>
              <w:bottom w:val="single" w:sz="4" w:space="0" w:color="auto"/>
              <w:right w:val="nil"/>
            </w:tcBorders>
            <w:shd w:val="clear" w:color="auto" w:fill="auto"/>
            <w:noWrap/>
            <w:vAlign w:val="center"/>
            <w:hideMark/>
          </w:tcPr>
          <w:p w14:paraId="054F264D"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37" w:type="dxa"/>
            <w:tcBorders>
              <w:top w:val="nil"/>
              <w:left w:val="single" w:sz="4" w:space="0" w:color="auto"/>
              <w:bottom w:val="single" w:sz="4" w:space="0" w:color="auto"/>
              <w:right w:val="nil"/>
            </w:tcBorders>
            <w:shd w:val="clear" w:color="auto" w:fill="auto"/>
            <w:noWrap/>
            <w:vAlign w:val="center"/>
            <w:hideMark/>
          </w:tcPr>
          <w:p w14:paraId="487D03A8"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c>
          <w:tcPr>
            <w:tcW w:w="1071" w:type="dxa"/>
            <w:tcBorders>
              <w:top w:val="nil"/>
              <w:left w:val="single" w:sz="4" w:space="0" w:color="auto"/>
              <w:bottom w:val="single" w:sz="4" w:space="0" w:color="auto"/>
              <w:right w:val="double" w:sz="6" w:space="0" w:color="auto"/>
            </w:tcBorders>
            <w:shd w:val="clear" w:color="auto" w:fill="auto"/>
            <w:noWrap/>
            <w:vAlign w:val="center"/>
            <w:hideMark/>
          </w:tcPr>
          <w:p w14:paraId="7F0219E5" w14:textId="77777777" w:rsidR="00AE7CDC" w:rsidRPr="00AE7CDC" w:rsidRDefault="00AE7CDC" w:rsidP="00AE7CDC">
            <w:pPr>
              <w:spacing w:after="0"/>
              <w:jc w:val="center"/>
              <w:outlineLvl w:val="0"/>
              <w:rPr>
                <w:rFonts w:eastAsia="Times New Roman" w:cs="Times New Roman"/>
                <w:szCs w:val="24"/>
              </w:rPr>
            </w:pPr>
            <w:r w:rsidRPr="00AE7CDC">
              <w:rPr>
                <w:rFonts w:eastAsia="Times New Roman" w:cs="Times New Roman"/>
                <w:szCs w:val="24"/>
              </w:rPr>
              <w:t>:</w:t>
            </w:r>
          </w:p>
        </w:tc>
      </w:tr>
      <w:tr w:rsidR="00AE7CDC" w:rsidRPr="00AE7CDC" w14:paraId="1A4C010E" w14:textId="77777777" w:rsidTr="00E7647E">
        <w:trPr>
          <w:trHeight w:val="288"/>
        </w:trPr>
        <w:tc>
          <w:tcPr>
            <w:tcW w:w="1297" w:type="dxa"/>
            <w:vMerge/>
            <w:tcBorders>
              <w:top w:val="nil"/>
              <w:left w:val="double" w:sz="6" w:space="0" w:color="auto"/>
              <w:bottom w:val="single" w:sz="4" w:space="0" w:color="000000"/>
              <w:right w:val="single" w:sz="4" w:space="0" w:color="auto"/>
            </w:tcBorders>
            <w:vAlign w:val="center"/>
            <w:hideMark/>
          </w:tcPr>
          <w:p w14:paraId="6E58B7D5" w14:textId="77777777" w:rsidR="00AE7CDC" w:rsidRPr="00AE7CDC" w:rsidRDefault="00AE7CDC" w:rsidP="00AE7CDC">
            <w:pPr>
              <w:spacing w:after="0"/>
              <w:jc w:val="left"/>
              <w:rPr>
                <w:rFonts w:eastAsia="Times New Roman" w:cs="Times New Roman"/>
                <w:szCs w:val="24"/>
              </w:rPr>
            </w:pPr>
          </w:p>
        </w:tc>
        <w:tc>
          <w:tcPr>
            <w:tcW w:w="8069" w:type="dxa"/>
            <w:gridSpan w:val="3"/>
            <w:tcBorders>
              <w:top w:val="single" w:sz="8" w:space="0" w:color="auto"/>
              <w:left w:val="single" w:sz="4" w:space="0" w:color="auto"/>
              <w:bottom w:val="single" w:sz="8" w:space="0" w:color="auto"/>
              <w:right w:val="single" w:sz="8" w:space="0" w:color="000000"/>
            </w:tcBorders>
            <w:shd w:val="clear" w:color="000000" w:fill="FFFFFF"/>
            <w:vAlign w:val="center"/>
            <w:hideMark/>
          </w:tcPr>
          <w:p w14:paraId="5C914E14"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 xml:space="preserve">                 Subtotal     </w:t>
            </w:r>
          </w:p>
        </w:tc>
        <w:tc>
          <w:tcPr>
            <w:tcW w:w="1011" w:type="dxa"/>
            <w:tcBorders>
              <w:top w:val="single" w:sz="8" w:space="0" w:color="auto"/>
              <w:left w:val="nil"/>
              <w:bottom w:val="single" w:sz="8" w:space="0" w:color="auto"/>
              <w:right w:val="single" w:sz="4" w:space="0" w:color="auto"/>
            </w:tcBorders>
            <w:shd w:val="clear" w:color="000000" w:fill="FFFFFF"/>
            <w:noWrap/>
            <w:vAlign w:val="center"/>
            <w:hideMark/>
          </w:tcPr>
          <w:p w14:paraId="4D6D3E17"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-3,7</w:t>
            </w:r>
          </w:p>
        </w:tc>
        <w:tc>
          <w:tcPr>
            <w:tcW w:w="1001" w:type="dxa"/>
            <w:tcBorders>
              <w:top w:val="single" w:sz="8" w:space="0" w:color="auto"/>
              <w:left w:val="nil"/>
              <w:bottom w:val="single" w:sz="8" w:space="0" w:color="auto"/>
              <w:right w:val="single" w:sz="4" w:space="0" w:color="auto"/>
            </w:tcBorders>
            <w:shd w:val="clear" w:color="000000" w:fill="FFFFFF"/>
            <w:noWrap/>
            <w:vAlign w:val="center"/>
            <w:hideMark/>
          </w:tcPr>
          <w:p w14:paraId="72F3D69D"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2,0</w:t>
            </w:r>
          </w:p>
        </w:tc>
        <w:tc>
          <w:tcPr>
            <w:tcW w:w="1001" w:type="dxa"/>
            <w:tcBorders>
              <w:top w:val="single" w:sz="8" w:space="0" w:color="auto"/>
              <w:left w:val="nil"/>
              <w:bottom w:val="single" w:sz="8" w:space="0" w:color="auto"/>
              <w:right w:val="nil"/>
            </w:tcBorders>
            <w:shd w:val="clear" w:color="000000" w:fill="FFFFFF"/>
            <w:noWrap/>
            <w:vAlign w:val="center"/>
            <w:hideMark/>
          </w:tcPr>
          <w:p w14:paraId="0F7D3235"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-0,2</w:t>
            </w:r>
          </w:p>
        </w:tc>
        <w:tc>
          <w:tcPr>
            <w:tcW w:w="1001" w:type="dxa"/>
            <w:tcBorders>
              <w:top w:val="single" w:sz="8" w:space="0" w:color="auto"/>
              <w:left w:val="single" w:sz="4" w:space="0" w:color="auto"/>
              <w:bottom w:val="single" w:sz="8" w:space="0" w:color="auto"/>
              <w:right w:val="nil"/>
            </w:tcBorders>
            <w:shd w:val="clear" w:color="000000" w:fill="FFFFFF"/>
            <w:noWrap/>
            <w:vAlign w:val="center"/>
            <w:hideMark/>
          </w:tcPr>
          <w:p w14:paraId="50FBE7C1"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-0,2</w:t>
            </w:r>
          </w:p>
        </w:tc>
        <w:tc>
          <w:tcPr>
            <w:tcW w:w="1037" w:type="dxa"/>
            <w:tcBorders>
              <w:top w:val="single" w:sz="8" w:space="0" w:color="auto"/>
              <w:left w:val="single" w:sz="4" w:space="0" w:color="auto"/>
              <w:bottom w:val="single" w:sz="8" w:space="0" w:color="auto"/>
              <w:right w:val="nil"/>
            </w:tcBorders>
            <w:shd w:val="clear" w:color="000000" w:fill="FFFFFF"/>
            <w:noWrap/>
            <w:vAlign w:val="center"/>
            <w:hideMark/>
          </w:tcPr>
          <w:p w14:paraId="6AF6C269"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-0,6</w:t>
            </w:r>
          </w:p>
        </w:tc>
        <w:tc>
          <w:tcPr>
            <w:tcW w:w="1071" w:type="dxa"/>
            <w:tcBorders>
              <w:top w:val="single" w:sz="8" w:space="0" w:color="auto"/>
              <w:left w:val="single" w:sz="4" w:space="0" w:color="auto"/>
              <w:bottom w:val="single" w:sz="8" w:space="0" w:color="auto"/>
              <w:right w:val="double" w:sz="6" w:space="0" w:color="auto"/>
            </w:tcBorders>
            <w:shd w:val="clear" w:color="000000" w:fill="FFFFFF"/>
            <w:noWrap/>
            <w:vAlign w:val="center"/>
            <w:hideMark/>
          </w:tcPr>
          <w:p w14:paraId="178D142F"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-0,2</w:t>
            </w:r>
          </w:p>
        </w:tc>
      </w:tr>
      <w:tr w:rsidR="00AE7CDC" w:rsidRPr="00AE7CDC" w14:paraId="324310FB" w14:textId="77777777" w:rsidTr="00E7647E">
        <w:trPr>
          <w:trHeight w:val="274"/>
        </w:trPr>
        <w:tc>
          <w:tcPr>
            <w:tcW w:w="1297" w:type="dxa"/>
            <w:vMerge w:val="restart"/>
            <w:tcBorders>
              <w:top w:val="nil"/>
              <w:left w:val="double" w:sz="6" w:space="0" w:color="auto"/>
              <w:bottom w:val="nil"/>
              <w:right w:val="single" w:sz="4" w:space="0" w:color="auto"/>
            </w:tcBorders>
            <w:shd w:val="clear" w:color="auto" w:fill="auto"/>
            <w:vAlign w:val="center"/>
            <w:hideMark/>
          </w:tcPr>
          <w:p w14:paraId="70D12F7A"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i/>
                <w:iCs/>
                <w:szCs w:val="24"/>
              </w:rPr>
              <w:t>Non-temporary</w:t>
            </w:r>
            <w:r w:rsidRPr="00AE7CDC">
              <w:rPr>
                <w:rFonts w:eastAsia="Times New Roman" w:cs="Times New Roman"/>
                <w:szCs w:val="24"/>
              </w:rPr>
              <w:t xml:space="preserve"> measures</w:t>
            </w:r>
            <w:r w:rsidRPr="00AE7CDC">
              <w:rPr>
                <w:rFonts w:eastAsia="Times New Roman" w:cs="Times New Roman"/>
                <w:szCs w:val="24"/>
                <w:vertAlign w:val="superscript"/>
              </w:rPr>
              <w:t>1</w:t>
            </w:r>
          </w:p>
        </w:tc>
        <w:tc>
          <w:tcPr>
            <w:tcW w:w="5247" w:type="dxa"/>
            <w:tcBorders>
              <w:top w:val="single" w:sz="4" w:space="0" w:color="auto"/>
              <w:left w:val="nil"/>
              <w:bottom w:val="single" w:sz="4" w:space="0" w:color="auto"/>
              <w:right w:val="single" w:sz="4" w:space="0" w:color="auto"/>
            </w:tcBorders>
            <w:shd w:val="clear" w:color="auto" w:fill="auto"/>
            <w:noWrap/>
            <w:vAlign w:val="center"/>
            <w:hideMark/>
          </w:tcPr>
          <w:p w14:paraId="241760C5"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Decrease of pension contribution and increase of nontaxable census on wages</w:t>
            </w:r>
          </w:p>
        </w:tc>
        <w:tc>
          <w:tcPr>
            <w:tcW w:w="1594" w:type="dxa"/>
            <w:tcBorders>
              <w:top w:val="single" w:sz="4" w:space="0" w:color="auto"/>
              <w:left w:val="nil"/>
              <w:bottom w:val="single" w:sz="4" w:space="0" w:color="auto"/>
              <w:right w:val="single" w:sz="4" w:space="0" w:color="auto"/>
            </w:tcBorders>
            <w:shd w:val="clear" w:color="auto" w:fill="auto"/>
            <w:noWrap/>
            <w:vAlign w:val="center"/>
            <w:hideMark/>
          </w:tcPr>
          <w:p w14:paraId="2FE82C60"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D5, D61</w:t>
            </w:r>
          </w:p>
        </w:tc>
        <w:tc>
          <w:tcPr>
            <w:tcW w:w="1226" w:type="dxa"/>
            <w:tcBorders>
              <w:top w:val="nil"/>
              <w:left w:val="nil"/>
              <w:bottom w:val="single" w:sz="4" w:space="0" w:color="auto"/>
              <w:right w:val="single" w:sz="8" w:space="0" w:color="auto"/>
            </w:tcBorders>
            <w:shd w:val="clear" w:color="auto" w:fill="auto"/>
            <w:noWrap/>
            <w:vAlign w:val="center"/>
            <w:hideMark/>
          </w:tcPr>
          <w:p w14:paraId="78FB2B4C"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14:paraId="56B90D4D"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-0,1</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14402535"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-0,2</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7BE01ABF"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5F6F0FF0"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14:paraId="42C36273"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14:paraId="5CA49DB5"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r>
      <w:tr w:rsidR="00AE7CDC" w:rsidRPr="00AE7CDC" w14:paraId="20DB7E0D" w14:textId="77777777" w:rsidTr="00E7647E">
        <w:trPr>
          <w:trHeight w:val="283"/>
        </w:trPr>
        <w:tc>
          <w:tcPr>
            <w:tcW w:w="1297" w:type="dxa"/>
            <w:vMerge/>
            <w:tcBorders>
              <w:top w:val="nil"/>
              <w:left w:val="double" w:sz="6" w:space="0" w:color="auto"/>
              <w:bottom w:val="nil"/>
              <w:right w:val="single" w:sz="4" w:space="0" w:color="auto"/>
            </w:tcBorders>
            <w:vAlign w:val="center"/>
            <w:hideMark/>
          </w:tcPr>
          <w:p w14:paraId="51EF3A0F" w14:textId="77777777" w:rsidR="00AE7CDC" w:rsidRPr="00AE7CDC" w:rsidRDefault="00AE7CDC" w:rsidP="00AE7CDC">
            <w:pPr>
              <w:spacing w:after="0"/>
              <w:jc w:val="left"/>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61933939"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Change in demographic policy</w:t>
            </w:r>
          </w:p>
        </w:tc>
        <w:tc>
          <w:tcPr>
            <w:tcW w:w="1594" w:type="dxa"/>
            <w:tcBorders>
              <w:top w:val="nil"/>
              <w:left w:val="nil"/>
              <w:bottom w:val="single" w:sz="4" w:space="0" w:color="auto"/>
              <w:right w:val="single" w:sz="4" w:space="0" w:color="auto"/>
            </w:tcBorders>
            <w:shd w:val="clear" w:color="auto" w:fill="auto"/>
            <w:noWrap/>
            <w:vAlign w:val="center"/>
            <w:hideMark/>
          </w:tcPr>
          <w:p w14:paraId="68072F7F"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D62</w:t>
            </w:r>
          </w:p>
        </w:tc>
        <w:tc>
          <w:tcPr>
            <w:tcW w:w="1226" w:type="dxa"/>
            <w:tcBorders>
              <w:top w:val="nil"/>
              <w:left w:val="nil"/>
              <w:bottom w:val="single" w:sz="4" w:space="0" w:color="auto"/>
              <w:right w:val="single" w:sz="8" w:space="0" w:color="auto"/>
            </w:tcBorders>
            <w:shd w:val="clear" w:color="auto" w:fill="auto"/>
            <w:noWrap/>
            <w:vAlign w:val="center"/>
            <w:hideMark/>
          </w:tcPr>
          <w:p w14:paraId="76B61BA3"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434F29C3"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-0,2</w:t>
            </w:r>
          </w:p>
        </w:tc>
        <w:tc>
          <w:tcPr>
            <w:tcW w:w="1001" w:type="dxa"/>
            <w:tcBorders>
              <w:top w:val="nil"/>
              <w:left w:val="nil"/>
              <w:bottom w:val="single" w:sz="4" w:space="0" w:color="auto"/>
              <w:right w:val="single" w:sz="4" w:space="0" w:color="auto"/>
            </w:tcBorders>
            <w:shd w:val="clear" w:color="auto" w:fill="auto"/>
            <w:noWrap/>
            <w:vAlign w:val="center"/>
            <w:hideMark/>
          </w:tcPr>
          <w:p w14:paraId="4F01E6E5"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0,1</w:t>
            </w:r>
          </w:p>
        </w:tc>
        <w:tc>
          <w:tcPr>
            <w:tcW w:w="1001" w:type="dxa"/>
            <w:tcBorders>
              <w:top w:val="nil"/>
              <w:left w:val="nil"/>
              <w:bottom w:val="single" w:sz="4" w:space="0" w:color="auto"/>
              <w:right w:val="single" w:sz="4" w:space="0" w:color="auto"/>
            </w:tcBorders>
            <w:shd w:val="clear" w:color="auto" w:fill="auto"/>
            <w:noWrap/>
            <w:vAlign w:val="center"/>
            <w:hideMark/>
          </w:tcPr>
          <w:p w14:paraId="1703BCDB"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0570D2FD"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37" w:type="dxa"/>
            <w:tcBorders>
              <w:top w:val="nil"/>
              <w:left w:val="nil"/>
              <w:bottom w:val="single" w:sz="4" w:space="0" w:color="auto"/>
              <w:right w:val="single" w:sz="4" w:space="0" w:color="auto"/>
            </w:tcBorders>
            <w:shd w:val="clear" w:color="auto" w:fill="auto"/>
            <w:noWrap/>
            <w:vAlign w:val="center"/>
            <w:hideMark/>
          </w:tcPr>
          <w:p w14:paraId="545AD49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71" w:type="dxa"/>
            <w:tcBorders>
              <w:top w:val="nil"/>
              <w:left w:val="nil"/>
              <w:bottom w:val="single" w:sz="4" w:space="0" w:color="auto"/>
              <w:right w:val="single" w:sz="4" w:space="0" w:color="auto"/>
            </w:tcBorders>
            <w:shd w:val="clear" w:color="auto" w:fill="auto"/>
            <w:noWrap/>
            <w:vAlign w:val="center"/>
            <w:hideMark/>
          </w:tcPr>
          <w:p w14:paraId="3B9A1319"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r>
      <w:tr w:rsidR="00AE7CDC" w:rsidRPr="00AE7CDC" w14:paraId="053E5032" w14:textId="77777777" w:rsidTr="00E7647E">
        <w:trPr>
          <w:trHeight w:val="283"/>
        </w:trPr>
        <w:tc>
          <w:tcPr>
            <w:tcW w:w="1297" w:type="dxa"/>
            <w:vMerge/>
            <w:tcBorders>
              <w:top w:val="nil"/>
              <w:left w:val="double" w:sz="6" w:space="0" w:color="auto"/>
              <w:bottom w:val="nil"/>
              <w:right w:val="single" w:sz="4" w:space="0" w:color="auto"/>
            </w:tcBorders>
            <w:vAlign w:val="center"/>
            <w:hideMark/>
          </w:tcPr>
          <w:p w14:paraId="1F7F75A4" w14:textId="77777777" w:rsidR="00AE7CDC" w:rsidRPr="00AE7CDC" w:rsidRDefault="00AE7CDC" w:rsidP="00AE7CDC">
            <w:pPr>
              <w:spacing w:after="0"/>
              <w:jc w:val="left"/>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77D0E1E7"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Increase of nontaxable census on wages</w:t>
            </w:r>
          </w:p>
        </w:tc>
        <w:tc>
          <w:tcPr>
            <w:tcW w:w="1594" w:type="dxa"/>
            <w:tcBorders>
              <w:top w:val="nil"/>
              <w:left w:val="nil"/>
              <w:bottom w:val="single" w:sz="4" w:space="0" w:color="auto"/>
              <w:right w:val="single" w:sz="4" w:space="0" w:color="auto"/>
            </w:tcBorders>
            <w:shd w:val="clear" w:color="auto" w:fill="auto"/>
            <w:noWrap/>
            <w:vAlign w:val="center"/>
            <w:hideMark/>
          </w:tcPr>
          <w:p w14:paraId="2377462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D5,D61</w:t>
            </w:r>
          </w:p>
        </w:tc>
        <w:tc>
          <w:tcPr>
            <w:tcW w:w="1226" w:type="dxa"/>
            <w:tcBorders>
              <w:top w:val="nil"/>
              <w:left w:val="nil"/>
              <w:bottom w:val="single" w:sz="4" w:space="0" w:color="auto"/>
              <w:right w:val="single" w:sz="8" w:space="0" w:color="auto"/>
            </w:tcBorders>
            <w:shd w:val="clear" w:color="auto" w:fill="auto"/>
            <w:noWrap/>
            <w:vAlign w:val="center"/>
            <w:hideMark/>
          </w:tcPr>
          <w:p w14:paraId="31CAAA39"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46F109B3"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280DEC53"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392FECE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-0,1</w:t>
            </w:r>
          </w:p>
        </w:tc>
        <w:tc>
          <w:tcPr>
            <w:tcW w:w="1001" w:type="dxa"/>
            <w:tcBorders>
              <w:top w:val="nil"/>
              <w:left w:val="nil"/>
              <w:bottom w:val="single" w:sz="4" w:space="0" w:color="auto"/>
              <w:right w:val="single" w:sz="4" w:space="0" w:color="auto"/>
            </w:tcBorders>
            <w:shd w:val="clear" w:color="auto" w:fill="auto"/>
            <w:noWrap/>
            <w:vAlign w:val="center"/>
            <w:hideMark/>
          </w:tcPr>
          <w:p w14:paraId="7E9FBE4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0,0</w:t>
            </w:r>
          </w:p>
        </w:tc>
        <w:tc>
          <w:tcPr>
            <w:tcW w:w="1037" w:type="dxa"/>
            <w:tcBorders>
              <w:top w:val="nil"/>
              <w:left w:val="nil"/>
              <w:bottom w:val="single" w:sz="4" w:space="0" w:color="auto"/>
              <w:right w:val="single" w:sz="4" w:space="0" w:color="auto"/>
            </w:tcBorders>
            <w:shd w:val="clear" w:color="auto" w:fill="auto"/>
            <w:noWrap/>
            <w:vAlign w:val="center"/>
            <w:hideMark/>
          </w:tcPr>
          <w:p w14:paraId="515335EE"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71" w:type="dxa"/>
            <w:tcBorders>
              <w:top w:val="nil"/>
              <w:left w:val="nil"/>
              <w:bottom w:val="single" w:sz="4" w:space="0" w:color="auto"/>
              <w:right w:val="single" w:sz="4" w:space="0" w:color="auto"/>
            </w:tcBorders>
            <w:shd w:val="clear" w:color="auto" w:fill="auto"/>
            <w:noWrap/>
            <w:vAlign w:val="center"/>
            <w:hideMark/>
          </w:tcPr>
          <w:p w14:paraId="0048D5CA"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r>
      <w:tr w:rsidR="00AE7CDC" w:rsidRPr="00AE7CDC" w14:paraId="72EC5D96" w14:textId="77777777" w:rsidTr="00E7647E">
        <w:trPr>
          <w:trHeight w:val="283"/>
        </w:trPr>
        <w:tc>
          <w:tcPr>
            <w:tcW w:w="1297" w:type="dxa"/>
            <w:vMerge/>
            <w:tcBorders>
              <w:top w:val="nil"/>
              <w:left w:val="double" w:sz="6" w:space="0" w:color="auto"/>
              <w:bottom w:val="nil"/>
              <w:right w:val="single" w:sz="4" w:space="0" w:color="auto"/>
            </w:tcBorders>
            <w:vAlign w:val="center"/>
            <w:hideMark/>
          </w:tcPr>
          <w:p w14:paraId="42974F47" w14:textId="77777777" w:rsidR="00AE7CDC" w:rsidRPr="00AE7CDC" w:rsidRDefault="00AE7CDC" w:rsidP="00AE7CDC">
            <w:pPr>
              <w:spacing w:after="0"/>
              <w:jc w:val="left"/>
              <w:rPr>
                <w:rFonts w:eastAsia="Times New Roman" w:cs="Times New Roman"/>
                <w:szCs w:val="24"/>
              </w:rPr>
            </w:pPr>
          </w:p>
        </w:tc>
        <w:tc>
          <w:tcPr>
            <w:tcW w:w="5247" w:type="dxa"/>
            <w:tcBorders>
              <w:top w:val="nil"/>
              <w:left w:val="nil"/>
              <w:bottom w:val="single" w:sz="4" w:space="0" w:color="auto"/>
              <w:right w:val="single" w:sz="4" w:space="0" w:color="auto"/>
            </w:tcBorders>
            <w:shd w:val="clear" w:color="auto" w:fill="auto"/>
            <w:noWrap/>
            <w:vAlign w:val="center"/>
            <w:hideMark/>
          </w:tcPr>
          <w:p w14:paraId="41C93916"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w:t>
            </w:r>
          </w:p>
        </w:tc>
        <w:tc>
          <w:tcPr>
            <w:tcW w:w="1594" w:type="dxa"/>
            <w:tcBorders>
              <w:top w:val="nil"/>
              <w:left w:val="nil"/>
              <w:bottom w:val="single" w:sz="4" w:space="0" w:color="auto"/>
              <w:right w:val="single" w:sz="4" w:space="0" w:color="auto"/>
            </w:tcBorders>
            <w:shd w:val="clear" w:color="auto" w:fill="auto"/>
            <w:noWrap/>
            <w:vAlign w:val="center"/>
            <w:hideMark/>
          </w:tcPr>
          <w:p w14:paraId="5F9FCFF7"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226" w:type="dxa"/>
            <w:tcBorders>
              <w:top w:val="nil"/>
              <w:left w:val="nil"/>
              <w:bottom w:val="single" w:sz="4" w:space="0" w:color="auto"/>
              <w:right w:val="single" w:sz="8" w:space="0" w:color="auto"/>
            </w:tcBorders>
            <w:shd w:val="clear" w:color="auto" w:fill="auto"/>
            <w:noWrap/>
            <w:vAlign w:val="center"/>
            <w:hideMark/>
          </w:tcPr>
          <w:p w14:paraId="10FA21CE"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14:paraId="66EFA4F7"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12987C5D"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7EE7AD16"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01" w:type="dxa"/>
            <w:tcBorders>
              <w:top w:val="nil"/>
              <w:left w:val="nil"/>
              <w:bottom w:val="single" w:sz="4" w:space="0" w:color="auto"/>
              <w:right w:val="single" w:sz="4" w:space="0" w:color="auto"/>
            </w:tcBorders>
            <w:shd w:val="clear" w:color="auto" w:fill="auto"/>
            <w:noWrap/>
            <w:vAlign w:val="center"/>
            <w:hideMark/>
          </w:tcPr>
          <w:p w14:paraId="18E812C4"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37" w:type="dxa"/>
            <w:tcBorders>
              <w:top w:val="nil"/>
              <w:left w:val="nil"/>
              <w:bottom w:val="single" w:sz="4" w:space="0" w:color="auto"/>
              <w:right w:val="single" w:sz="4" w:space="0" w:color="auto"/>
            </w:tcBorders>
            <w:shd w:val="clear" w:color="auto" w:fill="auto"/>
            <w:noWrap/>
            <w:vAlign w:val="center"/>
            <w:hideMark/>
          </w:tcPr>
          <w:p w14:paraId="1A24A0BA"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c>
          <w:tcPr>
            <w:tcW w:w="1071" w:type="dxa"/>
            <w:tcBorders>
              <w:top w:val="nil"/>
              <w:left w:val="nil"/>
              <w:bottom w:val="single" w:sz="4" w:space="0" w:color="auto"/>
              <w:right w:val="single" w:sz="4" w:space="0" w:color="auto"/>
            </w:tcBorders>
            <w:shd w:val="clear" w:color="auto" w:fill="auto"/>
            <w:noWrap/>
            <w:vAlign w:val="center"/>
            <w:hideMark/>
          </w:tcPr>
          <w:p w14:paraId="0A36C9E7" w14:textId="77777777" w:rsidR="00AE7CDC" w:rsidRPr="00AE7CDC" w:rsidRDefault="00AE7CDC" w:rsidP="00AE7CDC">
            <w:pPr>
              <w:spacing w:after="0"/>
              <w:jc w:val="center"/>
              <w:rPr>
                <w:rFonts w:eastAsia="Times New Roman" w:cs="Times New Roman"/>
                <w:szCs w:val="24"/>
              </w:rPr>
            </w:pPr>
            <w:r w:rsidRPr="00AE7CDC">
              <w:rPr>
                <w:rFonts w:eastAsia="Times New Roman" w:cs="Times New Roman"/>
                <w:szCs w:val="24"/>
              </w:rPr>
              <w:t>:</w:t>
            </w:r>
          </w:p>
        </w:tc>
      </w:tr>
      <w:tr w:rsidR="00AE7CDC" w:rsidRPr="00AE7CDC" w14:paraId="0CF97207" w14:textId="77777777" w:rsidTr="00E7647E">
        <w:trPr>
          <w:trHeight w:val="288"/>
        </w:trPr>
        <w:tc>
          <w:tcPr>
            <w:tcW w:w="1297" w:type="dxa"/>
            <w:vMerge/>
            <w:tcBorders>
              <w:top w:val="nil"/>
              <w:left w:val="double" w:sz="6" w:space="0" w:color="auto"/>
              <w:bottom w:val="nil"/>
              <w:right w:val="single" w:sz="4" w:space="0" w:color="auto"/>
            </w:tcBorders>
            <w:vAlign w:val="center"/>
            <w:hideMark/>
          </w:tcPr>
          <w:p w14:paraId="76253823" w14:textId="77777777" w:rsidR="00AE7CDC" w:rsidRPr="00AE7CDC" w:rsidRDefault="00AE7CDC" w:rsidP="00AE7CDC">
            <w:pPr>
              <w:spacing w:after="0"/>
              <w:jc w:val="left"/>
              <w:rPr>
                <w:rFonts w:eastAsia="Times New Roman" w:cs="Times New Roman"/>
                <w:szCs w:val="24"/>
              </w:rPr>
            </w:pPr>
          </w:p>
        </w:tc>
        <w:tc>
          <w:tcPr>
            <w:tcW w:w="8069" w:type="dxa"/>
            <w:gridSpan w:val="3"/>
            <w:tcBorders>
              <w:top w:val="single" w:sz="8" w:space="0" w:color="auto"/>
              <w:left w:val="nil"/>
              <w:bottom w:val="double" w:sz="6" w:space="0" w:color="auto"/>
              <w:right w:val="single" w:sz="8" w:space="0" w:color="000000"/>
            </w:tcBorders>
            <w:shd w:val="clear" w:color="000000" w:fill="FFFFFF"/>
            <w:vAlign w:val="center"/>
            <w:hideMark/>
          </w:tcPr>
          <w:p w14:paraId="0CE780F7"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 xml:space="preserve">                  Subtotal </w:t>
            </w:r>
          </w:p>
        </w:tc>
        <w:tc>
          <w:tcPr>
            <w:tcW w:w="1011" w:type="dxa"/>
            <w:tcBorders>
              <w:top w:val="single" w:sz="8" w:space="0" w:color="auto"/>
              <w:left w:val="nil"/>
              <w:bottom w:val="double" w:sz="6" w:space="0" w:color="auto"/>
              <w:right w:val="single" w:sz="4" w:space="0" w:color="auto"/>
            </w:tcBorders>
            <w:shd w:val="clear" w:color="000000" w:fill="FFFFFF"/>
            <w:noWrap/>
            <w:vAlign w:val="center"/>
            <w:hideMark/>
          </w:tcPr>
          <w:p w14:paraId="284B4D16"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-0,3</w:t>
            </w:r>
          </w:p>
        </w:tc>
        <w:tc>
          <w:tcPr>
            <w:tcW w:w="1001" w:type="dxa"/>
            <w:tcBorders>
              <w:top w:val="single" w:sz="8" w:space="0" w:color="auto"/>
              <w:left w:val="nil"/>
              <w:bottom w:val="double" w:sz="6" w:space="0" w:color="auto"/>
              <w:right w:val="single" w:sz="4" w:space="0" w:color="auto"/>
            </w:tcBorders>
            <w:shd w:val="clear" w:color="000000" w:fill="FFFFFF"/>
            <w:noWrap/>
            <w:vAlign w:val="center"/>
            <w:hideMark/>
          </w:tcPr>
          <w:p w14:paraId="6BD91829"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-0,2</w:t>
            </w:r>
          </w:p>
        </w:tc>
        <w:tc>
          <w:tcPr>
            <w:tcW w:w="1001" w:type="dxa"/>
            <w:tcBorders>
              <w:top w:val="single" w:sz="8" w:space="0" w:color="auto"/>
              <w:left w:val="nil"/>
              <w:bottom w:val="double" w:sz="6" w:space="0" w:color="auto"/>
              <w:right w:val="nil"/>
            </w:tcBorders>
            <w:shd w:val="clear" w:color="000000" w:fill="FFFFFF"/>
            <w:noWrap/>
            <w:vAlign w:val="center"/>
            <w:hideMark/>
          </w:tcPr>
          <w:p w14:paraId="0280CE91"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-0,1</w:t>
            </w:r>
          </w:p>
        </w:tc>
        <w:tc>
          <w:tcPr>
            <w:tcW w:w="1001" w:type="dxa"/>
            <w:tcBorders>
              <w:top w:val="single" w:sz="8" w:space="0" w:color="auto"/>
              <w:left w:val="single" w:sz="4" w:space="0" w:color="auto"/>
              <w:bottom w:val="double" w:sz="6" w:space="0" w:color="auto"/>
              <w:right w:val="nil"/>
            </w:tcBorders>
            <w:shd w:val="clear" w:color="000000" w:fill="FFFFFF"/>
            <w:noWrap/>
            <w:vAlign w:val="center"/>
            <w:hideMark/>
          </w:tcPr>
          <w:p w14:paraId="228132EC"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0,0</w:t>
            </w:r>
          </w:p>
        </w:tc>
        <w:tc>
          <w:tcPr>
            <w:tcW w:w="1037" w:type="dxa"/>
            <w:tcBorders>
              <w:top w:val="single" w:sz="8" w:space="0" w:color="auto"/>
              <w:left w:val="single" w:sz="4" w:space="0" w:color="auto"/>
              <w:bottom w:val="double" w:sz="6" w:space="0" w:color="auto"/>
              <w:right w:val="nil"/>
            </w:tcBorders>
            <w:shd w:val="clear" w:color="000000" w:fill="FFFFFF"/>
            <w:noWrap/>
            <w:vAlign w:val="center"/>
            <w:hideMark/>
          </w:tcPr>
          <w:p w14:paraId="518B3B96"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0,0</w:t>
            </w:r>
          </w:p>
        </w:tc>
        <w:tc>
          <w:tcPr>
            <w:tcW w:w="1071" w:type="dxa"/>
            <w:tcBorders>
              <w:top w:val="single" w:sz="8" w:space="0" w:color="auto"/>
              <w:left w:val="single" w:sz="4" w:space="0" w:color="auto"/>
              <w:bottom w:val="double" w:sz="6" w:space="0" w:color="auto"/>
              <w:right w:val="double" w:sz="6" w:space="0" w:color="auto"/>
            </w:tcBorders>
            <w:shd w:val="clear" w:color="000000" w:fill="FFFFFF"/>
            <w:noWrap/>
            <w:vAlign w:val="center"/>
            <w:hideMark/>
          </w:tcPr>
          <w:p w14:paraId="6579CEA5"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0,0</w:t>
            </w:r>
          </w:p>
        </w:tc>
      </w:tr>
      <w:tr w:rsidR="00AE7CDC" w:rsidRPr="00AE7CDC" w14:paraId="73606F25" w14:textId="77777777" w:rsidTr="00E7647E">
        <w:trPr>
          <w:trHeight w:val="187"/>
        </w:trPr>
        <w:tc>
          <w:tcPr>
            <w:tcW w:w="1297" w:type="dxa"/>
            <w:tcBorders>
              <w:top w:val="nil"/>
              <w:left w:val="double" w:sz="6" w:space="0" w:color="auto"/>
              <w:bottom w:val="double" w:sz="6" w:space="0" w:color="auto"/>
              <w:right w:val="nil"/>
            </w:tcBorders>
            <w:shd w:val="clear" w:color="auto" w:fill="auto"/>
            <w:noWrap/>
            <w:vAlign w:val="bottom"/>
            <w:hideMark/>
          </w:tcPr>
          <w:p w14:paraId="5898211A" w14:textId="77777777" w:rsidR="00AE7CDC" w:rsidRPr="00AE7CDC" w:rsidRDefault="00AE7CDC" w:rsidP="00AE7CDC">
            <w:pPr>
              <w:spacing w:after="0"/>
              <w:jc w:val="left"/>
              <w:rPr>
                <w:rFonts w:eastAsia="Times New Roman" w:cs="Times New Roman"/>
                <w:szCs w:val="24"/>
              </w:rPr>
            </w:pPr>
            <w:r w:rsidRPr="00AE7CDC">
              <w:rPr>
                <w:rFonts w:eastAsia="Times New Roman" w:cs="Times New Roman"/>
                <w:szCs w:val="24"/>
              </w:rPr>
              <w:t> </w:t>
            </w:r>
          </w:p>
        </w:tc>
        <w:tc>
          <w:tcPr>
            <w:tcW w:w="8069" w:type="dxa"/>
            <w:gridSpan w:val="3"/>
            <w:tcBorders>
              <w:top w:val="double" w:sz="6" w:space="0" w:color="auto"/>
              <w:left w:val="nil"/>
              <w:bottom w:val="double" w:sz="6" w:space="0" w:color="auto"/>
              <w:right w:val="single" w:sz="8" w:space="0" w:color="000000"/>
            </w:tcBorders>
            <w:shd w:val="clear" w:color="000000" w:fill="FFFFFF"/>
            <w:noWrap/>
            <w:vAlign w:val="center"/>
            <w:hideMark/>
          </w:tcPr>
          <w:p w14:paraId="5F3AC2E0"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 xml:space="preserve">                   Total</w:t>
            </w:r>
          </w:p>
        </w:tc>
        <w:tc>
          <w:tcPr>
            <w:tcW w:w="1011" w:type="dxa"/>
            <w:tcBorders>
              <w:top w:val="nil"/>
              <w:left w:val="nil"/>
              <w:bottom w:val="double" w:sz="6" w:space="0" w:color="auto"/>
              <w:right w:val="single" w:sz="4" w:space="0" w:color="auto"/>
            </w:tcBorders>
            <w:shd w:val="clear" w:color="000000" w:fill="FFFFFF"/>
            <w:noWrap/>
            <w:vAlign w:val="center"/>
            <w:hideMark/>
          </w:tcPr>
          <w:p w14:paraId="6C5302CF"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-4,0</w:t>
            </w:r>
          </w:p>
        </w:tc>
        <w:tc>
          <w:tcPr>
            <w:tcW w:w="1001" w:type="dxa"/>
            <w:tcBorders>
              <w:top w:val="nil"/>
              <w:left w:val="nil"/>
              <w:bottom w:val="double" w:sz="6" w:space="0" w:color="auto"/>
              <w:right w:val="single" w:sz="4" w:space="0" w:color="auto"/>
            </w:tcBorders>
            <w:shd w:val="clear" w:color="auto" w:fill="auto"/>
            <w:noWrap/>
            <w:vAlign w:val="center"/>
            <w:hideMark/>
          </w:tcPr>
          <w:p w14:paraId="479FAD92"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1,8</w:t>
            </w:r>
          </w:p>
        </w:tc>
        <w:tc>
          <w:tcPr>
            <w:tcW w:w="1001" w:type="dxa"/>
            <w:tcBorders>
              <w:top w:val="nil"/>
              <w:left w:val="nil"/>
              <w:bottom w:val="double" w:sz="6" w:space="0" w:color="auto"/>
              <w:right w:val="single" w:sz="4" w:space="0" w:color="auto"/>
            </w:tcBorders>
            <w:shd w:val="clear" w:color="auto" w:fill="auto"/>
            <w:noWrap/>
            <w:vAlign w:val="center"/>
            <w:hideMark/>
          </w:tcPr>
          <w:p w14:paraId="53D282F2"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-0,3</w:t>
            </w:r>
          </w:p>
        </w:tc>
        <w:tc>
          <w:tcPr>
            <w:tcW w:w="1001" w:type="dxa"/>
            <w:tcBorders>
              <w:top w:val="nil"/>
              <w:left w:val="nil"/>
              <w:bottom w:val="double" w:sz="6" w:space="0" w:color="auto"/>
              <w:right w:val="nil"/>
            </w:tcBorders>
            <w:shd w:val="clear" w:color="auto" w:fill="auto"/>
            <w:noWrap/>
            <w:vAlign w:val="center"/>
            <w:hideMark/>
          </w:tcPr>
          <w:p w14:paraId="4DF64DA3"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-0,2</w:t>
            </w:r>
          </w:p>
        </w:tc>
        <w:tc>
          <w:tcPr>
            <w:tcW w:w="1037" w:type="dxa"/>
            <w:tcBorders>
              <w:top w:val="nil"/>
              <w:left w:val="single" w:sz="4" w:space="0" w:color="auto"/>
              <w:bottom w:val="double" w:sz="6" w:space="0" w:color="auto"/>
              <w:right w:val="nil"/>
            </w:tcBorders>
            <w:shd w:val="clear" w:color="auto" w:fill="auto"/>
            <w:noWrap/>
            <w:vAlign w:val="center"/>
            <w:hideMark/>
          </w:tcPr>
          <w:p w14:paraId="7D0D4A3E"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-0,6</w:t>
            </w:r>
          </w:p>
        </w:tc>
        <w:tc>
          <w:tcPr>
            <w:tcW w:w="1071" w:type="dxa"/>
            <w:tcBorders>
              <w:top w:val="nil"/>
              <w:left w:val="single" w:sz="4" w:space="0" w:color="auto"/>
              <w:bottom w:val="double" w:sz="6" w:space="0" w:color="auto"/>
              <w:right w:val="double" w:sz="6" w:space="0" w:color="auto"/>
            </w:tcBorders>
            <w:shd w:val="clear" w:color="auto" w:fill="auto"/>
            <w:noWrap/>
            <w:vAlign w:val="center"/>
            <w:hideMark/>
          </w:tcPr>
          <w:p w14:paraId="01E6192C" w14:textId="77777777" w:rsidR="00AE7CDC" w:rsidRPr="00AE7CDC" w:rsidRDefault="00AE7CDC" w:rsidP="00AE7CDC">
            <w:pPr>
              <w:spacing w:after="0"/>
              <w:jc w:val="center"/>
              <w:rPr>
                <w:rFonts w:eastAsia="Times New Roman" w:cs="Times New Roman"/>
                <w:b/>
                <w:bCs/>
                <w:szCs w:val="24"/>
              </w:rPr>
            </w:pPr>
            <w:r w:rsidRPr="00AE7CDC">
              <w:rPr>
                <w:rFonts w:eastAsia="Times New Roman" w:cs="Times New Roman"/>
                <w:b/>
                <w:bCs/>
                <w:szCs w:val="24"/>
              </w:rPr>
              <w:t>-0,2</w:t>
            </w:r>
          </w:p>
        </w:tc>
      </w:tr>
    </w:tbl>
    <w:p w14:paraId="6B3968E1" w14:textId="14797142" w:rsidR="00AE7CDC" w:rsidRPr="00F9446A" w:rsidRDefault="00AE7CDC" w:rsidP="00AE7CDC">
      <w:pPr>
        <w:spacing w:after="0"/>
        <w:jc w:val="left"/>
        <w:rPr>
          <w:rFonts w:eastAsia="Times New Roman" w:cs="Times New Roman"/>
          <w:sz w:val="20"/>
          <w:szCs w:val="20"/>
        </w:rPr>
      </w:pPr>
      <w:r>
        <w:rPr>
          <w:rFonts w:eastAsia="Times New Roman" w:cs="Times New Roman"/>
          <w:bCs/>
          <w:szCs w:val="24"/>
        </w:rPr>
        <w:fldChar w:fldCharType="end"/>
      </w:r>
      <w:r w:rsidRPr="00F9446A">
        <w:rPr>
          <w:rFonts w:eastAsia="Times New Roman" w:cs="Times New Roman"/>
          <w:sz w:val="20"/>
          <w:szCs w:val="20"/>
        </w:rPr>
        <w:t xml:space="preserve">[1]  For the purpose of this table, temporary measures refer to those discretionary measures that have no budgetary impact beyond the year of submission. By contrast, those measures adopted or announced for 2024 that continue to have a fiscal effect of 0.1% of GDP or greater until at least 2026 are considered as 'non-temporary' for the purpose of this table.   </w:t>
      </w:r>
    </w:p>
    <w:p w14:paraId="55279263" w14:textId="7E490D61" w:rsidR="00AE7CDC" w:rsidRPr="00AE7CDC" w:rsidRDefault="00AE7CDC" w:rsidP="00AE7CDC">
      <w:pPr>
        <w:spacing w:after="0"/>
        <w:jc w:val="left"/>
        <w:rPr>
          <w:rFonts w:eastAsia="Times New Roman" w:cs="Times New Roman"/>
          <w:bCs/>
          <w:szCs w:val="24"/>
        </w:rPr>
      </w:pPr>
    </w:p>
    <w:p w14:paraId="6CCD0C85" w14:textId="77777777" w:rsidR="00AD19C5" w:rsidRDefault="00AD19C5">
      <w:pPr>
        <w:spacing w:after="160" w:line="259" w:lineRule="auto"/>
        <w:jc w:val="left"/>
        <w:rPr>
          <w:sz w:val="20"/>
          <w:szCs w:val="20"/>
        </w:rPr>
      </w:pPr>
    </w:p>
    <w:p w14:paraId="18D049E6" w14:textId="77777777" w:rsidR="00AD19C5" w:rsidRDefault="00AD19C5">
      <w:pPr>
        <w:spacing w:after="160" w:line="259" w:lineRule="auto"/>
        <w:jc w:val="left"/>
        <w:rPr>
          <w:sz w:val="20"/>
          <w:szCs w:val="20"/>
        </w:rPr>
      </w:pPr>
      <w:r>
        <w:rPr>
          <w:sz w:val="20"/>
          <w:szCs w:val="20"/>
        </w:rPr>
        <w:br w:type="page"/>
      </w:r>
    </w:p>
    <w:p w14:paraId="41FD81C7" w14:textId="77777777" w:rsidR="00E7647E" w:rsidRPr="00E7647E" w:rsidRDefault="00E7647E">
      <w:pPr>
        <w:spacing w:after="160" w:line="259" w:lineRule="auto"/>
        <w:jc w:val="left"/>
        <w:rPr>
          <w:sz w:val="22"/>
        </w:rPr>
      </w:pPr>
      <w:r w:rsidRPr="00E7647E">
        <w:rPr>
          <w:szCs w:val="24"/>
        </w:rPr>
        <w:lastRenderedPageBreak/>
        <w:t>Table 3: General government expenditure by function</w:t>
      </w:r>
    </w:p>
    <w:p w14:paraId="5D14763E" w14:textId="7CC8D921" w:rsidR="00E7647E" w:rsidRDefault="00E7647E">
      <w:pPr>
        <w:spacing w:after="160" w:line="259" w:lineRule="auto"/>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data!R192C2:R204C9 </w:instrText>
      </w:r>
      <w:r>
        <w:instrText xml:space="preserve">\a \f 4 \h  \* MERGEFORMAT </w:instrText>
      </w:r>
      <w:r>
        <w:fldChar w:fldCharType="separate"/>
      </w:r>
    </w:p>
    <w:tbl>
      <w:tblPr>
        <w:tblW w:w="15441" w:type="dxa"/>
        <w:tblLook w:val="04A0" w:firstRow="1" w:lastRow="0" w:firstColumn="1" w:lastColumn="0" w:noHBand="0" w:noVBand="1"/>
      </w:tblPr>
      <w:tblGrid>
        <w:gridCol w:w="5605"/>
        <w:gridCol w:w="1397"/>
        <w:gridCol w:w="1455"/>
        <w:gridCol w:w="1339"/>
        <w:gridCol w:w="1397"/>
        <w:gridCol w:w="1416"/>
        <w:gridCol w:w="1416"/>
        <w:gridCol w:w="1416"/>
      </w:tblGrid>
      <w:tr w:rsidR="00E7647E" w:rsidRPr="00E7647E" w14:paraId="2749ECB8" w14:textId="77777777" w:rsidTr="00E7647E">
        <w:trPr>
          <w:trHeight w:val="272"/>
        </w:trPr>
        <w:tc>
          <w:tcPr>
            <w:tcW w:w="5605" w:type="dxa"/>
            <w:tcBorders>
              <w:top w:val="double" w:sz="6" w:space="0" w:color="auto"/>
              <w:left w:val="double" w:sz="6" w:space="0" w:color="auto"/>
              <w:bottom w:val="nil"/>
              <w:right w:val="nil"/>
            </w:tcBorders>
            <w:shd w:val="clear" w:color="auto" w:fill="auto"/>
            <w:noWrap/>
            <w:vAlign w:val="center"/>
            <w:hideMark/>
          </w:tcPr>
          <w:p w14:paraId="24E68EAA" w14:textId="1EBC3C83" w:rsidR="00E7647E" w:rsidRPr="00E7647E" w:rsidRDefault="00E7647E" w:rsidP="00E7647E">
            <w:pPr>
              <w:spacing w:after="0"/>
              <w:jc w:val="center"/>
              <w:rPr>
                <w:rFonts w:eastAsia="Times New Roman" w:cs="Times New Roman"/>
                <w:bCs/>
                <w:sz w:val="22"/>
              </w:rPr>
            </w:pPr>
            <w:r w:rsidRPr="00E7647E">
              <w:rPr>
                <w:rFonts w:eastAsia="Times New Roman" w:cs="Times New Roman"/>
                <w:bCs/>
                <w:sz w:val="22"/>
              </w:rPr>
              <w:t>in billion rsd</w:t>
            </w:r>
          </w:p>
        </w:tc>
        <w:tc>
          <w:tcPr>
            <w:tcW w:w="1397" w:type="dxa"/>
            <w:tcBorders>
              <w:top w:val="double" w:sz="6" w:space="0" w:color="auto"/>
              <w:left w:val="single" w:sz="8" w:space="0" w:color="000000"/>
              <w:bottom w:val="nil"/>
              <w:right w:val="single" w:sz="8" w:space="0" w:color="000000"/>
            </w:tcBorders>
            <w:shd w:val="clear" w:color="auto" w:fill="auto"/>
            <w:noWrap/>
            <w:vAlign w:val="center"/>
            <w:hideMark/>
          </w:tcPr>
          <w:p w14:paraId="3BFBCD93"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COFOG Code</w:t>
            </w:r>
          </w:p>
        </w:tc>
        <w:tc>
          <w:tcPr>
            <w:tcW w:w="1455" w:type="dxa"/>
            <w:tcBorders>
              <w:top w:val="double" w:sz="6" w:space="0" w:color="auto"/>
              <w:left w:val="nil"/>
              <w:bottom w:val="double" w:sz="6" w:space="0" w:color="auto"/>
              <w:right w:val="dashed" w:sz="4" w:space="0" w:color="auto"/>
            </w:tcBorders>
            <w:shd w:val="clear" w:color="auto" w:fill="auto"/>
            <w:noWrap/>
            <w:vAlign w:val="center"/>
            <w:hideMark/>
          </w:tcPr>
          <w:p w14:paraId="460A549F" w14:textId="77777777" w:rsidR="00E7647E" w:rsidRPr="00E7647E" w:rsidRDefault="00E7647E" w:rsidP="00E7647E">
            <w:pPr>
              <w:spacing w:after="0"/>
              <w:jc w:val="right"/>
              <w:rPr>
                <w:rFonts w:eastAsia="Times New Roman" w:cs="Times New Roman"/>
                <w:b/>
                <w:bCs/>
                <w:sz w:val="22"/>
              </w:rPr>
            </w:pPr>
            <w:r w:rsidRPr="00E7647E">
              <w:rPr>
                <w:rFonts w:eastAsia="Times New Roman" w:cs="Times New Roman"/>
                <w:b/>
                <w:bCs/>
                <w:sz w:val="22"/>
              </w:rPr>
              <w:t>2022</w:t>
            </w:r>
          </w:p>
        </w:tc>
        <w:tc>
          <w:tcPr>
            <w:tcW w:w="1339" w:type="dxa"/>
            <w:tcBorders>
              <w:top w:val="double" w:sz="6" w:space="0" w:color="auto"/>
              <w:left w:val="nil"/>
              <w:bottom w:val="double" w:sz="6" w:space="0" w:color="auto"/>
              <w:right w:val="dashed" w:sz="4" w:space="0" w:color="auto"/>
            </w:tcBorders>
            <w:shd w:val="clear" w:color="auto" w:fill="auto"/>
            <w:noWrap/>
            <w:vAlign w:val="center"/>
            <w:hideMark/>
          </w:tcPr>
          <w:p w14:paraId="155D37E6" w14:textId="77777777" w:rsidR="00E7647E" w:rsidRPr="00E7647E" w:rsidRDefault="00E7647E" w:rsidP="00E7647E">
            <w:pPr>
              <w:spacing w:after="0"/>
              <w:jc w:val="right"/>
              <w:rPr>
                <w:rFonts w:eastAsia="Times New Roman" w:cs="Times New Roman"/>
                <w:b/>
                <w:bCs/>
                <w:sz w:val="22"/>
              </w:rPr>
            </w:pPr>
            <w:r w:rsidRPr="00E7647E">
              <w:rPr>
                <w:rFonts w:eastAsia="Times New Roman" w:cs="Times New Roman"/>
                <w:b/>
                <w:bCs/>
                <w:sz w:val="22"/>
              </w:rPr>
              <w:t>2023</w:t>
            </w:r>
          </w:p>
        </w:tc>
        <w:tc>
          <w:tcPr>
            <w:tcW w:w="1397" w:type="dxa"/>
            <w:tcBorders>
              <w:top w:val="double" w:sz="6" w:space="0" w:color="auto"/>
              <w:left w:val="nil"/>
              <w:bottom w:val="double" w:sz="6" w:space="0" w:color="auto"/>
              <w:right w:val="dashed" w:sz="4" w:space="0" w:color="auto"/>
            </w:tcBorders>
            <w:shd w:val="clear" w:color="auto" w:fill="auto"/>
            <w:noWrap/>
            <w:vAlign w:val="center"/>
            <w:hideMark/>
          </w:tcPr>
          <w:p w14:paraId="343627C1" w14:textId="77777777" w:rsidR="00E7647E" w:rsidRPr="00E7647E" w:rsidRDefault="00E7647E" w:rsidP="00E7647E">
            <w:pPr>
              <w:spacing w:after="0"/>
              <w:jc w:val="right"/>
              <w:rPr>
                <w:rFonts w:eastAsia="Times New Roman" w:cs="Times New Roman"/>
                <w:b/>
                <w:bCs/>
                <w:sz w:val="22"/>
              </w:rPr>
            </w:pPr>
            <w:r w:rsidRPr="00E7647E">
              <w:rPr>
                <w:rFonts w:eastAsia="Times New Roman" w:cs="Times New Roman"/>
                <w:b/>
                <w:bCs/>
                <w:sz w:val="22"/>
              </w:rPr>
              <w:t>2024</w:t>
            </w:r>
          </w:p>
        </w:tc>
        <w:tc>
          <w:tcPr>
            <w:tcW w:w="1416" w:type="dxa"/>
            <w:tcBorders>
              <w:top w:val="double" w:sz="6" w:space="0" w:color="auto"/>
              <w:left w:val="nil"/>
              <w:bottom w:val="double" w:sz="6" w:space="0" w:color="auto"/>
              <w:right w:val="dashed" w:sz="4" w:space="0" w:color="auto"/>
            </w:tcBorders>
            <w:shd w:val="clear" w:color="auto" w:fill="auto"/>
            <w:noWrap/>
            <w:vAlign w:val="center"/>
            <w:hideMark/>
          </w:tcPr>
          <w:p w14:paraId="1C9FEF9B" w14:textId="77777777" w:rsidR="00E7647E" w:rsidRPr="00E7647E" w:rsidRDefault="00E7647E" w:rsidP="00E7647E">
            <w:pPr>
              <w:spacing w:after="0"/>
              <w:jc w:val="right"/>
              <w:rPr>
                <w:rFonts w:eastAsia="Times New Roman" w:cs="Times New Roman"/>
                <w:b/>
                <w:bCs/>
                <w:sz w:val="22"/>
              </w:rPr>
            </w:pPr>
            <w:r w:rsidRPr="00E7647E">
              <w:rPr>
                <w:rFonts w:eastAsia="Times New Roman" w:cs="Times New Roman"/>
                <w:b/>
                <w:bCs/>
                <w:sz w:val="22"/>
              </w:rPr>
              <w:t>2025</w:t>
            </w:r>
          </w:p>
        </w:tc>
        <w:tc>
          <w:tcPr>
            <w:tcW w:w="1416" w:type="dxa"/>
            <w:tcBorders>
              <w:top w:val="double" w:sz="6" w:space="0" w:color="auto"/>
              <w:left w:val="nil"/>
              <w:bottom w:val="double" w:sz="6" w:space="0" w:color="auto"/>
              <w:right w:val="dashed" w:sz="4" w:space="0" w:color="auto"/>
            </w:tcBorders>
            <w:shd w:val="clear" w:color="auto" w:fill="auto"/>
            <w:noWrap/>
            <w:vAlign w:val="center"/>
            <w:hideMark/>
          </w:tcPr>
          <w:p w14:paraId="3EB7D4A4" w14:textId="77777777" w:rsidR="00E7647E" w:rsidRPr="00E7647E" w:rsidRDefault="00E7647E" w:rsidP="00E7647E">
            <w:pPr>
              <w:spacing w:after="0"/>
              <w:jc w:val="right"/>
              <w:rPr>
                <w:rFonts w:eastAsia="Times New Roman" w:cs="Times New Roman"/>
                <w:b/>
                <w:bCs/>
                <w:sz w:val="22"/>
              </w:rPr>
            </w:pPr>
            <w:r w:rsidRPr="00E7647E">
              <w:rPr>
                <w:rFonts w:eastAsia="Times New Roman" w:cs="Times New Roman"/>
                <w:b/>
                <w:bCs/>
                <w:sz w:val="22"/>
              </w:rPr>
              <w:t>2026</w:t>
            </w:r>
          </w:p>
        </w:tc>
        <w:tc>
          <w:tcPr>
            <w:tcW w:w="1416" w:type="dxa"/>
            <w:tcBorders>
              <w:top w:val="double" w:sz="6" w:space="0" w:color="auto"/>
              <w:left w:val="nil"/>
              <w:bottom w:val="double" w:sz="6" w:space="0" w:color="auto"/>
              <w:right w:val="double" w:sz="6" w:space="0" w:color="auto"/>
            </w:tcBorders>
            <w:shd w:val="clear" w:color="auto" w:fill="auto"/>
            <w:noWrap/>
            <w:vAlign w:val="center"/>
            <w:hideMark/>
          </w:tcPr>
          <w:p w14:paraId="2D656E6C" w14:textId="77777777" w:rsidR="00E7647E" w:rsidRPr="00E7647E" w:rsidRDefault="00E7647E" w:rsidP="00E7647E">
            <w:pPr>
              <w:spacing w:after="0"/>
              <w:jc w:val="right"/>
              <w:rPr>
                <w:rFonts w:eastAsia="Times New Roman" w:cs="Times New Roman"/>
                <w:b/>
                <w:bCs/>
                <w:sz w:val="22"/>
              </w:rPr>
            </w:pPr>
            <w:r w:rsidRPr="00E7647E">
              <w:rPr>
                <w:rFonts w:eastAsia="Times New Roman" w:cs="Times New Roman"/>
                <w:b/>
                <w:bCs/>
                <w:sz w:val="22"/>
              </w:rPr>
              <w:t>2027</w:t>
            </w:r>
          </w:p>
        </w:tc>
      </w:tr>
      <w:tr w:rsidR="00E7647E" w:rsidRPr="00E7647E" w14:paraId="31190526" w14:textId="77777777" w:rsidTr="00E7647E">
        <w:trPr>
          <w:trHeight w:val="263"/>
        </w:trPr>
        <w:tc>
          <w:tcPr>
            <w:tcW w:w="5605" w:type="dxa"/>
            <w:tcBorders>
              <w:top w:val="double" w:sz="6" w:space="0" w:color="000000"/>
              <w:left w:val="double" w:sz="6" w:space="0" w:color="auto"/>
              <w:bottom w:val="dotted" w:sz="4" w:space="0" w:color="000000"/>
              <w:right w:val="nil"/>
            </w:tcBorders>
            <w:shd w:val="clear" w:color="auto" w:fill="auto"/>
            <w:vAlign w:val="center"/>
            <w:hideMark/>
          </w:tcPr>
          <w:p w14:paraId="5A0B0D42"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1. General public services</w:t>
            </w:r>
          </w:p>
        </w:tc>
        <w:tc>
          <w:tcPr>
            <w:tcW w:w="1397" w:type="dxa"/>
            <w:tcBorders>
              <w:top w:val="double" w:sz="6" w:space="0" w:color="000000"/>
              <w:left w:val="single" w:sz="8" w:space="0" w:color="000000"/>
              <w:bottom w:val="dotted" w:sz="4" w:space="0" w:color="000000"/>
              <w:right w:val="single" w:sz="8" w:space="0" w:color="000000"/>
            </w:tcBorders>
            <w:shd w:val="clear" w:color="auto" w:fill="auto"/>
            <w:vAlign w:val="center"/>
            <w:hideMark/>
          </w:tcPr>
          <w:p w14:paraId="75088294"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1</w:t>
            </w:r>
          </w:p>
        </w:tc>
        <w:tc>
          <w:tcPr>
            <w:tcW w:w="1455" w:type="dxa"/>
            <w:tcBorders>
              <w:top w:val="nil"/>
              <w:left w:val="nil"/>
              <w:bottom w:val="dotted" w:sz="4" w:space="0" w:color="000000"/>
              <w:right w:val="dotted" w:sz="4" w:space="0" w:color="000000"/>
            </w:tcBorders>
            <w:shd w:val="clear" w:color="auto" w:fill="auto"/>
            <w:noWrap/>
            <w:vAlign w:val="bottom"/>
            <w:hideMark/>
          </w:tcPr>
          <w:p w14:paraId="62864D4B"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611,1</w:t>
            </w:r>
          </w:p>
        </w:tc>
        <w:tc>
          <w:tcPr>
            <w:tcW w:w="1339" w:type="dxa"/>
            <w:tcBorders>
              <w:top w:val="nil"/>
              <w:left w:val="nil"/>
              <w:bottom w:val="dotted" w:sz="4" w:space="0" w:color="000000"/>
              <w:right w:val="dotted" w:sz="4" w:space="0" w:color="000000"/>
            </w:tcBorders>
            <w:shd w:val="clear" w:color="auto" w:fill="auto"/>
            <w:noWrap/>
            <w:vAlign w:val="bottom"/>
            <w:hideMark/>
          </w:tcPr>
          <w:p w14:paraId="555014E1"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531,7</w:t>
            </w:r>
          </w:p>
        </w:tc>
        <w:tc>
          <w:tcPr>
            <w:tcW w:w="1397" w:type="dxa"/>
            <w:tcBorders>
              <w:top w:val="nil"/>
              <w:left w:val="nil"/>
              <w:bottom w:val="dotted" w:sz="4" w:space="0" w:color="000000"/>
              <w:right w:val="dotted" w:sz="4" w:space="0" w:color="000000"/>
            </w:tcBorders>
            <w:shd w:val="clear" w:color="auto" w:fill="auto"/>
            <w:noWrap/>
            <w:vAlign w:val="bottom"/>
            <w:hideMark/>
          </w:tcPr>
          <w:p w14:paraId="7C3DE562"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662,2</w:t>
            </w:r>
          </w:p>
        </w:tc>
        <w:tc>
          <w:tcPr>
            <w:tcW w:w="1416" w:type="dxa"/>
            <w:tcBorders>
              <w:top w:val="nil"/>
              <w:left w:val="nil"/>
              <w:bottom w:val="dotted" w:sz="4" w:space="0" w:color="000000"/>
              <w:right w:val="dotted" w:sz="4" w:space="0" w:color="000000"/>
            </w:tcBorders>
            <w:shd w:val="clear" w:color="auto" w:fill="auto"/>
            <w:noWrap/>
            <w:vAlign w:val="bottom"/>
            <w:hideMark/>
          </w:tcPr>
          <w:p w14:paraId="6D95E526"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710,5</w:t>
            </w:r>
          </w:p>
        </w:tc>
        <w:tc>
          <w:tcPr>
            <w:tcW w:w="1416" w:type="dxa"/>
            <w:tcBorders>
              <w:top w:val="nil"/>
              <w:left w:val="nil"/>
              <w:bottom w:val="dotted" w:sz="4" w:space="0" w:color="000000"/>
              <w:right w:val="dotted" w:sz="4" w:space="0" w:color="000000"/>
            </w:tcBorders>
            <w:shd w:val="clear" w:color="auto" w:fill="auto"/>
            <w:noWrap/>
            <w:vAlign w:val="bottom"/>
            <w:hideMark/>
          </w:tcPr>
          <w:p w14:paraId="2A84C915"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711,8</w:t>
            </w:r>
          </w:p>
        </w:tc>
        <w:tc>
          <w:tcPr>
            <w:tcW w:w="1416" w:type="dxa"/>
            <w:tcBorders>
              <w:top w:val="nil"/>
              <w:left w:val="nil"/>
              <w:bottom w:val="dotted" w:sz="4" w:space="0" w:color="000000"/>
              <w:right w:val="double" w:sz="6" w:space="0" w:color="auto"/>
            </w:tcBorders>
            <w:shd w:val="clear" w:color="auto" w:fill="auto"/>
            <w:noWrap/>
            <w:vAlign w:val="bottom"/>
            <w:hideMark/>
          </w:tcPr>
          <w:p w14:paraId="43230238"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753,3</w:t>
            </w:r>
          </w:p>
        </w:tc>
      </w:tr>
      <w:tr w:rsidR="00E7647E" w:rsidRPr="00E7647E" w14:paraId="42DFDCDA" w14:textId="77777777" w:rsidTr="00E7647E">
        <w:trPr>
          <w:trHeight w:val="255"/>
        </w:trPr>
        <w:tc>
          <w:tcPr>
            <w:tcW w:w="5605" w:type="dxa"/>
            <w:tcBorders>
              <w:top w:val="nil"/>
              <w:left w:val="double" w:sz="6" w:space="0" w:color="auto"/>
              <w:bottom w:val="dotted" w:sz="4" w:space="0" w:color="000000"/>
              <w:right w:val="nil"/>
            </w:tcBorders>
            <w:shd w:val="clear" w:color="auto" w:fill="auto"/>
            <w:vAlign w:val="center"/>
            <w:hideMark/>
          </w:tcPr>
          <w:p w14:paraId="27E73E60"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2. Defence</w:t>
            </w:r>
          </w:p>
        </w:tc>
        <w:tc>
          <w:tcPr>
            <w:tcW w:w="1397" w:type="dxa"/>
            <w:tcBorders>
              <w:top w:val="nil"/>
              <w:left w:val="single" w:sz="8" w:space="0" w:color="000000"/>
              <w:bottom w:val="dotted" w:sz="4" w:space="0" w:color="000000"/>
              <w:right w:val="single" w:sz="8" w:space="0" w:color="000000"/>
            </w:tcBorders>
            <w:shd w:val="clear" w:color="auto" w:fill="auto"/>
            <w:vAlign w:val="center"/>
            <w:hideMark/>
          </w:tcPr>
          <w:p w14:paraId="6D50ABDC"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2</w:t>
            </w:r>
          </w:p>
        </w:tc>
        <w:tc>
          <w:tcPr>
            <w:tcW w:w="1455" w:type="dxa"/>
            <w:tcBorders>
              <w:top w:val="nil"/>
              <w:left w:val="nil"/>
              <w:bottom w:val="dotted" w:sz="4" w:space="0" w:color="000000"/>
              <w:right w:val="dotted" w:sz="4" w:space="0" w:color="000000"/>
            </w:tcBorders>
            <w:shd w:val="clear" w:color="auto" w:fill="auto"/>
            <w:noWrap/>
            <w:vAlign w:val="bottom"/>
            <w:hideMark/>
          </w:tcPr>
          <w:p w14:paraId="4ADDFF99"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137,3</w:t>
            </w:r>
          </w:p>
        </w:tc>
        <w:tc>
          <w:tcPr>
            <w:tcW w:w="1339" w:type="dxa"/>
            <w:tcBorders>
              <w:top w:val="nil"/>
              <w:left w:val="nil"/>
              <w:bottom w:val="dotted" w:sz="4" w:space="0" w:color="000000"/>
              <w:right w:val="dotted" w:sz="4" w:space="0" w:color="000000"/>
            </w:tcBorders>
            <w:shd w:val="clear" w:color="auto" w:fill="auto"/>
            <w:noWrap/>
            <w:vAlign w:val="bottom"/>
            <w:hideMark/>
          </w:tcPr>
          <w:p w14:paraId="41A360FB"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165,5</w:t>
            </w:r>
          </w:p>
        </w:tc>
        <w:tc>
          <w:tcPr>
            <w:tcW w:w="1397" w:type="dxa"/>
            <w:tcBorders>
              <w:top w:val="nil"/>
              <w:left w:val="nil"/>
              <w:bottom w:val="dotted" w:sz="4" w:space="0" w:color="000000"/>
              <w:right w:val="dotted" w:sz="4" w:space="0" w:color="000000"/>
            </w:tcBorders>
            <w:shd w:val="clear" w:color="auto" w:fill="auto"/>
            <w:noWrap/>
            <w:vAlign w:val="bottom"/>
            <w:hideMark/>
          </w:tcPr>
          <w:p w14:paraId="33CC5334"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216,3</w:t>
            </w:r>
          </w:p>
        </w:tc>
        <w:tc>
          <w:tcPr>
            <w:tcW w:w="1416" w:type="dxa"/>
            <w:tcBorders>
              <w:top w:val="nil"/>
              <w:left w:val="nil"/>
              <w:bottom w:val="dotted" w:sz="4" w:space="0" w:color="000000"/>
              <w:right w:val="dotted" w:sz="4" w:space="0" w:color="000000"/>
            </w:tcBorders>
            <w:shd w:val="clear" w:color="auto" w:fill="auto"/>
            <w:noWrap/>
            <w:vAlign w:val="bottom"/>
            <w:hideMark/>
          </w:tcPr>
          <w:p w14:paraId="40A0B973"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262,0</w:t>
            </w:r>
          </w:p>
        </w:tc>
        <w:tc>
          <w:tcPr>
            <w:tcW w:w="1416" w:type="dxa"/>
            <w:tcBorders>
              <w:top w:val="nil"/>
              <w:left w:val="nil"/>
              <w:bottom w:val="dotted" w:sz="4" w:space="0" w:color="000000"/>
              <w:right w:val="dotted" w:sz="4" w:space="0" w:color="000000"/>
            </w:tcBorders>
            <w:shd w:val="clear" w:color="auto" w:fill="auto"/>
            <w:noWrap/>
            <w:vAlign w:val="bottom"/>
            <w:hideMark/>
          </w:tcPr>
          <w:p w14:paraId="70F73629"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277,2</w:t>
            </w:r>
          </w:p>
        </w:tc>
        <w:tc>
          <w:tcPr>
            <w:tcW w:w="1416" w:type="dxa"/>
            <w:tcBorders>
              <w:top w:val="nil"/>
              <w:left w:val="nil"/>
              <w:bottom w:val="dotted" w:sz="4" w:space="0" w:color="000000"/>
              <w:right w:val="double" w:sz="6" w:space="0" w:color="auto"/>
            </w:tcBorders>
            <w:shd w:val="clear" w:color="auto" w:fill="auto"/>
            <w:noWrap/>
            <w:vAlign w:val="bottom"/>
            <w:hideMark/>
          </w:tcPr>
          <w:p w14:paraId="56E5A460"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299,8</w:t>
            </w:r>
          </w:p>
        </w:tc>
      </w:tr>
      <w:tr w:rsidR="00E7647E" w:rsidRPr="00E7647E" w14:paraId="2A884B0D" w14:textId="77777777" w:rsidTr="00E7647E">
        <w:trPr>
          <w:trHeight w:val="255"/>
        </w:trPr>
        <w:tc>
          <w:tcPr>
            <w:tcW w:w="5605" w:type="dxa"/>
            <w:tcBorders>
              <w:top w:val="nil"/>
              <w:left w:val="double" w:sz="6" w:space="0" w:color="auto"/>
              <w:bottom w:val="dotted" w:sz="4" w:space="0" w:color="000000"/>
              <w:right w:val="nil"/>
            </w:tcBorders>
            <w:shd w:val="clear" w:color="auto" w:fill="auto"/>
            <w:vAlign w:val="center"/>
            <w:hideMark/>
          </w:tcPr>
          <w:p w14:paraId="21287934"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3. Public order and safety</w:t>
            </w:r>
          </w:p>
        </w:tc>
        <w:tc>
          <w:tcPr>
            <w:tcW w:w="1397" w:type="dxa"/>
            <w:tcBorders>
              <w:top w:val="nil"/>
              <w:left w:val="single" w:sz="8" w:space="0" w:color="000000"/>
              <w:bottom w:val="dotted" w:sz="4" w:space="0" w:color="000000"/>
              <w:right w:val="single" w:sz="8" w:space="0" w:color="000000"/>
            </w:tcBorders>
            <w:shd w:val="clear" w:color="auto" w:fill="auto"/>
            <w:vAlign w:val="center"/>
            <w:hideMark/>
          </w:tcPr>
          <w:p w14:paraId="28BE89D9"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3</w:t>
            </w:r>
          </w:p>
        </w:tc>
        <w:tc>
          <w:tcPr>
            <w:tcW w:w="1455" w:type="dxa"/>
            <w:tcBorders>
              <w:top w:val="nil"/>
              <w:left w:val="nil"/>
              <w:bottom w:val="dotted" w:sz="4" w:space="0" w:color="000000"/>
              <w:right w:val="dotted" w:sz="4" w:space="0" w:color="000000"/>
            </w:tcBorders>
            <w:shd w:val="clear" w:color="auto" w:fill="auto"/>
            <w:noWrap/>
            <w:vAlign w:val="bottom"/>
            <w:hideMark/>
          </w:tcPr>
          <w:p w14:paraId="30BB0806"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174,2</w:t>
            </w:r>
          </w:p>
        </w:tc>
        <w:tc>
          <w:tcPr>
            <w:tcW w:w="1339" w:type="dxa"/>
            <w:tcBorders>
              <w:top w:val="nil"/>
              <w:left w:val="nil"/>
              <w:bottom w:val="dotted" w:sz="4" w:space="0" w:color="000000"/>
              <w:right w:val="dotted" w:sz="4" w:space="0" w:color="000000"/>
            </w:tcBorders>
            <w:shd w:val="clear" w:color="auto" w:fill="auto"/>
            <w:noWrap/>
            <w:vAlign w:val="bottom"/>
            <w:hideMark/>
          </w:tcPr>
          <w:p w14:paraId="122F9EE1"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192,1</w:t>
            </w:r>
          </w:p>
        </w:tc>
        <w:tc>
          <w:tcPr>
            <w:tcW w:w="1397" w:type="dxa"/>
            <w:tcBorders>
              <w:top w:val="nil"/>
              <w:left w:val="nil"/>
              <w:bottom w:val="dotted" w:sz="4" w:space="0" w:color="000000"/>
              <w:right w:val="dotted" w:sz="4" w:space="0" w:color="000000"/>
            </w:tcBorders>
            <w:shd w:val="clear" w:color="auto" w:fill="auto"/>
            <w:noWrap/>
            <w:vAlign w:val="bottom"/>
            <w:hideMark/>
          </w:tcPr>
          <w:p w14:paraId="47EEE944"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214,4</w:t>
            </w:r>
          </w:p>
        </w:tc>
        <w:tc>
          <w:tcPr>
            <w:tcW w:w="1416" w:type="dxa"/>
            <w:tcBorders>
              <w:top w:val="nil"/>
              <w:left w:val="nil"/>
              <w:bottom w:val="dotted" w:sz="4" w:space="0" w:color="000000"/>
              <w:right w:val="dotted" w:sz="4" w:space="0" w:color="000000"/>
            </w:tcBorders>
            <w:shd w:val="clear" w:color="auto" w:fill="auto"/>
            <w:noWrap/>
            <w:vAlign w:val="bottom"/>
            <w:hideMark/>
          </w:tcPr>
          <w:p w14:paraId="3377B324"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225,8</w:t>
            </w:r>
          </w:p>
        </w:tc>
        <w:tc>
          <w:tcPr>
            <w:tcW w:w="1416" w:type="dxa"/>
            <w:tcBorders>
              <w:top w:val="nil"/>
              <w:left w:val="nil"/>
              <w:bottom w:val="dotted" w:sz="4" w:space="0" w:color="000000"/>
              <w:right w:val="dotted" w:sz="4" w:space="0" w:color="000000"/>
            </w:tcBorders>
            <w:shd w:val="clear" w:color="auto" w:fill="auto"/>
            <w:noWrap/>
            <w:vAlign w:val="bottom"/>
            <w:hideMark/>
          </w:tcPr>
          <w:p w14:paraId="122032F7"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243,9</w:t>
            </w:r>
          </w:p>
        </w:tc>
        <w:tc>
          <w:tcPr>
            <w:tcW w:w="1416" w:type="dxa"/>
            <w:tcBorders>
              <w:top w:val="nil"/>
              <w:left w:val="nil"/>
              <w:bottom w:val="dotted" w:sz="4" w:space="0" w:color="000000"/>
              <w:right w:val="double" w:sz="6" w:space="0" w:color="auto"/>
            </w:tcBorders>
            <w:shd w:val="clear" w:color="auto" w:fill="auto"/>
            <w:noWrap/>
            <w:vAlign w:val="bottom"/>
            <w:hideMark/>
          </w:tcPr>
          <w:p w14:paraId="784FDAC2"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263,8</w:t>
            </w:r>
          </w:p>
        </w:tc>
      </w:tr>
      <w:tr w:rsidR="00E7647E" w:rsidRPr="00E7647E" w14:paraId="7764120B" w14:textId="77777777" w:rsidTr="00E7647E">
        <w:trPr>
          <w:trHeight w:val="255"/>
        </w:trPr>
        <w:tc>
          <w:tcPr>
            <w:tcW w:w="5605" w:type="dxa"/>
            <w:tcBorders>
              <w:top w:val="nil"/>
              <w:left w:val="double" w:sz="6" w:space="0" w:color="auto"/>
              <w:bottom w:val="dotted" w:sz="4" w:space="0" w:color="000000"/>
              <w:right w:val="nil"/>
            </w:tcBorders>
            <w:shd w:val="clear" w:color="auto" w:fill="auto"/>
            <w:vAlign w:val="center"/>
            <w:hideMark/>
          </w:tcPr>
          <w:p w14:paraId="49B3EDE4"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4. Economic affairs</w:t>
            </w:r>
          </w:p>
        </w:tc>
        <w:tc>
          <w:tcPr>
            <w:tcW w:w="1397" w:type="dxa"/>
            <w:tcBorders>
              <w:top w:val="nil"/>
              <w:left w:val="single" w:sz="8" w:space="0" w:color="000000"/>
              <w:bottom w:val="dotted" w:sz="4" w:space="0" w:color="000000"/>
              <w:right w:val="single" w:sz="8" w:space="0" w:color="000000"/>
            </w:tcBorders>
            <w:shd w:val="clear" w:color="auto" w:fill="auto"/>
            <w:vAlign w:val="center"/>
            <w:hideMark/>
          </w:tcPr>
          <w:p w14:paraId="16BA1833"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4</w:t>
            </w:r>
          </w:p>
        </w:tc>
        <w:tc>
          <w:tcPr>
            <w:tcW w:w="1455" w:type="dxa"/>
            <w:tcBorders>
              <w:top w:val="nil"/>
              <w:left w:val="nil"/>
              <w:bottom w:val="dotted" w:sz="4" w:space="0" w:color="000000"/>
              <w:right w:val="dotted" w:sz="4" w:space="0" w:color="000000"/>
            </w:tcBorders>
            <w:shd w:val="clear" w:color="auto" w:fill="auto"/>
            <w:noWrap/>
            <w:vAlign w:val="bottom"/>
            <w:hideMark/>
          </w:tcPr>
          <w:p w14:paraId="7C3F243B"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576,6</w:t>
            </w:r>
          </w:p>
        </w:tc>
        <w:tc>
          <w:tcPr>
            <w:tcW w:w="1339" w:type="dxa"/>
            <w:tcBorders>
              <w:top w:val="nil"/>
              <w:left w:val="nil"/>
              <w:bottom w:val="dotted" w:sz="4" w:space="0" w:color="000000"/>
              <w:right w:val="dotted" w:sz="4" w:space="0" w:color="000000"/>
            </w:tcBorders>
            <w:shd w:val="clear" w:color="auto" w:fill="auto"/>
            <w:noWrap/>
            <w:vAlign w:val="bottom"/>
            <w:hideMark/>
          </w:tcPr>
          <w:p w14:paraId="1D5DE51F"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665,3</w:t>
            </w:r>
          </w:p>
        </w:tc>
        <w:tc>
          <w:tcPr>
            <w:tcW w:w="1397" w:type="dxa"/>
            <w:tcBorders>
              <w:top w:val="nil"/>
              <w:left w:val="nil"/>
              <w:bottom w:val="dotted" w:sz="4" w:space="0" w:color="000000"/>
              <w:right w:val="dotted" w:sz="4" w:space="0" w:color="000000"/>
            </w:tcBorders>
            <w:shd w:val="clear" w:color="auto" w:fill="auto"/>
            <w:noWrap/>
            <w:vAlign w:val="bottom"/>
            <w:hideMark/>
          </w:tcPr>
          <w:p w14:paraId="362B8924"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677,3</w:t>
            </w:r>
          </w:p>
        </w:tc>
        <w:tc>
          <w:tcPr>
            <w:tcW w:w="1416" w:type="dxa"/>
            <w:tcBorders>
              <w:top w:val="nil"/>
              <w:left w:val="nil"/>
              <w:bottom w:val="dotted" w:sz="4" w:space="0" w:color="000000"/>
              <w:right w:val="dotted" w:sz="4" w:space="0" w:color="000000"/>
            </w:tcBorders>
            <w:shd w:val="clear" w:color="auto" w:fill="auto"/>
            <w:noWrap/>
            <w:vAlign w:val="bottom"/>
            <w:hideMark/>
          </w:tcPr>
          <w:p w14:paraId="3F38EA5E"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707,5</w:t>
            </w:r>
          </w:p>
        </w:tc>
        <w:tc>
          <w:tcPr>
            <w:tcW w:w="1416" w:type="dxa"/>
            <w:tcBorders>
              <w:top w:val="nil"/>
              <w:left w:val="nil"/>
              <w:bottom w:val="dotted" w:sz="4" w:space="0" w:color="000000"/>
              <w:right w:val="dotted" w:sz="4" w:space="0" w:color="000000"/>
            </w:tcBorders>
            <w:shd w:val="clear" w:color="auto" w:fill="auto"/>
            <w:noWrap/>
            <w:vAlign w:val="bottom"/>
            <w:hideMark/>
          </w:tcPr>
          <w:p w14:paraId="0583EC26"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754,3</w:t>
            </w:r>
          </w:p>
        </w:tc>
        <w:tc>
          <w:tcPr>
            <w:tcW w:w="1416" w:type="dxa"/>
            <w:tcBorders>
              <w:top w:val="nil"/>
              <w:left w:val="nil"/>
              <w:bottom w:val="dotted" w:sz="4" w:space="0" w:color="000000"/>
              <w:right w:val="double" w:sz="6" w:space="0" w:color="auto"/>
            </w:tcBorders>
            <w:shd w:val="clear" w:color="auto" w:fill="auto"/>
            <w:noWrap/>
            <w:vAlign w:val="bottom"/>
            <w:hideMark/>
          </w:tcPr>
          <w:p w14:paraId="310712AC"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803,6</w:t>
            </w:r>
          </w:p>
        </w:tc>
      </w:tr>
      <w:tr w:rsidR="00E7647E" w:rsidRPr="00E7647E" w14:paraId="31E9D704" w14:textId="77777777" w:rsidTr="00E7647E">
        <w:trPr>
          <w:trHeight w:val="255"/>
        </w:trPr>
        <w:tc>
          <w:tcPr>
            <w:tcW w:w="5605" w:type="dxa"/>
            <w:tcBorders>
              <w:top w:val="nil"/>
              <w:left w:val="double" w:sz="6" w:space="0" w:color="auto"/>
              <w:bottom w:val="dotted" w:sz="4" w:space="0" w:color="000000"/>
              <w:right w:val="nil"/>
            </w:tcBorders>
            <w:shd w:val="clear" w:color="auto" w:fill="auto"/>
            <w:vAlign w:val="center"/>
            <w:hideMark/>
          </w:tcPr>
          <w:p w14:paraId="55152DBA"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5. Environmental protection</w:t>
            </w:r>
          </w:p>
        </w:tc>
        <w:tc>
          <w:tcPr>
            <w:tcW w:w="1397" w:type="dxa"/>
            <w:tcBorders>
              <w:top w:val="nil"/>
              <w:left w:val="single" w:sz="8" w:space="0" w:color="000000"/>
              <w:bottom w:val="dotted" w:sz="4" w:space="0" w:color="000000"/>
              <w:right w:val="single" w:sz="8" w:space="0" w:color="000000"/>
            </w:tcBorders>
            <w:shd w:val="clear" w:color="auto" w:fill="auto"/>
            <w:vAlign w:val="center"/>
            <w:hideMark/>
          </w:tcPr>
          <w:p w14:paraId="28880A9E"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5</w:t>
            </w:r>
          </w:p>
        </w:tc>
        <w:tc>
          <w:tcPr>
            <w:tcW w:w="1455" w:type="dxa"/>
            <w:tcBorders>
              <w:top w:val="nil"/>
              <w:left w:val="nil"/>
              <w:bottom w:val="dotted" w:sz="4" w:space="0" w:color="000000"/>
              <w:right w:val="dotted" w:sz="4" w:space="0" w:color="000000"/>
            </w:tcBorders>
            <w:shd w:val="clear" w:color="auto" w:fill="auto"/>
            <w:noWrap/>
            <w:vAlign w:val="bottom"/>
            <w:hideMark/>
          </w:tcPr>
          <w:p w14:paraId="060C2545"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34,8</w:t>
            </w:r>
          </w:p>
        </w:tc>
        <w:tc>
          <w:tcPr>
            <w:tcW w:w="1339" w:type="dxa"/>
            <w:tcBorders>
              <w:top w:val="nil"/>
              <w:left w:val="nil"/>
              <w:bottom w:val="dotted" w:sz="4" w:space="0" w:color="000000"/>
              <w:right w:val="dotted" w:sz="4" w:space="0" w:color="000000"/>
            </w:tcBorders>
            <w:shd w:val="clear" w:color="auto" w:fill="auto"/>
            <w:noWrap/>
            <w:vAlign w:val="bottom"/>
            <w:hideMark/>
          </w:tcPr>
          <w:p w14:paraId="1AFE81B0"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40,1</w:t>
            </w:r>
          </w:p>
        </w:tc>
        <w:tc>
          <w:tcPr>
            <w:tcW w:w="1397" w:type="dxa"/>
            <w:tcBorders>
              <w:top w:val="nil"/>
              <w:left w:val="nil"/>
              <w:bottom w:val="dotted" w:sz="4" w:space="0" w:color="000000"/>
              <w:right w:val="dotted" w:sz="4" w:space="0" w:color="000000"/>
            </w:tcBorders>
            <w:shd w:val="clear" w:color="auto" w:fill="auto"/>
            <w:noWrap/>
            <w:vAlign w:val="bottom"/>
            <w:hideMark/>
          </w:tcPr>
          <w:p w14:paraId="30C20A91"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49,6</w:t>
            </w:r>
          </w:p>
        </w:tc>
        <w:tc>
          <w:tcPr>
            <w:tcW w:w="1416" w:type="dxa"/>
            <w:tcBorders>
              <w:top w:val="nil"/>
              <w:left w:val="nil"/>
              <w:bottom w:val="dotted" w:sz="4" w:space="0" w:color="000000"/>
              <w:right w:val="dotted" w:sz="4" w:space="0" w:color="000000"/>
            </w:tcBorders>
            <w:shd w:val="clear" w:color="auto" w:fill="auto"/>
            <w:noWrap/>
            <w:vAlign w:val="bottom"/>
            <w:hideMark/>
          </w:tcPr>
          <w:p w14:paraId="1F1C170C"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53,1</w:t>
            </w:r>
          </w:p>
        </w:tc>
        <w:tc>
          <w:tcPr>
            <w:tcW w:w="1416" w:type="dxa"/>
            <w:tcBorders>
              <w:top w:val="nil"/>
              <w:left w:val="nil"/>
              <w:bottom w:val="dotted" w:sz="4" w:space="0" w:color="000000"/>
              <w:right w:val="dotted" w:sz="4" w:space="0" w:color="000000"/>
            </w:tcBorders>
            <w:shd w:val="clear" w:color="auto" w:fill="auto"/>
            <w:noWrap/>
            <w:vAlign w:val="bottom"/>
            <w:hideMark/>
          </w:tcPr>
          <w:p w14:paraId="13ACEDF2"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55,4</w:t>
            </w:r>
          </w:p>
        </w:tc>
        <w:tc>
          <w:tcPr>
            <w:tcW w:w="1416" w:type="dxa"/>
            <w:tcBorders>
              <w:top w:val="nil"/>
              <w:left w:val="nil"/>
              <w:bottom w:val="dotted" w:sz="4" w:space="0" w:color="000000"/>
              <w:right w:val="double" w:sz="6" w:space="0" w:color="auto"/>
            </w:tcBorders>
            <w:shd w:val="clear" w:color="auto" w:fill="auto"/>
            <w:noWrap/>
            <w:vAlign w:val="bottom"/>
            <w:hideMark/>
          </w:tcPr>
          <w:p w14:paraId="6C31146F"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60,0</w:t>
            </w:r>
          </w:p>
        </w:tc>
      </w:tr>
      <w:tr w:rsidR="00E7647E" w:rsidRPr="00E7647E" w14:paraId="41B3165D" w14:textId="77777777" w:rsidTr="00E7647E">
        <w:trPr>
          <w:trHeight w:val="255"/>
        </w:trPr>
        <w:tc>
          <w:tcPr>
            <w:tcW w:w="5605" w:type="dxa"/>
            <w:tcBorders>
              <w:top w:val="nil"/>
              <w:left w:val="double" w:sz="6" w:space="0" w:color="auto"/>
              <w:bottom w:val="dotted" w:sz="4" w:space="0" w:color="000000"/>
              <w:right w:val="nil"/>
            </w:tcBorders>
            <w:shd w:val="clear" w:color="auto" w:fill="auto"/>
            <w:vAlign w:val="center"/>
            <w:hideMark/>
          </w:tcPr>
          <w:p w14:paraId="72EA957C"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6. Housing and community amenities</w:t>
            </w:r>
          </w:p>
        </w:tc>
        <w:tc>
          <w:tcPr>
            <w:tcW w:w="1397" w:type="dxa"/>
            <w:tcBorders>
              <w:top w:val="nil"/>
              <w:left w:val="single" w:sz="8" w:space="0" w:color="000000"/>
              <w:bottom w:val="dotted" w:sz="4" w:space="0" w:color="000000"/>
              <w:right w:val="single" w:sz="8" w:space="0" w:color="000000"/>
            </w:tcBorders>
            <w:shd w:val="clear" w:color="auto" w:fill="auto"/>
            <w:vAlign w:val="center"/>
            <w:hideMark/>
          </w:tcPr>
          <w:p w14:paraId="2C759881"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6</w:t>
            </w:r>
          </w:p>
        </w:tc>
        <w:tc>
          <w:tcPr>
            <w:tcW w:w="1455" w:type="dxa"/>
            <w:tcBorders>
              <w:top w:val="nil"/>
              <w:left w:val="nil"/>
              <w:bottom w:val="dotted" w:sz="4" w:space="0" w:color="000000"/>
              <w:right w:val="dotted" w:sz="4" w:space="0" w:color="000000"/>
            </w:tcBorders>
            <w:shd w:val="clear" w:color="auto" w:fill="auto"/>
            <w:noWrap/>
            <w:vAlign w:val="bottom"/>
            <w:hideMark/>
          </w:tcPr>
          <w:p w14:paraId="36685A6A"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64,7</w:t>
            </w:r>
          </w:p>
        </w:tc>
        <w:tc>
          <w:tcPr>
            <w:tcW w:w="1339" w:type="dxa"/>
            <w:tcBorders>
              <w:top w:val="nil"/>
              <w:left w:val="nil"/>
              <w:bottom w:val="dotted" w:sz="4" w:space="0" w:color="000000"/>
              <w:right w:val="dotted" w:sz="4" w:space="0" w:color="000000"/>
            </w:tcBorders>
            <w:shd w:val="clear" w:color="auto" w:fill="auto"/>
            <w:noWrap/>
            <w:vAlign w:val="bottom"/>
            <w:hideMark/>
          </w:tcPr>
          <w:p w14:paraId="5C616E45"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72,3</w:t>
            </w:r>
          </w:p>
        </w:tc>
        <w:tc>
          <w:tcPr>
            <w:tcW w:w="1397" w:type="dxa"/>
            <w:tcBorders>
              <w:top w:val="nil"/>
              <w:left w:val="nil"/>
              <w:bottom w:val="dotted" w:sz="4" w:space="0" w:color="000000"/>
              <w:right w:val="dotted" w:sz="4" w:space="0" w:color="000000"/>
            </w:tcBorders>
            <w:shd w:val="clear" w:color="auto" w:fill="auto"/>
            <w:noWrap/>
            <w:vAlign w:val="bottom"/>
            <w:hideMark/>
          </w:tcPr>
          <w:p w14:paraId="20D03E23"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73,8</w:t>
            </w:r>
          </w:p>
        </w:tc>
        <w:tc>
          <w:tcPr>
            <w:tcW w:w="1416" w:type="dxa"/>
            <w:tcBorders>
              <w:top w:val="nil"/>
              <w:left w:val="nil"/>
              <w:bottom w:val="dotted" w:sz="4" w:space="0" w:color="000000"/>
              <w:right w:val="dotted" w:sz="4" w:space="0" w:color="000000"/>
            </w:tcBorders>
            <w:shd w:val="clear" w:color="auto" w:fill="auto"/>
            <w:noWrap/>
            <w:vAlign w:val="bottom"/>
            <w:hideMark/>
          </w:tcPr>
          <w:p w14:paraId="6FEC7BDC"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80,9</w:t>
            </w:r>
          </w:p>
        </w:tc>
        <w:tc>
          <w:tcPr>
            <w:tcW w:w="1416" w:type="dxa"/>
            <w:tcBorders>
              <w:top w:val="nil"/>
              <w:left w:val="nil"/>
              <w:bottom w:val="dotted" w:sz="4" w:space="0" w:color="000000"/>
              <w:right w:val="dotted" w:sz="4" w:space="0" w:color="000000"/>
            </w:tcBorders>
            <w:shd w:val="clear" w:color="auto" w:fill="auto"/>
            <w:noWrap/>
            <w:vAlign w:val="bottom"/>
            <w:hideMark/>
          </w:tcPr>
          <w:p w14:paraId="5E589B22"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88,7</w:t>
            </w:r>
          </w:p>
        </w:tc>
        <w:tc>
          <w:tcPr>
            <w:tcW w:w="1416" w:type="dxa"/>
            <w:tcBorders>
              <w:top w:val="nil"/>
              <w:left w:val="nil"/>
              <w:bottom w:val="dotted" w:sz="4" w:space="0" w:color="000000"/>
              <w:right w:val="double" w:sz="6" w:space="0" w:color="auto"/>
            </w:tcBorders>
            <w:shd w:val="clear" w:color="auto" w:fill="auto"/>
            <w:noWrap/>
            <w:vAlign w:val="bottom"/>
            <w:hideMark/>
          </w:tcPr>
          <w:p w14:paraId="08445D11"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95,9</w:t>
            </w:r>
          </w:p>
        </w:tc>
      </w:tr>
      <w:tr w:rsidR="00E7647E" w:rsidRPr="00E7647E" w14:paraId="3D38E138" w14:textId="77777777" w:rsidTr="00E7647E">
        <w:trPr>
          <w:trHeight w:val="255"/>
        </w:trPr>
        <w:tc>
          <w:tcPr>
            <w:tcW w:w="5605" w:type="dxa"/>
            <w:tcBorders>
              <w:top w:val="nil"/>
              <w:left w:val="double" w:sz="6" w:space="0" w:color="auto"/>
              <w:bottom w:val="dotted" w:sz="4" w:space="0" w:color="000000"/>
              <w:right w:val="nil"/>
            </w:tcBorders>
            <w:shd w:val="clear" w:color="auto" w:fill="auto"/>
            <w:vAlign w:val="center"/>
            <w:hideMark/>
          </w:tcPr>
          <w:p w14:paraId="0E6DC8AD"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7. Health</w:t>
            </w:r>
          </w:p>
        </w:tc>
        <w:tc>
          <w:tcPr>
            <w:tcW w:w="1397" w:type="dxa"/>
            <w:tcBorders>
              <w:top w:val="nil"/>
              <w:left w:val="single" w:sz="8" w:space="0" w:color="000000"/>
              <w:bottom w:val="dotted" w:sz="4" w:space="0" w:color="000000"/>
              <w:right w:val="single" w:sz="8" w:space="0" w:color="000000"/>
            </w:tcBorders>
            <w:shd w:val="clear" w:color="auto" w:fill="auto"/>
            <w:vAlign w:val="center"/>
            <w:hideMark/>
          </w:tcPr>
          <w:p w14:paraId="24B854FD"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7</w:t>
            </w:r>
          </w:p>
        </w:tc>
        <w:tc>
          <w:tcPr>
            <w:tcW w:w="1455" w:type="dxa"/>
            <w:tcBorders>
              <w:top w:val="nil"/>
              <w:left w:val="nil"/>
              <w:bottom w:val="dotted" w:sz="4" w:space="0" w:color="000000"/>
              <w:right w:val="dotted" w:sz="4" w:space="0" w:color="000000"/>
            </w:tcBorders>
            <w:shd w:val="clear" w:color="auto" w:fill="auto"/>
            <w:noWrap/>
            <w:vAlign w:val="bottom"/>
            <w:hideMark/>
          </w:tcPr>
          <w:p w14:paraId="4EA133F8"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496,0</w:t>
            </w:r>
          </w:p>
        </w:tc>
        <w:tc>
          <w:tcPr>
            <w:tcW w:w="1339" w:type="dxa"/>
            <w:tcBorders>
              <w:top w:val="nil"/>
              <w:left w:val="nil"/>
              <w:bottom w:val="dotted" w:sz="4" w:space="0" w:color="000000"/>
              <w:right w:val="dotted" w:sz="4" w:space="0" w:color="000000"/>
            </w:tcBorders>
            <w:shd w:val="clear" w:color="auto" w:fill="auto"/>
            <w:noWrap/>
            <w:vAlign w:val="bottom"/>
            <w:hideMark/>
          </w:tcPr>
          <w:p w14:paraId="19538491"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530,9</w:t>
            </w:r>
          </w:p>
        </w:tc>
        <w:tc>
          <w:tcPr>
            <w:tcW w:w="1397" w:type="dxa"/>
            <w:tcBorders>
              <w:top w:val="nil"/>
              <w:left w:val="nil"/>
              <w:bottom w:val="dotted" w:sz="4" w:space="0" w:color="000000"/>
              <w:right w:val="dotted" w:sz="4" w:space="0" w:color="000000"/>
            </w:tcBorders>
            <w:shd w:val="clear" w:color="auto" w:fill="auto"/>
            <w:noWrap/>
            <w:vAlign w:val="bottom"/>
            <w:hideMark/>
          </w:tcPr>
          <w:p w14:paraId="34116F7D"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593,7</w:t>
            </w:r>
          </w:p>
        </w:tc>
        <w:tc>
          <w:tcPr>
            <w:tcW w:w="1416" w:type="dxa"/>
            <w:tcBorders>
              <w:top w:val="nil"/>
              <w:left w:val="nil"/>
              <w:bottom w:val="dotted" w:sz="4" w:space="0" w:color="000000"/>
              <w:right w:val="dotted" w:sz="4" w:space="0" w:color="000000"/>
            </w:tcBorders>
            <w:shd w:val="clear" w:color="auto" w:fill="auto"/>
            <w:noWrap/>
            <w:vAlign w:val="bottom"/>
            <w:hideMark/>
          </w:tcPr>
          <w:p w14:paraId="1BEEECD3"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642,8</w:t>
            </w:r>
          </w:p>
        </w:tc>
        <w:tc>
          <w:tcPr>
            <w:tcW w:w="1416" w:type="dxa"/>
            <w:tcBorders>
              <w:top w:val="nil"/>
              <w:left w:val="nil"/>
              <w:bottom w:val="dotted" w:sz="4" w:space="0" w:color="000000"/>
              <w:right w:val="dotted" w:sz="4" w:space="0" w:color="000000"/>
            </w:tcBorders>
            <w:shd w:val="clear" w:color="auto" w:fill="auto"/>
            <w:noWrap/>
            <w:vAlign w:val="bottom"/>
            <w:hideMark/>
          </w:tcPr>
          <w:p w14:paraId="38000909"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687,4</w:t>
            </w:r>
          </w:p>
        </w:tc>
        <w:tc>
          <w:tcPr>
            <w:tcW w:w="1416" w:type="dxa"/>
            <w:tcBorders>
              <w:top w:val="nil"/>
              <w:left w:val="nil"/>
              <w:bottom w:val="dotted" w:sz="4" w:space="0" w:color="000000"/>
              <w:right w:val="double" w:sz="6" w:space="0" w:color="auto"/>
            </w:tcBorders>
            <w:shd w:val="clear" w:color="auto" w:fill="auto"/>
            <w:noWrap/>
            <w:vAlign w:val="bottom"/>
            <w:hideMark/>
          </w:tcPr>
          <w:p w14:paraId="74676274"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743,6</w:t>
            </w:r>
          </w:p>
        </w:tc>
      </w:tr>
      <w:tr w:rsidR="00E7647E" w:rsidRPr="00E7647E" w14:paraId="0B5D3C16" w14:textId="77777777" w:rsidTr="00E7647E">
        <w:trPr>
          <w:trHeight w:val="255"/>
        </w:trPr>
        <w:tc>
          <w:tcPr>
            <w:tcW w:w="5605" w:type="dxa"/>
            <w:tcBorders>
              <w:top w:val="nil"/>
              <w:left w:val="double" w:sz="6" w:space="0" w:color="auto"/>
              <w:bottom w:val="dotted" w:sz="4" w:space="0" w:color="000000"/>
              <w:right w:val="nil"/>
            </w:tcBorders>
            <w:shd w:val="clear" w:color="auto" w:fill="auto"/>
            <w:vAlign w:val="center"/>
            <w:hideMark/>
          </w:tcPr>
          <w:p w14:paraId="4A24FC88"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8. Recreation, culture and religion</w:t>
            </w:r>
          </w:p>
        </w:tc>
        <w:tc>
          <w:tcPr>
            <w:tcW w:w="1397" w:type="dxa"/>
            <w:tcBorders>
              <w:top w:val="nil"/>
              <w:left w:val="single" w:sz="8" w:space="0" w:color="000000"/>
              <w:bottom w:val="dotted" w:sz="4" w:space="0" w:color="000000"/>
              <w:right w:val="single" w:sz="8" w:space="0" w:color="000000"/>
            </w:tcBorders>
            <w:shd w:val="clear" w:color="auto" w:fill="auto"/>
            <w:vAlign w:val="center"/>
            <w:hideMark/>
          </w:tcPr>
          <w:p w14:paraId="07F8C96C"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8</w:t>
            </w:r>
          </w:p>
        </w:tc>
        <w:tc>
          <w:tcPr>
            <w:tcW w:w="1455" w:type="dxa"/>
            <w:tcBorders>
              <w:top w:val="nil"/>
              <w:left w:val="nil"/>
              <w:bottom w:val="dotted" w:sz="4" w:space="0" w:color="000000"/>
              <w:right w:val="dotted" w:sz="4" w:space="0" w:color="000000"/>
            </w:tcBorders>
            <w:shd w:val="clear" w:color="auto" w:fill="auto"/>
            <w:noWrap/>
            <w:vAlign w:val="bottom"/>
            <w:hideMark/>
          </w:tcPr>
          <w:p w14:paraId="6E53E9CE"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67,7</w:t>
            </w:r>
          </w:p>
        </w:tc>
        <w:tc>
          <w:tcPr>
            <w:tcW w:w="1339" w:type="dxa"/>
            <w:tcBorders>
              <w:top w:val="nil"/>
              <w:left w:val="nil"/>
              <w:bottom w:val="dotted" w:sz="4" w:space="0" w:color="000000"/>
              <w:right w:val="dotted" w:sz="4" w:space="0" w:color="000000"/>
            </w:tcBorders>
            <w:shd w:val="clear" w:color="auto" w:fill="auto"/>
            <w:noWrap/>
            <w:vAlign w:val="bottom"/>
            <w:hideMark/>
          </w:tcPr>
          <w:p w14:paraId="243D7F2C"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80,3</w:t>
            </w:r>
          </w:p>
        </w:tc>
        <w:tc>
          <w:tcPr>
            <w:tcW w:w="1397" w:type="dxa"/>
            <w:tcBorders>
              <w:top w:val="nil"/>
              <w:left w:val="nil"/>
              <w:bottom w:val="dotted" w:sz="4" w:space="0" w:color="000000"/>
              <w:right w:val="dotted" w:sz="4" w:space="0" w:color="000000"/>
            </w:tcBorders>
            <w:shd w:val="clear" w:color="auto" w:fill="auto"/>
            <w:noWrap/>
            <w:vAlign w:val="bottom"/>
            <w:hideMark/>
          </w:tcPr>
          <w:p w14:paraId="66446DDC"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84,3</w:t>
            </w:r>
          </w:p>
        </w:tc>
        <w:tc>
          <w:tcPr>
            <w:tcW w:w="1416" w:type="dxa"/>
            <w:tcBorders>
              <w:top w:val="nil"/>
              <w:left w:val="nil"/>
              <w:bottom w:val="dotted" w:sz="4" w:space="0" w:color="000000"/>
              <w:right w:val="dotted" w:sz="4" w:space="0" w:color="000000"/>
            </w:tcBorders>
            <w:shd w:val="clear" w:color="auto" w:fill="auto"/>
            <w:noWrap/>
            <w:vAlign w:val="bottom"/>
            <w:hideMark/>
          </w:tcPr>
          <w:p w14:paraId="6A377792"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88,1</w:t>
            </w:r>
          </w:p>
        </w:tc>
        <w:tc>
          <w:tcPr>
            <w:tcW w:w="1416" w:type="dxa"/>
            <w:tcBorders>
              <w:top w:val="nil"/>
              <w:left w:val="nil"/>
              <w:bottom w:val="dotted" w:sz="4" w:space="0" w:color="000000"/>
              <w:right w:val="dotted" w:sz="4" w:space="0" w:color="000000"/>
            </w:tcBorders>
            <w:shd w:val="clear" w:color="auto" w:fill="auto"/>
            <w:noWrap/>
            <w:vAlign w:val="bottom"/>
            <w:hideMark/>
          </w:tcPr>
          <w:p w14:paraId="6CF31665"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99,8</w:t>
            </w:r>
          </w:p>
        </w:tc>
        <w:tc>
          <w:tcPr>
            <w:tcW w:w="1416" w:type="dxa"/>
            <w:tcBorders>
              <w:top w:val="nil"/>
              <w:left w:val="nil"/>
              <w:bottom w:val="dotted" w:sz="4" w:space="0" w:color="000000"/>
              <w:right w:val="double" w:sz="6" w:space="0" w:color="auto"/>
            </w:tcBorders>
            <w:shd w:val="clear" w:color="auto" w:fill="auto"/>
            <w:noWrap/>
            <w:vAlign w:val="bottom"/>
            <w:hideMark/>
          </w:tcPr>
          <w:p w14:paraId="44AF1248"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107,9</w:t>
            </w:r>
          </w:p>
        </w:tc>
      </w:tr>
      <w:tr w:rsidR="00E7647E" w:rsidRPr="00E7647E" w14:paraId="11D5A567" w14:textId="77777777" w:rsidTr="00E7647E">
        <w:trPr>
          <w:trHeight w:val="255"/>
        </w:trPr>
        <w:tc>
          <w:tcPr>
            <w:tcW w:w="5605" w:type="dxa"/>
            <w:tcBorders>
              <w:top w:val="nil"/>
              <w:left w:val="double" w:sz="6" w:space="0" w:color="auto"/>
              <w:bottom w:val="dotted" w:sz="4" w:space="0" w:color="000000"/>
              <w:right w:val="nil"/>
            </w:tcBorders>
            <w:shd w:val="clear" w:color="auto" w:fill="auto"/>
            <w:vAlign w:val="center"/>
            <w:hideMark/>
          </w:tcPr>
          <w:p w14:paraId="12D6C900"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9. Education</w:t>
            </w:r>
          </w:p>
        </w:tc>
        <w:tc>
          <w:tcPr>
            <w:tcW w:w="1397" w:type="dxa"/>
            <w:tcBorders>
              <w:top w:val="nil"/>
              <w:left w:val="single" w:sz="8" w:space="0" w:color="000000"/>
              <w:bottom w:val="dotted" w:sz="4" w:space="0" w:color="000000"/>
              <w:right w:val="single" w:sz="8" w:space="0" w:color="000000"/>
            </w:tcBorders>
            <w:shd w:val="clear" w:color="auto" w:fill="auto"/>
            <w:vAlign w:val="center"/>
            <w:hideMark/>
          </w:tcPr>
          <w:p w14:paraId="54E9B088"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9</w:t>
            </w:r>
          </w:p>
        </w:tc>
        <w:tc>
          <w:tcPr>
            <w:tcW w:w="1455" w:type="dxa"/>
            <w:tcBorders>
              <w:top w:val="nil"/>
              <w:left w:val="nil"/>
              <w:bottom w:val="dotted" w:sz="4" w:space="0" w:color="000000"/>
              <w:right w:val="dotted" w:sz="4" w:space="0" w:color="000000"/>
            </w:tcBorders>
            <w:shd w:val="clear" w:color="auto" w:fill="auto"/>
            <w:noWrap/>
            <w:vAlign w:val="bottom"/>
            <w:hideMark/>
          </w:tcPr>
          <w:p w14:paraId="24263FB4"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259,1</w:t>
            </w:r>
          </w:p>
        </w:tc>
        <w:tc>
          <w:tcPr>
            <w:tcW w:w="1339" w:type="dxa"/>
            <w:tcBorders>
              <w:top w:val="nil"/>
              <w:left w:val="nil"/>
              <w:bottom w:val="dotted" w:sz="4" w:space="0" w:color="000000"/>
              <w:right w:val="dotted" w:sz="4" w:space="0" w:color="000000"/>
            </w:tcBorders>
            <w:shd w:val="clear" w:color="auto" w:fill="auto"/>
            <w:noWrap/>
            <w:vAlign w:val="bottom"/>
            <w:hideMark/>
          </w:tcPr>
          <w:p w14:paraId="6A669E40"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297,8</w:t>
            </w:r>
          </w:p>
        </w:tc>
        <w:tc>
          <w:tcPr>
            <w:tcW w:w="1397" w:type="dxa"/>
            <w:tcBorders>
              <w:top w:val="nil"/>
              <w:left w:val="nil"/>
              <w:bottom w:val="dotted" w:sz="4" w:space="0" w:color="000000"/>
              <w:right w:val="dotted" w:sz="4" w:space="0" w:color="000000"/>
            </w:tcBorders>
            <w:shd w:val="clear" w:color="auto" w:fill="auto"/>
            <w:noWrap/>
            <w:vAlign w:val="bottom"/>
            <w:hideMark/>
          </w:tcPr>
          <w:p w14:paraId="7DD1F07C"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366,4</w:t>
            </w:r>
          </w:p>
        </w:tc>
        <w:tc>
          <w:tcPr>
            <w:tcW w:w="1416" w:type="dxa"/>
            <w:tcBorders>
              <w:top w:val="nil"/>
              <w:left w:val="nil"/>
              <w:bottom w:val="dotted" w:sz="4" w:space="0" w:color="000000"/>
              <w:right w:val="dotted" w:sz="4" w:space="0" w:color="000000"/>
            </w:tcBorders>
            <w:shd w:val="clear" w:color="auto" w:fill="auto"/>
            <w:noWrap/>
            <w:vAlign w:val="bottom"/>
            <w:hideMark/>
          </w:tcPr>
          <w:p w14:paraId="7A03D32F"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435,1</w:t>
            </w:r>
          </w:p>
        </w:tc>
        <w:tc>
          <w:tcPr>
            <w:tcW w:w="1416" w:type="dxa"/>
            <w:tcBorders>
              <w:top w:val="nil"/>
              <w:left w:val="nil"/>
              <w:bottom w:val="dotted" w:sz="4" w:space="0" w:color="000000"/>
              <w:right w:val="dotted" w:sz="4" w:space="0" w:color="000000"/>
            </w:tcBorders>
            <w:shd w:val="clear" w:color="auto" w:fill="auto"/>
            <w:noWrap/>
            <w:vAlign w:val="bottom"/>
            <w:hideMark/>
          </w:tcPr>
          <w:p w14:paraId="7FC9A1F0"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465,7</w:t>
            </w:r>
          </w:p>
        </w:tc>
        <w:tc>
          <w:tcPr>
            <w:tcW w:w="1416" w:type="dxa"/>
            <w:tcBorders>
              <w:top w:val="nil"/>
              <w:left w:val="nil"/>
              <w:bottom w:val="dotted" w:sz="4" w:space="0" w:color="000000"/>
              <w:right w:val="double" w:sz="6" w:space="0" w:color="auto"/>
            </w:tcBorders>
            <w:shd w:val="clear" w:color="auto" w:fill="auto"/>
            <w:noWrap/>
            <w:vAlign w:val="bottom"/>
            <w:hideMark/>
          </w:tcPr>
          <w:p w14:paraId="75567BBB"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503,7</w:t>
            </w:r>
          </w:p>
        </w:tc>
      </w:tr>
      <w:tr w:rsidR="00E7647E" w:rsidRPr="00E7647E" w14:paraId="19816587" w14:textId="77777777" w:rsidTr="00E7647E">
        <w:trPr>
          <w:trHeight w:val="255"/>
        </w:trPr>
        <w:tc>
          <w:tcPr>
            <w:tcW w:w="5605" w:type="dxa"/>
            <w:tcBorders>
              <w:top w:val="nil"/>
              <w:left w:val="double" w:sz="6" w:space="0" w:color="auto"/>
              <w:bottom w:val="single" w:sz="4" w:space="0" w:color="auto"/>
              <w:right w:val="nil"/>
            </w:tcBorders>
            <w:shd w:val="clear" w:color="auto" w:fill="auto"/>
            <w:vAlign w:val="center"/>
            <w:hideMark/>
          </w:tcPr>
          <w:p w14:paraId="4C372C9F"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10. Social protection</w:t>
            </w:r>
          </w:p>
        </w:tc>
        <w:tc>
          <w:tcPr>
            <w:tcW w:w="1397" w:type="dxa"/>
            <w:tcBorders>
              <w:top w:val="nil"/>
              <w:left w:val="single" w:sz="8" w:space="0" w:color="000000"/>
              <w:bottom w:val="single" w:sz="4" w:space="0" w:color="auto"/>
              <w:right w:val="single" w:sz="8" w:space="0" w:color="000000"/>
            </w:tcBorders>
            <w:shd w:val="clear" w:color="auto" w:fill="auto"/>
            <w:vAlign w:val="center"/>
            <w:hideMark/>
          </w:tcPr>
          <w:p w14:paraId="7BB79F2F"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10</w:t>
            </w:r>
          </w:p>
        </w:tc>
        <w:tc>
          <w:tcPr>
            <w:tcW w:w="1455" w:type="dxa"/>
            <w:tcBorders>
              <w:top w:val="nil"/>
              <w:left w:val="nil"/>
              <w:bottom w:val="single" w:sz="4" w:space="0" w:color="auto"/>
              <w:right w:val="dotted" w:sz="4" w:space="0" w:color="000000"/>
            </w:tcBorders>
            <w:shd w:val="clear" w:color="auto" w:fill="auto"/>
            <w:noWrap/>
            <w:vAlign w:val="bottom"/>
            <w:hideMark/>
          </w:tcPr>
          <w:p w14:paraId="4E62BC98"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906,6</w:t>
            </w:r>
          </w:p>
        </w:tc>
        <w:tc>
          <w:tcPr>
            <w:tcW w:w="1339" w:type="dxa"/>
            <w:tcBorders>
              <w:top w:val="nil"/>
              <w:left w:val="nil"/>
              <w:bottom w:val="single" w:sz="4" w:space="0" w:color="auto"/>
              <w:right w:val="dotted" w:sz="4" w:space="0" w:color="000000"/>
            </w:tcBorders>
            <w:shd w:val="clear" w:color="auto" w:fill="auto"/>
            <w:noWrap/>
            <w:vAlign w:val="bottom"/>
            <w:hideMark/>
          </w:tcPr>
          <w:p w14:paraId="3CE9EA10" w14:textId="497EAAB9" w:rsidR="00E7647E" w:rsidRPr="00E7647E" w:rsidRDefault="00E7647E" w:rsidP="00E7647E">
            <w:pPr>
              <w:spacing w:after="0"/>
              <w:jc w:val="right"/>
              <w:rPr>
                <w:rFonts w:eastAsia="Times New Roman" w:cs="Times New Roman"/>
                <w:sz w:val="22"/>
              </w:rPr>
            </w:pPr>
            <w:r w:rsidRPr="00E7647E">
              <w:rPr>
                <w:rFonts w:eastAsia="Times New Roman" w:cs="Times New Roman"/>
                <w:sz w:val="22"/>
              </w:rPr>
              <w:t>1.078,4</w:t>
            </w:r>
          </w:p>
        </w:tc>
        <w:tc>
          <w:tcPr>
            <w:tcW w:w="1397" w:type="dxa"/>
            <w:tcBorders>
              <w:top w:val="nil"/>
              <w:left w:val="nil"/>
              <w:bottom w:val="single" w:sz="4" w:space="0" w:color="auto"/>
              <w:right w:val="dotted" w:sz="4" w:space="0" w:color="000000"/>
            </w:tcBorders>
            <w:shd w:val="clear" w:color="auto" w:fill="auto"/>
            <w:noWrap/>
            <w:vAlign w:val="bottom"/>
            <w:hideMark/>
          </w:tcPr>
          <w:p w14:paraId="74C52F4B" w14:textId="066516C0" w:rsidR="00E7647E" w:rsidRPr="00E7647E" w:rsidRDefault="00E7647E" w:rsidP="00E7647E">
            <w:pPr>
              <w:spacing w:after="0"/>
              <w:jc w:val="right"/>
              <w:rPr>
                <w:rFonts w:eastAsia="Times New Roman" w:cs="Times New Roman"/>
                <w:sz w:val="22"/>
              </w:rPr>
            </w:pPr>
            <w:r w:rsidRPr="00E7647E">
              <w:rPr>
                <w:rFonts w:eastAsia="Times New Roman" w:cs="Times New Roman"/>
                <w:sz w:val="22"/>
              </w:rPr>
              <w:t>1.247,1</w:t>
            </w:r>
          </w:p>
        </w:tc>
        <w:tc>
          <w:tcPr>
            <w:tcW w:w="1416" w:type="dxa"/>
            <w:tcBorders>
              <w:top w:val="nil"/>
              <w:left w:val="nil"/>
              <w:bottom w:val="single" w:sz="4" w:space="0" w:color="auto"/>
              <w:right w:val="dotted" w:sz="4" w:space="0" w:color="000000"/>
            </w:tcBorders>
            <w:shd w:val="clear" w:color="auto" w:fill="auto"/>
            <w:noWrap/>
            <w:vAlign w:val="bottom"/>
            <w:hideMark/>
          </w:tcPr>
          <w:p w14:paraId="4BB43506" w14:textId="13228F58" w:rsidR="00E7647E" w:rsidRPr="00E7647E" w:rsidRDefault="00E7647E" w:rsidP="00E7647E">
            <w:pPr>
              <w:spacing w:after="0"/>
              <w:jc w:val="right"/>
              <w:rPr>
                <w:rFonts w:eastAsia="Times New Roman" w:cs="Times New Roman"/>
                <w:sz w:val="22"/>
              </w:rPr>
            </w:pPr>
            <w:r w:rsidRPr="00E7647E">
              <w:rPr>
                <w:rFonts w:eastAsia="Times New Roman" w:cs="Times New Roman"/>
                <w:sz w:val="22"/>
              </w:rPr>
              <w:t>1.372,6</w:t>
            </w:r>
          </w:p>
        </w:tc>
        <w:tc>
          <w:tcPr>
            <w:tcW w:w="1416" w:type="dxa"/>
            <w:tcBorders>
              <w:top w:val="nil"/>
              <w:left w:val="nil"/>
              <w:bottom w:val="single" w:sz="4" w:space="0" w:color="auto"/>
              <w:right w:val="dotted" w:sz="4" w:space="0" w:color="000000"/>
            </w:tcBorders>
            <w:shd w:val="clear" w:color="auto" w:fill="auto"/>
            <w:noWrap/>
            <w:vAlign w:val="bottom"/>
            <w:hideMark/>
          </w:tcPr>
          <w:p w14:paraId="5B630CDB" w14:textId="35AAA2FC" w:rsidR="00E7647E" w:rsidRPr="00E7647E" w:rsidRDefault="00E7647E" w:rsidP="00E7647E">
            <w:pPr>
              <w:spacing w:after="0"/>
              <w:jc w:val="right"/>
              <w:rPr>
                <w:rFonts w:eastAsia="Times New Roman" w:cs="Times New Roman"/>
                <w:sz w:val="22"/>
              </w:rPr>
            </w:pPr>
            <w:r w:rsidRPr="00E7647E">
              <w:rPr>
                <w:rFonts w:eastAsia="Times New Roman" w:cs="Times New Roman"/>
                <w:sz w:val="22"/>
              </w:rPr>
              <w:t>1.485,7</w:t>
            </w:r>
          </w:p>
        </w:tc>
        <w:tc>
          <w:tcPr>
            <w:tcW w:w="1416" w:type="dxa"/>
            <w:tcBorders>
              <w:top w:val="nil"/>
              <w:left w:val="nil"/>
              <w:bottom w:val="single" w:sz="4" w:space="0" w:color="auto"/>
              <w:right w:val="double" w:sz="6" w:space="0" w:color="auto"/>
            </w:tcBorders>
            <w:shd w:val="clear" w:color="auto" w:fill="auto"/>
            <w:noWrap/>
            <w:vAlign w:val="bottom"/>
            <w:hideMark/>
          </w:tcPr>
          <w:p w14:paraId="01F11A0F" w14:textId="489393C1" w:rsidR="00E7647E" w:rsidRPr="00E7647E" w:rsidRDefault="00E7647E" w:rsidP="00E7647E">
            <w:pPr>
              <w:spacing w:after="0"/>
              <w:jc w:val="right"/>
              <w:rPr>
                <w:rFonts w:eastAsia="Times New Roman" w:cs="Times New Roman"/>
                <w:sz w:val="22"/>
              </w:rPr>
            </w:pPr>
            <w:r w:rsidRPr="00E7647E">
              <w:rPr>
                <w:rFonts w:eastAsia="Times New Roman" w:cs="Times New Roman"/>
                <w:sz w:val="22"/>
              </w:rPr>
              <w:t>1.583,1</w:t>
            </w:r>
          </w:p>
        </w:tc>
      </w:tr>
      <w:tr w:rsidR="00E7647E" w:rsidRPr="00E7647E" w14:paraId="65D317BE" w14:textId="77777777" w:rsidTr="00E7647E">
        <w:trPr>
          <w:trHeight w:val="255"/>
        </w:trPr>
        <w:tc>
          <w:tcPr>
            <w:tcW w:w="5605" w:type="dxa"/>
            <w:tcBorders>
              <w:top w:val="dotted" w:sz="4" w:space="0" w:color="000000"/>
              <w:left w:val="double" w:sz="6" w:space="0" w:color="auto"/>
              <w:bottom w:val="single" w:sz="4" w:space="0" w:color="auto"/>
              <w:right w:val="nil"/>
            </w:tcBorders>
            <w:shd w:val="clear" w:color="auto" w:fill="auto"/>
            <w:vAlign w:val="center"/>
            <w:hideMark/>
          </w:tcPr>
          <w:p w14:paraId="1420A8BD"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Other relevant variables</w:t>
            </w:r>
          </w:p>
        </w:tc>
        <w:tc>
          <w:tcPr>
            <w:tcW w:w="1397" w:type="dxa"/>
            <w:tcBorders>
              <w:top w:val="nil"/>
              <w:left w:val="single" w:sz="8" w:space="0" w:color="000000"/>
              <w:bottom w:val="single" w:sz="4" w:space="0" w:color="auto"/>
              <w:right w:val="single" w:sz="8" w:space="0" w:color="000000"/>
            </w:tcBorders>
            <w:shd w:val="clear" w:color="auto" w:fill="auto"/>
            <w:vAlign w:val="center"/>
            <w:hideMark/>
          </w:tcPr>
          <w:p w14:paraId="43F62A16"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 </w:t>
            </w:r>
          </w:p>
        </w:tc>
        <w:tc>
          <w:tcPr>
            <w:tcW w:w="1455" w:type="dxa"/>
            <w:tcBorders>
              <w:top w:val="nil"/>
              <w:left w:val="nil"/>
              <w:bottom w:val="single" w:sz="4" w:space="0" w:color="auto"/>
              <w:right w:val="dotted" w:sz="4" w:space="0" w:color="000000"/>
            </w:tcBorders>
            <w:shd w:val="clear" w:color="auto" w:fill="auto"/>
            <w:noWrap/>
            <w:vAlign w:val="bottom"/>
            <w:hideMark/>
          </w:tcPr>
          <w:p w14:paraId="55B95626"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 </w:t>
            </w:r>
          </w:p>
        </w:tc>
        <w:tc>
          <w:tcPr>
            <w:tcW w:w="1339" w:type="dxa"/>
            <w:tcBorders>
              <w:top w:val="nil"/>
              <w:left w:val="nil"/>
              <w:bottom w:val="single" w:sz="4" w:space="0" w:color="auto"/>
              <w:right w:val="dotted" w:sz="4" w:space="0" w:color="000000"/>
            </w:tcBorders>
            <w:shd w:val="clear" w:color="auto" w:fill="auto"/>
            <w:noWrap/>
            <w:vAlign w:val="bottom"/>
            <w:hideMark/>
          </w:tcPr>
          <w:p w14:paraId="422AC692" w14:textId="77777777" w:rsidR="00E7647E" w:rsidRPr="00E7647E" w:rsidRDefault="00E7647E" w:rsidP="00E7647E">
            <w:pPr>
              <w:spacing w:after="0"/>
              <w:jc w:val="right"/>
              <w:rPr>
                <w:rFonts w:ascii="Courier New" w:eastAsia="Times New Roman" w:hAnsi="Courier New" w:cs="Courier New"/>
                <w:sz w:val="22"/>
              </w:rPr>
            </w:pPr>
            <w:r w:rsidRPr="00E7647E">
              <w:rPr>
                <w:rFonts w:ascii="Courier New" w:eastAsia="Times New Roman" w:hAnsi="Courier New" w:cs="Courier New"/>
                <w:sz w:val="22"/>
              </w:rPr>
              <w:t> </w:t>
            </w:r>
          </w:p>
        </w:tc>
        <w:tc>
          <w:tcPr>
            <w:tcW w:w="1397" w:type="dxa"/>
            <w:tcBorders>
              <w:top w:val="nil"/>
              <w:left w:val="nil"/>
              <w:bottom w:val="single" w:sz="4" w:space="0" w:color="auto"/>
              <w:right w:val="dotted" w:sz="4" w:space="0" w:color="000000"/>
            </w:tcBorders>
            <w:shd w:val="clear" w:color="auto" w:fill="auto"/>
            <w:noWrap/>
            <w:vAlign w:val="bottom"/>
            <w:hideMark/>
          </w:tcPr>
          <w:p w14:paraId="7E10B5EA" w14:textId="77777777" w:rsidR="00E7647E" w:rsidRPr="00E7647E" w:rsidRDefault="00E7647E" w:rsidP="00E7647E">
            <w:pPr>
              <w:spacing w:after="0"/>
              <w:jc w:val="right"/>
              <w:rPr>
                <w:rFonts w:ascii="Courier New" w:eastAsia="Times New Roman" w:hAnsi="Courier New" w:cs="Courier New"/>
                <w:sz w:val="22"/>
              </w:rPr>
            </w:pPr>
            <w:r w:rsidRPr="00E7647E">
              <w:rPr>
                <w:rFonts w:ascii="Courier New" w:eastAsia="Times New Roman" w:hAnsi="Courier New" w:cs="Courier New"/>
                <w:sz w:val="22"/>
              </w:rPr>
              <w:t> </w:t>
            </w:r>
          </w:p>
        </w:tc>
        <w:tc>
          <w:tcPr>
            <w:tcW w:w="1416" w:type="dxa"/>
            <w:tcBorders>
              <w:top w:val="nil"/>
              <w:left w:val="nil"/>
              <w:bottom w:val="single" w:sz="4" w:space="0" w:color="auto"/>
              <w:right w:val="dotted" w:sz="4" w:space="0" w:color="000000"/>
            </w:tcBorders>
            <w:shd w:val="clear" w:color="auto" w:fill="auto"/>
            <w:noWrap/>
            <w:vAlign w:val="bottom"/>
            <w:hideMark/>
          </w:tcPr>
          <w:p w14:paraId="621FBAE8" w14:textId="77777777" w:rsidR="00E7647E" w:rsidRPr="00E7647E" w:rsidRDefault="00E7647E" w:rsidP="00E7647E">
            <w:pPr>
              <w:spacing w:after="0"/>
              <w:jc w:val="right"/>
              <w:rPr>
                <w:rFonts w:ascii="Courier New" w:eastAsia="Times New Roman" w:hAnsi="Courier New" w:cs="Courier New"/>
                <w:sz w:val="22"/>
              </w:rPr>
            </w:pPr>
            <w:r w:rsidRPr="00E7647E">
              <w:rPr>
                <w:rFonts w:ascii="Courier New" w:eastAsia="Times New Roman" w:hAnsi="Courier New" w:cs="Courier New"/>
                <w:sz w:val="22"/>
              </w:rPr>
              <w:t> </w:t>
            </w:r>
          </w:p>
        </w:tc>
        <w:tc>
          <w:tcPr>
            <w:tcW w:w="1416" w:type="dxa"/>
            <w:tcBorders>
              <w:top w:val="nil"/>
              <w:left w:val="nil"/>
              <w:bottom w:val="single" w:sz="4" w:space="0" w:color="auto"/>
              <w:right w:val="dotted" w:sz="4" w:space="0" w:color="000000"/>
            </w:tcBorders>
            <w:shd w:val="clear" w:color="auto" w:fill="auto"/>
            <w:noWrap/>
            <w:vAlign w:val="bottom"/>
            <w:hideMark/>
          </w:tcPr>
          <w:p w14:paraId="76523B82"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 </w:t>
            </w:r>
          </w:p>
        </w:tc>
        <w:tc>
          <w:tcPr>
            <w:tcW w:w="1416" w:type="dxa"/>
            <w:tcBorders>
              <w:top w:val="nil"/>
              <w:left w:val="nil"/>
              <w:bottom w:val="single" w:sz="4" w:space="0" w:color="auto"/>
              <w:right w:val="double" w:sz="6" w:space="0" w:color="auto"/>
            </w:tcBorders>
            <w:shd w:val="clear" w:color="auto" w:fill="auto"/>
            <w:noWrap/>
            <w:vAlign w:val="bottom"/>
            <w:hideMark/>
          </w:tcPr>
          <w:p w14:paraId="4BC1D347"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 </w:t>
            </w:r>
          </w:p>
        </w:tc>
      </w:tr>
      <w:tr w:rsidR="00E7647E" w:rsidRPr="00E7647E" w14:paraId="49473E75" w14:textId="77777777" w:rsidTr="00E7647E">
        <w:trPr>
          <w:trHeight w:val="263"/>
        </w:trPr>
        <w:tc>
          <w:tcPr>
            <w:tcW w:w="5605" w:type="dxa"/>
            <w:tcBorders>
              <w:top w:val="nil"/>
              <w:left w:val="double" w:sz="6" w:space="0" w:color="auto"/>
              <w:bottom w:val="double" w:sz="6" w:space="0" w:color="auto"/>
              <w:right w:val="nil"/>
            </w:tcBorders>
            <w:shd w:val="clear" w:color="auto" w:fill="auto"/>
            <w:vAlign w:val="center"/>
            <w:hideMark/>
          </w:tcPr>
          <w:p w14:paraId="6E42C2C4" w14:textId="77777777" w:rsidR="00E7647E" w:rsidRPr="00E7647E" w:rsidRDefault="00E7647E" w:rsidP="00E7647E">
            <w:pPr>
              <w:spacing w:after="0"/>
              <w:jc w:val="left"/>
              <w:rPr>
                <w:rFonts w:eastAsia="Times New Roman" w:cs="Times New Roman"/>
                <w:sz w:val="22"/>
              </w:rPr>
            </w:pPr>
            <w:r w:rsidRPr="00E7647E">
              <w:rPr>
                <w:rFonts w:eastAsia="Times New Roman" w:cs="Times New Roman"/>
                <w:sz w:val="22"/>
              </w:rPr>
              <w:t>11. Total expenditure (item 7 = 23 in Table 2)</w:t>
            </w:r>
          </w:p>
        </w:tc>
        <w:tc>
          <w:tcPr>
            <w:tcW w:w="1397" w:type="dxa"/>
            <w:tcBorders>
              <w:top w:val="nil"/>
              <w:left w:val="single" w:sz="8" w:space="0" w:color="000000"/>
              <w:bottom w:val="double" w:sz="6" w:space="0" w:color="auto"/>
              <w:right w:val="single" w:sz="8" w:space="0" w:color="000000"/>
            </w:tcBorders>
            <w:shd w:val="clear" w:color="auto" w:fill="auto"/>
            <w:vAlign w:val="center"/>
            <w:hideMark/>
          </w:tcPr>
          <w:p w14:paraId="1236C4E1" w14:textId="77777777" w:rsidR="00E7647E" w:rsidRPr="00E7647E" w:rsidRDefault="00E7647E" w:rsidP="00E7647E">
            <w:pPr>
              <w:spacing w:after="0"/>
              <w:jc w:val="center"/>
              <w:rPr>
                <w:rFonts w:eastAsia="Times New Roman" w:cs="Times New Roman"/>
                <w:sz w:val="22"/>
              </w:rPr>
            </w:pPr>
            <w:r w:rsidRPr="00E7647E">
              <w:rPr>
                <w:rFonts w:eastAsia="Times New Roman" w:cs="Times New Roman"/>
                <w:sz w:val="22"/>
              </w:rPr>
              <w:t>TE</w:t>
            </w:r>
          </w:p>
        </w:tc>
        <w:tc>
          <w:tcPr>
            <w:tcW w:w="1455" w:type="dxa"/>
            <w:tcBorders>
              <w:top w:val="nil"/>
              <w:left w:val="nil"/>
              <w:bottom w:val="double" w:sz="6" w:space="0" w:color="auto"/>
              <w:right w:val="dotted" w:sz="4" w:space="0" w:color="000000"/>
            </w:tcBorders>
            <w:shd w:val="clear" w:color="auto" w:fill="auto"/>
            <w:noWrap/>
            <w:vAlign w:val="bottom"/>
            <w:hideMark/>
          </w:tcPr>
          <w:p w14:paraId="5A2B9FF6"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3.328,2</w:t>
            </w:r>
          </w:p>
        </w:tc>
        <w:tc>
          <w:tcPr>
            <w:tcW w:w="1339" w:type="dxa"/>
            <w:tcBorders>
              <w:top w:val="nil"/>
              <w:left w:val="nil"/>
              <w:bottom w:val="double" w:sz="6" w:space="0" w:color="auto"/>
              <w:right w:val="dotted" w:sz="4" w:space="0" w:color="000000"/>
            </w:tcBorders>
            <w:shd w:val="clear" w:color="auto" w:fill="auto"/>
            <w:noWrap/>
            <w:vAlign w:val="bottom"/>
            <w:hideMark/>
          </w:tcPr>
          <w:p w14:paraId="56A4915C"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3.654,4</w:t>
            </w:r>
          </w:p>
        </w:tc>
        <w:tc>
          <w:tcPr>
            <w:tcW w:w="1397" w:type="dxa"/>
            <w:tcBorders>
              <w:top w:val="nil"/>
              <w:left w:val="nil"/>
              <w:bottom w:val="double" w:sz="6" w:space="0" w:color="auto"/>
              <w:right w:val="dotted" w:sz="4" w:space="0" w:color="000000"/>
            </w:tcBorders>
            <w:shd w:val="clear" w:color="auto" w:fill="auto"/>
            <w:noWrap/>
            <w:vAlign w:val="bottom"/>
            <w:hideMark/>
          </w:tcPr>
          <w:p w14:paraId="02694CF8"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4.185,2</w:t>
            </w:r>
          </w:p>
        </w:tc>
        <w:tc>
          <w:tcPr>
            <w:tcW w:w="1416" w:type="dxa"/>
            <w:tcBorders>
              <w:top w:val="nil"/>
              <w:left w:val="nil"/>
              <w:bottom w:val="double" w:sz="6" w:space="0" w:color="auto"/>
              <w:right w:val="dotted" w:sz="4" w:space="0" w:color="000000"/>
            </w:tcBorders>
            <w:shd w:val="clear" w:color="auto" w:fill="auto"/>
            <w:noWrap/>
            <w:vAlign w:val="bottom"/>
            <w:hideMark/>
          </w:tcPr>
          <w:p w14:paraId="1CBA71B4"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4.578,3</w:t>
            </w:r>
          </w:p>
        </w:tc>
        <w:tc>
          <w:tcPr>
            <w:tcW w:w="1416" w:type="dxa"/>
            <w:tcBorders>
              <w:top w:val="nil"/>
              <w:left w:val="nil"/>
              <w:bottom w:val="double" w:sz="6" w:space="0" w:color="auto"/>
              <w:right w:val="dotted" w:sz="4" w:space="0" w:color="000000"/>
            </w:tcBorders>
            <w:shd w:val="clear" w:color="auto" w:fill="auto"/>
            <w:noWrap/>
            <w:vAlign w:val="bottom"/>
            <w:hideMark/>
          </w:tcPr>
          <w:p w14:paraId="37A8D54B"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4.870,0</w:t>
            </w:r>
          </w:p>
        </w:tc>
        <w:tc>
          <w:tcPr>
            <w:tcW w:w="1416" w:type="dxa"/>
            <w:tcBorders>
              <w:top w:val="nil"/>
              <w:left w:val="nil"/>
              <w:bottom w:val="double" w:sz="6" w:space="0" w:color="auto"/>
              <w:right w:val="double" w:sz="6" w:space="0" w:color="auto"/>
            </w:tcBorders>
            <w:shd w:val="clear" w:color="auto" w:fill="auto"/>
            <w:noWrap/>
            <w:vAlign w:val="bottom"/>
            <w:hideMark/>
          </w:tcPr>
          <w:p w14:paraId="630B72FD" w14:textId="77777777" w:rsidR="00E7647E" w:rsidRPr="00E7647E" w:rsidRDefault="00E7647E" w:rsidP="00E7647E">
            <w:pPr>
              <w:spacing w:after="0"/>
              <w:jc w:val="right"/>
              <w:rPr>
                <w:rFonts w:eastAsia="Times New Roman" w:cs="Times New Roman"/>
                <w:sz w:val="22"/>
              </w:rPr>
            </w:pPr>
            <w:r w:rsidRPr="00E7647E">
              <w:rPr>
                <w:rFonts w:eastAsia="Times New Roman" w:cs="Times New Roman"/>
                <w:sz w:val="22"/>
              </w:rPr>
              <w:t>5.214,7</w:t>
            </w:r>
          </w:p>
        </w:tc>
      </w:tr>
    </w:tbl>
    <w:p w14:paraId="658F7091" w14:textId="77777777" w:rsidR="00E7647E" w:rsidRDefault="00E7647E">
      <w:pPr>
        <w:spacing w:after="160" w:line="259" w:lineRule="auto"/>
        <w:jc w:val="left"/>
        <w:rPr>
          <w:szCs w:val="24"/>
        </w:rPr>
      </w:pPr>
      <w:r>
        <w:rPr>
          <w:szCs w:val="24"/>
        </w:rPr>
        <w:fldChar w:fldCharType="end"/>
      </w:r>
    </w:p>
    <w:p w14:paraId="477A64A5" w14:textId="45DCD1B7" w:rsidR="00E7647E" w:rsidRDefault="00E7647E" w:rsidP="00E7647E">
      <w:pPr>
        <w:tabs>
          <w:tab w:val="left" w:pos="8306"/>
        </w:tabs>
        <w:spacing w:after="160" w:line="259" w:lineRule="auto"/>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"Tab3-GG exp by funct.!R4C2:R16C8" </w:instrText>
      </w:r>
      <w:r>
        <w:instrText xml:space="preserve">\a \f 4 \h  \* MERGEFORMAT </w:instrText>
      </w:r>
      <w:r>
        <w:fldChar w:fldCharType="separate"/>
      </w:r>
      <w:r>
        <w:tab/>
      </w:r>
    </w:p>
    <w:tbl>
      <w:tblPr>
        <w:tblW w:w="15484" w:type="dxa"/>
        <w:tblLook w:val="04A0" w:firstRow="1" w:lastRow="0" w:firstColumn="1" w:lastColumn="0" w:noHBand="0" w:noVBand="1"/>
      </w:tblPr>
      <w:tblGrid>
        <w:gridCol w:w="6808"/>
        <w:gridCol w:w="1446"/>
        <w:gridCol w:w="1446"/>
        <w:gridCol w:w="1446"/>
        <w:gridCol w:w="1446"/>
        <w:gridCol w:w="1446"/>
        <w:gridCol w:w="1446"/>
      </w:tblGrid>
      <w:tr w:rsidR="00E7647E" w:rsidRPr="00E7647E" w14:paraId="43FE671E" w14:textId="77777777" w:rsidTr="00E7647E">
        <w:trPr>
          <w:trHeight w:val="320"/>
        </w:trPr>
        <w:tc>
          <w:tcPr>
            <w:tcW w:w="6808" w:type="dxa"/>
            <w:vMerge w:val="restart"/>
            <w:tcBorders>
              <w:top w:val="double" w:sz="6" w:space="0" w:color="000000"/>
              <w:left w:val="double" w:sz="6" w:space="0" w:color="000000"/>
              <w:bottom w:val="single" w:sz="8" w:space="0" w:color="000000"/>
              <w:right w:val="dotted" w:sz="4" w:space="0" w:color="auto"/>
            </w:tcBorders>
            <w:shd w:val="clear" w:color="000000" w:fill="FFFFFF"/>
            <w:vAlign w:val="center"/>
            <w:hideMark/>
          </w:tcPr>
          <w:p w14:paraId="17A900F4" w14:textId="08914114"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 of GDP</w:t>
            </w:r>
          </w:p>
        </w:tc>
        <w:tc>
          <w:tcPr>
            <w:tcW w:w="1446" w:type="dxa"/>
            <w:vMerge w:val="restart"/>
            <w:tcBorders>
              <w:top w:val="double" w:sz="6" w:space="0" w:color="000000"/>
              <w:left w:val="dotted" w:sz="4" w:space="0" w:color="auto"/>
              <w:bottom w:val="single" w:sz="8" w:space="0" w:color="000000"/>
              <w:right w:val="single" w:sz="8" w:space="0" w:color="auto"/>
            </w:tcBorders>
            <w:shd w:val="clear" w:color="000000" w:fill="FFFFFF"/>
            <w:vAlign w:val="center"/>
            <w:hideMark/>
          </w:tcPr>
          <w:p w14:paraId="49964FBB"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COFOG Code</w:t>
            </w:r>
          </w:p>
        </w:tc>
        <w:tc>
          <w:tcPr>
            <w:tcW w:w="1446" w:type="dxa"/>
            <w:tcBorders>
              <w:top w:val="double" w:sz="6" w:space="0" w:color="000000"/>
              <w:left w:val="nil"/>
              <w:bottom w:val="nil"/>
              <w:right w:val="dotted" w:sz="4" w:space="0" w:color="auto"/>
            </w:tcBorders>
            <w:shd w:val="clear" w:color="000000" w:fill="FFFFFF"/>
            <w:vAlign w:val="center"/>
            <w:hideMark/>
          </w:tcPr>
          <w:p w14:paraId="267D9087"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Year</w:t>
            </w:r>
          </w:p>
        </w:tc>
        <w:tc>
          <w:tcPr>
            <w:tcW w:w="1446" w:type="dxa"/>
            <w:tcBorders>
              <w:top w:val="double" w:sz="6" w:space="0" w:color="000000"/>
              <w:left w:val="nil"/>
              <w:bottom w:val="nil"/>
              <w:right w:val="dotted" w:sz="4" w:space="0" w:color="auto"/>
            </w:tcBorders>
            <w:shd w:val="clear" w:color="000000" w:fill="FFFFFF"/>
            <w:vAlign w:val="center"/>
            <w:hideMark/>
          </w:tcPr>
          <w:p w14:paraId="3A1E4B7B"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Year</w:t>
            </w:r>
          </w:p>
        </w:tc>
        <w:tc>
          <w:tcPr>
            <w:tcW w:w="1446" w:type="dxa"/>
            <w:tcBorders>
              <w:top w:val="double" w:sz="6" w:space="0" w:color="000000"/>
              <w:left w:val="nil"/>
              <w:bottom w:val="nil"/>
              <w:right w:val="dotted" w:sz="4" w:space="0" w:color="auto"/>
            </w:tcBorders>
            <w:shd w:val="clear" w:color="000000" w:fill="FFFFFF"/>
            <w:vAlign w:val="center"/>
            <w:hideMark/>
          </w:tcPr>
          <w:p w14:paraId="37428F9E"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Year</w:t>
            </w:r>
          </w:p>
        </w:tc>
        <w:tc>
          <w:tcPr>
            <w:tcW w:w="1446" w:type="dxa"/>
            <w:tcBorders>
              <w:top w:val="double" w:sz="6" w:space="0" w:color="000000"/>
              <w:left w:val="nil"/>
              <w:bottom w:val="nil"/>
              <w:right w:val="dotted" w:sz="4" w:space="0" w:color="auto"/>
            </w:tcBorders>
            <w:shd w:val="clear" w:color="000000" w:fill="FFFFFF"/>
            <w:vAlign w:val="center"/>
            <w:hideMark/>
          </w:tcPr>
          <w:p w14:paraId="0F8C6363"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Year</w:t>
            </w:r>
          </w:p>
        </w:tc>
        <w:tc>
          <w:tcPr>
            <w:tcW w:w="1446" w:type="dxa"/>
            <w:tcBorders>
              <w:top w:val="double" w:sz="6" w:space="0" w:color="000000"/>
              <w:left w:val="nil"/>
              <w:bottom w:val="nil"/>
              <w:right w:val="double" w:sz="6" w:space="0" w:color="auto"/>
            </w:tcBorders>
            <w:shd w:val="clear" w:color="000000" w:fill="FFFFFF"/>
            <w:vAlign w:val="center"/>
            <w:hideMark/>
          </w:tcPr>
          <w:p w14:paraId="17CD8F47"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Year</w:t>
            </w:r>
          </w:p>
        </w:tc>
      </w:tr>
      <w:tr w:rsidR="00E7647E" w:rsidRPr="00E7647E" w14:paraId="105A09BA" w14:textId="77777777" w:rsidTr="00E7647E">
        <w:trPr>
          <w:trHeight w:val="320"/>
        </w:trPr>
        <w:tc>
          <w:tcPr>
            <w:tcW w:w="6808" w:type="dxa"/>
            <w:vMerge/>
            <w:tcBorders>
              <w:top w:val="double" w:sz="6" w:space="0" w:color="000000"/>
              <w:left w:val="double" w:sz="6" w:space="0" w:color="000000"/>
              <w:bottom w:val="single" w:sz="8" w:space="0" w:color="000000"/>
              <w:right w:val="dotted" w:sz="4" w:space="0" w:color="auto"/>
            </w:tcBorders>
            <w:vAlign w:val="center"/>
            <w:hideMark/>
          </w:tcPr>
          <w:p w14:paraId="11C6B8F3" w14:textId="77777777" w:rsidR="00E7647E" w:rsidRPr="00E7647E" w:rsidRDefault="00E7647E" w:rsidP="00E7647E">
            <w:pPr>
              <w:spacing w:after="0"/>
              <w:jc w:val="left"/>
              <w:rPr>
                <w:rFonts w:eastAsia="Times New Roman" w:cs="Times New Roman"/>
                <w:sz w:val="20"/>
                <w:szCs w:val="20"/>
              </w:rPr>
            </w:pPr>
          </w:p>
        </w:tc>
        <w:tc>
          <w:tcPr>
            <w:tcW w:w="1446" w:type="dxa"/>
            <w:vMerge/>
            <w:tcBorders>
              <w:top w:val="double" w:sz="6" w:space="0" w:color="000000"/>
              <w:left w:val="dotted" w:sz="4" w:space="0" w:color="auto"/>
              <w:bottom w:val="single" w:sz="8" w:space="0" w:color="000000"/>
              <w:right w:val="single" w:sz="8" w:space="0" w:color="auto"/>
            </w:tcBorders>
            <w:vAlign w:val="center"/>
            <w:hideMark/>
          </w:tcPr>
          <w:p w14:paraId="0FB20DF5" w14:textId="77777777" w:rsidR="00E7647E" w:rsidRPr="00E7647E" w:rsidRDefault="00E7647E" w:rsidP="00E7647E">
            <w:pPr>
              <w:spacing w:after="0"/>
              <w:jc w:val="left"/>
              <w:rPr>
                <w:rFonts w:eastAsia="Times New Roman" w:cs="Times New Roman"/>
                <w:sz w:val="20"/>
                <w:szCs w:val="20"/>
              </w:rPr>
            </w:pPr>
          </w:p>
        </w:tc>
        <w:tc>
          <w:tcPr>
            <w:tcW w:w="1446" w:type="dxa"/>
            <w:tcBorders>
              <w:top w:val="nil"/>
              <w:left w:val="nil"/>
              <w:bottom w:val="single" w:sz="8" w:space="0" w:color="auto"/>
              <w:right w:val="dotted" w:sz="4" w:space="0" w:color="auto"/>
            </w:tcBorders>
            <w:shd w:val="clear" w:color="000000" w:fill="FFFFFF"/>
            <w:vAlign w:val="center"/>
            <w:hideMark/>
          </w:tcPr>
          <w:p w14:paraId="3CCE3503"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2023</w:t>
            </w:r>
          </w:p>
        </w:tc>
        <w:tc>
          <w:tcPr>
            <w:tcW w:w="1446" w:type="dxa"/>
            <w:tcBorders>
              <w:top w:val="nil"/>
              <w:left w:val="nil"/>
              <w:bottom w:val="single" w:sz="8" w:space="0" w:color="auto"/>
              <w:right w:val="dotted" w:sz="4" w:space="0" w:color="auto"/>
            </w:tcBorders>
            <w:shd w:val="clear" w:color="000000" w:fill="FFFFFF"/>
            <w:vAlign w:val="center"/>
            <w:hideMark/>
          </w:tcPr>
          <w:p w14:paraId="4DD49918"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2024</w:t>
            </w:r>
          </w:p>
        </w:tc>
        <w:tc>
          <w:tcPr>
            <w:tcW w:w="1446" w:type="dxa"/>
            <w:tcBorders>
              <w:top w:val="nil"/>
              <w:left w:val="nil"/>
              <w:bottom w:val="single" w:sz="8" w:space="0" w:color="auto"/>
              <w:right w:val="dotted" w:sz="4" w:space="0" w:color="auto"/>
            </w:tcBorders>
            <w:shd w:val="clear" w:color="000000" w:fill="FFFFFF"/>
            <w:vAlign w:val="center"/>
            <w:hideMark/>
          </w:tcPr>
          <w:p w14:paraId="700201DC"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2025</w:t>
            </w:r>
          </w:p>
        </w:tc>
        <w:tc>
          <w:tcPr>
            <w:tcW w:w="1446" w:type="dxa"/>
            <w:tcBorders>
              <w:top w:val="nil"/>
              <w:left w:val="nil"/>
              <w:bottom w:val="single" w:sz="8" w:space="0" w:color="auto"/>
              <w:right w:val="dotted" w:sz="4" w:space="0" w:color="auto"/>
            </w:tcBorders>
            <w:shd w:val="clear" w:color="000000" w:fill="FFFFFF"/>
            <w:vAlign w:val="center"/>
            <w:hideMark/>
          </w:tcPr>
          <w:p w14:paraId="180E5474"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2026</w:t>
            </w:r>
          </w:p>
        </w:tc>
        <w:tc>
          <w:tcPr>
            <w:tcW w:w="1446" w:type="dxa"/>
            <w:tcBorders>
              <w:top w:val="nil"/>
              <w:left w:val="nil"/>
              <w:bottom w:val="single" w:sz="8" w:space="0" w:color="auto"/>
              <w:right w:val="double" w:sz="6" w:space="0" w:color="auto"/>
            </w:tcBorders>
            <w:shd w:val="clear" w:color="000000" w:fill="FFFFFF"/>
            <w:vAlign w:val="center"/>
            <w:hideMark/>
          </w:tcPr>
          <w:p w14:paraId="78CA9F9C"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2027</w:t>
            </w:r>
          </w:p>
        </w:tc>
      </w:tr>
      <w:tr w:rsidR="00E7647E" w:rsidRPr="00E7647E" w14:paraId="7BCB6322" w14:textId="77777777" w:rsidTr="00E7647E">
        <w:trPr>
          <w:trHeight w:val="320"/>
        </w:trPr>
        <w:tc>
          <w:tcPr>
            <w:tcW w:w="6808" w:type="dxa"/>
            <w:tcBorders>
              <w:top w:val="nil"/>
              <w:left w:val="double" w:sz="6" w:space="0" w:color="000000"/>
              <w:bottom w:val="dotted" w:sz="4" w:space="0" w:color="auto"/>
              <w:right w:val="dotted" w:sz="4" w:space="0" w:color="auto"/>
            </w:tcBorders>
            <w:shd w:val="clear" w:color="000000" w:fill="FFFFFF"/>
            <w:vAlign w:val="center"/>
            <w:hideMark/>
          </w:tcPr>
          <w:p w14:paraId="6933E754" w14:textId="77777777" w:rsidR="00E7647E" w:rsidRPr="00E7647E" w:rsidRDefault="00E7647E" w:rsidP="00E7647E">
            <w:pPr>
              <w:spacing w:after="0"/>
              <w:jc w:val="left"/>
              <w:rPr>
                <w:rFonts w:eastAsia="Times New Roman" w:cs="Times New Roman"/>
                <w:sz w:val="20"/>
                <w:szCs w:val="20"/>
              </w:rPr>
            </w:pPr>
            <w:r w:rsidRPr="00E7647E">
              <w:rPr>
                <w:rFonts w:eastAsia="Times New Roman" w:cs="Times New Roman"/>
                <w:sz w:val="20"/>
                <w:szCs w:val="20"/>
              </w:rPr>
              <w:t>1. General public services</w:t>
            </w:r>
          </w:p>
        </w:tc>
        <w:tc>
          <w:tcPr>
            <w:tcW w:w="1446" w:type="dxa"/>
            <w:tcBorders>
              <w:top w:val="nil"/>
              <w:left w:val="nil"/>
              <w:bottom w:val="dotted" w:sz="4" w:space="0" w:color="auto"/>
              <w:right w:val="single" w:sz="8" w:space="0" w:color="auto"/>
            </w:tcBorders>
            <w:shd w:val="clear" w:color="000000" w:fill="FFFFFF"/>
            <w:vAlign w:val="center"/>
            <w:hideMark/>
          </w:tcPr>
          <w:p w14:paraId="073E7BA7"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1</w:t>
            </w:r>
          </w:p>
        </w:tc>
        <w:tc>
          <w:tcPr>
            <w:tcW w:w="1446" w:type="dxa"/>
            <w:tcBorders>
              <w:top w:val="nil"/>
              <w:left w:val="nil"/>
              <w:bottom w:val="dotted" w:sz="4" w:space="0" w:color="auto"/>
              <w:right w:val="dotted" w:sz="4" w:space="0" w:color="auto"/>
            </w:tcBorders>
            <w:shd w:val="clear" w:color="000000" w:fill="FFFFFF"/>
            <w:vAlign w:val="center"/>
            <w:hideMark/>
          </w:tcPr>
          <w:p w14:paraId="031A6BFF"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6,0</w:t>
            </w:r>
          </w:p>
        </w:tc>
        <w:tc>
          <w:tcPr>
            <w:tcW w:w="1446" w:type="dxa"/>
            <w:tcBorders>
              <w:top w:val="nil"/>
              <w:left w:val="nil"/>
              <w:bottom w:val="dotted" w:sz="4" w:space="0" w:color="auto"/>
              <w:right w:val="dotted" w:sz="4" w:space="0" w:color="auto"/>
            </w:tcBorders>
            <w:shd w:val="clear" w:color="000000" w:fill="FFFFFF"/>
            <w:vAlign w:val="center"/>
            <w:hideMark/>
          </w:tcPr>
          <w:p w14:paraId="27ADBD33"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6,9</w:t>
            </w:r>
          </w:p>
        </w:tc>
        <w:tc>
          <w:tcPr>
            <w:tcW w:w="1446" w:type="dxa"/>
            <w:tcBorders>
              <w:top w:val="nil"/>
              <w:left w:val="nil"/>
              <w:bottom w:val="dotted" w:sz="4" w:space="0" w:color="auto"/>
              <w:right w:val="dotted" w:sz="4" w:space="0" w:color="auto"/>
            </w:tcBorders>
            <w:shd w:val="clear" w:color="000000" w:fill="FFFFFF"/>
            <w:vAlign w:val="center"/>
            <w:hideMark/>
          </w:tcPr>
          <w:p w14:paraId="4F4023C6"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6,9</w:t>
            </w:r>
          </w:p>
        </w:tc>
        <w:tc>
          <w:tcPr>
            <w:tcW w:w="1446" w:type="dxa"/>
            <w:tcBorders>
              <w:top w:val="nil"/>
              <w:left w:val="nil"/>
              <w:bottom w:val="dotted" w:sz="4" w:space="0" w:color="auto"/>
              <w:right w:val="dotted" w:sz="4" w:space="0" w:color="auto"/>
            </w:tcBorders>
            <w:shd w:val="clear" w:color="000000" w:fill="FFFFFF"/>
            <w:vAlign w:val="center"/>
            <w:hideMark/>
          </w:tcPr>
          <w:p w14:paraId="6AA93007"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6,4</w:t>
            </w:r>
          </w:p>
        </w:tc>
        <w:tc>
          <w:tcPr>
            <w:tcW w:w="1446" w:type="dxa"/>
            <w:tcBorders>
              <w:top w:val="nil"/>
              <w:left w:val="nil"/>
              <w:bottom w:val="dotted" w:sz="4" w:space="0" w:color="auto"/>
              <w:right w:val="double" w:sz="6" w:space="0" w:color="000000"/>
            </w:tcBorders>
            <w:shd w:val="clear" w:color="000000" w:fill="FFFFFF"/>
            <w:vAlign w:val="center"/>
            <w:hideMark/>
          </w:tcPr>
          <w:p w14:paraId="77A47938"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6,3</w:t>
            </w:r>
          </w:p>
        </w:tc>
      </w:tr>
      <w:tr w:rsidR="00E7647E" w:rsidRPr="00E7647E" w14:paraId="66C2688A" w14:textId="77777777" w:rsidTr="00E7647E">
        <w:trPr>
          <w:trHeight w:val="320"/>
        </w:trPr>
        <w:tc>
          <w:tcPr>
            <w:tcW w:w="6808" w:type="dxa"/>
            <w:tcBorders>
              <w:top w:val="nil"/>
              <w:left w:val="double" w:sz="6" w:space="0" w:color="000000"/>
              <w:bottom w:val="dotted" w:sz="4" w:space="0" w:color="auto"/>
              <w:right w:val="dotted" w:sz="4" w:space="0" w:color="auto"/>
            </w:tcBorders>
            <w:shd w:val="clear" w:color="000000" w:fill="FFFFFF"/>
            <w:vAlign w:val="center"/>
            <w:hideMark/>
          </w:tcPr>
          <w:p w14:paraId="44A7110D" w14:textId="77777777" w:rsidR="00E7647E" w:rsidRPr="00E7647E" w:rsidRDefault="00E7647E" w:rsidP="00E7647E">
            <w:pPr>
              <w:spacing w:after="0"/>
              <w:jc w:val="left"/>
              <w:rPr>
                <w:rFonts w:eastAsia="Times New Roman" w:cs="Times New Roman"/>
                <w:sz w:val="20"/>
                <w:szCs w:val="20"/>
              </w:rPr>
            </w:pPr>
            <w:r w:rsidRPr="00E7647E">
              <w:rPr>
                <w:rFonts w:eastAsia="Times New Roman" w:cs="Times New Roman"/>
                <w:sz w:val="20"/>
                <w:szCs w:val="20"/>
              </w:rPr>
              <w:t>2. Defence</w:t>
            </w:r>
          </w:p>
        </w:tc>
        <w:tc>
          <w:tcPr>
            <w:tcW w:w="1446" w:type="dxa"/>
            <w:tcBorders>
              <w:top w:val="nil"/>
              <w:left w:val="nil"/>
              <w:bottom w:val="dotted" w:sz="4" w:space="0" w:color="auto"/>
              <w:right w:val="single" w:sz="8" w:space="0" w:color="auto"/>
            </w:tcBorders>
            <w:shd w:val="clear" w:color="000000" w:fill="FFFFFF"/>
            <w:vAlign w:val="center"/>
            <w:hideMark/>
          </w:tcPr>
          <w:p w14:paraId="584609BF"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w:t>
            </w:r>
          </w:p>
        </w:tc>
        <w:tc>
          <w:tcPr>
            <w:tcW w:w="1446" w:type="dxa"/>
            <w:tcBorders>
              <w:top w:val="nil"/>
              <w:left w:val="nil"/>
              <w:bottom w:val="dotted" w:sz="4" w:space="0" w:color="auto"/>
              <w:right w:val="dotted" w:sz="4" w:space="0" w:color="auto"/>
            </w:tcBorders>
            <w:shd w:val="clear" w:color="000000" w:fill="FFFFFF"/>
            <w:vAlign w:val="center"/>
            <w:hideMark/>
          </w:tcPr>
          <w:p w14:paraId="11F0BF0E"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1,9</w:t>
            </w:r>
          </w:p>
        </w:tc>
        <w:tc>
          <w:tcPr>
            <w:tcW w:w="1446" w:type="dxa"/>
            <w:tcBorders>
              <w:top w:val="nil"/>
              <w:left w:val="nil"/>
              <w:bottom w:val="dotted" w:sz="4" w:space="0" w:color="auto"/>
              <w:right w:val="dotted" w:sz="4" w:space="0" w:color="auto"/>
            </w:tcBorders>
            <w:shd w:val="clear" w:color="000000" w:fill="FFFFFF"/>
            <w:vAlign w:val="center"/>
            <w:hideMark/>
          </w:tcPr>
          <w:p w14:paraId="5BDE2751"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2,3</w:t>
            </w:r>
          </w:p>
        </w:tc>
        <w:tc>
          <w:tcPr>
            <w:tcW w:w="1446" w:type="dxa"/>
            <w:tcBorders>
              <w:top w:val="nil"/>
              <w:left w:val="nil"/>
              <w:bottom w:val="dotted" w:sz="4" w:space="0" w:color="auto"/>
              <w:right w:val="dotted" w:sz="4" w:space="0" w:color="auto"/>
            </w:tcBorders>
            <w:shd w:val="clear" w:color="000000" w:fill="FFFFFF"/>
            <w:vAlign w:val="center"/>
            <w:hideMark/>
          </w:tcPr>
          <w:p w14:paraId="74974735"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2,5</w:t>
            </w:r>
          </w:p>
        </w:tc>
        <w:tc>
          <w:tcPr>
            <w:tcW w:w="1446" w:type="dxa"/>
            <w:tcBorders>
              <w:top w:val="nil"/>
              <w:left w:val="nil"/>
              <w:bottom w:val="dotted" w:sz="4" w:space="0" w:color="auto"/>
              <w:right w:val="dotted" w:sz="4" w:space="0" w:color="auto"/>
            </w:tcBorders>
            <w:shd w:val="clear" w:color="000000" w:fill="FFFFFF"/>
            <w:vAlign w:val="center"/>
            <w:hideMark/>
          </w:tcPr>
          <w:p w14:paraId="6A93B4F6"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2,5</w:t>
            </w:r>
          </w:p>
        </w:tc>
        <w:tc>
          <w:tcPr>
            <w:tcW w:w="1446" w:type="dxa"/>
            <w:tcBorders>
              <w:top w:val="nil"/>
              <w:left w:val="nil"/>
              <w:bottom w:val="dotted" w:sz="4" w:space="0" w:color="auto"/>
              <w:right w:val="double" w:sz="6" w:space="0" w:color="000000"/>
            </w:tcBorders>
            <w:shd w:val="clear" w:color="000000" w:fill="FFFFFF"/>
            <w:vAlign w:val="center"/>
            <w:hideMark/>
          </w:tcPr>
          <w:p w14:paraId="3F92332F"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2,5</w:t>
            </w:r>
          </w:p>
        </w:tc>
      </w:tr>
      <w:tr w:rsidR="00E7647E" w:rsidRPr="00E7647E" w14:paraId="19AA1794" w14:textId="77777777" w:rsidTr="00E7647E">
        <w:trPr>
          <w:trHeight w:val="320"/>
        </w:trPr>
        <w:tc>
          <w:tcPr>
            <w:tcW w:w="6808" w:type="dxa"/>
            <w:tcBorders>
              <w:top w:val="nil"/>
              <w:left w:val="double" w:sz="6" w:space="0" w:color="000000"/>
              <w:bottom w:val="dotted" w:sz="4" w:space="0" w:color="auto"/>
              <w:right w:val="dotted" w:sz="4" w:space="0" w:color="auto"/>
            </w:tcBorders>
            <w:shd w:val="clear" w:color="000000" w:fill="FFFFFF"/>
            <w:vAlign w:val="center"/>
            <w:hideMark/>
          </w:tcPr>
          <w:p w14:paraId="4B316780" w14:textId="77777777" w:rsidR="00E7647E" w:rsidRPr="00E7647E" w:rsidRDefault="00E7647E" w:rsidP="00E7647E">
            <w:pPr>
              <w:spacing w:after="0"/>
              <w:jc w:val="left"/>
              <w:rPr>
                <w:rFonts w:eastAsia="Times New Roman" w:cs="Times New Roman"/>
                <w:sz w:val="20"/>
                <w:szCs w:val="20"/>
              </w:rPr>
            </w:pPr>
            <w:r w:rsidRPr="00E7647E">
              <w:rPr>
                <w:rFonts w:eastAsia="Times New Roman" w:cs="Times New Roman"/>
                <w:sz w:val="20"/>
                <w:szCs w:val="20"/>
              </w:rPr>
              <w:t>3. Public order and safety</w:t>
            </w:r>
          </w:p>
        </w:tc>
        <w:tc>
          <w:tcPr>
            <w:tcW w:w="1446" w:type="dxa"/>
            <w:tcBorders>
              <w:top w:val="nil"/>
              <w:left w:val="nil"/>
              <w:bottom w:val="dotted" w:sz="4" w:space="0" w:color="auto"/>
              <w:right w:val="single" w:sz="8" w:space="0" w:color="auto"/>
            </w:tcBorders>
            <w:shd w:val="clear" w:color="000000" w:fill="FFFFFF"/>
            <w:vAlign w:val="center"/>
            <w:hideMark/>
          </w:tcPr>
          <w:p w14:paraId="415C6C85"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3</w:t>
            </w:r>
          </w:p>
        </w:tc>
        <w:tc>
          <w:tcPr>
            <w:tcW w:w="1446" w:type="dxa"/>
            <w:tcBorders>
              <w:top w:val="nil"/>
              <w:left w:val="nil"/>
              <w:bottom w:val="dotted" w:sz="4" w:space="0" w:color="auto"/>
              <w:right w:val="dotted" w:sz="4" w:space="0" w:color="auto"/>
            </w:tcBorders>
            <w:shd w:val="clear" w:color="000000" w:fill="FFFFFF"/>
            <w:vAlign w:val="center"/>
            <w:hideMark/>
          </w:tcPr>
          <w:p w14:paraId="11BC0E0D"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2,2</w:t>
            </w:r>
          </w:p>
        </w:tc>
        <w:tc>
          <w:tcPr>
            <w:tcW w:w="1446" w:type="dxa"/>
            <w:tcBorders>
              <w:top w:val="nil"/>
              <w:left w:val="nil"/>
              <w:bottom w:val="dotted" w:sz="4" w:space="0" w:color="auto"/>
              <w:right w:val="dotted" w:sz="4" w:space="0" w:color="auto"/>
            </w:tcBorders>
            <w:shd w:val="clear" w:color="000000" w:fill="FFFFFF"/>
            <w:vAlign w:val="center"/>
            <w:hideMark/>
          </w:tcPr>
          <w:p w14:paraId="7673B321"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2,2</w:t>
            </w:r>
          </w:p>
        </w:tc>
        <w:tc>
          <w:tcPr>
            <w:tcW w:w="1446" w:type="dxa"/>
            <w:tcBorders>
              <w:top w:val="nil"/>
              <w:left w:val="nil"/>
              <w:bottom w:val="dotted" w:sz="4" w:space="0" w:color="auto"/>
              <w:right w:val="dotted" w:sz="4" w:space="0" w:color="auto"/>
            </w:tcBorders>
            <w:shd w:val="clear" w:color="000000" w:fill="FFFFFF"/>
            <w:vAlign w:val="center"/>
            <w:hideMark/>
          </w:tcPr>
          <w:p w14:paraId="4FABF1D9"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2,2</w:t>
            </w:r>
          </w:p>
        </w:tc>
        <w:tc>
          <w:tcPr>
            <w:tcW w:w="1446" w:type="dxa"/>
            <w:tcBorders>
              <w:top w:val="nil"/>
              <w:left w:val="nil"/>
              <w:bottom w:val="dotted" w:sz="4" w:space="0" w:color="auto"/>
              <w:right w:val="dotted" w:sz="4" w:space="0" w:color="auto"/>
            </w:tcBorders>
            <w:shd w:val="clear" w:color="000000" w:fill="FFFFFF"/>
            <w:vAlign w:val="center"/>
            <w:hideMark/>
          </w:tcPr>
          <w:p w14:paraId="1269EB39"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2,2</w:t>
            </w:r>
          </w:p>
        </w:tc>
        <w:tc>
          <w:tcPr>
            <w:tcW w:w="1446" w:type="dxa"/>
            <w:tcBorders>
              <w:top w:val="nil"/>
              <w:left w:val="nil"/>
              <w:bottom w:val="dotted" w:sz="4" w:space="0" w:color="auto"/>
              <w:right w:val="double" w:sz="6" w:space="0" w:color="000000"/>
            </w:tcBorders>
            <w:shd w:val="clear" w:color="000000" w:fill="FFFFFF"/>
            <w:vAlign w:val="center"/>
            <w:hideMark/>
          </w:tcPr>
          <w:p w14:paraId="0471B7F0"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2,2</w:t>
            </w:r>
          </w:p>
        </w:tc>
      </w:tr>
      <w:tr w:rsidR="00E7647E" w:rsidRPr="00E7647E" w14:paraId="6BB52258" w14:textId="77777777" w:rsidTr="00E7647E">
        <w:trPr>
          <w:trHeight w:val="320"/>
        </w:trPr>
        <w:tc>
          <w:tcPr>
            <w:tcW w:w="6808" w:type="dxa"/>
            <w:tcBorders>
              <w:top w:val="nil"/>
              <w:left w:val="double" w:sz="6" w:space="0" w:color="000000"/>
              <w:bottom w:val="dotted" w:sz="4" w:space="0" w:color="auto"/>
              <w:right w:val="dotted" w:sz="4" w:space="0" w:color="auto"/>
            </w:tcBorders>
            <w:shd w:val="clear" w:color="000000" w:fill="FFFFFF"/>
            <w:vAlign w:val="center"/>
            <w:hideMark/>
          </w:tcPr>
          <w:p w14:paraId="2D5754BF" w14:textId="77777777" w:rsidR="00E7647E" w:rsidRPr="00E7647E" w:rsidRDefault="00E7647E" w:rsidP="00E7647E">
            <w:pPr>
              <w:spacing w:after="0"/>
              <w:jc w:val="left"/>
              <w:rPr>
                <w:rFonts w:eastAsia="Times New Roman" w:cs="Times New Roman"/>
                <w:sz w:val="20"/>
                <w:szCs w:val="20"/>
              </w:rPr>
            </w:pPr>
            <w:r w:rsidRPr="00E7647E">
              <w:rPr>
                <w:rFonts w:eastAsia="Times New Roman" w:cs="Times New Roman"/>
                <w:sz w:val="20"/>
                <w:szCs w:val="20"/>
              </w:rPr>
              <w:t>4. Economic affairs</w:t>
            </w:r>
          </w:p>
        </w:tc>
        <w:tc>
          <w:tcPr>
            <w:tcW w:w="1446" w:type="dxa"/>
            <w:tcBorders>
              <w:top w:val="nil"/>
              <w:left w:val="nil"/>
              <w:bottom w:val="dotted" w:sz="4" w:space="0" w:color="auto"/>
              <w:right w:val="single" w:sz="8" w:space="0" w:color="auto"/>
            </w:tcBorders>
            <w:shd w:val="clear" w:color="000000" w:fill="FFFFFF"/>
            <w:vAlign w:val="center"/>
            <w:hideMark/>
          </w:tcPr>
          <w:p w14:paraId="0A5ADDE9"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4</w:t>
            </w:r>
          </w:p>
        </w:tc>
        <w:tc>
          <w:tcPr>
            <w:tcW w:w="1446" w:type="dxa"/>
            <w:tcBorders>
              <w:top w:val="nil"/>
              <w:left w:val="nil"/>
              <w:bottom w:val="dotted" w:sz="4" w:space="0" w:color="auto"/>
              <w:right w:val="dotted" w:sz="4" w:space="0" w:color="auto"/>
            </w:tcBorders>
            <w:shd w:val="clear" w:color="000000" w:fill="FFFFFF"/>
            <w:vAlign w:val="center"/>
            <w:hideMark/>
          </w:tcPr>
          <w:p w14:paraId="5AFFE1CD"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7,5</w:t>
            </w:r>
          </w:p>
        </w:tc>
        <w:tc>
          <w:tcPr>
            <w:tcW w:w="1446" w:type="dxa"/>
            <w:tcBorders>
              <w:top w:val="nil"/>
              <w:left w:val="nil"/>
              <w:bottom w:val="dotted" w:sz="4" w:space="0" w:color="auto"/>
              <w:right w:val="dotted" w:sz="4" w:space="0" w:color="auto"/>
            </w:tcBorders>
            <w:shd w:val="clear" w:color="000000" w:fill="FFFFFF"/>
            <w:vAlign w:val="center"/>
            <w:hideMark/>
          </w:tcPr>
          <w:p w14:paraId="25864B1E"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7,1</w:t>
            </w:r>
          </w:p>
        </w:tc>
        <w:tc>
          <w:tcPr>
            <w:tcW w:w="1446" w:type="dxa"/>
            <w:tcBorders>
              <w:top w:val="nil"/>
              <w:left w:val="nil"/>
              <w:bottom w:val="dotted" w:sz="4" w:space="0" w:color="auto"/>
              <w:right w:val="dotted" w:sz="4" w:space="0" w:color="auto"/>
            </w:tcBorders>
            <w:shd w:val="clear" w:color="000000" w:fill="FFFFFF"/>
            <w:vAlign w:val="center"/>
            <w:hideMark/>
          </w:tcPr>
          <w:p w14:paraId="2BFC88FA"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6,8</w:t>
            </w:r>
          </w:p>
        </w:tc>
        <w:tc>
          <w:tcPr>
            <w:tcW w:w="1446" w:type="dxa"/>
            <w:tcBorders>
              <w:top w:val="nil"/>
              <w:left w:val="nil"/>
              <w:bottom w:val="dotted" w:sz="4" w:space="0" w:color="auto"/>
              <w:right w:val="dotted" w:sz="4" w:space="0" w:color="auto"/>
            </w:tcBorders>
            <w:shd w:val="clear" w:color="000000" w:fill="FFFFFF"/>
            <w:vAlign w:val="center"/>
            <w:hideMark/>
          </w:tcPr>
          <w:p w14:paraId="121FB8D0"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6,8</w:t>
            </w:r>
          </w:p>
        </w:tc>
        <w:tc>
          <w:tcPr>
            <w:tcW w:w="1446" w:type="dxa"/>
            <w:tcBorders>
              <w:top w:val="nil"/>
              <w:left w:val="nil"/>
              <w:bottom w:val="dotted" w:sz="4" w:space="0" w:color="auto"/>
              <w:right w:val="double" w:sz="6" w:space="0" w:color="000000"/>
            </w:tcBorders>
            <w:shd w:val="clear" w:color="000000" w:fill="FFFFFF"/>
            <w:vAlign w:val="center"/>
            <w:hideMark/>
          </w:tcPr>
          <w:p w14:paraId="6601BCCE"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6,7</w:t>
            </w:r>
          </w:p>
        </w:tc>
      </w:tr>
      <w:tr w:rsidR="00E7647E" w:rsidRPr="00E7647E" w14:paraId="3064A46B" w14:textId="77777777" w:rsidTr="00E7647E">
        <w:trPr>
          <w:trHeight w:val="320"/>
        </w:trPr>
        <w:tc>
          <w:tcPr>
            <w:tcW w:w="6808" w:type="dxa"/>
            <w:tcBorders>
              <w:top w:val="nil"/>
              <w:left w:val="double" w:sz="6" w:space="0" w:color="000000"/>
              <w:bottom w:val="dotted" w:sz="4" w:space="0" w:color="auto"/>
              <w:right w:val="dotted" w:sz="4" w:space="0" w:color="auto"/>
            </w:tcBorders>
            <w:shd w:val="clear" w:color="000000" w:fill="FFFFFF"/>
            <w:vAlign w:val="center"/>
            <w:hideMark/>
          </w:tcPr>
          <w:p w14:paraId="1EF37F4F" w14:textId="77777777" w:rsidR="00E7647E" w:rsidRPr="00E7647E" w:rsidRDefault="00E7647E" w:rsidP="00E7647E">
            <w:pPr>
              <w:spacing w:after="0"/>
              <w:jc w:val="left"/>
              <w:rPr>
                <w:rFonts w:eastAsia="Times New Roman" w:cs="Times New Roman"/>
                <w:sz w:val="20"/>
                <w:szCs w:val="20"/>
              </w:rPr>
            </w:pPr>
            <w:r w:rsidRPr="00E7647E">
              <w:rPr>
                <w:rFonts w:eastAsia="Times New Roman" w:cs="Times New Roman"/>
                <w:sz w:val="20"/>
                <w:szCs w:val="20"/>
              </w:rPr>
              <w:t>5. Environmental protection</w:t>
            </w:r>
          </w:p>
        </w:tc>
        <w:tc>
          <w:tcPr>
            <w:tcW w:w="1446" w:type="dxa"/>
            <w:tcBorders>
              <w:top w:val="nil"/>
              <w:left w:val="nil"/>
              <w:bottom w:val="dotted" w:sz="4" w:space="0" w:color="auto"/>
              <w:right w:val="single" w:sz="8" w:space="0" w:color="auto"/>
            </w:tcBorders>
            <w:shd w:val="clear" w:color="000000" w:fill="FFFFFF"/>
            <w:vAlign w:val="center"/>
            <w:hideMark/>
          </w:tcPr>
          <w:p w14:paraId="7E67BE8E"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5</w:t>
            </w:r>
          </w:p>
        </w:tc>
        <w:tc>
          <w:tcPr>
            <w:tcW w:w="1446" w:type="dxa"/>
            <w:tcBorders>
              <w:top w:val="nil"/>
              <w:left w:val="nil"/>
              <w:bottom w:val="dotted" w:sz="4" w:space="0" w:color="auto"/>
              <w:right w:val="dotted" w:sz="4" w:space="0" w:color="auto"/>
            </w:tcBorders>
            <w:shd w:val="clear" w:color="000000" w:fill="FFFFFF"/>
            <w:vAlign w:val="center"/>
            <w:hideMark/>
          </w:tcPr>
          <w:p w14:paraId="6D064B03"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0,5</w:t>
            </w:r>
          </w:p>
        </w:tc>
        <w:tc>
          <w:tcPr>
            <w:tcW w:w="1446" w:type="dxa"/>
            <w:tcBorders>
              <w:top w:val="nil"/>
              <w:left w:val="nil"/>
              <w:bottom w:val="dotted" w:sz="4" w:space="0" w:color="auto"/>
              <w:right w:val="dotted" w:sz="4" w:space="0" w:color="auto"/>
            </w:tcBorders>
            <w:shd w:val="clear" w:color="000000" w:fill="FFFFFF"/>
            <w:vAlign w:val="center"/>
            <w:hideMark/>
          </w:tcPr>
          <w:p w14:paraId="2578B4FE"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0,5</w:t>
            </w:r>
          </w:p>
        </w:tc>
        <w:tc>
          <w:tcPr>
            <w:tcW w:w="1446" w:type="dxa"/>
            <w:tcBorders>
              <w:top w:val="nil"/>
              <w:left w:val="nil"/>
              <w:bottom w:val="dotted" w:sz="4" w:space="0" w:color="auto"/>
              <w:right w:val="dotted" w:sz="4" w:space="0" w:color="auto"/>
            </w:tcBorders>
            <w:shd w:val="clear" w:color="000000" w:fill="FFFFFF"/>
            <w:vAlign w:val="center"/>
            <w:hideMark/>
          </w:tcPr>
          <w:p w14:paraId="22C43457"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0,5</w:t>
            </w:r>
          </w:p>
        </w:tc>
        <w:tc>
          <w:tcPr>
            <w:tcW w:w="1446" w:type="dxa"/>
            <w:tcBorders>
              <w:top w:val="nil"/>
              <w:left w:val="nil"/>
              <w:bottom w:val="dotted" w:sz="4" w:space="0" w:color="auto"/>
              <w:right w:val="dotted" w:sz="4" w:space="0" w:color="auto"/>
            </w:tcBorders>
            <w:shd w:val="clear" w:color="000000" w:fill="FFFFFF"/>
            <w:vAlign w:val="center"/>
            <w:hideMark/>
          </w:tcPr>
          <w:p w14:paraId="5C18ACB2"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0,5</w:t>
            </w:r>
          </w:p>
        </w:tc>
        <w:tc>
          <w:tcPr>
            <w:tcW w:w="1446" w:type="dxa"/>
            <w:tcBorders>
              <w:top w:val="nil"/>
              <w:left w:val="nil"/>
              <w:bottom w:val="dotted" w:sz="4" w:space="0" w:color="auto"/>
              <w:right w:val="double" w:sz="6" w:space="0" w:color="000000"/>
            </w:tcBorders>
            <w:shd w:val="clear" w:color="000000" w:fill="FFFFFF"/>
            <w:vAlign w:val="center"/>
            <w:hideMark/>
          </w:tcPr>
          <w:p w14:paraId="39A60042"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0,5</w:t>
            </w:r>
          </w:p>
        </w:tc>
      </w:tr>
      <w:tr w:rsidR="00E7647E" w:rsidRPr="00E7647E" w14:paraId="67332F7A" w14:textId="77777777" w:rsidTr="00E7647E">
        <w:trPr>
          <w:trHeight w:val="320"/>
        </w:trPr>
        <w:tc>
          <w:tcPr>
            <w:tcW w:w="6808" w:type="dxa"/>
            <w:tcBorders>
              <w:top w:val="nil"/>
              <w:left w:val="double" w:sz="6" w:space="0" w:color="000000"/>
              <w:bottom w:val="dotted" w:sz="4" w:space="0" w:color="auto"/>
              <w:right w:val="dotted" w:sz="4" w:space="0" w:color="auto"/>
            </w:tcBorders>
            <w:shd w:val="clear" w:color="000000" w:fill="FFFFFF"/>
            <w:vAlign w:val="center"/>
            <w:hideMark/>
          </w:tcPr>
          <w:p w14:paraId="20045871" w14:textId="77777777" w:rsidR="00E7647E" w:rsidRPr="00E7647E" w:rsidRDefault="00E7647E" w:rsidP="00E7647E">
            <w:pPr>
              <w:spacing w:after="0"/>
              <w:jc w:val="left"/>
              <w:rPr>
                <w:rFonts w:eastAsia="Times New Roman" w:cs="Times New Roman"/>
                <w:sz w:val="20"/>
                <w:szCs w:val="20"/>
              </w:rPr>
            </w:pPr>
            <w:r w:rsidRPr="00E7647E">
              <w:rPr>
                <w:rFonts w:eastAsia="Times New Roman" w:cs="Times New Roman"/>
                <w:sz w:val="20"/>
                <w:szCs w:val="20"/>
              </w:rPr>
              <w:t>6. Housing and community amenities</w:t>
            </w:r>
          </w:p>
        </w:tc>
        <w:tc>
          <w:tcPr>
            <w:tcW w:w="1446" w:type="dxa"/>
            <w:tcBorders>
              <w:top w:val="nil"/>
              <w:left w:val="nil"/>
              <w:bottom w:val="dotted" w:sz="4" w:space="0" w:color="auto"/>
              <w:right w:val="single" w:sz="8" w:space="0" w:color="auto"/>
            </w:tcBorders>
            <w:shd w:val="clear" w:color="000000" w:fill="FFFFFF"/>
            <w:vAlign w:val="center"/>
            <w:hideMark/>
          </w:tcPr>
          <w:p w14:paraId="61C1AA09"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w:t>
            </w:r>
          </w:p>
        </w:tc>
        <w:tc>
          <w:tcPr>
            <w:tcW w:w="1446" w:type="dxa"/>
            <w:tcBorders>
              <w:top w:val="nil"/>
              <w:left w:val="nil"/>
              <w:bottom w:val="dotted" w:sz="4" w:space="0" w:color="auto"/>
              <w:right w:val="dotted" w:sz="4" w:space="0" w:color="auto"/>
            </w:tcBorders>
            <w:shd w:val="clear" w:color="000000" w:fill="FFFFFF"/>
            <w:vAlign w:val="center"/>
            <w:hideMark/>
          </w:tcPr>
          <w:p w14:paraId="5DA503F1"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0,8</w:t>
            </w:r>
          </w:p>
        </w:tc>
        <w:tc>
          <w:tcPr>
            <w:tcW w:w="1446" w:type="dxa"/>
            <w:tcBorders>
              <w:top w:val="nil"/>
              <w:left w:val="nil"/>
              <w:bottom w:val="dotted" w:sz="4" w:space="0" w:color="auto"/>
              <w:right w:val="dotted" w:sz="4" w:space="0" w:color="auto"/>
            </w:tcBorders>
            <w:shd w:val="clear" w:color="000000" w:fill="FFFFFF"/>
            <w:vAlign w:val="center"/>
            <w:hideMark/>
          </w:tcPr>
          <w:p w14:paraId="1E952B3D"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0,8</w:t>
            </w:r>
          </w:p>
        </w:tc>
        <w:tc>
          <w:tcPr>
            <w:tcW w:w="1446" w:type="dxa"/>
            <w:tcBorders>
              <w:top w:val="nil"/>
              <w:left w:val="nil"/>
              <w:bottom w:val="dotted" w:sz="4" w:space="0" w:color="auto"/>
              <w:right w:val="dotted" w:sz="4" w:space="0" w:color="auto"/>
            </w:tcBorders>
            <w:shd w:val="clear" w:color="000000" w:fill="FFFFFF"/>
            <w:vAlign w:val="center"/>
            <w:hideMark/>
          </w:tcPr>
          <w:p w14:paraId="5BA89235"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0,8</w:t>
            </w:r>
          </w:p>
        </w:tc>
        <w:tc>
          <w:tcPr>
            <w:tcW w:w="1446" w:type="dxa"/>
            <w:tcBorders>
              <w:top w:val="nil"/>
              <w:left w:val="nil"/>
              <w:bottom w:val="dotted" w:sz="4" w:space="0" w:color="auto"/>
              <w:right w:val="dotted" w:sz="4" w:space="0" w:color="auto"/>
            </w:tcBorders>
            <w:shd w:val="clear" w:color="000000" w:fill="FFFFFF"/>
            <w:vAlign w:val="center"/>
            <w:hideMark/>
          </w:tcPr>
          <w:p w14:paraId="6CFDED4B"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0,8</w:t>
            </w:r>
          </w:p>
        </w:tc>
        <w:tc>
          <w:tcPr>
            <w:tcW w:w="1446" w:type="dxa"/>
            <w:tcBorders>
              <w:top w:val="nil"/>
              <w:left w:val="nil"/>
              <w:bottom w:val="dotted" w:sz="4" w:space="0" w:color="auto"/>
              <w:right w:val="double" w:sz="6" w:space="0" w:color="000000"/>
            </w:tcBorders>
            <w:shd w:val="clear" w:color="000000" w:fill="FFFFFF"/>
            <w:vAlign w:val="center"/>
            <w:hideMark/>
          </w:tcPr>
          <w:p w14:paraId="6485419E"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0,8</w:t>
            </w:r>
          </w:p>
        </w:tc>
      </w:tr>
      <w:tr w:rsidR="00E7647E" w:rsidRPr="00E7647E" w14:paraId="4EF9B6DE" w14:textId="77777777" w:rsidTr="00E7647E">
        <w:trPr>
          <w:trHeight w:val="320"/>
        </w:trPr>
        <w:tc>
          <w:tcPr>
            <w:tcW w:w="6808" w:type="dxa"/>
            <w:tcBorders>
              <w:top w:val="nil"/>
              <w:left w:val="double" w:sz="6" w:space="0" w:color="000000"/>
              <w:bottom w:val="dotted" w:sz="4" w:space="0" w:color="auto"/>
              <w:right w:val="dotted" w:sz="4" w:space="0" w:color="auto"/>
            </w:tcBorders>
            <w:shd w:val="clear" w:color="000000" w:fill="FFFFFF"/>
            <w:vAlign w:val="center"/>
            <w:hideMark/>
          </w:tcPr>
          <w:p w14:paraId="31B1366F" w14:textId="77777777" w:rsidR="00E7647E" w:rsidRPr="00E7647E" w:rsidRDefault="00E7647E" w:rsidP="00E7647E">
            <w:pPr>
              <w:spacing w:after="0"/>
              <w:jc w:val="left"/>
              <w:rPr>
                <w:rFonts w:eastAsia="Times New Roman" w:cs="Times New Roman"/>
                <w:sz w:val="20"/>
                <w:szCs w:val="20"/>
              </w:rPr>
            </w:pPr>
            <w:r w:rsidRPr="00E7647E">
              <w:rPr>
                <w:rFonts w:eastAsia="Times New Roman" w:cs="Times New Roman"/>
                <w:sz w:val="20"/>
                <w:szCs w:val="20"/>
              </w:rPr>
              <w:t>7. Health</w:t>
            </w:r>
          </w:p>
        </w:tc>
        <w:tc>
          <w:tcPr>
            <w:tcW w:w="1446" w:type="dxa"/>
            <w:tcBorders>
              <w:top w:val="nil"/>
              <w:left w:val="nil"/>
              <w:bottom w:val="dotted" w:sz="4" w:space="0" w:color="auto"/>
              <w:right w:val="single" w:sz="8" w:space="0" w:color="auto"/>
            </w:tcBorders>
            <w:shd w:val="clear" w:color="000000" w:fill="FFFFFF"/>
            <w:vAlign w:val="center"/>
            <w:hideMark/>
          </w:tcPr>
          <w:p w14:paraId="7682155D"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7</w:t>
            </w:r>
          </w:p>
        </w:tc>
        <w:tc>
          <w:tcPr>
            <w:tcW w:w="1446" w:type="dxa"/>
            <w:tcBorders>
              <w:top w:val="nil"/>
              <w:left w:val="nil"/>
              <w:bottom w:val="dotted" w:sz="4" w:space="0" w:color="auto"/>
              <w:right w:val="dotted" w:sz="4" w:space="0" w:color="auto"/>
            </w:tcBorders>
            <w:shd w:val="clear" w:color="000000" w:fill="FFFFFF"/>
            <w:vAlign w:val="center"/>
            <w:hideMark/>
          </w:tcPr>
          <w:p w14:paraId="777A9734"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6,0</w:t>
            </w:r>
          </w:p>
        </w:tc>
        <w:tc>
          <w:tcPr>
            <w:tcW w:w="1446" w:type="dxa"/>
            <w:tcBorders>
              <w:top w:val="nil"/>
              <w:left w:val="nil"/>
              <w:bottom w:val="dotted" w:sz="4" w:space="0" w:color="auto"/>
              <w:right w:val="dotted" w:sz="4" w:space="0" w:color="auto"/>
            </w:tcBorders>
            <w:shd w:val="clear" w:color="000000" w:fill="FFFFFF"/>
            <w:vAlign w:val="center"/>
            <w:hideMark/>
          </w:tcPr>
          <w:p w14:paraId="3507A100"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6,2</w:t>
            </w:r>
          </w:p>
        </w:tc>
        <w:tc>
          <w:tcPr>
            <w:tcW w:w="1446" w:type="dxa"/>
            <w:tcBorders>
              <w:top w:val="nil"/>
              <w:left w:val="nil"/>
              <w:bottom w:val="dotted" w:sz="4" w:space="0" w:color="auto"/>
              <w:right w:val="dotted" w:sz="4" w:space="0" w:color="auto"/>
            </w:tcBorders>
            <w:shd w:val="clear" w:color="000000" w:fill="FFFFFF"/>
            <w:vAlign w:val="center"/>
            <w:hideMark/>
          </w:tcPr>
          <w:p w14:paraId="00B84144"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6,2</w:t>
            </w:r>
          </w:p>
        </w:tc>
        <w:tc>
          <w:tcPr>
            <w:tcW w:w="1446" w:type="dxa"/>
            <w:tcBorders>
              <w:top w:val="nil"/>
              <w:left w:val="nil"/>
              <w:bottom w:val="dotted" w:sz="4" w:space="0" w:color="auto"/>
              <w:right w:val="dotted" w:sz="4" w:space="0" w:color="auto"/>
            </w:tcBorders>
            <w:shd w:val="clear" w:color="000000" w:fill="FFFFFF"/>
            <w:vAlign w:val="center"/>
            <w:hideMark/>
          </w:tcPr>
          <w:p w14:paraId="37AC6D06"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6,2</w:t>
            </w:r>
          </w:p>
        </w:tc>
        <w:tc>
          <w:tcPr>
            <w:tcW w:w="1446" w:type="dxa"/>
            <w:tcBorders>
              <w:top w:val="nil"/>
              <w:left w:val="nil"/>
              <w:bottom w:val="dotted" w:sz="4" w:space="0" w:color="auto"/>
              <w:right w:val="double" w:sz="6" w:space="0" w:color="000000"/>
            </w:tcBorders>
            <w:shd w:val="clear" w:color="000000" w:fill="FFFFFF"/>
            <w:vAlign w:val="center"/>
            <w:hideMark/>
          </w:tcPr>
          <w:p w14:paraId="6CDF562C"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6,2</w:t>
            </w:r>
          </w:p>
        </w:tc>
      </w:tr>
      <w:tr w:rsidR="00E7647E" w:rsidRPr="00E7647E" w14:paraId="3694456A" w14:textId="77777777" w:rsidTr="00E7647E">
        <w:trPr>
          <w:trHeight w:val="320"/>
        </w:trPr>
        <w:tc>
          <w:tcPr>
            <w:tcW w:w="6808" w:type="dxa"/>
            <w:tcBorders>
              <w:top w:val="nil"/>
              <w:left w:val="double" w:sz="6" w:space="0" w:color="000000"/>
              <w:bottom w:val="dotted" w:sz="4" w:space="0" w:color="auto"/>
              <w:right w:val="dotted" w:sz="4" w:space="0" w:color="auto"/>
            </w:tcBorders>
            <w:shd w:val="clear" w:color="000000" w:fill="FFFFFF"/>
            <w:vAlign w:val="center"/>
            <w:hideMark/>
          </w:tcPr>
          <w:p w14:paraId="5CE9373E" w14:textId="77777777" w:rsidR="00E7647E" w:rsidRPr="00E7647E" w:rsidRDefault="00E7647E" w:rsidP="00E7647E">
            <w:pPr>
              <w:spacing w:after="0"/>
              <w:jc w:val="left"/>
              <w:rPr>
                <w:rFonts w:eastAsia="Times New Roman" w:cs="Times New Roman"/>
                <w:sz w:val="20"/>
                <w:szCs w:val="20"/>
              </w:rPr>
            </w:pPr>
            <w:r w:rsidRPr="00E7647E">
              <w:rPr>
                <w:rFonts w:eastAsia="Times New Roman" w:cs="Times New Roman"/>
                <w:sz w:val="20"/>
                <w:szCs w:val="20"/>
              </w:rPr>
              <w:t>8. Recreation, culture and religion</w:t>
            </w:r>
          </w:p>
        </w:tc>
        <w:tc>
          <w:tcPr>
            <w:tcW w:w="1446" w:type="dxa"/>
            <w:tcBorders>
              <w:top w:val="nil"/>
              <w:left w:val="nil"/>
              <w:bottom w:val="dotted" w:sz="4" w:space="0" w:color="auto"/>
              <w:right w:val="single" w:sz="8" w:space="0" w:color="auto"/>
            </w:tcBorders>
            <w:shd w:val="clear" w:color="000000" w:fill="FFFFFF"/>
            <w:vAlign w:val="center"/>
            <w:hideMark/>
          </w:tcPr>
          <w:p w14:paraId="79F92222"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8</w:t>
            </w:r>
          </w:p>
        </w:tc>
        <w:tc>
          <w:tcPr>
            <w:tcW w:w="1446" w:type="dxa"/>
            <w:tcBorders>
              <w:top w:val="nil"/>
              <w:left w:val="nil"/>
              <w:bottom w:val="dotted" w:sz="4" w:space="0" w:color="auto"/>
              <w:right w:val="dotted" w:sz="4" w:space="0" w:color="auto"/>
            </w:tcBorders>
            <w:shd w:val="clear" w:color="000000" w:fill="FFFFFF"/>
            <w:vAlign w:val="center"/>
            <w:hideMark/>
          </w:tcPr>
          <w:p w14:paraId="659F5FAC"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0,9</w:t>
            </w:r>
          </w:p>
        </w:tc>
        <w:tc>
          <w:tcPr>
            <w:tcW w:w="1446" w:type="dxa"/>
            <w:tcBorders>
              <w:top w:val="nil"/>
              <w:left w:val="nil"/>
              <w:bottom w:val="dotted" w:sz="4" w:space="0" w:color="auto"/>
              <w:right w:val="dotted" w:sz="4" w:space="0" w:color="auto"/>
            </w:tcBorders>
            <w:shd w:val="clear" w:color="000000" w:fill="FFFFFF"/>
            <w:vAlign w:val="center"/>
            <w:hideMark/>
          </w:tcPr>
          <w:p w14:paraId="2E2623ED"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0,9</w:t>
            </w:r>
          </w:p>
        </w:tc>
        <w:tc>
          <w:tcPr>
            <w:tcW w:w="1446" w:type="dxa"/>
            <w:tcBorders>
              <w:top w:val="nil"/>
              <w:left w:val="nil"/>
              <w:bottom w:val="dotted" w:sz="4" w:space="0" w:color="auto"/>
              <w:right w:val="dotted" w:sz="4" w:space="0" w:color="auto"/>
            </w:tcBorders>
            <w:shd w:val="clear" w:color="000000" w:fill="FFFFFF"/>
            <w:vAlign w:val="center"/>
            <w:hideMark/>
          </w:tcPr>
          <w:p w14:paraId="083CF7CB"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0,9</w:t>
            </w:r>
          </w:p>
        </w:tc>
        <w:tc>
          <w:tcPr>
            <w:tcW w:w="1446" w:type="dxa"/>
            <w:tcBorders>
              <w:top w:val="nil"/>
              <w:left w:val="nil"/>
              <w:bottom w:val="dotted" w:sz="4" w:space="0" w:color="auto"/>
              <w:right w:val="dotted" w:sz="4" w:space="0" w:color="auto"/>
            </w:tcBorders>
            <w:shd w:val="clear" w:color="000000" w:fill="FFFFFF"/>
            <w:vAlign w:val="center"/>
            <w:hideMark/>
          </w:tcPr>
          <w:p w14:paraId="25FADF2B"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0,9</w:t>
            </w:r>
          </w:p>
        </w:tc>
        <w:tc>
          <w:tcPr>
            <w:tcW w:w="1446" w:type="dxa"/>
            <w:tcBorders>
              <w:top w:val="nil"/>
              <w:left w:val="nil"/>
              <w:bottom w:val="dotted" w:sz="4" w:space="0" w:color="auto"/>
              <w:right w:val="double" w:sz="6" w:space="0" w:color="000000"/>
            </w:tcBorders>
            <w:shd w:val="clear" w:color="000000" w:fill="FFFFFF"/>
            <w:vAlign w:val="center"/>
            <w:hideMark/>
          </w:tcPr>
          <w:p w14:paraId="245045D8"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0,9</w:t>
            </w:r>
          </w:p>
        </w:tc>
      </w:tr>
      <w:tr w:rsidR="00E7647E" w:rsidRPr="00E7647E" w14:paraId="338B6899" w14:textId="77777777" w:rsidTr="00E7647E">
        <w:trPr>
          <w:trHeight w:val="320"/>
        </w:trPr>
        <w:tc>
          <w:tcPr>
            <w:tcW w:w="6808" w:type="dxa"/>
            <w:tcBorders>
              <w:top w:val="nil"/>
              <w:left w:val="double" w:sz="6" w:space="0" w:color="000000"/>
              <w:bottom w:val="dotted" w:sz="4" w:space="0" w:color="auto"/>
              <w:right w:val="dotted" w:sz="4" w:space="0" w:color="auto"/>
            </w:tcBorders>
            <w:shd w:val="clear" w:color="000000" w:fill="FFFFFF"/>
            <w:vAlign w:val="center"/>
            <w:hideMark/>
          </w:tcPr>
          <w:p w14:paraId="7137B418" w14:textId="77777777" w:rsidR="00E7647E" w:rsidRPr="00E7647E" w:rsidRDefault="00E7647E" w:rsidP="00E7647E">
            <w:pPr>
              <w:spacing w:after="0"/>
              <w:jc w:val="left"/>
              <w:rPr>
                <w:rFonts w:eastAsia="Times New Roman" w:cs="Times New Roman"/>
                <w:sz w:val="20"/>
                <w:szCs w:val="20"/>
              </w:rPr>
            </w:pPr>
            <w:r w:rsidRPr="00E7647E">
              <w:rPr>
                <w:rFonts w:eastAsia="Times New Roman" w:cs="Times New Roman"/>
                <w:sz w:val="20"/>
                <w:szCs w:val="20"/>
              </w:rPr>
              <w:t>9. Education</w:t>
            </w:r>
          </w:p>
        </w:tc>
        <w:tc>
          <w:tcPr>
            <w:tcW w:w="1446" w:type="dxa"/>
            <w:tcBorders>
              <w:top w:val="nil"/>
              <w:left w:val="nil"/>
              <w:bottom w:val="dotted" w:sz="4" w:space="0" w:color="auto"/>
              <w:right w:val="single" w:sz="8" w:space="0" w:color="auto"/>
            </w:tcBorders>
            <w:shd w:val="clear" w:color="000000" w:fill="FFFFFF"/>
            <w:vAlign w:val="center"/>
            <w:hideMark/>
          </w:tcPr>
          <w:p w14:paraId="0104EC97"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9</w:t>
            </w:r>
          </w:p>
        </w:tc>
        <w:tc>
          <w:tcPr>
            <w:tcW w:w="1446" w:type="dxa"/>
            <w:tcBorders>
              <w:top w:val="nil"/>
              <w:left w:val="nil"/>
              <w:bottom w:val="dotted" w:sz="4" w:space="0" w:color="auto"/>
              <w:right w:val="dotted" w:sz="4" w:space="0" w:color="auto"/>
            </w:tcBorders>
            <w:shd w:val="clear" w:color="000000" w:fill="FFFFFF"/>
            <w:vAlign w:val="center"/>
            <w:hideMark/>
          </w:tcPr>
          <w:p w14:paraId="34F517AD"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3,4</w:t>
            </w:r>
          </w:p>
        </w:tc>
        <w:tc>
          <w:tcPr>
            <w:tcW w:w="1446" w:type="dxa"/>
            <w:tcBorders>
              <w:top w:val="nil"/>
              <w:left w:val="nil"/>
              <w:bottom w:val="dotted" w:sz="4" w:space="0" w:color="auto"/>
              <w:right w:val="dotted" w:sz="4" w:space="0" w:color="auto"/>
            </w:tcBorders>
            <w:shd w:val="clear" w:color="000000" w:fill="FFFFFF"/>
            <w:vAlign w:val="center"/>
            <w:hideMark/>
          </w:tcPr>
          <w:p w14:paraId="399A11E1"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3,8</w:t>
            </w:r>
          </w:p>
        </w:tc>
        <w:tc>
          <w:tcPr>
            <w:tcW w:w="1446" w:type="dxa"/>
            <w:tcBorders>
              <w:top w:val="nil"/>
              <w:left w:val="nil"/>
              <w:bottom w:val="dotted" w:sz="4" w:space="0" w:color="auto"/>
              <w:right w:val="dotted" w:sz="4" w:space="0" w:color="auto"/>
            </w:tcBorders>
            <w:shd w:val="clear" w:color="000000" w:fill="FFFFFF"/>
            <w:vAlign w:val="center"/>
            <w:hideMark/>
          </w:tcPr>
          <w:p w14:paraId="66ACB566"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4,2</w:t>
            </w:r>
          </w:p>
        </w:tc>
        <w:tc>
          <w:tcPr>
            <w:tcW w:w="1446" w:type="dxa"/>
            <w:tcBorders>
              <w:top w:val="nil"/>
              <w:left w:val="nil"/>
              <w:bottom w:val="dotted" w:sz="4" w:space="0" w:color="auto"/>
              <w:right w:val="dotted" w:sz="4" w:space="0" w:color="auto"/>
            </w:tcBorders>
            <w:shd w:val="clear" w:color="000000" w:fill="FFFFFF"/>
            <w:vAlign w:val="center"/>
            <w:hideMark/>
          </w:tcPr>
          <w:p w14:paraId="0AB7E552"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4,2</w:t>
            </w:r>
          </w:p>
        </w:tc>
        <w:tc>
          <w:tcPr>
            <w:tcW w:w="1446" w:type="dxa"/>
            <w:tcBorders>
              <w:top w:val="nil"/>
              <w:left w:val="nil"/>
              <w:bottom w:val="dotted" w:sz="4" w:space="0" w:color="auto"/>
              <w:right w:val="double" w:sz="6" w:space="0" w:color="000000"/>
            </w:tcBorders>
            <w:shd w:val="clear" w:color="000000" w:fill="FFFFFF"/>
            <w:vAlign w:val="center"/>
            <w:hideMark/>
          </w:tcPr>
          <w:p w14:paraId="4BE53768"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4,2</w:t>
            </w:r>
          </w:p>
        </w:tc>
      </w:tr>
      <w:tr w:rsidR="00E7647E" w:rsidRPr="00E7647E" w14:paraId="3B29BDE1" w14:textId="77777777" w:rsidTr="00E7647E">
        <w:trPr>
          <w:trHeight w:val="320"/>
        </w:trPr>
        <w:tc>
          <w:tcPr>
            <w:tcW w:w="6808" w:type="dxa"/>
            <w:tcBorders>
              <w:top w:val="nil"/>
              <w:left w:val="double" w:sz="6" w:space="0" w:color="000000"/>
              <w:bottom w:val="dotted" w:sz="4" w:space="0" w:color="auto"/>
              <w:right w:val="dotted" w:sz="4" w:space="0" w:color="auto"/>
            </w:tcBorders>
            <w:shd w:val="clear" w:color="000000" w:fill="FFFFFF"/>
            <w:vAlign w:val="center"/>
            <w:hideMark/>
          </w:tcPr>
          <w:p w14:paraId="06388AEE" w14:textId="77777777" w:rsidR="00E7647E" w:rsidRPr="00E7647E" w:rsidRDefault="00E7647E" w:rsidP="00E7647E">
            <w:pPr>
              <w:spacing w:after="0"/>
              <w:jc w:val="left"/>
              <w:rPr>
                <w:rFonts w:eastAsia="Times New Roman" w:cs="Times New Roman"/>
                <w:sz w:val="20"/>
                <w:szCs w:val="20"/>
              </w:rPr>
            </w:pPr>
            <w:r w:rsidRPr="00E7647E">
              <w:rPr>
                <w:rFonts w:eastAsia="Times New Roman" w:cs="Times New Roman"/>
                <w:sz w:val="20"/>
                <w:szCs w:val="20"/>
              </w:rPr>
              <w:t>10. Social protection</w:t>
            </w:r>
          </w:p>
        </w:tc>
        <w:tc>
          <w:tcPr>
            <w:tcW w:w="1446" w:type="dxa"/>
            <w:tcBorders>
              <w:top w:val="nil"/>
              <w:left w:val="nil"/>
              <w:bottom w:val="dotted" w:sz="4" w:space="0" w:color="auto"/>
              <w:right w:val="single" w:sz="8" w:space="0" w:color="auto"/>
            </w:tcBorders>
            <w:shd w:val="clear" w:color="000000" w:fill="FFFFFF"/>
            <w:vAlign w:val="center"/>
            <w:hideMark/>
          </w:tcPr>
          <w:p w14:paraId="42367BAA"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10</w:t>
            </w:r>
          </w:p>
        </w:tc>
        <w:tc>
          <w:tcPr>
            <w:tcW w:w="1446" w:type="dxa"/>
            <w:tcBorders>
              <w:top w:val="nil"/>
              <w:left w:val="nil"/>
              <w:bottom w:val="dotted" w:sz="4" w:space="0" w:color="auto"/>
              <w:right w:val="dotted" w:sz="4" w:space="0" w:color="auto"/>
            </w:tcBorders>
            <w:shd w:val="clear" w:color="000000" w:fill="FFFFFF"/>
            <w:vAlign w:val="center"/>
            <w:hideMark/>
          </w:tcPr>
          <w:p w14:paraId="3F33133B"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12,2</w:t>
            </w:r>
          </w:p>
        </w:tc>
        <w:tc>
          <w:tcPr>
            <w:tcW w:w="1446" w:type="dxa"/>
            <w:tcBorders>
              <w:top w:val="nil"/>
              <w:left w:val="nil"/>
              <w:bottom w:val="dotted" w:sz="4" w:space="0" w:color="auto"/>
              <w:right w:val="dotted" w:sz="4" w:space="0" w:color="auto"/>
            </w:tcBorders>
            <w:shd w:val="clear" w:color="000000" w:fill="FFFFFF"/>
            <w:vAlign w:val="center"/>
            <w:hideMark/>
          </w:tcPr>
          <w:p w14:paraId="25759C8C"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13,0</w:t>
            </w:r>
          </w:p>
        </w:tc>
        <w:tc>
          <w:tcPr>
            <w:tcW w:w="1446" w:type="dxa"/>
            <w:tcBorders>
              <w:top w:val="nil"/>
              <w:left w:val="nil"/>
              <w:bottom w:val="dotted" w:sz="4" w:space="0" w:color="auto"/>
              <w:right w:val="dotted" w:sz="4" w:space="0" w:color="auto"/>
            </w:tcBorders>
            <w:shd w:val="clear" w:color="000000" w:fill="FFFFFF"/>
            <w:vAlign w:val="center"/>
            <w:hideMark/>
          </w:tcPr>
          <w:p w14:paraId="2C035FBB"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13,3</w:t>
            </w:r>
          </w:p>
        </w:tc>
        <w:tc>
          <w:tcPr>
            <w:tcW w:w="1446" w:type="dxa"/>
            <w:tcBorders>
              <w:top w:val="nil"/>
              <w:left w:val="nil"/>
              <w:bottom w:val="dotted" w:sz="4" w:space="0" w:color="auto"/>
              <w:right w:val="dotted" w:sz="4" w:space="0" w:color="auto"/>
            </w:tcBorders>
            <w:shd w:val="clear" w:color="000000" w:fill="FFFFFF"/>
            <w:vAlign w:val="center"/>
            <w:hideMark/>
          </w:tcPr>
          <w:p w14:paraId="187C5D9B"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13,4</w:t>
            </w:r>
          </w:p>
        </w:tc>
        <w:tc>
          <w:tcPr>
            <w:tcW w:w="1446" w:type="dxa"/>
            <w:tcBorders>
              <w:top w:val="nil"/>
              <w:left w:val="nil"/>
              <w:bottom w:val="dotted" w:sz="4" w:space="0" w:color="auto"/>
              <w:right w:val="double" w:sz="6" w:space="0" w:color="000000"/>
            </w:tcBorders>
            <w:shd w:val="clear" w:color="000000" w:fill="FFFFFF"/>
            <w:vAlign w:val="center"/>
            <w:hideMark/>
          </w:tcPr>
          <w:p w14:paraId="761FC086"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13,2</w:t>
            </w:r>
          </w:p>
        </w:tc>
      </w:tr>
      <w:tr w:rsidR="00E7647E" w:rsidRPr="00E7647E" w14:paraId="1822C2A0" w14:textId="77777777" w:rsidTr="00E7647E">
        <w:trPr>
          <w:trHeight w:val="320"/>
        </w:trPr>
        <w:tc>
          <w:tcPr>
            <w:tcW w:w="6808" w:type="dxa"/>
            <w:tcBorders>
              <w:top w:val="nil"/>
              <w:left w:val="double" w:sz="6" w:space="0" w:color="000000"/>
              <w:bottom w:val="double" w:sz="6" w:space="0" w:color="000000"/>
              <w:right w:val="dotted" w:sz="4" w:space="0" w:color="auto"/>
            </w:tcBorders>
            <w:shd w:val="clear" w:color="000000" w:fill="FFFFFF"/>
            <w:vAlign w:val="center"/>
            <w:hideMark/>
          </w:tcPr>
          <w:p w14:paraId="4B663B7A" w14:textId="77777777" w:rsidR="00E7647E" w:rsidRPr="00E7647E" w:rsidRDefault="00E7647E" w:rsidP="00E7647E">
            <w:pPr>
              <w:spacing w:after="0"/>
              <w:jc w:val="left"/>
              <w:rPr>
                <w:rFonts w:eastAsia="Times New Roman" w:cs="Times New Roman"/>
                <w:sz w:val="20"/>
                <w:szCs w:val="20"/>
              </w:rPr>
            </w:pPr>
            <w:r w:rsidRPr="00E7647E">
              <w:rPr>
                <w:rFonts w:eastAsia="Times New Roman" w:cs="Times New Roman"/>
                <w:sz w:val="20"/>
                <w:szCs w:val="20"/>
              </w:rPr>
              <w:t>11. Total expenditure (item 7 = 23 in Table 2)</w:t>
            </w:r>
          </w:p>
        </w:tc>
        <w:tc>
          <w:tcPr>
            <w:tcW w:w="1446" w:type="dxa"/>
            <w:tcBorders>
              <w:top w:val="nil"/>
              <w:left w:val="nil"/>
              <w:bottom w:val="double" w:sz="6" w:space="0" w:color="000000"/>
              <w:right w:val="single" w:sz="8" w:space="0" w:color="auto"/>
            </w:tcBorders>
            <w:shd w:val="clear" w:color="000000" w:fill="FFFFFF"/>
            <w:vAlign w:val="center"/>
            <w:hideMark/>
          </w:tcPr>
          <w:p w14:paraId="2C048FE3"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TE</w:t>
            </w:r>
          </w:p>
        </w:tc>
        <w:tc>
          <w:tcPr>
            <w:tcW w:w="1446" w:type="dxa"/>
            <w:tcBorders>
              <w:top w:val="nil"/>
              <w:left w:val="nil"/>
              <w:bottom w:val="double" w:sz="6" w:space="0" w:color="000000"/>
              <w:right w:val="dotted" w:sz="4" w:space="0" w:color="auto"/>
            </w:tcBorders>
            <w:shd w:val="clear" w:color="000000" w:fill="FFFFFF"/>
            <w:vAlign w:val="center"/>
            <w:hideMark/>
          </w:tcPr>
          <w:p w14:paraId="4610C5C4"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41,4</w:t>
            </w:r>
          </w:p>
        </w:tc>
        <w:tc>
          <w:tcPr>
            <w:tcW w:w="1446" w:type="dxa"/>
            <w:tcBorders>
              <w:top w:val="nil"/>
              <w:left w:val="nil"/>
              <w:bottom w:val="double" w:sz="6" w:space="0" w:color="000000"/>
              <w:right w:val="dotted" w:sz="4" w:space="0" w:color="auto"/>
            </w:tcBorders>
            <w:shd w:val="clear" w:color="000000" w:fill="FFFFFF"/>
            <w:vAlign w:val="center"/>
            <w:hideMark/>
          </w:tcPr>
          <w:p w14:paraId="0C7FC2ED"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43,6</w:t>
            </w:r>
          </w:p>
        </w:tc>
        <w:tc>
          <w:tcPr>
            <w:tcW w:w="1446" w:type="dxa"/>
            <w:tcBorders>
              <w:top w:val="nil"/>
              <w:left w:val="nil"/>
              <w:bottom w:val="double" w:sz="6" w:space="0" w:color="000000"/>
              <w:right w:val="dotted" w:sz="4" w:space="0" w:color="auto"/>
            </w:tcBorders>
            <w:shd w:val="clear" w:color="000000" w:fill="FFFFFF"/>
            <w:vAlign w:val="center"/>
            <w:hideMark/>
          </w:tcPr>
          <w:p w14:paraId="1C65C5F5"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44,3</w:t>
            </w:r>
          </w:p>
        </w:tc>
        <w:tc>
          <w:tcPr>
            <w:tcW w:w="1446" w:type="dxa"/>
            <w:tcBorders>
              <w:top w:val="nil"/>
              <w:left w:val="nil"/>
              <w:bottom w:val="double" w:sz="6" w:space="0" w:color="000000"/>
              <w:right w:val="dotted" w:sz="4" w:space="0" w:color="auto"/>
            </w:tcBorders>
            <w:shd w:val="clear" w:color="000000" w:fill="FFFFFF"/>
            <w:vAlign w:val="center"/>
            <w:hideMark/>
          </w:tcPr>
          <w:p w14:paraId="076802E7"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43,9</w:t>
            </w:r>
          </w:p>
        </w:tc>
        <w:tc>
          <w:tcPr>
            <w:tcW w:w="1446" w:type="dxa"/>
            <w:tcBorders>
              <w:top w:val="nil"/>
              <w:left w:val="nil"/>
              <w:bottom w:val="double" w:sz="6" w:space="0" w:color="000000"/>
              <w:right w:val="double" w:sz="6" w:space="0" w:color="000000"/>
            </w:tcBorders>
            <w:shd w:val="clear" w:color="000000" w:fill="FFFFFF"/>
            <w:vAlign w:val="center"/>
            <w:hideMark/>
          </w:tcPr>
          <w:p w14:paraId="3C44028D" w14:textId="77777777" w:rsidR="00E7647E" w:rsidRPr="00E7647E" w:rsidRDefault="00E7647E" w:rsidP="00E7647E">
            <w:pPr>
              <w:spacing w:after="0"/>
              <w:jc w:val="center"/>
              <w:rPr>
                <w:rFonts w:eastAsia="Times New Roman" w:cs="Times New Roman"/>
                <w:sz w:val="20"/>
                <w:szCs w:val="20"/>
              </w:rPr>
            </w:pPr>
            <w:r w:rsidRPr="00E7647E">
              <w:rPr>
                <w:rFonts w:eastAsia="Times New Roman" w:cs="Times New Roman"/>
                <w:sz w:val="20"/>
                <w:szCs w:val="20"/>
              </w:rPr>
              <w:t>43,5</w:t>
            </w:r>
          </w:p>
        </w:tc>
      </w:tr>
    </w:tbl>
    <w:p w14:paraId="4A0F92B1" w14:textId="527B6CB0" w:rsidR="002076A6" w:rsidRPr="002076A6" w:rsidRDefault="00E7647E" w:rsidP="002076A6">
      <w:pPr>
        <w:spacing w:after="0"/>
        <w:jc w:val="left"/>
        <w:rPr>
          <w:rFonts w:eastAsia="Times New Roman" w:cs="Times New Roman"/>
          <w:bCs/>
          <w:szCs w:val="24"/>
        </w:rPr>
      </w:pPr>
      <w:r>
        <w:rPr>
          <w:szCs w:val="24"/>
        </w:rPr>
        <w:lastRenderedPageBreak/>
        <w:fldChar w:fldCharType="end"/>
      </w:r>
      <w:r w:rsidR="002076A6" w:rsidRPr="002076A6">
        <w:rPr>
          <w:rFonts w:eastAsia="Times New Roman" w:cs="Times New Roman"/>
          <w:bCs/>
          <w:szCs w:val="24"/>
        </w:rPr>
        <w:t>Table 4:  General government debt developments</w:t>
      </w:r>
    </w:p>
    <w:p w14:paraId="15A73194" w14:textId="43702E2A" w:rsidR="002076A6" w:rsidRDefault="002076A6">
      <w:pPr>
        <w:spacing w:after="160" w:line="259" w:lineRule="auto"/>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data!R207C2:R218C9 </w:instrText>
      </w:r>
      <w:r>
        <w:instrText xml:space="preserve">\a \f 4 \h </w:instrText>
      </w:r>
      <w:r w:rsidR="00FD4733">
        <w:instrText xml:space="preserve"> \* MERGEFORMAT </w:instrText>
      </w:r>
      <w:r>
        <w:fldChar w:fldCharType="separate"/>
      </w:r>
    </w:p>
    <w:tbl>
      <w:tblPr>
        <w:tblW w:w="15337" w:type="dxa"/>
        <w:tblLook w:val="04A0" w:firstRow="1" w:lastRow="0" w:firstColumn="1" w:lastColumn="0" w:noHBand="0" w:noVBand="1"/>
      </w:tblPr>
      <w:tblGrid>
        <w:gridCol w:w="5581"/>
        <w:gridCol w:w="1385"/>
        <w:gridCol w:w="1443"/>
        <w:gridCol w:w="1328"/>
        <w:gridCol w:w="1385"/>
        <w:gridCol w:w="1405"/>
        <w:gridCol w:w="1405"/>
        <w:gridCol w:w="1405"/>
      </w:tblGrid>
      <w:tr w:rsidR="002076A6" w:rsidRPr="002076A6" w14:paraId="0019D9FE" w14:textId="77777777" w:rsidTr="00FD4733">
        <w:trPr>
          <w:trHeight w:val="276"/>
        </w:trPr>
        <w:tc>
          <w:tcPr>
            <w:tcW w:w="5581" w:type="dxa"/>
            <w:tcBorders>
              <w:top w:val="double" w:sz="6" w:space="0" w:color="auto"/>
              <w:left w:val="double" w:sz="6" w:space="0" w:color="auto"/>
              <w:bottom w:val="double" w:sz="6" w:space="0" w:color="auto"/>
              <w:right w:val="nil"/>
            </w:tcBorders>
            <w:shd w:val="clear" w:color="auto" w:fill="auto"/>
            <w:noWrap/>
            <w:vAlign w:val="center"/>
            <w:hideMark/>
          </w:tcPr>
          <w:p w14:paraId="0FC84F7A" w14:textId="30574C1C" w:rsidR="002076A6" w:rsidRPr="002076A6" w:rsidRDefault="002076A6" w:rsidP="002076A6">
            <w:pPr>
              <w:spacing w:after="0"/>
              <w:jc w:val="left"/>
              <w:rPr>
                <w:rFonts w:eastAsia="Times New Roman" w:cs="Times New Roman"/>
                <w:b/>
                <w:bCs/>
                <w:sz w:val="20"/>
                <w:szCs w:val="20"/>
              </w:rPr>
            </w:pPr>
            <w:r w:rsidRPr="002076A6">
              <w:rPr>
                <w:rFonts w:eastAsia="Times New Roman" w:cs="Times New Roman"/>
                <w:b/>
                <w:bCs/>
                <w:sz w:val="20"/>
                <w:szCs w:val="20"/>
              </w:rPr>
              <w:t>General government debt developments</w:t>
            </w:r>
          </w:p>
        </w:tc>
        <w:tc>
          <w:tcPr>
            <w:tcW w:w="1385"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129DB7B7" w14:textId="77777777" w:rsidR="002076A6" w:rsidRPr="002076A6" w:rsidRDefault="002076A6" w:rsidP="002076A6">
            <w:pPr>
              <w:spacing w:after="0"/>
              <w:jc w:val="center"/>
              <w:rPr>
                <w:rFonts w:eastAsia="Times New Roman" w:cs="Times New Roman"/>
                <w:sz w:val="20"/>
                <w:szCs w:val="20"/>
              </w:rPr>
            </w:pPr>
            <w:r w:rsidRPr="002076A6">
              <w:rPr>
                <w:rFonts w:eastAsia="Times New Roman" w:cs="Times New Roman"/>
                <w:sz w:val="20"/>
                <w:szCs w:val="20"/>
              </w:rPr>
              <w:t> </w:t>
            </w:r>
          </w:p>
        </w:tc>
        <w:tc>
          <w:tcPr>
            <w:tcW w:w="1443" w:type="dxa"/>
            <w:tcBorders>
              <w:top w:val="double" w:sz="6" w:space="0" w:color="auto"/>
              <w:left w:val="nil"/>
              <w:bottom w:val="double" w:sz="6" w:space="0" w:color="auto"/>
              <w:right w:val="dashed" w:sz="4" w:space="0" w:color="auto"/>
            </w:tcBorders>
            <w:shd w:val="clear" w:color="auto" w:fill="auto"/>
            <w:noWrap/>
            <w:vAlign w:val="center"/>
            <w:hideMark/>
          </w:tcPr>
          <w:p w14:paraId="479DAA64"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2022</w:t>
            </w:r>
          </w:p>
        </w:tc>
        <w:tc>
          <w:tcPr>
            <w:tcW w:w="1328" w:type="dxa"/>
            <w:tcBorders>
              <w:top w:val="double" w:sz="6" w:space="0" w:color="auto"/>
              <w:left w:val="nil"/>
              <w:bottom w:val="double" w:sz="6" w:space="0" w:color="auto"/>
              <w:right w:val="dashed" w:sz="4" w:space="0" w:color="auto"/>
            </w:tcBorders>
            <w:shd w:val="clear" w:color="auto" w:fill="auto"/>
            <w:noWrap/>
            <w:vAlign w:val="center"/>
            <w:hideMark/>
          </w:tcPr>
          <w:p w14:paraId="069EA00A"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2023</w:t>
            </w:r>
          </w:p>
        </w:tc>
        <w:tc>
          <w:tcPr>
            <w:tcW w:w="1385" w:type="dxa"/>
            <w:tcBorders>
              <w:top w:val="double" w:sz="6" w:space="0" w:color="auto"/>
              <w:left w:val="nil"/>
              <w:bottom w:val="double" w:sz="6" w:space="0" w:color="auto"/>
              <w:right w:val="dashed" w:sz="4" w:space="0" w:color="auto"/>
            </w:tcBorders>
            <w:shd w:val="clear" w:color="auto" w:fill="auto"/>
            <w:noWrap/>
            <w:vAlign w:val="center"/>
            <w:hideMark/>
          </w:tcPr>
          <w:p w14:paraId="0E6E4DB8"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2024</w:t>
            </w:r>
          </w:p>
        </w:tc>
        <w:tc>
          <w:tcPr>
            <w:tcW w:w="1405" w:type="dxa"/>
            <w:tcBorders>
              <w:top w:val="double" w:sz="6" w:space="0" w:color="auto"/>
              <w:left w:val="nil"/>
              <w:bottom w:val="double" w:sz="6" w:space="0" w:color="auto"/>
              <w:right w:val="dashed" w:sz="4" w:space="0" w:color="auto"/>
            </w:tcBorders>
            <w:shd w:val="clear" w:color="auto" w:fill="auto"/>
            <w:noWrap/>
            <w:vAlign w:val="center"/>
            <w:hideMark/>
          </w:tcPr>
          <w:p w14:paraId="38A83428"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2025</w:t>
            </w:r>
          </w:p>
        </w:tc>
        <w:tc>
          <w:tcPr>
            <w:tcW w:w="1405" w:type="dxa"/>
            <w:tcBorders>
              <w:top w:val="double" w:sz="6" w:space="0" w:color="auto"/>
              <w:left w:val="nil"/>
              <w:bottom w:val="double" w:sz="6" w:space="0" w:color="auto"/>
              <w:right w:val="dashed" w:sz="4" w:space="0" w:color="auto"/>
            </w:tcBorders>
            <w:shd w:val="clear" w:color="auto" w:fill="auto"/>
            <w:noWrap/>
            <w:vAlign w:val="center"/>
            <w:hideMark/>
          </w:tcPr>
          <w:p w14:paraId="27E5B1BB"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2026</w:t>
            </w:r>
          </w:p>
        </w:tc>
        <w:tc>
          <w:tcPr>
            <w:tcW w:w="1405" w:type="dxa"/>
            <w:tcBorders>
              <w:top w:val="double" w:sz="6" w:space="0" w:color="auto"/>
              <w:left w:val="nil"/>
              <w:bottom w:val="double" w:sz="6" w:space="0" w:color="auto"/>
              <w:right w:val="double" w:sz="6" w:space="0" w:color="auto"/>
            </w:tcBorders>
            <w:shd w:val="clear" w:color="auto" w:fill="auto"/>
            <w:noWrap/>
            <w:vAlign w:val="center"/>
            <w:hideMark/>
          </w:tcPr>
          <w:p w14:paraId="31E02C8D"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2027</w:t>
            </w:r>
          </w:p>
        </w:tc>
      </w:tr>
      <w:tr w:rsidR="002076A6" w:rsidRPr="002076A6" w14:paraId="73C45CCA" w14:textId="77777777" w:rsidTr="00FD4733">
        <w:trPr>
          <w:trHeight w:val="276"/>
        </w:trPr>
        <w:tc>
          <w:tcPr>
            <w:tcW w:w="5581" w:type="dxa"/>
            <w:tcBorders>
              <w:top w:val="nil"/>
              <w:left w:val="double" w:sz="6" w:space="0" w:color="auto"/>
              <w:bottom w:val="single" w:sz="8" w:space="0" w:color="auto"/>
              <w:right w:val="single" w:sz="8" w:space="0" w:color="auto"/>
            </w:tcBorders>
            <w:shd w:val="clear" w:color="auto" w:fill="auto"/>
            <w:noWrap/>
            <w:vAlign w:val="bottom"/>
            <w:hideMark/>
          </w:tcPr>
          <w:p w14:paraId="7ACCA4A9" w14:textId="4A25AED7" w:rsidR="002076A6" w:rsidRPr="002076A6" w:rsidRDefault="00602766" w:rsidP="002076A6">
            <w:pPr>
              <w:spacing w:after="0"/>
              <w:jc w:val="left"/>
              <w:rPr>
                <w:rFonts w:eastAsia="Times New Roman" w:cs="Times New Roman"/>
                <w:sz w:val="20"/>
                <w:szCs w:val="20"/>
              </w:rPr>
            </w:pPr>
            <w:hyperlink r:id="rId44" w:anchor="RANGE!B175" w:history="1">
              <w:r w:rsidR="002076A6" w:rsidRPr="002076A6">
                <w:rPr>
                  <w:rFonts w:eastAsia="Times New Roman" w:cs="Times New Roman"/>
                  <w:sz w:val="20"/>
                  <w:szCs w:val="20"/>
                </w:rPr>
                <w:t>Gross debt [1]</w:t>
              </w:r>
            </w:hyperlink>
          </w:p>
        </w:tc>
        <w:tc>
          <w:tcPr>
            <w:tcW w:w="1385" w:type="dxa"/>
            <w:tcBorders>
              <w:top w:val="nil"/>
              <w:left w:val="nil"/>
              <w:bottom w:val="single" w:sz="8" w:space="0" w:color="auto"/>
              <w:right w:val="single" w:sz="8" w:space="0" w:color="auto"/>
            </w:tcBorders>
            <w:shd w:val="clear" w:color="auto" w:fill="auto"/>
            <w:vAlign w:val="center"/>
            <w:hideMark/>
          </w:tcPr>
          <w:p w14:paraId="17D5DADD" w14:textId="77777777" w:rsidR="002076A6" w:rsidRPr="002076A6" w:rsidRDefault="002076A6" w:rsidP="002076A6">
            <w:pPr>
              <w:spacing w:after="0"/>
              <w:jc w:val="center"/>
              <w:rPr>
                <w:rFonts w:eastAsia="Times New Roman" w:cs="Times New Roman"/>
                <w:sz w:val="20"/>
                <w:szCs w:val="20"/>
              </w:rPr>
            </w:pPr>
            <w:r w:rsidRPr="002076A6">
              <w:rPr>
                <w:rFonts w:eastAsia="Times New Roman" w:cs="Times New Roman"/>
                <w:sz w:val="20"/>
                <w:szCs w:val="20"/>
              </w:rPr>
              <w:t>bn NCU</w:t>
            </w:r>
          </w:p>
        </w:tc>
        <w:tc>
          <w:tcPr>
            <w:tcW w:w="1443" w:type="dxa"/>
            <w:tcBorders>
              <w:top w:val="nil"/>
              <w:left w:val="nil"/>
              <w:bottom w:val="single" w:sz="8" w:space="0" w:color="auto"/>
              <w:right w:val="dotted" w:sz="4" w:space="0" w:color="auto"/>
            </w:tcBorders>
            <w:shd w:val="clear" w:color="auto" w:fill="auto"/>
            <w:vAlign w:val="center"/>
            <w:hideMark/>
          </w:tcPr>
          <w:p w14:paraId="023A0DF5" w14:textId="77777777" w:rsidR="002076A6" w:rsidRPr="002076A6" w:rsidRDefault="002076A6" w:rsidP="002076A6">
            <w:pPr>
              <w:spacing w:after="0"/>
              <w:jc w:val="right"/>
              <w:rPr>
                <w:rFonts w:ascii="Courier New" w:eastAsia="Times New Roman" w:hAnsi="Courier New" w:cs="Courier New"/>
                <w:sz w:val="16"/>
                <w:szCs w:val="16"/>
              </w:rPr>
            </w:pPr>
            <w:r w:rsidRPr="002076A6">
              <w:rPr>
                <w:rFonts w:ascii="Courier New" w:eastAsia="Times New Roman" w:hAnsi="Courier New" w:cs="Courier New"/>
                <w:sz w:val="16"/>
                <w:szCs w:val="16"/>
              </w:rPr>
              <w:t>3.945,8</w:t>
            </w:r>
          </w:p>
        </w:tc>
        <w:tc>
          <w:tcPr>
            <w:tcW w:w="1328" w:type="dxa"/>
            <w:tcBorders>
              <w:top w:val="nil"/>
              <w:left w:val="nil"/>
              <w:bottom w:val="single" w:sz="8" w:space="0" w:color="auto"/>
              <w:right w:val="dotted" w:sz="4" w:space="0" w:color="auto"/>
            </w:tcBorders>
            <w:shd w:val="clear" w:color="auto" w:fill="auto"/>
            <w:vAlign w:val="center"/>
            <w:hideMark/>
          </w:tcPr>
          <w:p w14:paraId="08360FED" w14:textId="77777777" w:rsidR="002076A6" w:rsidRPr="002076A6" w:rsidRDefault="002076A6" w:rsidP="002076A6">
            <w:pPr>
              <w:spacing w:after="0"/>
              <w:jc w:val="right"/>
              <w:rPr>
                <w:rFonts w:ascii="Courier New" w:eastAsia="Times New Roman" w:hAnsi="Courier New" w:cs="Courier New"/>
                <w:sz w:val="16"/>
                <w:szCs w:val="16"/>
              </w:rPr>
            </w:pPr>
            <w:r w:rsidRPr="002076A6">
              <w:rPr>
                <w:rFonts w:ascii="Courier New" w:eastAsia="Times New Roman" w:hAnsi="Courier New" w:cs="Courier New"/>
                <w:sz w:val="16"/>
                <w:szCs w:val="16"/>
              </w:rPr>
              <w:t>4.266,6</w:t>
            </w:r>
          </w:p>
        </w:tc>
        <w:tc>
          <w:tcPr>
            <w:tcW w:w="1385" w:type="dxa"/>
            <w:tcBorders>
              <w:top w:val="nil"/>
              <w:left w:val="nil"/>
              <w:bottom w:val="single" w:sz="8" w:space="0" w:color="auto"/>
              <w:right w:val="dotted" w:sz="4" w:space="0" w:color="auto"/>
            </w:tcBorders>
            <w:shd w:val="clear" w:color="auto" w:fill="auto"/>
            <w:vAlign w:val="center"/>
            <w:hideMark/>
          </w:tcPr>
          <w:p w14:paraId="1D0DB91D" w14:textId="77777777" w:rsidR="002076A6" w:rsidRPr="002076A6" w:rsidRDefault="002076A6" w:rsidP="002076A6">
            <w:pPr>
              <w:spacing w:after="0"/>
              <w:jc w:val="right"/>
              <w:rPr>
                <w:rFonts w:ascii="Courier New" w:eastAsia="Times New Roman" w:hAnsi="Courier New" w:cs="Courier New"/>
                <w:sz w:val="16"/>
                <w:szCs w:val="16"/>
              </w:rPr>
            </w:pPr>
            <w:r w:rsidRPr="002076A6">
              <w:rPr>
                <w:rFonts w:ascii="Courier New" w:eastAsia="Times New Roman" w:hAnsi="Courier New" w:cs="Courier New"/>
                <w:sz w:val="16"/>
                <w:szCs w:val="16"/>
              </w:rPr>
              <w:t>4.596,8</w:t>
            </w:r>
          </w:p>
        </w:tc>
        <w:tc>
          <w:tcPr>
            <w:tcW w:w="1405" w:type="dxa"/>
            <w:tcBorders>
              <w:top w:val="nil"/>
              <w:left w:val="nil"/>
              <w:bottom w:val="single" w:sz="8" w:space="0" w:color="auto"/>
              <w:right w:val="dotted" w:sz="4" w:space="0" w:color="auto"/>
            </w:tcBorders>
            <w:shd w:val="clear" w:color="auto" w:fill="auto"/>
            <w:vAlign w:val="center"/>
            <w:hideMark/>
          </w:tcPr>
          <w:p w14:paraId="328358FB" w14:textId="77777777" w:rsidR="002076A6" w:rsidRPr="002076A6" w:rsidRDefault="002076A6" w:rsidP="002076A6">
            <w:pPr>
              <w:spacing w:after="0"/>
              <w:jc w:val="right"/>
              <w:rPr>
                <w:rFonts w:ascii="Courier New" w:eastAsia="Times New Roman" w:hAnsi="Courier New" w:cs="Courier New"/>
                <w:sz w:val="16"/>
                <w:szCs w:val="16"/>
              </w:rPr>
            </w:pPr>
            <w:r w:rsidRPr="002076A6">
              <w:rPr>
                <w:rFonts w:ascii="Courier New" w:eastAsia="Times New Roman" w:hAnsi="Courier New" w:cs="Courier New"/>
                <w:sz w:val="16"/>
                <w:szCs w:val="16"/>
              </w:rPr>
              <w:t>4.906,0</w:t>
            </w:r>
          </w:p>
        </w:tc>
        <w:tc>
          <w:tcPr>
            <w:tcW w:w="1405" w:type="dxa"/>
            <w:tcBorders>
              <w:top w:val="nil"/>
              <w:left w:val="nil"/>
              <w:bottom w:val="single" w:sz="8" w:space="0" w:color="auto"/>
              <w:right w:val="dotted" w:sz="4" w:space="0" w:color="auto"/>
            </w:tcBorders>
            <w:shd w:val="clear" w:color="auto" w:fill="auto"/>
            <w:vAlign w:val="center"/>
            <w:hideMark/>
          </w:tcPr>
          <w:p w14:paraId="73F95C66" w14:textId="77777777" w:rsidR="002076A6" w:rsidRPr="002076A6" w:rsidRDefault="002076A6" w:rsidP="002076A6">
            <w:pPr>
              <w:spacing w:after="0"/>
              <w:jc w:val="right"/>
              <w:rPr>
                <w:rFonts w:ascii="Courier New" w:eastAsia="Times New Roman" w:hAnsi="Courier New" w:cs="Courier New"/>
                <w:sz w:val="16"/>
                <w:szCs w:val="16"/>
              </w:rPr>
            </w:pPr>
            <w:r w:rsidRPr="002076A6">
              <w:rPr>
                <w:rFonts w:ascii="Courier New" w:eastAsia="Times New Roman" w:hAnsi="Courier New" w:cs="Courier New"/>
                <w:sz w:val="16"/>
                <w:szCs w:val="16"/>
              </w:rPr>
              <w:t>5.206,8</w:t>
            </w:r>
          </w:p>
        </w:tc>
        <w:tc>
          <w:tcPr>
            <w:tcW w:w="1405" w:type="dxa"/>
            <w:tcBorders>
              <w:top w:val="nil"/>
              <w:left w:val="nil"/>
              <w:bottom w:val="single" w:sz="8" w:space="0" w:color="auto"/>
              <w:right w:val="double" w:sz="6" w:space="0" w:color="auto"/>
            </w:tcBorders>
            <w:shd w:val="clear" w:color="auto" w:fill="auto"/>
            <w:noWrap/>
            <w:vAlign w:val="bottom"/>
            <w:hideMark/>
          </w:tcPr>
          <w:p w14:paraId="405ABAFD" w14:textId="77777777" w:rsidR="002076A6" w:rsidRPr="002076A6" w:rsidRDefault="002076A6" w:rsidP="002076A6">
            <w:pPr>
              <w:spacing w:after="0"/>
              <w:jc w:val="right"/>
              <w:rPr>
                <w:rFonts w:ascii="Courier New" w:eastAsia="Times New Roman" w:hAnsi="Courier New" w:cs="Courier New"/>
                <w:sz w:val="16"/>
                <w:szCs w:val="16"/>
              </w:rPr>
            </w:pPr>
            <w:r w:rsidRPr="002076A6">
              <w:rPr>
                <w:rFonts w:ascii="Courier New" w:eastAsia="Times New Roman" w:hAnsi="Courier New" w:cs="Courier New"/>
                <w:sz w:val="16"/>
                <w:szCs w:val="16"/>
              </w:rPr>
              <w:t>5.581,5</w:t>
            </w:r>
          </w:p>
        </w:tc>
      </w:tr>
      <w:tr w:rsidR="002076A6" w:rsidRPr="002076A6" w14:paraId="31DB481E" w14:textId="77777777" w:rsidTr="00FD4733">
        <w:trPr>
          <w:trHeight w:val="259"/>
        </w:trPr>
        <w:tc>
          <w:tcPr>
            <w:tcW w:w="5581" w:type="dxa"/>
            <w:tcBorders>
              <w:top w:val="nil"/>
              <w:left w:val="double" w:sz="6" w:space="0" w:color="auto"/>
              <w:bottom w:val="single" w:sz="4" w:space="0" w:color="auto"/>
              <w:right w:val="nil"/>
            </w:tcBorders>
            <w:shd w:val="clear" w:color="auto" w:fill="auto"/>
            <w:vAlign w:val="center"/>
            <w:hideMark/>
          </w:tcPr>
          <w:p w14:paraId="4F28AC44" w14:textId="77777777" w:rsidR="002076A6" w:rsidRPr="002076A6" w:rsidRDefault="002076A6" w:rsidP="002076A6">
            <w:pPr>
              <w:spacing w:after="0"/>
              <w:jc w:val="left"/>
              <w:rPr>
                <w:rFonts w:eastAsia="Times New Roman" w:cs="Times New Roman"/>
                <w:b/>
                <w:bCs/>
                <w:sz w:val="20"/>
                <w:szCs w:val="20"/>
              </w:rPr>
            </w:pPr>
            <w:r w:rsidRPr="002076A6">
              <w:rPr>
                <w:rFonts w:eastAsia="Times New Roman" w:cs="Times New Roman"/>
                <w:b/>
                <w:bCs/>
                <w:sz w:val="20"/>
                <w:szCs w:val="20"/>
              </w:rPr>
              <w:t>Contributions to change in gross debt</w:t>
            </w:r>
          </w:p>
        </w:tc>
        <w:tc>
          <w:tcPr>
            <w:tcW w:w="1385" w:type="dxa"/>
            <w:tcBorders>
              <w:top w:val="nil"/>
              <w:left w:val="single" w:sz="8" w:space="0" w:color="auto"/>
              <w:bottom w:val="single" w:sz="4" w:space="0" w:color="auto"/>
              <w:right w:val="single" w:sz="8" w:space="0" w:color="auto"/>
            </w:tcBorders>
            <w:shd w:val="clear" w:color="auto" w:fill="auto"/>
            <w:vAlign w:val="center"/>
            <w:hideMark/>
          </w:tcPr>
          <w:p w14:paraId="66658258" w14:textId="77777777" w:rsidR="002076A6" w:rsidRPr="002076A6" w:rsidRDefault="002076A6" w:rsidP="002076A6">
            <w:pPr>
              <w:spacing w:after="0"/>
              <w:jc w:val="center"/>
              <w:rPr>
                <w:rFonts w:eastAsia="Times New Roman" w:cs="Times New Roman"/>
                <w:b/>
                <w:bCs/>
                <w:sz w:val="20"/>
                <w:szCs w:val="20"/>
              </w:rPr>
            </w:pPr>
            <w:r w:rsidRPr="002076A6">
              <w:rPr>
                <w:rFonts w:eastAsia="Times New Roman" w:cs="Times New Roman"/>
                <w:b/>
                <w:bCs/>
                <w:sz w:val="20"/>
                <w:szCs w:val="20"/>
              </w:rPr>
              <w:t> </w:t>
            </w:r>
          </w:p>
        </w:tc>
        <w:tc>
          <w:tcPr>
            <w:tcW w:w="1443" w:type="dxa"/>
            <w:tcBorders>
              <w:top w:val="nil"/>
              <w:left w:val="nil"/>
              <w:bottom w:val="single" w:sz="4" w:space="0" w:color="auto"/>
              <w:right w:val="nil"/>
            </w:tcBorders>
            <w:shd w:val="clear" w:color="auto" w:fill="auto"/>
            <w:vAlign w:val="center"/>
            <w:hideMark/>
          </w:tcPr>
          <w:p w14:paraId="5F465B69"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 </w:t>
            </w:r>
          </w:p>
        </w:tc>
        <w:tc>
          <w:tcPr>
            <w:tcW w:w="1328" w:type="dxa"/>
            <w:tcBorders>
              <w:top w:val="nil"/>
              <w:left w:val="nil"/>
              <w:bottom w:val="single" w:sz="4" w:space="0" w:color="auto"/>
              <w:right w:val="nil"/>
            </w:tcBorders>
            <w:shd w:val="clear" w:color="auto" w:fill="auto"/>
            <w:vAlign w:val="center"/>
            <w:hideMark/>
          </w:tcPr>
          <w:p w14:paraId="292DA523"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 </w:t>
            </w:r>
          </w:p>
        </w:tc>
        <w:tc>
          <w:tcPr>
            <w:tcW w:w="1385" w:type="dxa"/>
            <w:tcBorders>
              <w:top w:val="nil"/>
              <w:left w:val="nil"/>
              <w:bottom w:val="single" w:sz="4" w:space="0" w:color="auto"/>
              <w:right w:val="nil"/>
            </w:tcBorders>
            <w:shd w:val="clear" w:color="auto" w:fill="auto"/>
            <w:vAlign w:val="center"/>
            <w:hideMark/>
          </w:tcPr>
          <w:p w14:paraId="5724E8F5"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 </w:t>
            </w:r>
          </w:p>
        </w:tc>
        <w:tc>
          <w:tcPr>
            <w:tcW w:w="1405" w:type="dxa"/>
            <w:tcBorders>
              <w:top w:val="nil"/>
              <w:left w:val="nil"/>
              <w:bottom w:val="single" w:sz="4" w:space="0" w:color="auto"/>
              <w:right w:val="nil"/>
            </w:tcBorders>
            <w:shd w:val="clear" w:color="auto" w:fill="auto"/>
            <w:vAlign w:val="center"/>
            <w:hideMark/>
          </w:tcPr>
          <w:p w14:paraId="3E09F684"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 </w:t>
            </w:r>
          </w:p>
        </w:tc>
        <w:tc>
          <w:tcPr>
            <w:tcW w:w="1405" w:type="dxa"/>
            <w:tcBorders>
              <w:top w:val="nil"/>
              <w:left w:val="nil"/>
              <w:bottom w:val="single" w:sz="4" w:space="0" w:color="auto"/>
              <w:right w:val="nil"/>
            </w:tcBorders>
            <w:shd w:val="clear" w:color="auto" w:fill="auto"/>
            <w:vAlign w:val="center"/>
            <w:hideMark/>
          </w:tcPr>
          <w:p w14:paraId="1F42F4EE"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 </w:t>
            </w:r>
          </w:p>
        </w:tc>
        <w:tc>
          <w:tcPr>
            <w:tcW w:w="1405" w:type="dxa"/>
            <w:tcBorders>
              <w:top w:val="nil"/>
              <w:left w:val="nil"/>
              <w:bottom w:val="single" w:sz="4" w:space="0" w:color="auto"/>
              <w:right w:val="double" w:sz="6" w:space="0" w:color="auto"/>
            </w:tcBorders>
            <w:shd w:val="clear" w:color="auto" w:fill="auto"/>
            <w:noWrap/>
            <w:vAlign w:val="bottom"/>
            <w:hideMark/>
          </w:tcPr>
          <w:p w14:paraId="66BB132B"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r>
      <w:tr w:rsidR="002076A6" w:rsidRPr="002076A6" w14:paraId="4D5CB19E" w14:textId="77777777" w:rsidTr="00FD4733">
        <w:trPr>
          <w:trHeight w:val="259"/>
        </w:trPr>
        <w:tc>
          <w:tcPr>
            <w:tcW w:w="5581" w:type="dxa"/>
            <w:tcBorders>
              <w:top w:val="nil"/>
              <w:left w:val="double" w:sz="6" w:space="0" w:color="auto"/>
              <w:bottom w:val="dotted" w:sz="4" w:space="0" w:color="auto"/>
              <w:right w:val="nil"/>
            </w:tcBorders>
            <w:shd w:val="clear" w:color="auto" w:fill="auto"/>
            <w:vAlign w:val="center"/>
            <w:hideMark/>
          </w:tcPr>
          <w:p w14:paraId="446A652A" w14:textId="77777777" w:rsidR="002076A6" w:rsidRPr="002076A6" w:rsidRDefault="002076A6" w:rsidP="002076A6">
            <w:pPr>
              <w:spacing w:after="0"/>
              <w:jc w:val="left"/>
              <w:rPr>
                <w:rFonts w:eastAsia="Times New Roman" w:cs="Times New Roman"/>
                <w:sz w:val="20"/>
                <w:szCs w:val="20"/>
              </w:rPr>
            </w:pPr>
            <w:r w:rsidRPr="002076A6">
              <w:rPr>
                <w:rFonts w:eastAsia="Times New Roman" w:cs="Times New Roman"/>
                <w:sz w:val="20"/>
                <w:szCs w:val="20"/>
              </w:rPr>
              <w:t>5. Stock-flow adjustment</w:t>
            </w:r>
          </w:p>
        </w:tc>
        <w:tc>
          <w:tcPr>
            <w:tcW w:w="1385" w:type="dxa"/>
            <w:tcBorders>
              <w:top w:val="nil"/>
              <w:left w:val="single" w:sz="8" w:space="0" w:color="auto"/>
              <w:bottom w:val="dotted" w:sz="4" w:space="0" w:color="auto"/>
              <w:right w:val="single" w:sz="8" w:space="0" w:color="auto"/>
            </w:tcBorders>
            <w:shd w:val="clear" w:color="auto" w:fill="auto"/>
            <w:vAlign w:val="center"/>
            <w:hideMark/>
          </w:tcPr>
          <w:p w14:paraId="40B7D3ED" w14:textId="77777777" w:rsidR="002076A6" w:rsidRPr="002076A6" w:rsidRDefault="002076A6" w:rsidP="002076A6">
            <w:pPr>
              <w:spacing w:after="0"/>
              <w:jc w:val="center"/>
              <w:rPr>
                <w:rFonts w:eastAsia="Times New Roman" w:cs="Times New Roman"/>
                <w:sz w:val="20"/>
                <w:szCs w:val="20"/>
              </w:rPr>
            </w:pPr>
            <w:r w:rsidRPr="002076A6">
              <w:rPr>
                <w:rFonts w:eastAsia="Times New Roman" w:cs="Times New Roman"/>
                <w:sz w:val="20"/>
                <w:szCs w:val="20"/>
              </w:rPr>
              <w:t>bn NCU</w:t>
            </w:r>
          </w:p>
        </w:tc>
        <w:tc>
          <w:tcPr>
            <w:tcW w:w="1443" w:type="dxa"/>
            <w:tcBorders>
              <w:top w:val="dotted" w:sz="4" w:space="0" w:color="auto"/>
              <w:left w:val="nil"/>
              <w:bottom w:val="dotted" w:sz="4" w:space="0" w:color="auto"/>
              <w:right w:val="dotted" w:sz="4" w:space="0" w:color="auto"/>
            </w:tcBorders>
            <w:shd w:val="clear" w:color="auto" w:fill="auto"/>
            <w:vAlign w:val="center"/>
            <w:hideMark/>
          </w:tcPr>
          <w:p w14:paraId="6749F281"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28" w:type="dxa"/>
            <w:tcBorders>
              <w:top w:val="dotted" w:sz="4" w:space="0" w:color="auto"/>
              <w:left w:val="nil"/>
              <w:bottom w:val="dotted" w:sz="4" w:space="0" w:color="auto"/>
              <w:right w:val="dotted" w:sz="4" w:space="0" w:color="auto"/>
            </w:tcBorders>
            <w:shd w:val="clear" w:color="auto" w:fill="auto"/>
            <w:vAlign w:val="center"/>
            <w:hideMark/>
          </w:tcPr>
          <w:p w14:paraId="1AE91CAD"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139,7</w:t>
            </w:r>
          </w:p>
        </w:tc>
        <w:tc>
          <w:tcPr>
            <w:tcW w:w="1385" w:type="dxa"/>
            <w:tcBorders>
              <w:top w:val="dotted" w:sz="4" w:space="0" w:color="auto"/>
              <w:left w:val="nil"/>
              <w:bottom w:val="dotted" w:sz="4" w:space="0" w:color="auto"/>
              <w:right w:val="dotted" w:sz="4" w:space="0" w:color="auto"/>
            </w:tcBorders>
            <w:shd w:val="clear" w:color="auto" w:fill="auto"/>
            <w:vAlign w:val="center"/>
            <w:hideMark/>
          </w:tcPr>
          <w:p w14:paraId="7BFDDC34"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67,2</w:t>
            </w:r>
          </w:p>
        </w:tc>
        <w:tc>
          <w:tcPr>
            <w:tcW w:w="1405" w:type="dxa"/>
            <w:tcBorders>
              <w:top w:val="dotted" w:sz="4" w:space="0" w:color="auto"/>
              <w:left w:val="nil"/>
              <w:bottom w:val="dotted" w:sz="4" w:space="0" w:color="auto"/>
              <w:right w:val="dotted" w:sz="4" w:space="0" w:color="auto"/>
            </w:tcBorders>
            <w:shd w:val="clear" w:color="auto" w:fill="auto"/>
            <w:vAlign w:val="center"/>
            <w:hideMark/>
          </w:tcPr>
          <w:p w14:paraId="54F5C268"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-4,8</w:t>
            </w:r>
          </w:p>
        </w:tc>
        <w:tc>
          <w:tcPr>
            <w:tcW w:w="1405" w:type="dxa"/>
            <w:tcBorders>
              <w:top w:val="dotted" w:sz="4" w:space="0" w:color="auto"/>
              <w:left w:val="nil"/>
              <w:bottom w:val="dotted" w:sz="4" w:space="0" w:color="auto"/>
              <w:right w:val="dotted" w:sz="4" w:space="0" w:color="auto"/>
            </w:tcBorders>
            <w:shd w:val="clear" w:color="auto" w:fill="auto"/>
            <w:vAlign w:val="center"/>
            <w:hideMark/>
          </w:tcPr>
          <w:p w14:paraId="732FF202"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-35,2</w:t>
            </w:r>
          </w:p>
        </w:tc>
        <w:tc>
          <w:tcPr>
            <w:tcW w:w="1405" w:type="dxa"/>
            <w:tcBorders>
              <w:top w:val="nil"/>
              <w:left w:val="nil"/>
              <w:bottom w:val="dotted" w:sz="4" w:space="0" w:color="auto"/>
              <w:right w:val="double" w:sz="6" w:space="0" w:color="auto"/>
            </w:tcBorders>
            <w:shd w:val="clear" w:color="auto" w:fill="auto"/>
            <w:vAlign w:val="center"/>
            <w:hideMark/>
          </w:tcPr>
          <w:p w14:paraId="11643BF4"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14,7</w:t>
            </w:r>
          </w:p>
        </w:tc>
      </w:tr>
      <w:tr w:rsidR="002076A6" w:rsidRPr="002076A6" w14:paraId="636E60F8" w14:textId="77777777" w:rsidTr="00FD4733">
        <w:trPr>
          <w:trHeight w:val="259"/>
        </w:trPr>
        <w:tc>
          <w:tcPr>
            <w:tcW w:w="5581" w:type="dxa"/>
            <w:tcBorders>
              <w:top w:val="nil"/>
              <w:left w:val="double" w:sz="6" w:space="0" w:color="auto"/>
              <w:bottom w:val="dotted" w:sz="4" w:space="0" w:color="auto"/>
              <w:right w:val="nil"/>
            </w:tcBorders>
            <w:shd w:val="clear" w:color="auto" w:fill="auto"/>
            <w:vAlign w:val="center"/>
            <w:hideMark/>
          </w:tcPr>
          <w:p w14:paraId="7816DA27" w14:textId="77777777" w:rsidR="002076A6" w:rsidRPr="002076A6" w:rsidRDefault="002076A6" w:rsidP="002076A6">
            <w:pPr>
              <w:spacing w:after="0"/>
              <w:jc w:val="left"/>
              <w:rPr>
                <w:rFonts w:eastAsia="Times New Roman" w:cs="Times New Roman"/>
                <w:i/>
                <w:iCs/>
                <w:sz w:val="20"/>
                <w:szCs w:val="20"/>
              </w:rPr>
            </w:pPr>
            <w:r w:rsidRPr="002076A6">
              <w:rPr>
                <w:rFonts w:eastAsia="Times New Roman" w:cs="Times New Roman"/>
                <w:i/>
                <w:iCs/>
                <w:sz w:val="20"/>
                <w:szCs w:val="20"/>
              </w:rPr>
              <w:t>of which:</w:t>
            </w:r>
          </w:p>
        </w:tc>
        <w:tc>
          <w:tcPr>
            <w:tcW w:w="1385" w:type="dxa"/>
            <w:tcBorders>
              <w:top w:val="nil"/>
              <w:left w:val="single" w:sz="8" w:space="0" w:color="auto"/>
              <w:bottom w:val="dotted" w:sz="4" w:space="0" w:color="auto"/>
              <w:right w:val="single" w:sz="8" w:space="0" w:color="auto"/>
            </w:tcBorders>
            <w:shd w:val="clear" w:color="auto" w:fill="auto"/>
            <w:vAlign w:val="center"/>
            <w:hideMark/>
          </w:tcPr>
          <w:p w14:paraId="1FBC0F9E" w14:textId="77777777" w:rsidR="002076A6" w:rsidRPr="002076A6" w:rsidRDefault="002076A6" w:rsidP="002076A6">
            <w:pPr>
              <w:spacing w:after="0"/>
              <w:jc w:val="center"/>
              <w:rPr>
                <w:rFonts w:eastAsia="Times New Roman" w:cs="Times New Roman"/>
                <w:sz w:val="20"/>
                <w:szCs w:val="20"/>
              </w:rPr>
            </w:pPr>
            <w:r w:rsidRPr="002076A6">
              <w:rPr>
                <w:rFonts w:eastAsia="Times New Roman" w:cs="Times New Roman"/>
                <w:sz w:val="20"/>
                <w:szCs w:val="20"/>
              </w:rPr>
              <w:t> </w:t>
            </w:r>
          </w:p>
        </w:tc>
        <w:tc>
          <w:tcPr>
            <w:tcW w:w="1443" w:type="dxa"/>
            <w:tcBorders>
              <w:top w:val="nil"/>
              <w:left w:val="nil"/>
              <w:bottom w:val="dotted" w:sz="4" w:space="0" w:color="auto"/>
              <w:right w:val="dotted" w:sz="4" w:space="0" w:color="auto"/>
            </w:tcBorders>
            <w:shd w:val="clear" w:color="auto" w:fill="auto"/>
            <w:vAlign w:val="center"/>
            <w:hideMark/>
          </w:tcPr>
          <w:p w14:paraId="0CAFE736"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28" w:type="dxa"/>
            <w:tcBorders>
              <w:top w:val="nil"/>
              <w:left w:val="nil"/>
              <w:bottom w:val="dotted" w:sz="4" w:space="0" w:color="auto"/>
              <w:right w:val="dotted" w:sz="4" w:space="0" w:color="auto"/>
            </w:tcBorders>
            <w:shd w:val="clear" w:color="auto" w:fill="auto"/>
            <w:vAlign w:val="center"/>
            <w:hideMark/>
          </w:tcPr>
          <w:p w14:paraId="5345A8AE"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85" w:type="dxa"/>
            <w:tcBorders>
              <w:top w:val="nil"/>
              <w:left w:val="nil"/>
              <w:bottom w:val="dotted" w:sz="4" w:space="0" w:color="auto"/>
              <w:right w:val="dotted" w:sz="4" w:space="0" w:color="auto"/>
            </w:tcBorders>
            <w:shd w:val="clear" w:color="auto" w:fill="auto"/>
            <w:vAlign w:val="center"/>
            <w:hideMark/>
          </w:tcPr>
          <w:p w14:paraId="3264FF8B"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67AC3349"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543875C6"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uble" w:sz="6" w:space="0" w:color="auto"/>
            </w:tcBorders>
            <w:shd w:val="clear" w:color="auto" w:fill="auto"/>
            <w:noWrap/>
            <w:vAlign w:val="bottom"/>
            <w:hideMark/>
          </w:tcPr>
          <w:p w14:paraId="150B093F"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r>
      <w:tr w:rsidR="002076A6" w:rsidRPr="002076A6" w14:paraId="5B2C89D7" w14:textId="77777777" w:rsidTr="00FD4733">
        <w:trPr>
          <w:trHeight w:val="259"/>
        </w:trPr>
        <w:tc>
          <w:tcPr>
            <w:tcW w:w="5581" w:type="dxa"/>
            <w:tcBorders>
              <w:top w:val="nil"/>
              <w:left w:val="double" w:sz="6" w:space="0" w:color="auto"/>
              <w:bottom w:val="dotted" w:sz="4" w:space="0" w:color="auto"/>
              <w:right w:val="nil"/>
            </w:tcBorders>
            <w:shd w:val="clear" w:color="auto" w:fill="auto"/>
            <w:vAlign w:val="center"/>
            <w:hideMark/>
          </w:tcPr>
          <w:p w14:paraId="1C8AF4F2" w14:textId="22B1512A" w:rsidR="002076A6" w:rsidRPr="002076A6" w:rsidRDefault="00602766" w:rsidP="002076A6">
            <w:pPr>
              <w:spacing w:after="0"/>
              <w:jc w:val="left"/>
              <w:rPr>
                <w:rFonts w:eastAsia="Times New Roman" w:cs="Times New Roman"/>
                <w:sz w:val="20"/>
                <w:szCs w:val="20"/>
              </w:rPr>
            </w:pPr>
            <w:hyperlink r:id="rId45" w:anchor="RANGE!B176" w:history="1">
              <w:r w:rsidR="002076A6" w:rsidRPr="002076A6">
                <w:rPr>
                  <w:rFonts w:eastAsia="Times New Roman" w:cs="Times New Roman"/>
                  <w:sz w:val="20"/>
                  <w:szCs w:val="20"/>
                </w:rPr>
                <w:t>- Differences between cash and accruals[4]</w:t>
              </w:r>
            </w:hyperlink>
          </w:p>
        </w:tc>
        <w:tc>
          <w:tcPr>
            <w:tcW w:w="1385" w:type="dxa"/>
            <w:tcBorders>
              <w:top w:val="nil"/>
              <w:left w:val="single" w:sz="8" w:space="0" w:color="auto"/>
              <w:bottom w:val="dotted" w:sz="4" w:space="0" w:color="auto"/>
              <w:right w:val="single" w:sz="8" w:space="0" w:color="auto"/>
            </w:tcBorders>
            <w:shd w:val="clear" w:color="auto" w:fill="auto"/>
            <w:vAlign w:val="center"/>
            <w:hideMark/>
          </w:tcPr>
          <w:p w14:paraId="19E39C24" w14:textId="77777777" w:rsidR="002076A6" w:rsidRPr="002076A6" w:rsidRDefault="002076A6" w:rsidP="002076A6">
            <w:pPr>
              <w:spacing w:after="0"/>
              <w:jc w:val="center"/>
              <w:rPr>
                <w:rFonts w:eastAsia="Times New Roman" w:cs="Times New Roman"/>
                <w:sz w:val="20"/>
                <w:szCs w:val="20"/>
              </w:rPr>
            </w:pPr>
            <w:r w:rsidRPr="002076A6">
              <w:rPr>
                <w:rFonts w:eastAsia="Times New Roman" w:cs="Times New Roman"/>
                <w:sz w:val="20"/>
                <w:szCs w:val="20"/>
              </w:rPr>
              <w:t>bn NCU</w:t>
            </w:r>
          </w:p>
        </w:tc>
        <w:tc>
          <w:tcPr>
            <w:tcW w:w="1443" w:type="dxa"/>
            <w:tcBorders>
              <w:top w:val="nil"/>
              <w:left w:val="nil"/>
              <w:bottom w:val="dotted" w:sz="4" w:space="0" w:color="auto"/>
              <w:right w:val="dotted" w:sz="4" w:space="0" w:color="auto"/>
            </w:tcBorders>
            <w:shd w:val="clear" w:color="auto" w:fill="auto"/>
            <w:vAlign w:val="center"/>
            <w:hideMark/>
          </w:tcPr>
          <w:p w14:paraId="4BE9DBB5"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28" w:type="dxa"/>
            <w:tcBorders>
              <w:top w:val="nil"/>
              <w:left w:val="nil"/>
              <w:bottom w:val="dotted" w:sz="4" w:space="0" w:color="auto"/>
              <w:right w:val="dotted" w:sz="4" w:space="0" w:color="auto"/>
            </w:tcBorders>
            <w:shd w:val="clear" w:color="auto" w:fill="auto"/>
            <w:vAlign w:val="center"/>
            <w:hideMark/>
          </w:tcPr>
          <w:p w14:paraId="659E854B"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85" w:type="dxa"/>
            <w:tcBorders>
              <w:top w:val="nil"/>
              <w:left w:val="nil"/>
              <w:bottom w:val="dotted" w:sz="4" w:space="0" w:color="auto"/>
              <w:right w:val="dotted" w:sz="4" w:space="0" w:color="auto"/>
            </w:tcBorders>
            <w:shd w:val="clear" w:color="auto" w:fill="auto"/>
            <w:vAlign w:val="center"/>
            <w:hideMark/>
          </w:tcPr>
          <w:p w14:paraId="0D6C8696"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1773D108"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5126DDA5"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uble" w:sz="6" w:space="0" w:color="auto"/>
            </w:tcBorders>
            <w:shd w:val="clear" w:color="auto" w:fill="auto"/>
            <w:noWrap/>
            <w:vAlign w:val="bottom"/>
            <w:hideMark/>
          </w:tcPr>
          <w:p w14:paraId="5B11F68E"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r>
      <w:tr w:rsidR="002076A6" w:rsidRPr="002076A6" w14:paraId="6A949B42" w14:textId="77777777" w:rsidTr="00FD4733">
        <w:trPr>
          <w:trHeight w:val="259"/>
        </w:trPr>
        <w:tc>
          <w:tcPr>
            <w:tcW w:w="5581" w:type="dxa"/>
            <w:tcBorders>
              <w:top w:val="nil"/>
              <w:left w:val="double" w:sz="6" w:space="0" w:color="auto"/>
              <w:bottom w:val="nil"/>
              <w:right w:val="single" w:sz="8" w:space="0" w:color="auto"/>
            </w:tcBorders>
            <w:shd w:val="clear" w:color="auto" w:fill="auto"/>
            <w:noWrap/>
            <w:vAlign w:val="bottom"/>
            <w:hideMark/>
          </w:tcPr>
          <w:p w14:paraId="56B0D84B" w14:textId="078370AF" w:rsidR="002076A6" w:rsidRPr="002076A6" w:rsidRDefault="00602766" w:rsidP="002076A6">
            <w:pPr>
              <w:spacing w:after="0"/>
              <w:jc w:val="left"/>
              <w:rPr>
                <w:rFonts w:eastAsia="Times New Roman" w:cs="Times New Roman"/>
                <w:sz w:val="20"/>
                <w:szCs w:val="20"/>
              </w:rPr>
            </w:pPr>
            <w:hyperlink r:id="rId46" w:anchor="RANGE!B177" w:history="1">
              <w:r w:rsidR="002076A6" w:rsidRPr="002076A6">
                <w:rPr>
                  <w:rFonts w:eastAsia="Times New Roman" w:cs="Times New Roman"/>
                  <w:sz w:val="20"/>
                  <w:szCs w:val="20"/>
                </w:rPr>
                <w:t>- Net accumulation of financial assets[5]</w:t>
              </w:r>
            </w:hyperlink>
          </w:p>
        </w:tc>
        <w:tc>
          <w:tcPr>
            <w:tcW w:w="1385" w:type="dxa"/>
            <w:tcBorders>
              <w:top w:val="nil"/>
              <w:left w:val="nil"/>
              <w:bottom w:val="dotted" w:sz="4" w:space="0" w:color="auto"/>
              <w:right w:val="single" w:sz="8" w:space="0" w:color="auto"/>
            </w:tcBorders>
            <w:shd w:val="clear" w:color="auto" w:fill="auto"/>
            <w:vAlign w:val="center"/>
            <w:hideMark/>
          </w:tcPr>
          <w:p w14:paraId="59669142" w14:textId="77777777" w:rsidR="002076A6" w:rsidRPr="002076A6" w:rsidRDefault="002076A6" w:rsidP="002076A6">
            <w:pPr>
              <w:spacing w:after="0"/>
              <w:jc w:val="center"/>
              <w:rPr>
                <w:rFonts w:eastAsia="Times New Roman" w:cs="Times New Roman"/>
                <w:sz w:val="20"/>
                <w:szCs w:val="20"/>
              </w:rPr>
            </w:pPr>
            <w:r w:rsidRPr="002076A6">
              <w:rPr>
                <w:rFonts w:eastAsia="Times New Roman" w:cs="Times New Roman"/>
                <w:sz w:val="20"/>
                <w:szCs w:val="20"/>
              </w:rPr>
              <w:t>bn NCU</w:t>
            </w:r>
          </w:p>
        </w:tc>
        <w:tc>
          <w:tcPr>
            <w:tcW w:w="1443" w:type="dxa"/>
            <w:tcBorders>
              <w:top w:val="nil"/>
              <w:left w:val="nil"/>
              <w:bottom w:val="dotted" w:sz="4" w:space="0" w:color="auto"/>
              <w:right w:val="dotted" w:sz="4" w:space="0" w:color="auto"/>
            </w:tcBorders>
            <w:shd w:val="clear" w:color="auto" w:fill="auto"/>
            <w:vAlign w:val="center"/>
            <w:hideMark/>
          </w:tcPr>
          <w:p w14:paraId="4EDF6CEA"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28" w:type="dxa"/>
            <w:tcBorders>
              <w:top w:val="nil"/>
              <w:left w:val="nil"/>
              <w:bottom w:val="dotted" w:sz="4" w:space="0" w:color="auto"/>
              <w:right w:val="dotted" w:sz="4" w:space="0" w:color="auto"/>
            </w:tcBorders>
            <w:shd w:val="clear" w:color="auto" w:fill="auto"/>
            <w:vAlign w:val="center"/>
            <w:hideMark/>
          </w:tcPr>
          <w:p w14:paraId="6C6221F9"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85" w:type="dxa"/>
            <w:tcBorders>
              <w:top w:val="nil"/>
              <w:left w:val="nil"/>
              <w:bottom w:val="dotted" w:sz="4" w:space="0" w:color="auto"/>
              <w:right w:val="dotted" w:sz="4" w:space="0" w:color="auto"/>
            </w:tcBorders>
            <w:shd w:val="clear" w:color="auto" w:fill="auto"/>
            <w:vAlign w:val="center"/>
            <w:hideMark/>
          </w:tcPr>
          <w:p w14:paraId="0BBE4CEA"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1E995F70"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7CEF0887"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uble" w:sz="6" w:space="0" w:color="auto"/>
            </w:tcBorders>
            <w:shd w:val="clear" w:color="auto" w:fill="auto"/>
            <w:noWrap/>
            <w:vAlign w:val="bottom"/>
            <w:hideMark/>
          </w:tcPr>
          <w:p w14:paraId="79270FC3"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r>
      <w:tr w:rsidR="002076A6" w:rsidRPr="002076A6" w14:paraId="169FD95B" w14:textId="77777777" w:rsidTr="00FD4733">
        <w:trPr>
          <w:trHeight w:val="259"/>
        </w:trPr>
        <w:tc>
          <w:tcPr>
            <w:tcW w:w="5581" w:type="dxa"/>
            <w:tcBorders>
              <w:top w:val="dotted" w:sz="4" w:space="0" w:color="auto"/>
              <w:left w:val="double" w:sz="6" w:space="0" w:color="auto"/>
              <w:bottom w:val="dotted" w:sz="4" w:space="0" w:color="auto"/>
              <w:right w:val="single" w:sz="8" w:space="0" w:color="auto"/>
            </w:tcBorders>
            <w:shd w:val="clear" w:color="auto" w:fill="auto"/>
            <w:vAlign w:val="center"/>
            <w:hideMark/>
          </w:tcPr>
          <w:p w14:paraId="621510B6" w14:textId="77777777" w:rsidR="002076A6" w:rsidRPr="002076A6" w:rsidRDefault="002076A6" w:rsidP="002076A6">
            <w:pPr>
              <w:spacing w:after="0"/>
              <w:jc w:val="left"/>
              <w:rPr>
                <w:rFonts w:eastAsia="Times New Roman" w:cs="Times New Roman"/>
                <w:i/>
                <w:iCs/>
                <w:sz w:val="20"/>
                <w:szCs w:val="20"/>
              </w:rPr>
            </w:pPr>
            <w:r w:rsidRPr="002076A6">
              <w:rPr>
                <w:rFonts w:eastAsia="Times New Roman" w:cs="Times New Roman"/>
                <w:i/>
                <w:iCs/>
                <w:sz w:val="20"/>
                <w:szCs w:val="20"/>
              </w:rPr>
              <w:t>of which:</w:t>
            </w:r>
          </w:p>
        </w:tc>
        <w:tc>
          <w:tcPr>
            <w:tcW w:w="1385" w:type="dxa"/>
            <w:tcBorders>
              <w:top w:val="nil"/>
              <w:left w:val="nil"/>
              <w:bottom w:val="dotted" w:sz="4" w:space="0" w:color="auto"/>
              <w:right w:val="single" w:sz="8" w:space="0" w:color="auto"/>
            </w:tcBorders>
            <w:shd w:val="clear" w:color="auto" w:fill="auto"/>
            <w:vAlign w:val="center"/>
            <w:hideMark/>
          </w:tcPr>
          <w:p w14:paraId="5D2EF8DF" w14:textId="77777777" w:rsidR="002076A6" w:rsidRPr="002076A6" w:rsidRDefault="002076A6" w:rsidP="002076A6">
            <w:pPr>
              <w:spacing w:after="0"/>
              <w:jc w:val="center"/>
              <w:rPr>
                <w:rFonts w:eastAsia="Times New Roman" w:cs="Times New Roman"/>
                <w:sz w:val="20"/>
                <w:szCs w:val="20"/>
              </w:rPr>
            </w:pPr>
            <w:r w:rsidRPr="002076A6">
              <w:rPr>
                <w:rFonts w:eastAsia="Times New Roman" w:cs="Times New Roman"/>
                <w:sz w:val="20"/>
                <w:szCs w:val="20"/>
              </w:rPr>
              <w:t> </w:t>
            </w:r>
          </w:p>
        </w:tc>
        <w:tc>
          <w:tcPr>
            <w:tcW w:w="1443" w:type="dxa"/>
            <w:tcBorders>
              <w:top w:val="nil"/>
              <w:left w:val="nil"/>
              <w:bottom w:val="dotted" w:sz="4" w:space="0" w:color="auto"/>
              <w:right w:val="dotted" w:sz="4" w:space="0" w:color="auto"/>
            </w:tcBorders>
            <w:shd w:val="clear" w:color="auto" w:fill="auto"/>
            <w:vAlign w:val="center"/>
            <w:hideMark/>
          </w:tcPr>
          <w:p w14:paraId="6E0E6C49"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28" w:type="dxa"/>
            <w:tcBorders>
              <w:top w:val="nil"/>
              <w:left w:val="nil"/>
              <w:bottom w:val="dotted" w:sz="4" w:space="0" w:color="auto"/>
              <w:right w:val="dotted" w:sz="4" w:space="0" w:color="auto"/>
            </w:tcBorders>
            <w:shd w:val="clear" w:color="auto" w:fill="auto"/>
            <w:vAlign w:val="center"/>
            <w:hideMark/>
          </w:tcPr>
          <w:p w14:paraId="3A5D0E3A"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85" w:type="dxa"/>
            <w:tcBorders>
              <w:top w:val="nil"/>
              <w:left w:val="nil"/>
              <w:bottom w:val="dotted" w:sz="4" w:space="0" w:color="auto"/>
              <w:right w:val="dotted" w:sz="4" w:space="0" w:color="auto"/>
            </w:tcBorders>
            <w:shd w:val="clear" w:color="auto" w:fill="auto"/>
            <w:vAlign w:val="center"/>
            <w:hideMark/>
          </w:tcPr>
          <w:p w14:paraId="1EF79B84"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1C15E5A1"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0F1720B1"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uble" w:sz="6" w:space="0" w:color="auto"/>
            </w:tcBorders>
            <w:shd w:val="clear" w:color="auto" w:fill="auto"/>
            <w:noWrap/>
            <w:vAlign w:val="bottom"/>
            <w:hideMark/>
          </w:tcPr>
          <w:p w14:paraId="054DD98E"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r>
      <w:tr w:rsidR="002076A6" w:rsidRPr="002076A6" w14:paraId="0F784ED0" w14:textId="77777777" w:rsidTr="00FD4733">
        <w:trPr>
          <w:trHeight w:val="259"/>
        </w:trPr>
        <w:tc>
          <w:tcPr>
            <w:tcW w:w="5581" w:type="dxa"/>
            <w:tcBorders>
              <w:top w:val="nil"/>
              <w:left w:val="double" w:sz="6" w:space="0" w:color="auto"/>
              <w:bottom w:val="dotted" w:sz="4" w:space="0" w:color="auto"/>
              <w:right w:val="single" w:sz="8" w:space="0" w:color="auto"/>
            </w:tcBorders>
            <w:shd w:val="clear" w:color="auto" w:fill="auto"/>
            <w:vAlign w:val="center"/>
            <w:hideMark/>
          </w:tcPr>
          <w:p w14:paraId="0D623774" w14:textId="77777777" w:rsidR="002076A6" w:rsidRPr="002076A6" w:rsidRDefault="002076A6" w:rsidP="002076A6">
            <w:pPr>
              <w:spacing w:after="0"/>
              <w:jc w:val="left"/>
              <w:rPr>
                <w:rFonts w:eastAsia="Times New Roman" w:cs="Times New Roman"/>
                <w:sz w:val="20"/>
                <w:szCs w:val="20"/>
              </w:rPr>
            </w:pPr>
            <w:r w:rsidRPr="002076A6">
              <w:rPr>
                <w:rFonts w:eastAsia="Times New Roman" w:cs="Times New Roman"/>
                <w:sz w:val="20"/>
                <w:szCs w:val="20"/>
              </w:rPr>
              <w:t>- Privatisation proceeds</w:t>
            </w:r>
          </w:p>
        </w:tc>
        <w:tc>
          <w:tcPr>
            <w:tcW w:w="1385" w:type="dxa"/>
            <w:tcBorders>
              <w:top w:val="nil"/>
              <w:left w:val="nil"/>
              <w:bottom w:val="dotted" w:sz="4" w:space="0" w:color="auto"/>
              <w:right w:val="single" w:sz="8" w:space="0" w:color="auto"/>
            </w:tcBorders>
            <w:shd w:val="clear" w:color="auto" w:fill="auto"/>
            <w:vAlign w:val="center"/>
            <w:hideMark/>
          </w:tcPr>
          <w:p w14:paraId="0BF603E2" w14:textId="77777777" w:rsidR="002076A6" w:rsidRPr="002076A6" w:rsidRDefault="002076A6" w:rsidP="002076A6">
            <w:pPr>
              <w:spacing w:after="0"/>
              <w:jc w:val="center"/>
              <w:rPr>
                <w:rFonts w:eastAsia="Times New Roman" w:cs="Times New Roman"/>
                <w:sz w:val="20"/>
                <w:szCs w:val="20"/>
              </w:rPr>
            </w:pPr>
            <w:r w:rsidRPr="002076A6">
              <w:rPr>
                <w:rFonts w:eastAsia="Times New Roman" w:cs="Times New Roman"/>
                <w:sz w:val="20"/>
                <w:szCs w:val="20"/>
              </w:rPr>
              <w:t>bn NCU</w:t>
            </w:r>
          </w:p>
        </w:tc>
        <w:tc>
          <w:tcPr>
            <w:tcW w:w="1443" w:type="dxa"/>
            <w:tcBorders>
              <w:top w:val="nil"/>
              <w:left w:val="nil"/>
              <w:bottom w:val="dotted" w:sz="4" w:space="0" w:color="auto"/>
              <w:right w:val="dotted" w:sz="4" w:space="0" w:color="auto"/>
            </w:tcBorders>
            <w:shd w:val="clear" w:color="auto" w:fill="auto"/>
            <w:vAlign w:val="center"/>
            <w:hideMark/>
          </w:tcPr>
          <w:p w14:paraId="77FFA50D"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28" w:type="dxa"/>
            <w:tcBorders>
              <w:top w:val="nil"/>
              <w:left w:val="nil"/>
              <w:bottom w:val="dotted" w:sz="4" w:space="0" w:color="auto"/>
              <w:right w:val="dotted" w:sz="4" w:space="0" w:color="auto"/>
            </w:tcBorders>
            <w:shd w:val="clear" w:color="auto" w:fill="auto"/>
            <w:vAlign w:val="center"/>
            <w:hideMark/>
          </w:tcPr>
          <w:p w14:paraId="256BED85"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85" w:type="dxa"/>
            <w:tcBorders>
              <w:top w:val="nil"/>
              <w:left w:val="nil"/>
              <w:bottom w:val="dotted" w:sz="4" w:space="0" w:color="auto"/>
              <w:right w:val="dotted" w:sz="4" w:space="0" w:color="auto"/>
            </w:tcBorders>
            <w:shd w:val="clear" w:color="auto" w:fill="auto"/>
            <w:vAlign w:val="center"/>
            <w:hideMark/>
          </w:tcPr>
          <w:p w14:paraId="3883BC4B"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30DB4CD5"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681F5B12"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tted" w:sz="4" w:space="0" w:color="auto"/>
              <w:right w:val="double" w:sz="6" w:space="0" w:color="auto"/>
            </w:tcBorders>
            <w:shd w:val="clear" w:color="auto" w:fill="auto"/>
            <w:noWrap/>
            <w:vAlign w:val="bottom"/>
            <w:hideMark/>
          </w:tcPr>
          <w:p w14:paraId="15F5BDA0"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r>
      <w:tr w:rsidR="002076A6" w:rsidRPr="002076A6" w14:paraId="141EFC6E" w14:textId="77777777" w:rsidTr="00FD4733">
        <w:trPr>
          <w:trHeight w:val="259"/>
        </w:trPr>
        <w:tc>
          <w:tcPr>
            <w:tcW w:w="5581" w:type="dxa"/>
            <w:tcBorders>
              <w:top w:val="nil"/>
              <w:left w:val="double" w:sz="6" w:space="0" w:color="auto"/>
              <w:bottom w:val="single" w:sz="4" w:space="0" w:color="auto"/>
              <w:right w:val="single" w:sz="8" w:space="0" w:color="auto"/>
            </w:tcBorders>
            <w:shd w:val="clear" w:color="auto" w:fill="auto"/>
            <w:noWrap/>
            <w:vAlign w:val="bottom"/>
            <w:hideMark/>
          </w:tcPr>
          <w:p w14:paraId="15743112" w14:textId="5886946F" w:rsidR="002076A6" w:rsidRPr="002076A6" w:rsidRDefault="00602766" w:rsidP="002076A6">
            <w:pPr>
              <w:spacing w:after="0"/>
              <w:jc w:val="left"/>
              <w:rPr>
                <w:rFonts w:eastAsia="Times New Roman" w:cs="Times New Roman"/>
                <w:sz w:val="20"/>
                <w:szCs w:val="20"/>
              </w:rPr>
            </w:pPr>
            <w:hyperlink r:id="rId47" w:anchor="RANGE!B178" w:history="1">
              <w:r w:rsidR="002076A6" w:rsidRPr="002076A6">
                <w:rPr>
                  <w:rFonts w:eastAsia="Times New Roman" w:cs="Times New Roman"/>
                  <w:sz w:val="20"/>
                  <w:szCs w:val="20"/>
                </w:rPr>
                <w:t>- Valuation effects and other[6]</w:t>
              </w:r>
            </w:hyperlink>
          </w:p>
        </w:tc>
        <w:tc>
          <w:tcPr>
            <w:tcW w:w="1385" w:type="dxa"/>
            <w:tcBorders>
              <w:top w:val="nil"/>
              <w:left w:val="nil"/>
              <w:bottom w:val="dotted" w:sz="4" w:space="0" w:color="auto"/>
              <w:right w:val="single" w:sz="8" w:space="0" w:color="auto"/>
            </w:tcBorders>
            <w:shd w:val="clear" w:color="auto" w:fill="auto"/>
            <w:vAlign w:val="center"/>
            <w:hideMark/>
          </w:tcPr>
          <w:p w14:paraId="258B3929" w14:textId="77777777" w:rsidR="002076A6" w:rsidRPr="002076A6" w:rsidRDefault="002076A6" w:rsidP="002076A6">
            <w:pPr>
              <w:spacing w:after="0"/>
              <w:jc w:val="center"/>
              <w:rPr>
                <w:rFonts w:eastAsia="Times New Roman" w:cs="Times New Roman"/>
                <w:sz w:val="20"/>
                <w:szCs w:val="20"/>
              </w:rPr>
            </w:pPr>
            <w:r w:rsidRPr="002076A6">
              <w:rPr>
                <w:rFonts w:eastAsia="Times New Roman" w:cs="Times New Roman"/>
                <w:sz w:val="20"/>
                <w:szCs w:val="20"/>
              </w:rPr>
              <w:t>bn NCU</w:t>
            </w:r>
          </w:p>
        </w:tc>
        <w:tc>
          <w:tcPr>
            <w:tcW w:w="1443" w:type="dxa"/>
            <w:tcBorders>
              <w:top w:val="nil"/>
              <w:left w:val="nil"/>
              <w:bottom w:val="single" w:sz="4" w:space="0" w:color="auto"/>
              <w:right w:val="dotted" w:sz="4" w:space="0" w:color="auto"/>
            </w:tcBorders>
            <w:shd w:val="clear" w:color="auto" w:fill="auto"/>
            <w:vAlign w:val="center"/>
            <w:hideMark/>
          </w:tcPr>
          <w:p w14:paraId="691CA785"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28" w:type="dxa"/>
            <w:tcBorders>
              <w:top w:val="nil"/>
              <w:left w:val="nil"/>
              <w:bottom w:val="single" w:sz="4" w:space="0" w:color="auto"/>
              <w:right w:val="dotted" w:sz="4" w:space="0" w:color="auto"/>
            </w:tcBorders>
            <w:shd w:val="clear" w:color="auto" w:fill="auto"/>
            <w:vAlign w:val="center"/>
            <w:hideMark/>
          </w:tcPr>
          <w:p w14:paraId="0B537A0D"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85" w:type="dxa"/>
            <w:tcBorders>
              <w:top w:val="nil"/>
              <w:left w:val="nil"/>
              <w:bottom w:val="single" w:sz="4" w:space="0" w:color="auto"/>
              <w:right w:val="dotted" w:sz="4" w:space="0" w:color="auto"/>
            </w:tcBorders>
            <w:shd w:val="clear" w:color="auto" w:fill="auto"/>
            <w:vAlign w:val="center"/>
            <w:hideMark/>
          </w:tcPr>
          <w:p w14:paraId="1C7E0B4F"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single" w:sz="4" w:space="0" w:color="auto"/>
              <w:right w:val="dotted" w:sz="4" w:space="0" w:color="auto"/>
            </w:tcBorders>
            <w:shd w:val="clear" w:color="auto" w:fill="auto"/>
            <w:vAlign w:val="center"/>
            <w:hideMark/>
          </w:tcPr>
          <w:p w14:paraId="2A848D39"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single" w:sz="4" w:space="0" w:color="auto"/>
              <w:right w:val="dotted" w:sz="4" w:space="0" w:color="auto"/>
            </w:tcBorders>
            <w:shd w:val="clear" w:color="auto" w:fill="auto"/>
            <w:vAlign w:val="center"/>
            <w:hideMark/>
          </w:tcPr>
          <w:p w14:paraId="3A2A8E09"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single" w:sz="4" w:space="0" w:color="auto"/>
              <w:right w:val="double" w:sz="6" w:space="0" w:color="auto"/>
            </w:tcBorders>
            <w:shd w:val="clear" w:color="auto" w:fill="auto"/>
            <w:noWrap/>
            <w:vAlign w:val="bottom"/>
            <w:hideMark/>
          </w:tcPr>
          <w:p w14:paraId="0D97D04E"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r>
      <w:tr w:rsidR="002076A6" w:rsidRPr="002076A6" w14:paraId="6C11FED1" w14:textId="77777777" w:rsidTr="00FD4733">
        <w:trPr>
          <w:trHeight w:val="259"/>
        </w:trPr>
        <w:tc>
          <w:tcPr>
            <w:tcW w:w="5581" w:type="dxa"/>
            <w:tcBorders>
              <w:top w:val="nil"/>
              <w:left w:val="double" w:sz="6" w:space="0" w:color="auto"/>
              <w:bottom w:val="single" w:sz="4" w:space="0" w:color="auto"/>
              <w:right w:val="nil"/>
            </w:tcBorders>
            <w:shd w:val="clear" w:color="auto" w:fill="auto"/>
            <w:vAlign w:val="center"/>
            <w:hideMark/>
          </w:tcPr>
          <w:p w14:paraId="03C6D55E" w14:textId="77777777" w:rsidR="002076A6" w:rsidRPr="002076A6" w:rsidRDefault="002076A6" w:rsidP="002076A6">
            <w:pPr>
              <w:spacing w:after="0"/>
              <w:jc w:val="left"/>
              <w:rPr>
                <w:rFonts w:eastAsia="Times New Roman" w:cs="Times New Roman"/>
                <w:b/>
                <w:bCs/>
                <w:sz w:val="20"/>
                <w:szCs w:val="20"/>
              </w:rPr>
            </w:pPr>
            <w:r w:rsidRPr="002076A6">
              <w:rPr>
                <w:rFonts w:eastAsia="Times New Roman" w:cs="Times New Roman"/>
                <w:b/>
                <w:bCs/>
                <w:sz w:val="20"/>
                <w:szCs w:val="20"/>
              </w:rPr>
              <w:t>Other relevant variables</w:t>
            </w:r>
          </w:p>
        </w:tc>
        <w:tc>
          <w:tcPr>
            <w:tcW w:w="138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DF41C9C" w14:textId="77777777" w:rsidR="002076A6" w:rsidRPr="002076A6" w:rsidRDefault="002076A6" w:rsidP="002076A6">
            <w:pPr>
              <w:spacing w:after="0"/>
              <w:jc w:val="center"/>
              <w:rPr>
                <w:rFonts w:eastAsia="Times New Roman" w:cs="Times New Roman"/>
                <w:b/>
                <w:bCs/>
                <w:sz w:val="20"/>
                <w:szCs w:val="20"/>
              </w:rPr>
            </w:pPr>
            <w:r w:rsidRPr="002076A6">
              <w:rPr>
                <w:rFonts w:eastAsia="Times New Roman" w:cs="Times New Roman"/>
                <w:b/>
                <w:bCs/>
                <w:sz w:val="20"/>
                <w:szCs w:val="20"/>
              </w:rPr>
              <w:t> </w:t>
            </w:r>
          </w:p>
        </w:tc>
        <w:tc>
          <w:tcPr>
            <w:tcW w:w="1443" w:type="dxa"/>
            <w:tcBorders>
              <w:top w:val="nil"/>
              <w:left w:val="nil"/>
              <w:bottom w:val="single" w:sz="4" w:space="0" w:color="auto"/>
              <w:right w:val="nil"/>
            </w:tcBorders>
            <w:shd w:val="clear" w:color="auto" w:fill="auto"/>
            <w:vAlign w:val="center"/>
            <w:hideMark/>
          </w:tcPr>
          <w:p w14:paraId="18FA85FC"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 </w:t>
            </w:r>
          </w:p>
        </w:tc>
        <w:tc>
          <w:tcPr>
            <w:tcW w:w="1328" w:type="dxa"/>
            <w:tcBorders>
              <w:top w:val="nil"/>
              <w:left w:val="nil"/>
              <w:bottom w:val="single" w:sz="4" w:space="0" w:color="auto"/>
              <w:right w:val="nil"/>
            </w:tcBorders>
            <w:shd w:val="clear" w:color="auto" w:fill="auto"/>
            <w:vAlign w:val="center"/>
            <w:hideMark/>
          </w:tcPr>
          <w:p w14:paraId="5DF2CB05"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 </w:t>
            </w:r>
          </w:p>
        </w:tc>
        <w:tc>
          <w:tcPr>
            <w:tcW w:w="1385" w:type="dxa"/>
            <w:tcBorders>
              <w:top w:val="nil"/>
              <w:left w:val="nil"/>
              <w:bottom w:val="single" w:sz="4" w:space="0" w:color="auto"/>
              <w:right w:val="nil"/>
            </w:tcBorders>
            <w:shd w:val="clear" w:color="auto" w:fill="auto"/>
            <w:vAlign w:val="center"/>
            <w:hideMark/>
          </w:tcPr>
          <w:p w14:paraId="46635AAE"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 </w:t>
            </w:r>
          </w:p>
        </w:tc>
        <w:tc>
          <w:tcPr>
            <w:tcW w:w="1405" w:type="dxa"/>
            <w:tcBorders>
              <w:top w:val="nil"/>
              <w:left w:val="nil"/>
              <w:bottom w:val="single" w:sz="4" w:space="0" w:color="auto"/>
              <w:right w:val="nil"/>
            </w:tcBorders>
            <w:shd w:val="clear" w:color="auto" w:fill="auto"/>
            <w:vAlign w:val="center"/>
            <w:hideMark/>
          </w:tcPr>
          <w:p w14:paraId="6C9A9335"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 </w:t>
            </w:r>
          </w:p>
        </w:tc>
        <w:tc>
          <w:tcPr>
            <w:tcW w:w="1405" w:type="dxa"/>
            <w:tcBorders>
              <w:top w:val="nil"/>
              <w:left w:val="nil"/>
              <w:bottom w:val="single" w:sz="4" w:space="0" w:color="auto"/>
              <w:right w:val="nil"/>
            </w:tcBorders>
            <w:shd w:val="clear" w:color="auto" w:fill="auto"/>
            <w:vAlign w:val="center"/>
            <w:hideMark/>
          </w:tcPr>
          <w:p w14:paraId="010E5BD5" w14:textId="77777777" w:rsidR="002076A6" w:rsidRPr="002076A6" w:rsidRDefault="002076A6" w:rsidP="002076A6">
            <w:pPr>
              <w:spacing w:after="0"/>
              <w:jc w:val="right"/>
              <w:rPr>
                <w:rFonts w:eastAsia="Times New Roman" w:cs="Times New Roman"/>
                <w:b/>
                <w:bCs/>
                <w:sz w:val="20"/>
                <w:szCs w:val="20"/>
              </w:rPr>
            </w:pPr>
            <w:r w:rsidRPr="002076A6">
              <w:rPr>
                <w:rFonts w:eastAsia="Times New Roman" w:cs="Times New Roman"/>
                <w:b/>
                <w:bCs/>
                <w:sz w:val="20"/>
                <w:szCs w:val="20"/>
              </w:rPr>
              <w:t> </w:t>
            </w:r>
          </w:p>
        </w:tc>
        <w:tc>
          <w:tcPr>
            <w:tcW w:w="1405" w:type="dxa"/>
            <w:tcBorders>
              <w:top w:val="nil"/>
              <w:left w:val="nil"/>
              <w:bottom w:val="single" w:sz="4" w:space="0" w:color="auto"/>
              <w:right w:val="double" w:sz="6" w:space="0" w:color="auto"/>
            </w:tcBorders>
            <w:shd w:val="clear" w:color="auto" w:fill="auto"/>
            <w:noWrap/>
            <w:vAlign w:val="bottom"/>
            <w:hideMark/>
          </w:tcPr>
          <w:p w14:paraId="1EE5AC5C"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r>
      <w:tr w:rsidR="002076A6" w:rsidRPr="002076A6" w14:paraId="102ED3F8" w14:textId="77777777" w:rsidTr="00FD4733">
        <w:trPr>
          <w:trHeight w:val="267"/>
        </w:trPr>
        <w:tc>
          <w:tcPr>
            <w:tcW w:w="5581" w:type="dxa"/>
            <w:tcBorders>
              <w:top w:val="nil"/>
              <w:left w:val="double" w:sz="6" w:space="0" w:color="auto"/>
              <w:bottom w:val="double" w:sz="6" w:space="0" w:color="auto"/>
              <w:right w:val="single" w:sz="8" w:space="0" w:color="auto"/>
            </w:tcBorders>
            <w:shd w:val="clear" w:color="auto" w:fill="auto"/>
            <w:noWrap/>
            <w:vAlign w:val="bottom"/>
            <w:hideMark/>
          </w:tcPr>
          <w:p w14:paraId="09698284" w14:textId="3DF93C44" w:rsidR="002076A6" w:rsidRPr="002076A6" w:rsidRDefault="00602766" w:rsidP="002076A6">
            <w:pPr>
              <w:spacing w:after="0"/>
              <w:jc w:val="left"/>
              <w:rPr>
                <w:rFonts w:eastAsia="Times New Roman" w:cs="Times New Roman"/>
                <w:sz w:val="20"/>
                <w:szCs w:val="20"/>
              </w:rPr>
            </w:pPr>
            <w:hyperlink r:id="rId48" w:anchor="RANGE!B179" w:history="1">
              <w:r w:rsidR="002076A6" w:rsidRPr="002076A6">
                <w:rPr>
                  <w:rFonts w:eastAsia="Times New Roman" w:cs="Times New Roman"/>
                  <w:sz w:val="20"/>
                  <w:szCs w:val="20"/>
                </w:rPr>
                <w:t>6. Liquid financial assets[8]</w:t>
              </w:r>
            </w:hyperlink>
          </w:p>
        </w:tc>
        <w:tc>
          <w:tcPr>
            <w:tcW w:w="1385" w:type="dxa"/>
            <w:tcBorders>
              <w:top w:val="nil"/>
              <w:left w:val="nil"/>
              <w:bottom w:val="double" w:sz="6" w:space="0" w:color="auto"/>
              <w:right w:val="single" w:sz="8" w:space="0" w:color="auto"/>
            </w:tcBorders>
            <w:shd w:val="clear" w:color="auto" w:fill="auto"/>
            <w:vAlign w:val="center"/>
            <w:hideMark/>
          </w:tcPr>
          <w:p w14:paraId="2FC0B116" w14:textId="77777777" w:rsidR="002076A6" w:rsidRPr="002076A6" w:rsidRDefault="002076A6" w:rsidP="002076A6">
            <w:pPr>
              <w:spacing w:after="0"/>
              <w:jc w:val="center"/>
              <w:rPr>
                <w:rFonts w:eastAsia="Times New Roman" w:cs="Times New Roman"/>
                <w:sz w:val="20"/>
                <w:szCs w:val="20"/>
              </w:rPr>
            </w:pPr>
            <w:r w:rsidRPr="002076A6">
              <w:rPr>
                <w:rFonts w:eastAsia="Times New Roman" w:cs="Times New Roman"/>
                <w:sz w:val="20"/>
                <w:szCs w:val="20"/>
              </w:rPr>
              <w:t>bn NCU</w:t>
            </w:r>
          </w:p>
        </w:tc>
        <w:tc>
          <w:tcPr>
            <w:tcW w:w="1443" w:type="dxa"/>
            <w:tcBorders>
              <w:top w:val="nil"/>
              <w:left w:val="nil"/>
              <w:bottom w:val="double" w:sz="6" w:space="0" w:color="auto"/>
              <w:right w:val="dotted" w:sz="4" w:space="0" w:color="auto"/>
            </w:tcBorders>
            <w:shd w:val="clear" w:color="auto" w:fill="auto"/>
            <w:vAlign w:val="center"/>
            <w:hideMark/>
          </w:tcPr>
          <w:p w14:paraId="0E565623"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28" w:type="dxa"/>
            <w:tcBorders>
              <w:top w:val="nil"/>
              <w:left w:val="nil"/>
              <w:bottom w:val="double" w:sz="6" w:space="0" w:color="auto"/>
              <w:right w:val="dotted" w:sz="4" w:space="0" w:color="auto"/>
            </w:tcBorders>
            <w:shd w:val="clear" w:color="auto" w:fill="auto"/>
            <w:vAlign w:val="center"/>
            <w:hideMark/>
          </w:tcPr>
          <w:p w14:paraId="21333896"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385" w:type="dxa"/>
            <w:tcBorders>
              <w:top w:val="nil"/>
              <w:left w:val="nil"/>
              <w:bottom w:val="double" w:sz="6" w:space="0" w:color="auto"/>
              <w:right w:val="dotted" w:sz="4" w:space="0" w:color="auto"/>
            </w:tcBorders>
            <w:shd w:val="clear" w:color="auto" w:fill="auto"/>
            <w:vAlign w:val="center"/>
            <w:hideMark/>
          </w:tcPr>
          <w:p w14:paraId="450E8AFD"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uble" w:sz="6" w:space="0" w:color="auto"/>
              <w:right w:val="dotted" w:sz="4" w:space="0" w:color="auto"/>
            </w:tcBorders>
            <w:shd w:val="clear" w:color="auto" w:fill="auto"/>
            <w:vAlign w:val="center"/>
            <w:hideMark/>
          </w:tcPr>
          <w:p w14:paraId="59F6E419"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uble" w:sz="6" w:space="0" w:color="auto"/>
              <w:right w:val="dotted" w:sz="4" w:space="0" w:color="auto"/>
            </w:tcBorders>
            <w:shd w:val="clear" w:color="auto" w:fill="auto"/>
            <w:vAlign w:val="center"/>
            <w:hideMark/>
          </w:tcPr>
          <w:p w14:paraId="6F998B44"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c>
          <w:tcPr>
            <w:tcW w:w="1405" w:type="dxa"/>
            <w:tcBorders>
              <w:top w:val="nil"/>
              <w:left w:val="nil"/>
              <w:bottom w:val="double" w:sz="6" w:space="0" w:color="auto"/>
              <w:right w:val="double" w:sz="6" w:space="0" w:color="auto"/>
            </w:tcBorders>
            <w:shd w:val="clear" w:color="auto" w:fill="auto"/>
            <w:noWrap/>
            <w:vAlign w:val="bottom"/>
            <w:hideMark/>
          </w:tcPr>
          <w:p w14:paraId="70809707" w14:textId="77777777" w:rsidR="002076A6" w:rsidRPr="002076A6" w:rsidRDefault="002076A6" w:rsidP="002076A6">
            <w:pPr>
              <w:spacing w:after="0"/>
              <w:jc w:val="right"/>
              <w:rPr>
                <w:rFonts w:eastAsia="Times New Roman" w:cs="Times New Roman"/>
                <w:sz w:val="20"/>
                <w:szCs w:val="20"/>
              </w:rPr>
            </w:pPr>
            <w:r w:rsidRPr="002076A6">
              <w:rPr>
                <w:rFonts w:eastAsia="Times New Roman" w:cs="Times New Roman"/>
                <w:sz w:val="20"/>
                <w:szCs w:val="20"/>
              </w:rPr>
              <w:t> </w:t>
            </w:r>
          </w:p>
        </w:tc>
      </w:tr>
    </w:tbl>
    <w:p w14:paraId="3F5F87CF" w14:textId="17D05CE1" w:rsidR="00FD4733" w:rsidRDefault="002076A6" w:rsidP="00FD4733">
      <w:pPr>
        <w:spacing w:after="160" w:line="259" w:lineRule="auto"/>
        <w:jc w:val="left"/>
        <w:rPr>
          <w:rFonts w:asciiTheme="minorHAnsi" w:hAnsiTheme="minorHAnsi"/>
          <w:sz w:val="22"/>
        </w:rPr>
      </w:pPr>
      <w:r>
        <w:rPr>
          <w:szCs w:val="24"/>
        </w:rPr>
        <w:fldChar w:fldCharType="end"/>
      </w:r>
      <w:r w:rsidR="00FD4733">
        <w:rPr>
          <w:szCs w:val="24"/>
        </w:rPr>
        <w:fldChar w:fldCharType="begin"/>
      </w:r>
      <w:r w:rsidR="00FD4733">
        <w:rPr>
          <w:szCs w:val="24"/>
        </w:rPr>
        <w:instrText xml:space="preserve"> LINK </w:instrText>
      </w:r>
      <w:r w:rsidR="002E5F43">
        <w:rPr>
          <w:szCs w:val="24"/>
        </w:rPr>
        <w:instrText xml:space="preserve">Excel.Sheet.12 "C:\\Users\\ognjen.jancic\\Documents\\kopija\\Ognjen\\memorandum\\ERP 2025-2027\\engleska verzija-ubacivanje tabela\\2025_ERP_Annex_tables_RS.xlsx" data!R220C2:R224C8 </w:instrText>
      </w:r>
      <w:r w:rsidR="00FD4733">
        <w:rPr>
          <w:szCs w:val="24"/>
        </w:rPr>
        <w:instrText xml:space="preserve">\a \f 4 \h </w:instrText>
      </w:r>
      <w:r w:rsidR="00FD4733">
        <w:rPr>
          <w:szCs w:val="24"/>
        </w:rPr>
        <w:fldChar w:fldCharType="separate"/>
      </w:r>
    </w:p>
    <w:tbl>
      <w:tblPr>
        <w:tblW w:w="14480" w:type="dxa"/>
        <w:tblLook w:val="04A0" w:firstRow="1" w:lastRow="0" w:firstColumn="1" w:lastColumn="0" w:noHBand="0" w:noVBand="1"/>
      </w:tblPr>
      <w:tblGrid>
        <w:gridCol w:w="5800"/>
        <w:gridCol w:w="1440"/>
        <w:gridCol w:w="1500"/>
        <w:gridCol w:w="1380"/>
        <w:gridCol w:w="1440"/>
        <w:gridCol w:w="1460"/>
        <w:gridCol w:w="1460"/>
      </w:tblGrid>
      <w:tr w:rsidR="00FD4733" w:rsidRPr="00FD4733" w14:paraId="18248EC5" w14:textId="77777777" w:rsidTr="00FD4733">
        <w:trPr>
          <w:trHeight w:val="258"/>
        </w:trPr>
        <w:tc>
          <w:tcPr>
            <w:tcW w:w="5800" w:type="dxa"/>
            <w:tcBorders>
              <w:top w:val="nil"/>
              <w:left w:val="nil"/>
              <w:bottom w:val="nil"/>
              <w:right w:val="nil"/>
            </w:tcBorders>
            <w:shd w:val="clear" w:color="auto" w:fill="auto"/>
            <w:noWrap/>
            <w:vAlign w:val="center"/>
            <w:hideMark/>
          </w:tcPr>
          <w:p w14:paraId="4A8567DE" w14:textId="32D20D93" w:rsidR="00FD4733" w:rsidRPr="00FD4733" w:rsidRDefault="00FD4733">
            <w:pPr>
              <w:rPr>
                <w:rFonts w:eastAsia="Times New Roman" w:cs="Times New Roman"/>
                <w:sz w:val="20"/>
                <w:szCs w:val="20"/>
              </w:rPr>
            </w:pPr>
            <w:r w:rsidRPr="00FD4733">
              <w:rPr>
                <w:rFonts w:eastAsia="Times New Roman" w:cs="Times New Roman"/>
                <w:sz w:val="20"/>
                <w:szCs w:val="20"/>
              </w:rPr>
              <w:t>[1] As defined in Regulation 3605/93 (not an ESA concept).</w:t>
            </w:r>
          </w:p>
        </w:tc>
        <w:tc>
          <w:tcPr>
            <w:tcW w:w="1440" w:type="dxa"/>
            <w:tcBorders>
              <w:top w:val="nil"/>
              <w:left w:val="nil"/>
              <w:bottom w:val="nil"/>
              <w:right w:val="nil"/>
            </w:tcBorders>
            <w:shd w:val="clear" w:color="auto" w:fill="auto"/>
            <w:noWrap/>
            <w:vAlign w:val="bottom"/>
            <w:hideMark/>
          </w:tcPr>
          <w:p w14:paraId="7AEE8CC8" w14:textId="77777777" w:rsidR="00FD4733" w:rsidRPr="00FD4733" w:rsidRDefault="00FD4733" w:rsidP="00FD4733">
            <w:pPr>
              <w:spacing w:after="0"/>
              <w:jc w:val="left"/>
              <w:rPr>
                <w:rFonts w:eastAsia="Times New Roman" w:cs="Times New Roman"/>
                <w:sz w:val="20"/>
                <w:szCs w:val="20"/>
              </w:rPr>
            </w:pPr>
          </w:p>
        </w:tc>
        <w:tc>
          <w:tcPr>
            <w:tcW w:w="1500" w:type="dxa"/>
            <w:tcBorders>
              <w:top w:val="nil"/>
              <w:left w:val="nil"/>
              <w:bottom w:val="nil"/>
              <w:right w:val="nil"/>
            </w:tcBorders>
            <w:shd w:val="clear" w:color="auto" w:fill="auto"/>
            <w:noWrap/>
            <w:vAlign w:val="bottom"/>
            <w:hideMark/>
          </w:tcPr>
          <w:p w14:paraId="2C9BCC65" w14:textId="77777777" w:rsidR="00FD4733" w:rsidRPr="00FD4733" w:rsidRDefault="00FD4733" w:rsidP="00FD4733">
            <w:pPr>
              <w:spacing w:after="0"/>
              <w:jc w:val="center"/>
              <w:rPr>
                <w:rFonts w:eastAsia="Times New Roman" w:cs="Times New Roman"/>
                <w:sz w:val="20"/>
                <w:szCs w:val="20"/>
              </w:rPr>
            </w:pPr>
          </w:p>
        </w:tc>
        <w:tc>
          <w:tcPr>
            <w:tcW w:w="1380" w:type="dxa"/>
            <w:tcBorders>
              <w:top w:val="nil"/>
              <w:left w:val="nil"/>
              <w:bottom w:val="nil"/>
              <w:right w:val="nil"/>
            </w:tcBorders>
            <w:shd w:val="clear" w:color="auto" w:fill="auto"/>
            <w:noWrap/>
            <w:vAlign w:val="bottom"/>
            <w:hideMark/>
          </w:tcPr>
          <w:p w14:paraId="6FFCFC5B" w14:textId="77777777" w:rsidR="00FD4733" w:rsidRPr="00FD4733" w:rsidRDefault="00FD4733" w:rsidP="00FD4733">
            <w:pPr>
              <w:spacing w:after="0"/>
              <w:jc w:val="right"/>
              <w:rPr>
                <w:rFonts w:eastAsia="Times New Roman" w:cs="Times New Roman"/>
                <w:sz w:val="20"/>
                <w:szCs w:val="20"/>
              </w:rPr>
            </w:pPr>
          </w:p>
        </w:tc>
        <w:tc>
          <w:tcPr>
            <w:tcW w:w="1440" w:type="dxa"/>
            <w:tcBorders>
              <w:top w:val="nil"/>
              <w:left w:val="nil"/>
              <w:bottom w:val="nil"/>
              <w:right w:val="nil"/>
            </w:tcBorders>
            <w:shd w:val="clear" w:color="auto" w:fill="auto"/>
            <w:noWrap/>
            <w:vAlign w:val="bottom"/>
            <w:hideMark/>
          </w:tcPr>
          <w:p w14:paraId="576A1BB4" w14:textId="77777777" w:rsidR="00FD4733" w:rsidRPr="00FD4733" w:rsidRDefault="00FD4733" w:rsidP="00FD4733">
            <w:pPr>
              <w:spacing w:after="0"/>
              <w:jc w:val="right"/>
              <w:rPr>
                <w:rFonts w:eastAsia="Times New Roman" w:cs="Times New Roman"/>
                <w:sz w:val="20"/>
                <w:szCs w:val="20"/>
              </w:rPr>
            </w:pPr>
          </w:p>
        </w:tc>
        <w:tc>
          <w:tcPr>
            <w:tcW w:w="1460" w:type="dxa"/>
            <w:tcBorders>
              <w:top w:val="nil"/>
              <w:left w:val="nil"/>
              <w:bottom w:val="nil"/>
              <w:right w:val="nil"/>
            </w:tcBorders>
            <w:shd w:val="clear" w:color="auto" w:fill="auto"/>
            <w:noWrap/>
            <w:vAlign w:val="bottom"/>
            <w:hideMark/>
          </w:tcPr>
          <w:p w14:paraId="1CB5B0EB" w14:textId="77777777" w:rsidR="00FD4733" w:rsidRPr="00FD4733" w:rsidRDefault="00FD4733" w:rsidP="00FD4733">
            <w:pPr>
              <w:spacing w:after="0"/>
              <w:jc w:val="right"/>
              <w:rPr>
                <w:rFonts w:eastAsia="Times New Roman" w:cs="Times New Roman"/>
                <w:sz w:val="20"/>
                <w:szCs w:val="20"/>
              </w:rPr>
            </w:pPr>
          </w:p>
        </w:tc>
        <w:tc>
          <w:tcPr>
            <w:tcW w:w="1460" w:type="dxa"/>
            <w:tcBorders>
              <w:top w:val="nil"/>
              <w:left w:val="nil"/>
              <w:bottom w:val="nil"/>
              <w:right w:val="nil"/>
            </w:tcBorders>
            <w:shd w:val="clear" w:color="auto" w:fill="auto"/>
            <w:noWrap/>
            <w:vAlign w:val="bottom"/>
            <w:hideMark/>
          </w:tcPr>
          <w:p w14:paraId="0150E9C3" w14:textId="77777777" w:rsidR="00FD4733" w:rsidRPr="00FD4733" w:rsidRDefault="00FD4733" w:rsidP="00FD4733">
            <w:pPr>
              <w:spacing w:after="0"/>
              <w:jc w:val="right"/>
              <w:rPr>
                <w:rFonts w:eastAsia="Times New Roman" w:cs="Times New Roman"/>
                <w:sz w:val="20"/>
                <w:szCs w:val="20"/>
              </w:rPr>
            </w:pPr>
          </w:p>
        </w:tc>
      </w:tr>
      <w:tr w:rsidR="00FD4733" w:rsidRPr="00FD4733" w14:paraId="3BCC623F" w14:textId="77777777" w:rsidTr="00FD4733">
        <w:trPr>
          <w:trHeight w:val="258"/>
        </w:trPr>
        <w:tc>
          <w:tcPr>
            <w:tcW w:w="10120" w:type="dxa"/>
            <w:gridSpan w:val="4"/>
            <w:tcBorders>
              <w:top w:val="nil"/>
              <w:left w:val="nil"/>
              <w:bottom w:val="nil"/>
              <w:right w:val="nil"/>
            </w:tcBorders>
            <w:shd w:val="clear" w:color="auto" w:fill="auto"/>
            <w:noWrap/>
            <w:vAlign w:val="center"/>
            <w:hideMark/>
          </w:tcPr>
          <w:p w14:paraId="4D85E67F"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 xml:space="preserve">[4] The differences concerning interest expenditure, other expenditure and revenue could be distinguished when relevant. </w:t>
            </w:r>
          </w:p>
        </w:tc>
        <w:tc>
          <w:tcPr>
            <w:tcW w:w="1440" w:type="dxa"/>
            <w:tcBorders>
              <w:top w:val="nil"/>
              <w:left w:val="nil"/>
              <w:bottom w:val="nil"/>
              <w:right w:val="nil"/>
            </w:tcBorders>
            <w:shd w:val="clear" w:color="auto" w:fill="auto"/>
            <w:noWrap/>
            <w:vAlign w:val="bottom"/>
            <w:hideMark/>
          </w:tcPr>
          <w:p w14:paraId="24E86DB1" w14:textId="77777777" w:rsidR="00FD4733" w:rsidRPr="00FD4733" w:rsidRDefault="00FD4733" w:rsidP="00FD4733">
            <w:pPr>
              <w:spacing w:after="0"/>
              <w:jc w:val="left"/>
              <w:rPr>
                <w:rFonts w:eastAsia="Times New Roman" w:cs="Times New Roman"/>
                <w:sz w:val="20"/>
                <w:szCs w:val="20"/>
              </w:rPr>
            </w:pPr>
          </w:p>
        </w:tc>
        <w:tc>
          <w:tcPr>
            <w:tcW w:w="1460" w:type="dxa"/>
            <w:tcBorders>
              <w:top w:val="nil"/>
              <w:left w:val="nil"/>
              <w:bottom w:val="nil"/>
              <w:right w:val="nil"/>
            </w:tcBorders>
            <w:shd w:val="clear" w:color="auto" w:fill="auto"/>
            <w:noWrap/>
            <w:vAlign w:val="bottom"/>
            <w:hideMark/>
          </w:tcPr>
          <w:p w14:paraId="03C4EF7A" w14:textId="77777777" w:rsidR="00FD4733" w:rsidRPr="00FD4733" w:rsidRDefault="00FD4733" w:rsidP="00FD4733">
            <w:pPr>
              <w:spacing w:after="0"/>
              <w:jc w:val="right"/>
              <w:rPr>
                <w:rFonts w:eastAsia="Times New Roman" w:cs="Times New Roman"/>
                <w:sz w:val="20"/>
                <w:szCs w:val="20"/>
              </w:rPr>
            </w:pPr>
          </w:p>
        </w:tc>
        <w:tc>
          <w:tcPr>
            <w:tcW w:w="1460" w:type="dxa"/>
            <w:tcBorders>
              <w:top w:val="nil"/>
              <w:left w:val="nil"/>
              <w:bottom w:val="nil"/>
              <w:right w:val="nil"/>
            </w:tcBorders>
            <w:shd w:val="clear" w:color="auto" w:fill="auto"/>
            <w:noWrap/>
            <w:vAlign w:val="bottom"/>
            <w:hideMark/>
          </w:tcPr>
          <w:p w14:paraId="3523DC6F" w14:textId="77777777" w:rsidR="00FD4733" w:rsidRPr="00FD4733" w:rsidRDefault="00FD4733" w:rsidP="00FD4733">
            <w:pPr>
              <w:spacing w:after="0"/>
              <w:jc w:val="right"/>
              <w:rPr>
                <w:rFonts w:eastAsia="Times New Roman" w:cs="Times New Roman"/>
                <w:sz w:val="20"/>
                <w:szCs w:val="20"/>
              </w:rPr>
            </w:pPr>
          </w:p>
        </w:tc>
      </w:tr>
      <w:tr w:rsidR="00FD4733" w:rsidRPr="00FD4733" w14:paraId="33D4AA7D" w14:textId="77777777" w:rsidTr="00FD4733">
        <w:trPr>
          <w:trHeight w:val="258"/>
        </w:trPr>
        <w:tc>
          <w:tcPr>
            <w:tcW w:w="14480" w:type="dxa"/>
            <w:gridSpan w:val="7"/>
            <w:tcBorders>
              <w:top w:val="nil"/>
              <w:left w:val="nil"/>
              <w:bottom w:val="nil"/>
              <w:right w:val="nil"/>
            </w:tcBorders>
            <w:shd w:val="clear" w:color="auto" w:fill="auto"/>
            <w:noWrap/>
            <w:vAlign w:val="center"/>
            <w:hideMark/>
          </w:tcPr>
          <w:p w14:paraId="2AE1CF26"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[5] Liquid assets, assets on third countries, government controlled enterprises and the difference between quoted and non-quoted assets could be distinguished when relevant.</w:t>
            </w:r>
          </w:p>
        </w:tc>
      </w:tr>
      <w:tr w:rsidR="00FD4733" w:rsidRPr="00FD4733" w14:paraId="7CBC8E1C" w14:textId="77777777" w:rsidTr="00FD4733">
        <w:trPr>
          <w:trHeight w:val="258"/>
        </w:trPr>
        <w:tc>
          <w:tcPr>
            <w:tcW w:w="10120" w:type="dxa"/>
            <w:gridSpan w:val="4"/>
            <w:tcBorders>
              <w:top w:val="nil"/>
              <w:left w:val="nil"/>
              <w:bottom w:val="nil"/>
              <w:right w:val="nil"/>
            </w:tcBorders>
            <w:shd w:val="clear" w:color="auto" w:fill="auto"/>
            <w:noWrap/>
            <w:vAlign w:val="center"/>
            <w:hideMark/>
          </w:tcPr>
          <w:p w14:paraId="009D5468"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[6] Changes du to exchange rage movement, and operation in secondary market could be distinguished when relevant.</w:t>
            </w:r>
          </w:p>
        </w:tc>
        <w:tc>
          <w:tcPr>
            <w:tcW w:w="1440" w:type="dxa"/>
            <w:tcBorders>
              <w:top w:val="nil"/>
              <w:left w:val="nil"/>
              <w:bottom w:val="nil"/>
              <w:right w:val="nil"/>
            </w:tcBorders>
            <w:shd w:val="clear" w:color="auto" w:fill="auto"/>
            <w:noWrap/>
            <w:vAlign w:val="bottom"/>
            <w:hideMark/>
          </w:tcPr>
          <w:p w14:paraId="2EBBC8D6" w14:textId="77777777" w:rsidR="00FD4733" w:rsidRPr="00FD4733" w:rsidRDefault="00FD4733" w:rsidP="00FD4733">
            <w:pPr>
              <w:spacing w:after="0"/>
              <w:jc w:val="left"/>
              <w:rPr>
                <w:rFonts w:eastAsia="Times New Roman" w:cs="Times New Roman"/>
                <w:sz w:val="20"/>
                <w:szCs w:val="20"/>
              </w:rPr>
            </w:pPr>
          </w:p>
        </w:tc>
        <w:tc>
          <w:tcPr>
            <w:tcW w:w="1460" w:type="dxa"/>
            <w:tcBorders>
              <w:top w:val="nil"/>
              <w:left w:val="nil"/>
              <w:bottom w:val="nil"/>
              <w:right w:val="nil"/>
            </w:tcBorders>
            <w:shd w:val="clear" w:color="auto" w:fill="auto"/>
            <w:noWrap/>
            <w:vAlign w:val="bottom"/>
            <w:hideMark/>
          </w:tcPr>
          <w:p w14:paraId="75149647" w14:textId="77777777" w:rsidR="00FD4733" w:rsidRPr="00FD4733" w:rsidRDefault="00FD4733" w:rsidP="00FD4733">
            <w:pPr>
              <w:spacing w:after="0"/>
              <w:jc w:val="right"/>
              <w:rPr>
                <w:rFonts w:eastAsia="Times New Roman" w:cs="Times New Roman"/>
                <w:sz w:val="20"/>
                <w:szCs w:val="20"/>
              </w:rPr>
            </w:pPr>
          </w:p>
        </w:tc>
        <w:tc>
          <w:tcPr>
            <w:tcW w:w="1460" w:type="dxa"/>
            <w:tcBorders>
              <w:top w:val="nil"/>
              <w:left w:val="nil"/>
              <w:bottom w:val="nil"/>
              <w:right w:val="nil"/>
            </w:tcBorders>
            <w:shd w:val="clear" w:color="auto" w:fill="auto"/>
            <w:noWrap/>
            <w:vAlign w:val="bottom"/>
            <w:hideMark/>
          </w:tcPr>
          <w:p w14:paraId="31D613A6" w14:textId="77777777" w:rsidR="00FD4733" w:rsidRPr="00FD4733" w:rsidRDefault="00FD4733" w:rsidP="00FD4733">
            <w:pPr>
              <w:spacing w:after="0"/>
              <w:jc w:val="right"/>
              <w:rPr>
                <w:rFonts w:eastAsia="Times New Roman" w:cs="Times New Roman"/>
                <w:sz w:val="20"/>
                <w:szCs w:val="20"/>
              </w:rPr>
            </w:pPr>
          </w:p>
        </w:tc>
      </w:tr>
      <w:tr w:rsidR="00FD4733" w:rsidRPr="00FD4733" w14:paraId="7503EE18" w14:textId="77777777" w:rsidTr="00FD4733">
        <w:trPr>
          <w:trHeight w:val="258"/>
        </w:trPr>
        <w:tc>
          <w:tcPr>
            <w:tcW w:w="10120" w:type="dxa"/>
            <w:gridSpan w:val="4"/>
            <w:tcBorders>
              <w:top w:val="nil"/>
              <w:left w:val="nil"/>
              <w:bottom w:val="nil"/>
              <w:right w:val="nil"/>
            </w:tcBorders>
            <w:shd w:val="clear" w:color="auto" w:fill="auto"/>
            <w:noWrap/>
            <w:vAlign w:val="center"/>
            <w:hideMark/>
          </w:tcPr>
          <w:p w14:paraId="68A4BAF6"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[8] AF1, AF2, AF3 (consolidated at market value), AF5 (if quoted at stock exchange; including mutual fund shares).</w:t>
            </w:r>
          </w:p>
        </w:tc>
        <w:tc>
          <w:tcPr>
            <w:tcW w:w="1440" w:type="dxa"/>
            <w:tcBorders>
              <w:top w:val="nil"/>
              <w:left w:val="nil"/>
              <w:bottom w:val="nil"/>
              <w:right w:val="nil"/>
            </w:tcBorders>
            <w:shd w:val="clear" w:color="auto" w:fill="auto"/>
            <w:noWrap/>
            <w:vAlign w:val="bottom"/>
            <w:hideMark/>
          </w:tcPr>
          <w:p w14:paraId="12A553B3" w14:textId="77777777" w:rsidR="00FD4733" w:rsidRPr="00FD4733" w:rsidRDefault="00FD4733" w:rsidP="00FD4733">
            <w:pPr>
              <w:spacing w:after="0"/>
              <w:jc w:val="left"/>
              <w:rPr>
                <w:rFonts w:eastAsia="Times New Roman" w:cs="Times New Roman"/>
                <w:sz w:val="20"/>
                <w:szCs w:val="20"/>
              </w:rPr>
            </w:pPr>
          </w:p>
        </w:tc>
        <w:tc>
          <w:tcPr>
            <w:tcW w:w="1460" w:type="dxa"/>
            <w:tcBorders>
              <w:top w:val="nil"/>
              <w:left w:val="nil"/>
              <w:bottom w:val="nil"/>
              <w:right w:val="nil"/>
            </w:tcBorders>
            <w:shd w:val="clear" w:color="auto" w:fill="auto"/>
            <w:noWrap/>
            <w:vAlign w:val="bottom"/>
            <w:hideMark/>
          </w:tcPr>
          <w:p w14:paraId="6B88B5D1" w14:textId="77777777" w:rsidR="00FD4733" w:rsidRPr="00FD4733" w:rsidRDefault="00FD4733" w:rsidP="00FD4733">
            <w:pPr>
              <w:spacing w:after="0"/>
              <w:jc w:val="right"/>
              <w:rPr>
                <w:rFonts w:eastAsia="Times New Roman" w:cs="Times New Roman"/>
                <w:sz w:val="20"/>
                <w:szCs w:val="20"/>
              </w:rPr>
            </w:pPr>
          </w:p>
        </w:tc>
        <w:tc>
          <w:tcPr>
            <w:tcW w:w="1460" w:type="dxa"/>
            <w:tcBorders>
              <w:top w:val="nil"/>
              <w:left w:val="nil"/>
              <w:bottom w:val="nil"/>
              <w:right w:val="nil"/>
            </w:tcBorders>
            <w:shd w:val="clear" w:color="auto" w:fill="auto"/>
            <w:noWrap/>
            <w:vAlign w:val="bottom"/>
            <w:hideMark/>
          </w:tcPr>
          <w:p w14:paraId="76B4112D" w14:textId="77777777" w:rsidR="00FD4733" w:rsidRPr="00FD4733" w:rsidRDefault="00FD4733" w:rsidP="00FD4733">
            <w:pPr>
              <w:spacing w:after="0"/>
              <w:jc w:val="right"/>
              <w:rPr>
                <w:rFonts w:eastAsia="Times New Roman" w:cs="Times New Roman"/>
                <w:sz w:val="20"/>
                <w:szCs w:val="20"/>
              </w:rPr>
            </w:pPr>
          </w:p>
        </w:tc>
      </w:tr>
    </w:tbl>
    <w:p w14:paraId="6E10AE49" w14:textId="66B237EA" w:rsidR="00FD4733" w:rsidRPr="00FD4733" w:rsidRDefault="00FD4733" w:rsidP="00FD4733">
      <w:pPr>
        <w:spacing w:after="160" w:line="259" w:lineRule="auto"/>
        <w:jc w:val="left"/>
        <w:rPr>
          <w:szCs w:val="24"/>
        </w:rPr>
      </w:pPr>
      <w:r>
        <w:rPr>
          <w:szCs w:val="24"/>
        </w:rPr>
        <w:fldChar w:fldCharType="end"/>
      </w:r>
      <w:r>
        <w:rPr>
          <w:szCs w:val="24"/>
        </w:rPr>
        <w:br w:type="page"/>
      </w:r>
      <w:r>
        <w:fldChar w:fldCharType="begin"/>
      </w:r>
      <w:r>
        <w:instrText xml:space="preserve"> LINK </w:instrText>
      </w:r>
      <w:r w:rsidR="002E5F43">
        <w:instrText xml:space="preserve">Excel.Sheet.12 "C:\\Users\\ognjen.jancic\\Documents\\kopija\\Ognjen\\memorandum\\ERP 2025-2027\\engleska verzija-ubacivanje tabela\\2025_ERP_Annex_tables_RS.xlsx" "Tab4-GG Debt!R4C2:R24C9" </w:instrText>
      </w:r>
      <w:r>
        <w:instrText xml:space="preserve">\a \f 4 \h  \* MERGEFORMAT </w:instrText>
      </w:r>
      <w:r>
        <w:fldChar w:fldCharType="separate"/>
      </w:r>
    </w:p>
    <w:tbl>
      <w:tblPr>
        <w:tblW w:w="15271" w:type="dxa"/>
        <w:tblLook w:val="04A0" w:firstRow="1" w:lastRow="0" w:firstColumn="1" w:lastColumn="0" w:noHBand="0" w:noVBand="1"/>
      </w:tblPr>
      <w:tblGrid>
        <w:gridCol w:w="5991"/>
        <w:gridCol w:w="1364"/>
        <w:gridCol w:w="1390"/>
        <w:gridCol w:w="1845"/>
        <w:gridCol w:w="1524"/>
        <w:gridCol w:w="1578"/>
        <w:gridCol w:w="1579"/>
      </w:tblGrid>
      <w:tr w:rsidR="00FD4733" w:rsidRPr="00FD4733" w14:paraId="12BD12D1" w14:textId="77777777" w:rsidTr="00FD4733">
        <w:trPr>
          <w:trHeight w:val="317"/>
        </w:trPr>
        <w:tc>
          <w:tcPr>
            <w:tcW w:w="5991" w:type="dxa"/>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1B97FBDB" w14:textId="72DEF2AC"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lastRenderedPageBreak/>
              <w:t>% of GDP</w:t>
            </w:r>
          </w:p>
        </w:tc>
        <w:tc>
          <w:tcPr>
            <w:tcW w:w="1364"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30A5C651"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ESA code</w:t>
            </w:r>
          </w:p>
        </w:tc>
        <w:tc>
          <w:tcPr>
            <w:tcW w:w="1390" w:type="dxa"/>
            <w:tcBorders>
              <w:top w:val="double" w:sz="6" w:space="0" w:color="auto"/>
              <w:left w:val="nil"/>
              <w:bottom w:val="nil"/>
              <w:right w:val="dotted" w:sz="4" w:space="0" w:color="auto"/>
            </w:tcBorders>
            <w:shd w:val="clear" w:color="000000" w:fill="FFFFFF"/>
            <w:vAlign w:val="center"/>
            <w:hideMark/>
          </w:tcPr>
          <w:p w14:paraId="62B5EF62"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Year</w:t>
            </w:r>
          </w:p>
        </w:tc>
        <w:tc>
          <w:tcPr>
            <w:tcW w:w="1845" w:type="dxa"/>
            <w:tcBorders>
              <w:top w:val="double" w:sz="6" w:space="0" w:color="auto"/>
              <w:left w:val="nil"/>
              <w:bottom w:val="nil"/>
              <w:right w:val="dotted" w:sz="4" w:space="0" w:color="auto"/>
            </w:tcBorders>
            <w:shd w:val="clear" w:color="000000" w:fill="FFFFFF"/>
            <w:vAlign w:val="center"/>
            <w:hideMark/>
          </w:tcPr>
          <w:p w14:paraId="78AD7A42"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Year</w:t>
            </w:r>
          </w:p>
        </w:tc>
        <w:tc>
          <w:tcPr>
            <w:tcW w:w="1524" w:type="dxa"/>
            <w:tcBorders>
              <w:top w:val="double" w:sz="6" w:space="0" w:color="auto"/>
              <w:left w:val="nil"/>
              <w:bottom w:val="nil"/>
              <w:right w:val="dotted" w:sz="4" w:space="0" w:color="auto"/>
            </w:tcBorders>
            <w:shd w:val="clear" w:color="000000" w:fill="FFFFFF"/>
            <w:vAlign w:val="center"/>
            <w:hideMark/>
          </w:tcPr>
          <w:p w14:paraId="32383941"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Year</w:t>
            </w:r>
          </w:p>
        </w:tc>
        <w:tc>
          <w:tcPr>
            <w:tcW w:w="1578" w:type="dxa"/>
            <w:tcBorders>
              <w:top w:val="double" w:sz="6" w:space="0" w:color="auto"/>
              <w:left w:val="nil"/>
              <w:bottom w:val="nil"/>
              <w:right w:val="dotted" w:sz="4" w:space="0" w:color="auto"/>
            </w:tcBorders>
            <w:shd w:val="clear" w:color="000000" w:fill="FFFFFF"/>
            <w:vAlign w:val="center"/>
            <w:hideMark/>
          </w:tcPr>
          <w:p w14:paraId="31F92F15"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Year</w:t>
            </w:r>
          </w:p>
        </w:tc>
        <w:tc>
          <w:tcPr>
            <w:tcW w:w="1578" w:type="dxa"/>
            <w:tcBorders>
              <w:top w:val="double" w:sz="6" w:space="0" w:color="auto"/>
              <w:left w:val="nil"/>
              <w:bottom w:val="nil"/>
              <w:right w:val="double" w:sz="6" w:space="0" w:color="auto"/>
            </w:tcBorders>
            <w:shd w:val="clear" w:color="000000" w:fill="FFFFFF"/>
            <w:vAlign w:val="center"/>
            <w:hideMark/>
          </w:tcPr>
          <w:p w14:paraId="3F900282"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Year</w:t>
            </w:r>
          </w:p>
        </w:tc>
      </w:tr>
      <w:tr w:rsidR="00FD4733" w:rsidRPr="00FD4733" w14:paraId="121BBAEB" w14:textId="77777777" w:rsidTr="00FD4733">
        <w:trPr>
          <w:trHeight w:val="317"/>
        </w:trPr>
        <w:tc>
          <w:tcPr>
            <w:tcW w:w="5991" w:type="dxa"/>
            <w:vMerge/>
            <w:tcBorders>
              <w:top w:val="double" w:sz="6" w:space="0" w:color="auto"/>
              <w:left w:val="double" w:sz="6" w:space="0" w:color="auto"/>
              <w:bottom w:val="single" w:sz="8" w:space="0" w:color="000000"/>
              <w:right w:val="dotted" w:sz="4" w:space="0" w:color="auto"/>
            </w:tcBorders>
            <w:vAlign w:val="center"/>
            <w:hideMark/>
          </w:tcPr>
          <w:p w14:paraId="7A878A61" w14:textId="77777777" w:rsidR="00FD4733" w:rsidRPr="00FD4733" w:rsidRDefault="00FD4733" w:rsidP="00FD4733">
            <w:pPr>
              <w:spacing w:after="0"/>
              <w:jc w:val="left"/>
              <w:rPr>
                <w:rFonts w:eastAsia="Times New Roman" w:cs="Times New Roman"/>
                <w:szCs w:val="24"/>
              </w:rPr>
            </w:pPr>
          </w:p>
        </w:tc>
        <w:tc>
          <w:tcPr>
            <w:tcW w:w="1364" w:type="dxa"/>
            <w:vMerge/>
            <w:tcBorders>
              <w:top w:val="double" w:sz="6" w:space="0" w:color="auto"/>
              <w:left w:val="dotted" w:sz="4" w:space="0" w:color="auto"/>
              <w:bottom w:val="single" w:sz="8" w:space="0" w:color="000000"/>
              <w:right w:val="single" w:sz="8" w:space="0" w:color="auto"/>
            </w:tcBorders>
            <w:vAlign w:val="center"/>
            <w:hideMark/>
          </w:tcPr>
          <w:p w14:paraId="3CD49CC1" w14:textId="77777777" w:rsidR="00FD4733" w:rsidRPr="00FD4733" w:rsidRDefault="00FD4733" w:rsidP="00FD4733">
            <w:pPr>
              <w:spacing w:after="0"/>
              <w:jc w:val="left"/>
              <w:rPr>
                <w:rFonts w:eastAsia="Times New Roman" w:cs="Times New Roman"/>
                <w:szCs w:val="24"/>
              </w:rPr>
            </w:pPr>
          </w:p>
        </w:tc>
        <w:tc>
          <w:tcPr>
            <w:tcW w:w="1390" w:type="dxa"/>
            <w:tcBorders>
              <w:top w:val="nil"/>
              <w:left w:val="nil"/>
              <w:bottom w:val="single" w:sz="8" w:space="0" w:color="auto"/>
              <w:right w:val="dotted" w:sz="4" w:space="0" w:color="auto"/>
            </w:tcBorders>
            <w:shd w:val="clear" w:color="000000" w:fill="FFFFFF"/>
            <w:vAlign w:val="center"/>
            <w:hideMark/>
          </w:tcPr>
          <w:p w14:paraId="438E7925"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2023</w:t>
            </w:r>
          </w:p>
        </w:tc>
        <w:tc>
          <w:tcPr>
            <w:tcW w:w="1845" w:type="dxa"/>
            <w:tcBorders>
              <w:top w:val="nil"/>
              <w:left w:val="nil"/>
              <w:bottom w:val="single" w:sz="8" w:space="0" w:color="auto"/>
              <w:right w:val="dotted" w:sz="4" w:space="0" w:color="auto"/>
            </w:tcBorders>
            <w:shd w:val="clear" w:color="000000" w:fill="FFFFFF"/>
            <w:vAlign w:val="center"/>
            <w:hideMark/>
          </w:tcPr>
          <w:p w14:paraId="4BCA62E6"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2024</w:t>
            </w:r>
          </w:p>
        </w:tc>
        <w:tc>
          <w:tcPr>
            <w:tcW w:w="1524" w:type="dxa"/>
            <w:tcBorders>
              <w:top w:val="nil"/>
              <w:left w:val="nil"/>
              <w:bottom w:val="single" w:sz="8" w:space="0" w:color="auto"/>
              <w:right w:val="dotted" w:sz="4" w:space="0" w:color="auto"/>
            </w:tcBorders>
            <w:shd w:val="clear" w:color="000000" w:fill="FFFFFF"/>
            <w:vAlign w:val="center"/>
            <w:hideMark/>
          </w:tcPr>
          <w:p w14:paraId="2E40DEF5"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2025</w:t>
            </w:r>
          </w:p>
        </w:tc>
        <w:tc>
          <w:tcPr>
            <w:tcW w:w="1578" w:type="dxa"/>
            <w:tcBorders>
              <w:top w:val="nil"/>
              <w:left w:val="nil"/>
              <w:bottom w:val="single" w:sz="8" w:space="0" w:color="auto"/>
              <w:right w:val="dotted" w:sz="4" w:space="0" w:color="auto"/>
            </w:tcBorders>
            <w:shd w:val="clear" w:color="000000" w:fill="FFFFFF"/>
            <w:vAlign w:val="center"/>
            <w:hideMark/>
          </w:tcPr>
          <w:p w14:paraId="09B628D6"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2026</w:t>
            </w:r>
          </w:p>
        </w:tc>
        <w:tc>
          <w:tcPr>
            <w:tcW w:w="1578" w:type="dxa"/>
            <w:tcBorders>
              <w:top w:val="nil"/>
              <w:left w:val="nil"/>
              <w:bottom w:val="single" w:sz="8" w:space="0" w:color="auto"/>
              <w:right w:val="double" w:sz="6" w:space="0" w:color="auto"/>
            </w:tcBorders>
            <w:shd w:val="clear" w:color="000000" w:fill="FFFFFF"/>
            <w:vAlign w:val="center"/>
            <w:hideMark/>
          </w:tcPr>
          <w:p w14:paraId="2C494653"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2027</w:t>
            </w:r>
          </w:p>
        </w:tc>
      </w:tr>
      <w:tr w:rsidR="00FD4733" w:rsidRPr="00FD4733" w14:paraId="242CCD49" w14:textId="77777777" w:rsidTr="00FD4733">
        <w:trPr>
          <w:trHeight w:val="317"/>
        </w:trPr>
        <w:tc>
          <w:tcPr>
            <w:tcW w:w="5991" w:type="dxa"/>
            <w:tcBorders>
              <w:top w:val="nil"/>
              <w:left w:val="double" w:sz="6" w:space="0" w:color="auto"/>
              <w:bottom w:val="single" w:sz="8" w:space="0" w:color="auto"/>
              <w:right w:val="dotted" w:sz="4" w:space="0" w:color="auto"/>
            </w:tcBorders>
            <w:shd w:val="clear" w:color="auto" w:fill="auto"/>
            <w:noWrap/>
            <w:vAlign w:val="bottom"/>
            <w:hideMark/>
          </w:tcPr>
          <w:p w14:paraId="4CDE77E7" w14:textId="77777777" w:rsidR="00FD4733" w:rsidRPr="00FD4733" w:rsidRDefault="00FD4733" w:rsidP="00FD4733">
            <w:pPr>
              <w:spacing w:after="0"/>
              <w:jc w:val="left"/>
              <w:rPr>
                <w:rFonts w:eastAsia="Times New Roman" w:cs="Times New Roman"/>
                <w:b/>
                <w:bCs/>
                <w:sz w:val="20"/>
                <w:szCs w:val="20"/>
              </w:rPr>
            </w:pPr>
            <w:r w:rsidRPr="00FD4733">
              <w:rPr>
                <w:rFonts w:eastAsia="Times New Roman" w:cs="Times New Roman"/>
                <w:b/>
                <w:bCs/>
                <w:sz w:val="20"/>
                <w:szCs w:val="20"/>
              </w:rPr>
              <w:t xml:space="preserve">  1. Gross debt [1]</w:t>
            </w:r>
          </w:p>
        </w:tc>
        <w:tc>
          <w:tcPr>
            <w:tcW w:w="1364" w:type="dxa"/>
            <w:tcBorders>
              <w:top w:val="nil"/>
              <w:left w:val="nil"/>
              <w:bottom w:val="single" w:sz="8" w:space="0" w:color="auto"/>
              <w:right w:val="single" w:sz="8" w:space="0" w:color="auto"/>
            </w:tcBorders>
            <w:shd w:val="clear" w:color="000000" w:fill="FFFFFF"/>
            <w:vAlign w:val="center"/>
            <w:hideMark/>
          </w:tcPr>
          <w:p w14:paraId="0DAAAB0B" w14:textId="77777777" w:rsidR="00FD4733" w:rsidRPr="00FD4733" w:rsidRDefault="00FD4733" w:rsidP="00FD4733">
            <w:pPr>
              <w:spacing w:after="0"/>
              <w:jc w:val="left"/>
              <w:rPr>
                <w:rFonts w:eastAsia="Times New Roman" w:cs="Times New Roman"/>
                <w:szCs w:val="24"/>
              </w:rPr>
            </w:pPr>
            <w:r w:rsidRPr="00FD4733">
              <w:rPr>
                <w:rFonts w:eastAsia="Times New Roman" w:cs="Times New Roman"/>
                <w:szCs w:val="24"/>
              </w:rPr>
              <w:t> </w:t>
            </w:r>
          </w:p>
        </w:tc>
        <w:tc>
          <w:tcPr>
            <w:tcW w:w="1390" w:type="dxa"/>
            <w:tcBorders>
              <w:top w:val="nil"/>
              <w:left w:val="nil"/>
              <w:bottom w:val="single" w:sz="8" w:space="0" w:color="auto"/>
              <w:right w:val="dotted" w:sz="4" w:space="0" w:color="auto"/>
            </w:tcBorders>
            <w:shd w:val="clear" w:color="000000" w:fill="FFFFFF"/>
            <w:vAlign w:val="center"/>
            <w:hideMark/>
          </w:tcPr>
          <w:p w14:paraId="67707B78"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48,4</w:t>
            </w:r>
          </w:p>
        </w:tc>
        <w:tc>
          <w:tcPr>
            <w:tcW w:w="1845" w:type="dxa"/>
            <w:tcBorders>
              <w:top w:val="nil"/>
              <w:left w:val="nil"/>
              <w:bottom w:val="single" w:sz="8" w:space="0" w:color="auto"/>
              <w:right w:val="dotted" w:sz="4" w:space="0" w:color="auto"/>
            </w:tcBorders>
            <w:shd w:val="clear" w:color="000000" w:fill="FFFFFF"/>
            <w:vAlign w:val="center"/>
            <w:hideMark/>
          </w:tcPr>
          <w:p w14:paraId="613D8674"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47,9</w:t>
            </w:r>
          </w:p>
        </w:tc>
        <w:tc>
          <w:tcPr>
            <w:tcW w:w="1524" w:type="dxa"/>
            <w:tcBorders>
              <w:top w:val="nil"/>
              <w:left w:val="nil"/>
              <w:bottom w:val="single" w:sz="8" w:space="0" w:color="auto"/>
              <w:right w:val="dotted" w:sz="4" w:space="0" w:color="auto"/>
            </w:tcBorders>
            <w:shd w:val="clear" w:color="000000" w:fill="FFFFFF"/>
            <w:vAlign w:val="center"/>
            <w:hideMark/>
          </w:tcPr>
          <w:p w14:paraId="105C0482"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47,5</w:t>
            </w:r>
          </w:p>
        </w:tc>
        <w:tc>
          <w:tcPr>
            <w:tcW w:w="1578" w:type="dxa"/>
            <w:tcBorders>
              <w:top w:val="nil"/>
              <w:left w:val="nil"/>
              <w:bottom w:val="single" w:sz="8" w:space="0" w:color="auto"/>
              <w:right w:val="dotted" w:sz="4" w:space="0" w:color="auto"/>
            </w:tcBorders>
            <w:shd w:val="clear" w:color="000000" w:fill="FFFFFF"/>
            <w:vAlign w:val="center"/>
            <w:hideMark/>
          </w:tcPr>
          <w:p w14:paraId="3525A613"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47,0</w:t>
            </w:r>
          </w:p>
        </w:tc>
        <w:tc>
          <w:tcPr>
            <w:tcW w:w="1578" w:type="dxa"/>
            <w:tcBorders>
              <w:top w:val="nil"/>
              <w:left w:val="nil"/>
              <w:bottom w:val="single" w:sz="8" w:space="0" w:color="auto"/>
              <w:right w:val="double" w:sz="6" w:space="0" w:color="auto"/>
            </w:tcBorders>
            <w:shd w:val="clear" w:color="000000" w:fill="FFFFFF"/>
            <w:vAlign w:val="center"/>
            <w:hideMark/>
          </w:tcPr>
          <w:p w14:paraId="0060FF3F"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46,5</w:t>
            </w:r>
          </w:p>
        </w:tc>
      </w:tr>
      <w:tr w:rsidR="00FD4733" w:rsidRPr="00FD4733" w14:paraId="5CFAA598" w14:textId="77777777" w:rsidTr="00FD4733">
        <w:trPr>
          <w:trHeight w:val="317"/>
        </w:trPr>
        <w:tc>
          <w:tcPr>
            <w:tcW w:w="5991" w:type="dxa"/>
            <w:tcBorders>
              <w:top w:val="nil"/>
              <w:left w:val="double" w:sz="6" w:space="0" w:color="auto"/>
              <w:bottom w:val="single" w:sz="8" w:space="0" w:color="auto"/>
              <w:right w:val="dotted" w:sz="4" w:space="0" w:color="auto"/>
            </w:tcBorders>
            <w:shd w:val="clear" w:color="000000" w:fill="FFFFFF"/>
            <w:vAlign w:val="center"/>
            <w:hideMark/>
          </w:tcPr>
          <w:p w14:paraId="65CC223D" w14:textId="77777777" w:rsidR="00FD4733" w:rsidRPr="00FD4733" w:rsidRDefault="00FD4733" w:rsidP="00FD4733">
            <w:pPr>
              <w:spacing w:after="0"/>
              <w:jc w:val="left"/>
              <w:rPr>
                <w:rFonts w:eastAsia="Times New Roman" w:cs="Times New Roman"/>
                <w:b/>
                <w:bCs/>
                <w:sz w:val="20"/>
                <w:szCs w:val="20"/>
              </w:rPr>
            </w:pPr>
            <w:r w:rsidRPr="00FD4733">
              <w:rPr>
                <w:rFonts w:eastAsia="Times New Roman" w:cs="Times New Roman"/>
                <w:b/>
                <w:bCs/>
                <w:sz w:val="20"/>
                <w:szCs w:val="20"/>
              </w:rPr>
              <w:t xml:space="preserve">  2. Change in gross debt ratio</w:t>
            </w:r>
          </w:p>
        </w:tc>
        <w:tc>
          <w:tcPr>
            <w:tcW w:w="1364" w:type="dxa"/>
            <w:tcBorders>
              <w:top w:val="nil"/>
              <w:left w:val="nil"/>
              <w:bottom w:val="single" w:sz="8" w:space="0" w:color="auto"/>
              <w:right w:val="single" w:sz="8" w:space="0" w:color="auto"/>
            </w:tcBorders>
            <w:shd w:val="clear" w:color="000000" w:fill="FFFFFF"/>
            <w:vAlign w:val="center"/>
            <w:hideMark/>
          </w:tcPr>
          <w:p w14:paraId="634A79A4" w14:textId="77777777" w:rsidR="00FD4733" w:rsidRPr="00FD4733" w:rsidRDefault="00FD4733" w:rsidP="00FD4733">
            <w:pPr>
              <w:spacing w:after="0"/>
              <w:jc w:val="left"/>
              <w:rPr>
                <w:rFonts w:eastAsia="Times New Roman" w:cs="Times New Roman"/>
                <w:szCs w:val="24"/>
              </w:rPr>
            </w:pPr>
            <w:r w:rsidRPr="00FD4733">
              <w:rPr>
                <w:rFonts w:eastAsia="Times New Roman" w:cs="Times New Roman"/>
                <w:szCs w:val="24"/>
              </w:rPr>
              <w:t> </w:t>
            </w:r>
          </w:p>
        </w:tc>
        <w:tc>
          <w:tcPr>
            <w:tcW w:w="1390" w:type="dxa"/>
            <w:tcBorders>
              <w:top w:val="nil"/>
              <w:left w:val="nil"/>
              <w:bottom w:val="single" w:sz="8" w:space="0" w:color="auto"/>
              <w:right w:val="dotted" w:sz="4" w:space="0" w:color="auto"/>
            </w:tcBorders>
            <w:shd w:val="clear" w:color="000000" w:fill="FFFFFF"/>
            <w:vAlign w:val="center"/>
            <w:hideMark/>
          </w:tcPr>
          <w:p w14:paraId="3B296F9B"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-4,5</w:t>
            </w:r>
          </w:p>
        </w:tc>
        <w:tc>
          <w:tcPr>
            <w:tcW w:w="1845" w:type="dxa"/>
            <w:tcBorders>
              <w:top w:val="nil"/>
              <w:left w:val="nil"/>
              <w:bottom w:val="single" w:sz="8" w:space="0" w:color="auto"/>
              <w:right w:val="dotted" w:sz="4" w:space="0" w:color="auto"/>
            </w:tcBorders>
            <w:shd w:val="clear" w:color="000000" w:fill="FFFFFF"/>
            <w:vAlign w:val="center"/>
            <w:hideMark/>
          </w:tcPr>
          <w:p w14:paraId="3FAB5DC8"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-0,5</w:t>
            </w:r>
          </w:p>
        </w:tc>
        <w:tc>
          <w:tcPr>
            <w:tcW w:w="1524" w:type="dxa"/>
            <w:tcBorders>
              <w:top w:val="nil"/>
              <w:left w:val="nil"/>
              <w:bottom w:val="single" w:sz="8" w:space="0" w:color="auto"/>
              <w:right w:val="dotted" w:sz="4" w:space="0" w:color="auto"/>
            </w:tcBorders>
            <w:shd w:val="clear" w:color="000000" w:fill="FFFFFF"/>
            <w:vAlign w:val="center"/>
            <w:hideMark/>
          </w:tcPr>
          <w:p w14:paraId="2C399EA5"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-0,4</w:t>
            </w:r>
          </w:p>
        </w:tc>
        <w:tc>
          <w:tcPr>
            <w:tcW w:w="1578" w:type="dxa"/>
            <w:tcBorders>
              <w:top w:val="nil"/>
              <w:left w:val="nil"/>
              <w:bottom w:val="single" w:sz="8" w:space="0" w:color="auto"/>
              <w:right w:val="dotted" w:sz="4" w:space="0" w:color="auto"/>
            </w:tcBorders>
            <w:shd w:val="clear" w:color="000000" w:fill="FFFFFF"/>
            <w:vAlign w:val="center"/>
            <w:hideMark/>
          </w:tcPr>
          <w:p w14:paraId="3987E361"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-0,5</w:t>
            </w:r>
          </w:p>
        </w:tc>
        <w:tc>
          <w:tcPr>
            <w:tcW w:w="1578" w:type="dxa"/>
            <w:tcBorders>
              <w:top w:val="nil"/>
              <w:left w:val="nil"/>
              <w:bottom w:val="single" w:sz="8" w:space="0" w:color="auto"/>
              <w:right w:val="double" w:sz="6" w:space="0" w:color="auto"/>
            </w:tcBorders>
            <w:shd w:val="clear" w:color="000000" w:fill="FFFFFF"/>
            <w:vAlign w:val="center"/>
            <w:hideMark/>
          </w:tcPr>
          <w:p w14:paraId="2D2AC5FF"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-0,4</w:t>
            </w:r>
          </w:p>
        </w:tc>
      </w:tr>
      <w:tr w:rsidR="00FD4733" w:rsidRPr="00FD4733" w14:paraId="6CFB27A6" w14:textId="77777777" w:rsidTr="00FD4733">
        <w:trPr>
          <w:trHeight w:val="317"/>
        </w:trPr>
        <w:tc>
          <w:tcPr>
            <w:tcW w:w="15271" w:type="dxa"/>
            <w:gridSpan w:val="7"/>
            <w:tcBorders>
              <w:top w:val="single" w:sz="8" w:space="0" w:color="auto"/>
              <w:left w:val="double" w:sz="6" w:space="0" w:color="auto"/>
              <w:bottom w:val="single" w:sz="8" w:space="0" w:color="auto"/>
              <w:right w:val="nil"/>
            </w:tcBorders>
            <w:shd w:val="clear" w:color="000000" w:fill="FFFFFF"/>
            <w:vAlign w:val="center"/>
            <w:hideMark/>
          </w:tcPr>
          <w:p w14:paraId="16AFAFE2" w14:textId="77777777" w:rsidR="00FD4733" w:rsidRPr="00FD4733" w:rsidRDefault="00FD4733" w:rsidP="00FD4733">
            <w:pPr>
              <w:spacing w:after="0"/>
              <w:jc w:val="center"/>
              <w:rPr>
                <w:rFonts w:eastAsia="Times New Roman" w:cs="Times New Roman"/>
                <w:b/>
                <w:bCs/>
                <w:szCs w:val="24"/>
              </w:rPr>
            </w:pPr>
            <w:r w:rsidRPr="00FD4733">
              <w:rPr>
                <w:rFonts w:eastAsia="Times New Roman" w:cs="Times New Roman"/>
                <w:b/>
                <w:bCs/>
                <w:szCs w:val="24"/>
              </w:rPr>
              <w:t>Contributions to change in gross debt</w:t>
            </w:r>
          </w:p>
        </w:tc>
      </w:tr>
      <w:tr w:rsidR="00FD4733" w:rsidRPr="00FD4733" w14:paraId="2CA97647" w14:textId="77777777" w:rsidTr="00FD4733">
        <w:trPr>
          <w:trHeight w:val="317"/>
        </w:trPr>
        <w:tc>
          <w:tcPr>
            <w:tcW w:w="5991" w:type="dxa"/>
            <w:tcBorders>
              <w:top w:val="nil"/>
              <w:left w:val="double" w:sz="6" w:space="0" w:color="auto"/>
              <w:bottom w:val="dotted" w:sz="4" w:space="0" w:color="auto"/>
              <w:right w:val="dotted" w:sz="4" w:space="0" w:color="auto"/>
            </w:tcBorders>
            <w:shd w:val="clear" w:color="auto" w:fill="auto"/>
            <w:noWrap/>
            <w:vAlign w:val="bottom"/>
            <w:hideMark/>
          </w:tcPr>
          <w:p w14:paraId="7A2CEE22" w14:textId="77777777" w:rsidR="00FD4733" w:rsidRPr="00FD4733" w:rsidRDefault="00FD4733" w:rsidP="00FD4733">
            <w:pPr>
              <w:spacing w:after="0"/>
              <w:jc w:val="left"/>
              <w:rPr>
                <w:rFonts w:eastAsia="Times New Roman" w:cs="Times New Roman"/>
                <w:b/>
                <w:bCs/>
                <w:sz w:val="20"/>
                <w:szCs w:val="20"/>
              </w:rPr>
            </w:pPr>
            <w:r w:rsidRPr="00FD4733">
              <w:rPr>
                <w:rFonts w:eastAsia="Times New Roman" w:cs="Times New Roman"/>
                <w:b/>
                <w:bCs/>
                <w:sz w:val="20"/>
                <w:szCs w:val="20"/>
              </w:rPr>
              <w:t xml:space="preserve">  3. Primary balance [2]</w:t>
            </w:r>
          </w:p>
        </w:tc>
        <w:tc>
          <w:tcPr>
            <w:tcW w:w="1364" w:type="dxa"/>
            <w:tcBorders>
              <w:top w:val="nil"/>
              <w:left w:val="nil"/>
              <w:bottom w:val="dotted" w:sz="4" w:space="0" w:color="auto"/>
              <w:right w:val="single" w:sz="8" w:space="0" w:color="auto"/>
            </w:tcBorders>
            <w:shd w:val="clear" w:color="000000" w:fill="FFFFFF"/>
            <w:vAlign w:val="center"/>
            <w:hideMark/>
          </w:tcPr>
          <w:p w14:paraId="28B87EAC"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 </w:t>
            </w:r>
          </w:p>
        </w:tc>
        <w:tc>
          <w:tcPr>
            <w:tcW w:w="1390" w:type="dxa"/>
            <w:tcBorders>
              <w:top w:val="nil"/>
              <w:left w:val="nil"/>
              <w:bottom w:val="dotted" w:sz="4" w:space="0" w:color="auto"/>
              <w:right w:val="dotted" w:sz="4" w:space="0" w:color="auto"/>
            </w:tcBorders>
            <w:shd w:val="clear" w:color="000000" w:fill="FFFFFF"/>
            <w:vAlign w:val="center"/>
            <w:hideMark/>
          </w:tcPr>
          <w:p w14:paraId="48E04AC0"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0,4</w:t>
            </w:r>
          </w:p>
        </w:tc>
        <w:tc>
          <w:tcPr>
            <w:tcW w:w="1845" w:type="dxa"/>
            <w:tcBorders>
              <w:top w:val="nil"/>
              <w:left w:val="nil"/>
              <w:bottom w:val="dotted" w:sz="4" w:space="0" w:color="auto"/>
              <w:right w:val="dotted" w:sz="4" w:space="0" w:color="auto"/>
            </w:tcBorders>
            <w:shd w:val="clear" w:color="000000" w:fill="FFFFFF"/>
            <w:vAlign w:val="center"/>
            <w:hideMark/>
          </w:tcPr>
          <w:p w14:paraId="5FA07F6A"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0,8</w:t>
            </w:r>
          </w:p>
        </w:tc>
        <w:tc>
          <w:tcPr>
            <w:tcW w:w="1524" w:type="dxa"/>
            <w:tcBorders>
              <w:top w:val="nil"/>
              <w:left w:val="nil"/>
              <w:bottom w:val="dotted" w:sz="4" w:space="0" w:color="auto"/>
              <w:right w:val="dotted" w:sz="4" w:space="0" w:color="auto"/>
            </w:tcBorders>
            <w:shd w:val="clear" w:color="000000" w:fill="FFFFFF"/>
            <w:vAlign w:val="center"/>
            <w:hideMark/>
          </w:tcPr>
          <w:p w14:paraId="2B44F348"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0,9</w:t>
            </w:r>
          </w:p>
        </w:tc>
        <w:tc>
          <w:tcPr>
            <w:tcW w:w="1578" w:type="dxa"/>
            <w:tcBorders>
              <w:top w:val="nil"/>
              <w:left w:val="nil"/>
              <w:bottom w:val="dotted" w:sz="4" w:space="0" w:color="auto"/>
              <w:right w:val="dotted" w:sz="4" w:space="0" w:color="auto"/>
            </w:tcBorders>
            <w:shd w:val="clear" w:color="000000" w:fill="FFFFFF"/>
            <w:vAlign w:val="center"/>
            <w:hideMark/>
          </w:tcPr>
          <w:p w14:paraId="0F35C89B"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0,9</w:t>
            </w:r>
          </w:p>
        </w:tc>
        <w:tc>
          <w:tcPr>
            <w:tcW w:w="1578" w:type="dxa"/>
            <w:tcBorders>
              <w:top w:val="nil"/>
              <w:left w:val="nil"/>
              <w:bottom w:val="dotted" w:sz="4" w:space="0" w:color="auto"/>
              <w:right w:val="double" w:sz="6" w:space="0" w:color="auto"/>
            </w:tcBorders>
            <w:shd w:val="clear" w:color="000000" w:fill="FFFFFF"/>
            <w:vAlign w:val="center"/>
            <w:hideMark/>
          </w:tcPr>
          <w:p w14:paraId="1D5DA5AC"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1,0</w:t>
            </w:r>
          </w:p>
        </w:tc>
      </w:tr>
      <w:tr w:rsidR="00FD4733" w:rsidRPr="00FD4733" w14:paraId="4F28249B" w14:textId="77777777" w:rsidTr="00FD4733">
        <w:trPr>
          <w:trHeight w:val="317"/>
        </w:trPr>
        <w:tc>
          <w:tcPr>
            <w:tcW w:w="5991" w:type="dxa"/>
            <w:tcBorders>
              <w:top w:val="dotted" w:sz="4" w:space="0" w:color="auto"/>
              <w:left w:val="double" w:sz="6" w:space="0" w:color="auto"/>
              <w:bottom w:val="dotted" w:sz="4" w:space="0" w:color="auto"/>
              <w:right w:val="dotted" w:sz="4" w:space="0" w:color="auto"/>
            </w:tcBorders>
            <w:shd w:val="clear" w:color="auto" w:fill="auto"/>
            <w:noWrap/>
            <w:vAlign w:val="bottom"/>
            <w:hideMark/>
          </w:tcPr>
          <w:p w14:paraId="7C2B3D82" w14:textId="77777777" w:rsidR="00FD4733" w:rsidRPr="00FD4733" w:rsidRDefault="00FD4733" w:rsidP="00FD4733">
            <w:pPr>
              <w:spacing w:after="0"/>
              <w:jc w:val="left"/>
              <w:rPr>
                <w:rFonts w:eastAsia="Times New Roman" w:cs="Times New Roman"/>
                <w:b/>
                <w:bCs/>
                <w:sz w:val="20"/>
                <w:szCs w:val="20"/>
              </w:rPr>
            </w:pPr>
            <w:r w:rsidRPr="00FD4733">
              <w:rPr>
                <w:rFonts w:eastAsia="Times New Roman" w:cs="Times New Roman"/>
                <w:b/>
                <w:bCs/>
                <w:sz w:val="20"/>
                <w:szCs w:val="20"/>
              </w:rPr>
              <w:t xml:space="preserve">  4.  Interest expenditure  [3]</w:t>
            </w:r>
          </w:p>
        </w:tc>
        <w:tc>
          <w:tcPr>
            <w:tcW w:w="1364" w:type="dxa"/>
            <w:tcBorders>
              <w:top w:val="dotted" w:sz="4" w:space="0" w:color="auto"/>
              <w:left w:val="nil"/>
              <w:bottom w:val="dotted" w:sz="4" w:space="0" w:color="auto"/>
              <w:right w:val="single" w:sz="8" w:space="0" w:color="auto"/>
            </w:tcBorders>
            <w:shd w:val="clear" w:color="000000" w:fill="FFFFFF"/>
            <w:vAlign w:val="center"/>
            <w:hideMark/>
          </w:tcPr>
          <w:p w14:paraId="21E39B84" w14:textId="77777777" w:rsidR="00FD4733" w:rsidRPr="00FD4733" w:rsidRDefault="00FD4733" w:rsidP="00FD4733">
            <w:pPr>
              <w:spacing w:after="0"/>
              <w:jc w:val="center"/>
              <w:rPr>
                <w:rFonts w:eastAsia="Times New Roman" w:cs="Times New Roman"/>
                <w:sz w:val="20"/>
                <w:szCs w:val="20"/>
              </w:rPr>
            </w:pPr>
            <w:r w:rsidRPr="00FD4733">
              <w:rPr>
                <w:rFonts w:eastAsia="Times New Roman" w:cs="Times New Roman"/>
                <w:sz w:val="20"/>
                <w:szCs w:val="20"/>
              </w:rPr>
              <w:t>EDP D.41</w:t>
            </w:r>
          </w:p>
        </w:tc>
        <w:tc>
          <w:tcPr>
            <w:tcW w:w="1390" w:type="dxa"/>
            <w:tcBorders>
              <w:top w:val="dotted" w:sz="4" w:space="0" w:color="auto"/>
              <w:left w:val="nil"/>
              <w:bottom w:val="dotted" w:sz="4" w:space="0" w:color="auto"/>
              <w:right w:val="dotted" w:sz="4" w:space="0" w:color="auto"/>
            </w:tcBorders>
            <w:shd w:val="clear" w:color="000000" w:fill="FFFFFF"/>
            <w:vAlign w:val="center"/>
            <w:hideMark/>
          </w:tcPr>
          <w:p w14:paraId="33D1D106"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1,7</w:t>
            </w:r>
          </w:p>
        </w:tc>
        <w:tc>
          <w:tcPr>
            <w:tcW w:w="1845" w:type="dxa"/>
            <w:tcBorders>
              <w:top w:val="dotted" w:sz="4" w:space="0" w:color="auto"/>
              <w:left w:val="nil"/>
              <w:bottom w:val="dotted" w:sz="4" w:space="0" w:color="auto"/>
              <w:right w:val="dotted" w:sz="4" w:space="0" w:color="auto"/>
            </w:tcBorders>
            <w:shd w:val="clear" w:color="000000" w:fill="FFFFFF"/>
            <w:vAlign w:val="center"/>
            <w:hideMark/>
          </w:tcPr>
          <w:p w14:paraId="134CA441"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2,0</w:t>
            </w:r>
          </w:p>
        </w:tc>
        <w:tc>
          <w:tcPr>
            <w:tcW w:w="1524" w:type="dxa"/>
            <w:tcBorders>
              <w:top w:val="dotted" w:sz="4" w:space="0" w:color="auto"/>
              <w:left w:val="nil"/>
              <w:bottom w:val="dotted" w:sz="4" w:space="0" w:color="auto"/>
              <w:right w:val="dotted" w:sz="4" w:space="0" w:color="auto"/>
            </w:tcBorders>
            <w:shd w:val="clear" w:color="000000" w:fill="FFFFFF"/>
            <w:vAlign w:val="center"/>
            <w:hideMark/>
          </w:tcPr>
          <w:p w14:paraId="7E46199E"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2,2</w:t>
            </w:r>
          </w:p>
        </w:tc>
        <w:tc>
          <w:tcPr>
            <w:tcW w:w="1578" w:type="dxa"/>
            <w:tcBorders>
              <w:top w:val="dotted" w:sz="4" w:space="0" w:color="auto"/>
              <w:left w:val="nil"/>
              <w:bottom w:val="dotted" w:sz="4" w:space="0" w:color="auto"/>
              <w:right w:val="dotted" w:sz="4" w:space="0" w:color="auto"/>
            </w:tcBorders>
            <w:shd w:val="clear" w:color="000000" w:fill="FFFFFF"/>
            <w:vAlign w:val="center"/>
            <w:hideMark/>
          </w:tcPr>
          <w:p w14:paraId="6251B197"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2,1</w:t>
            </w:r>
          </w:p>
        </w:tc>
        <w:tc>
          <w:tcPr>
            <w:tcW w:w="1578" w:type="dxa"/>
            <w:tcBorders>
              <w:top w:val="dotted" w:sz="4" w:space="0" w:color="auto"/>
              <w:left w:val="nil"/>
              <w:bottom w:val="dotted" w:sz="4" w:space="0" w:color="auto"/>
              <w:right w:val="double" w:sz="6" w:space="0" w:color="auto"/>
            </w:tcBorders>
            <w:shd w:val="clear" w:color="000000" w:fill="FFFFFF"/>
            <w:vAlign w:val="center"/>
            <w:hideMark/>
          </w:tcPr>
          <w:p w14:paraId="7316DCF9"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2,0</w:t>
            </w:r>
          </w:p>
        </w:tc>
      </w:tr>
      <w:tr w:rsidR="00FD4733" w:rsidRPr="00FD4733" w14:paraId="4AD8DF19" w14:textId="77777777" w:rsidTr="00FD4733">
        <w:trPr>
          <w:trHeight w:val="317"/>
        </w:trPr>
        <w:tc>
          <w:tcPr>
            <w:tcW w:w="5991" w:type="dxa"/>
            <w:tcBorders>
              <w:top w:val="nil"/>
              <w:left w:val="double" w:sz="6" w:space="0" w:color="auto"/>
              <w:bottom w:val="dotted" w:sz="4" w:space="0" w:color="auto"/>
              <w:right w:val="dotted" w:sz="4" w:space="0" w:color="auto"/>
            </w:tcBorders>
            <w:shd w:val="clear" w:color="auto" w:fill="auto"/>
            <w:noWrap/>
            <w:vAlign w:val="bottom"/>
            <w:hideMark/>
          </w:tcPr>
          <w:p w14:paraId="52113ABB" w14:textId="77777777" w:rsidR="00FD4733" w:rsidRPr="00FD4733" w:rsidRDefault="00FD4733" w:rsidP="00FD4733">
            <w:pPr>
              <w:spacing w:after="0"/>
              <w:jc w:val="left"/>
              <w:rPr>
                <w:rFonts w:eastAsia="Times New Roman" w:cs="Times New Roman"/>
                <w:b/>
                <w:bCs/>
                <w:sz w:val="20"/>
                <w:szCs w:val="20"/>
              </w:rPr>
            </w:pPr>
            <w:r w:rsidRPr="00FD4733">
              <w:rPr>
                <w:rFonts w:eastAsia="Times New Roman" w:cs="Times New Roman"/>
                <w:b/>
                <w:bCs/>
                <w:sz w:val="20"/>
                <w:szCs w:val="20"/>
              </w:rPr>
              <w:t xml:space="preserve">  5. Real growth effect</w:t>
            </w:r>
          </w:p>
        </w:tc>
        <w:tc>
          <w:tcPr>
            <w:tcW w:w="1364" w:type="dxa"/>
            <w:tcBorders>
              <w:top w:val="nil"/>
              <w:left w:val="nil"/>
              <w:bottom w:val="dotted" w:sz="4" w:space="0" w:color="auto"/>
              <w:right w:val="single" w:sz="8" w:space="0" w:color="auto"/>
            </w:tcBorders>
            <w:shd w:val="clear" w:color="000000" w:fill="FFFFFF"/>
            <w:vAlign w:val="center"/>
            <w:hideMark/>
          </w:tcPr>
          <w:p w14:paraId="7A06EB67" w14:textId="77777777" w:rsidR="00FD4733" w:rsidRPr="00FD4733" w:rsidRDefault="00FD4733" w:rsidP="00FD4733">
            <w:pPr>
              <w:spacing w:after="0"/>
              <w:jc w:val="center"/>
              <w:rPr>
                <w:rFonts w:eastAsia="Times New Roman" w:cs="Times New Roman"/>
                <w:sz w:val="20"/>
                <w:szCs w:val="20"/>
              </w:rPr>
            </w:pPr>
            <w:r w:rsidRPr="00FD4733">
              <w:rPr>
                <w:rFonts w:eastAsia="Times New Roman" w:cs="Times New Roman"/>
                <w:sz w:val="20"/>
                <w:szCs w:val="20"/>
              </w:rPr>
              <w:t> </w:t>
            </w:r>
          </w:p>
        </w:tc>
        <w:tc>
          <w:tcPr>
            <w:tcW w:w="1390" w:type="dxa"/>
            <w:tcBorders>
              <w:top w:val="nil"/>
              <w:left w:val="nil"/>
              <w:bottom w:val="dotted" w:sz="4" w:space="0" w:color="auto"/>
              <w:right w:val="dotted" w:sz="4" w:space="0" w:color="auto"/>
            </w:tcBorders>
            <w:shd w:val="clear" w:color="000000" w:fill="FFFFFF"/>
            <w:vAlign w:val="center"/>
            <w:hideMark/>
          </w:tcPr>
          <w:p w14:paraId="7681B597"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-1,7</w:t>
            </w:r>
          </w:p>
        </w:tc>
        <w:tc>
          <w:tcPr>
            <w:tcW w:w="1845" w:type="dxa"/>
            <w:tcBorders>
              <w:top w:val="nil"/>
              <w:left w:val="nil"/>
              <w:bottom w:val="dotted" w:sz="4" w:space="0" w:color="auto"/>
              <w:right w:val="dotted" w:sz="4" w:space="0" w:color="auto"/>
            </w:tcBorders>
            <w:shd w:val="clear" w:color="000000" w:fill="FFFFFF"/>
            <w:vAlign w:val="center"/>
            <w:hideMark/>
          </w:tcPr>
          <w:p w14:paraId="692066B3"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-1,7</w:t>
            </w:r>
          </w:p>
        </w:tc>
        <w:tc>
          <w:tcPr>
            <w:tcW w:w="1524" w:type="dxa"/>
            <w:tcBorders>
              <w:top w:val="nil"/>
              <w:left w:val="nil"/>
              <w:bottom w:val="dotted" w:sz="4" w:space="0" w:color="auto"/>
              <w:right w:val="dotted" w:sz="4" w:space="0" w:color="auto"/>
            </w:tcBorders>
            <w:shd w:val="clear" w:color="000000" w:fill="FFFFFF"/>
            <w:vAlign w:val="center"/>
            <w:hideMark/>
          </w:tcPr>
          <w:p w14:paraId="1B10E32E"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-1,9</w:t>
            </w:r>
          </w:p>
        </w:tc>
        <w:tc>
          <w:tcPr>
            <w:tcW w:w="1578" w:type="dxa"/>
            <w:tcBorders>
              <w:top w:val="nil"/>
              <w:left w:val="nil"/>
              <w:bottom w:val="dotted" w:sz="4" w:space="0" w:color="auto"/>
              <w:right w:val="dotted" w:sz="4" w:space="0" w:color="auto"/>
            </w:tcBorders>
            <w:shd w:val="clear" w:color="000000" w:fill="FFFFFF"/>
            <w:vAlign w:val="center"/>
            <w:hideMark/>
          </w:tcPr>
          <w:p w14:paraId="71E822BE"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-1,8</w:t>
            </w:r>
          </w:p>
        </w:tc>
        <w:tc>
          <w:tcPr>
            <w:tcW w:w="1578" w:type="dxa"/>
            <w:tcBorders>
              <w:top w:val="nil"/>
              <w:left w:val="nil"/>
              <w:bottom w:val="dotted" w:sz="4" w:space="0" w:color="auto"/>
              <w:right w:val="double" w:sz="6" w:space="0" w:color="auto"/>
            </w:tcBorders>
            <w:shd w:val="clear" w:color="000000" w:fill="FFFFFF"/>
            <w:vAlign w:val="center"/>
            <w:hideMark/>
          </w:tcPr>
          <w:p w14:paraId="7189B45A"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-2,2</w:t>
            </w:r>
          </w:p>
        </w:tc>
      </w:tr>
      <w:tr w:rsidR="00FD4733" w:rsidRPr="00FD4733" w14:paraId="37166284" w14:textId="77777777" w:rsidTr="00FD4733">
        <w:trPr>
          <w:trHeight w:val="317"/>
        </w:trPr>
        <w:tc>
          <w:tcPr>
            <w:tcW w:w="5991" w:type="dxa"/>
            <w:tcBorders>
              <w:top w:val="nil"/>
              <w:left w:val="double" w:sz="6" w:space="0" w:color="auto"/>
              <w:bottom w:val="single" w:sz="4" w:space="0" w:color="auto"/>
              <w:right w:val="dotted" w:sz="4" w:space="0" w:color="auto"/>
            </w:tcBorders>
            <w:shd w:val="clear" w:color="auto" w:fill="auto"/>
            <w:noWrap/>
            <w:vAlign w:val="bottom"/>
            <w:hideMark/>
          </w:tcPr>
          <w:p w14:paraId="7CF3AC67" w14:textId="77777777" w:rsidR="00FD4733" w:rsidRPr="00FD4733" w:rsidRDefault="00FD4733" w:rsidP="00FD4733">
            <w:pPr>
              <w:spacing w:after="0"/>
              <w:jc w:val="left"/>
              <w:rPr>
                <w:rFonts w:eastAsia="Times New Roman" w:cs="Times New Roman"/>
                <w:b/>
                <w:bCs/>
                <w:sz w:val="20"/>
                <w:szCs w:val="20"/>
              </w:rPr>
            </w:pPr>
            <w:r w:rsidRPr="00FD4733">
              <w:rPr>
                <w:rFonts w:eastAsia="Times New Roman" w:cs="Times New Roman"/>
                <w:b/>
                <w:bCs/>
                <w:sz w:val="20"/>
                <w:szCs w:val="20"/>
              </w:rPr>
              <w:t xml:space="preserve">  6. Inflation effect</w:t>
            </w:r>
          </w:p>
        </w:tc>
        <w:tc>
          <w:tcPr>
            <w:tcW w:w="1364" w:type="dxa"/>
            <w:tcBorders>
              <w:top w:val="nil"/>
              <w:left w:val="nil"/>
              <w:bottom w:val="single" w:sz="4" w:space="0" w:color="auto"/>
              <w:right w:val="single" w:sz="8" w:space="0" w:color="auto"/>
            </w:tcBorders>
            <w:shd w:val="clear" w:color="000000" w:fill="FFFFFF"/>
            <w:vAlign w:val="center"/>
            <w:hideMark/>
          </w:tcPr>
          <w:p w14:paraId="2B29E1F5" w14:textId="77777777" w:rsidR="00FD4733" w:rsidRPr="00FD4733" w:rsidRDefault="00FD4733" w:rsidP="00FD4733">
            <w:pPr>
              <w:spacing w:after="0"/>
              <w:jc w:val="center"/>
              <w:rPr>
                <w:rFonts w:eastAsia="Times New Roman" w:cs="Times New Roman"/>
                <w:sz w:val="20"/>
                <w:szCs w:val="20"/>
              </w:rPr>
            </w:pPr>
            <w:r w:rsidRPr="00FD4733">
              <w:rPr>
                <w:rFonts w:eastAsia="Times New Roman" w:cs="Times New Roman"/>
                <w:sz w:val="20"/>
                <w:szCs w:val="20"/>
              </w:rPr>
              <w:t> </w:t>
            </w:r>
          </w:p>
        </w:tc>
        <w:tc>
          <w:tcPr>
            <w:tcW w:w="1390" w:type="dxa"/>
            <w:tcBorders>
              <w:top w:val="nil"/>
              <w:left w:val="nil"/>
              <w:bottom w:val="single" w:sz="4" w:space="0" w:color="auto"/>
              <w:right w:val="dotted" w:sz="4" w:space="0" w:color="auto"/>
            </w:tcBorders>
            <w:shd w:val="clear" w:color="000000" w:fill="FFFFFF"/>
            <w:vAlign w:val="center"/>
            <w:hideMark/>
          </w:tcPr>
          <w:p w14:paraId="00CE3545"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-6,2</w:t>
            </w:r>
          </w:p>
        </w:tc>
        <w:tc>
          <w:tcPr>
            <w:tcW w:w="1845" w:type="dxa"/>
            <w:tcBorders>
              <w:top w:val="nil"/>
              <w:left w:val="nil"/>
              <w:bottom w:val="single" w:sz="4" w:space="0" w:color="auto"/>
              <w:right w:val="dotted" w:sz="4" w:space="0" w:color="auto"/>
            </w:tcBorders>
            <w:shd w:val="clear" w:color="000000" w:fill="FFFFFF"/>
            <w:vAlign w:val="center"/>
            <w:hideMark/>
          </w:tcPr>
          <w:p w14:paraId="01DE5390"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-2,2</w:t>
            </w:r>
          </w:p>
        </w:tc>
        <w:tc>
          <w:tcPr>
            <w:tcW w:w="1524" w:type="dxa"/>
            <w:tcBorders>
              <w:top w:val="nil"/>
              <w:left w:val="nil"/>
              <w:bottom w:val="single" w:sz="4" w:space="0" w:color="auto"/>
              <w:right w:val="dotted" w:sz="4" w:space="0" w:color="auto"/>
            </w:tcBorders>
            <w:shd w:val="clear" w:color="000000" w:fill="FFFFFF"/>
            <w:vAlign w:val="center"/>
            <w:hideMark/>
          </w:tcPr>
          <w:p w14:paraId="49387755"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-1,4</w:t>
            </w:r>
          </w:p>
        </w:tc>
        <w:tc>
          <w:tcPr>
            <w:tcW w:w="1578" w:type="dxa"/>
            <w:tcBorders>
              <w:top w:val="nil"/>
              <w:left w:val="nil"/>
              <w:bottom w:val="single" w:sz="4" w:space="0" w:color="auto"/>
              <w:right w:val="dotted" w:sz="4" w:space="0" w:color="auto"/>
            </w:tcBorders>
            <w:shd w:val="clear" w:color="000000" w:fill="FFFFFF"/>
            <w:vAlign w:val="center"/>
            <w:hideMark/>
          </w:tcPr>
          <w:p w14:paraId="1646C9D0"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-1,4</w:t>
            </w:r>
          </w:p>
        </w:tc>
        <w:tc>
          <w:tcPr>
            <w:tcW w:w="1578" w:type="dxa"/>
            <w:tcBorders>
              <w:top w:val="nil"/>
              <w:left w:val="nil"/>
              <w:bottom w:val="single" w:sz="4" w:space="0" w:color="auto"/>
              <w:right w:val="double" w:sz="6" w:space="0" w:color="auto"/>
            </w:tcBorders>
            <w:shd w:val="clear" w:color="000000" w:fill="FFFFFF"/>
            <w:vAlign w:val="center"/>
            <w:hideMark/>
          </w:tcPr>
          <w:p w14:paraId="34B8F832"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-1,3</w:t>
            </w:r>
          </w:p>
        </w:tc>
      </w:tr>
      <w:tr w:rsidR="00FD4733" w:rsidRPr="00FD4733" w14:paraId="3815BC5A" w14:textId="77777777" w:rsidTr="00FD4733">
        <w:trPr>
          <w:trHeight w:val="317"/>
        </w:trPr>
        <w:tc>
          <w:tcPr>
            <w:tcW w:w="5991" w:type="dxa"/>
            <w:tcBorders>
              <w:top w:val="nil"/>
              <w:left w:val="double" w:sz="6" w:space="0" w:color="auto"/>
              <w:bottom w:val="single" w:sz="4" w:space="0" w:color="auto"/>
              <w:right w:val="dotted" w:sz="4" w:space="0" w:color="auto"/>
            </w:tcBorders>
            <w:shd w:val="clear" w:color="000000" w:fill="FFFFFF"/>
            <w:vAlign w:val="center"/>
            <w:hideMark/>
          </w:tcPr>
          <w:p w14:paraId="70CE3F50" w14:textId="05C7AB68" w:rsidR="00FD4733" w:rsidRPr="00FD4733" w:rsidRDefault="00FD4733" w:rsidP="00FD4733">
            <w:pPr>
              <w:spacing w:after="0"/>
              <w:jc w:val="left"/>
              <w:rPr>
                <w:rFonts w:eastAsia="Times New Roman" w:cs="Times New Roman"/>
                <w:b/>
                <w:bCs/>
                <w:sz w:val="20"/>
                <w:szCs w:val="20"/>
              </w:rPr>
            </w:pPr>
            <w:bookmarkStart w:id="74" w:name="RANGE!B14"/>
            <w:r w:rsidRPr="00FD4733">
              <w:rPr>
                <w:rFonts w:eastAsia="Times New Roman" w:cs="Times New Roman"/>
                <w:b/>
                <w:bCs/>
                <w:sz w:val="20"/>
                <w:szCs w:val="20"/>
              </w:rPr>
              <w:t xml:space="preserve">  7. Stock-flow adjustment</w:t>
            </w:r>
            <w:bookmarkEnd w:id="74"/>
          </w:p>
        </w:tc>
        <w:tc>
          <w:tcPr>
            <w:tcW w:w="1364" w:type="dxa"/>
            <w:tcBorders>
              <w:top w:val="dotted" w:sz="4" w:space="0" w:color="auto"/>
              <w:left w:val="nil"/>
              <w:bottom w:val="single" w:sz="4" w:space="0" w:color="auto"/>
              <w:right w:val="single" w:sz="8" w:space="0" w:color="auto"/>
            </w:tcBorders>
            <w:shd w:val="clear" w:color="000000" w:fill="FFFFFF"/>
            <w:vAlign w:val="center"/>
            <w:hideMark/>
          </w:tcPr>
          <w:p w14:paraId="335FC657"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 </w:t>
            </w:r>
          </w:p>
        </w:tc>
        <w:tc>
          <w:tcPr>
            <w:tcW w:w="1390" w:type="dxa"/>
            <w:tcBorders>
              <w:top w:val="dotted" w:sz="4" w:space="0" w:color="auto"/>
              <w:left w:val="nil"/>
              <w:bottom w:val="single" w:sz="4" w:space="0" w:color="auto"/>
              <w:right w:val="dotted" w:sz="4" w:space="0" w:color="auto"/>
            </w:tcBorders>
            <w:shd w:val="clear" w:color="000000" w:fill="FFFFFF"/>
            <w:vAlign w:val="center"/>
            <w:hideMark/>
          </w:tcPr>
          <w:p w14:paraId="7C48CF31"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1,3</w:t>
            </w:r>
          </w:p>
        </w:tc>
        <w:tc>
          <w:tcPr>
            <w:tcW w:w="1845" w:type="dxa"/>
            <w:tcBorders>
              <w:top w:val="dotted" w:sz="4" w:space="0" w:color="auto"/>
              <w:left w:val="nil"/>
              <w:bottom w:val="single" w:sz="4" w:space="0" w:color="auto"/>
              <w:right w:val="dotted" w:sz="4" w:space="0" w:color="auto"/>
            </w:tcBorders>
            <w:shd w:val="clear" w:color="000000" w:fill="FFFFFF"/>
            <w:vAlign w:val="center"/>
            <w:hideMark/>
          </w:tcPr>
          <w:p w14:paraId="104197F8"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0,6</w:t>
            </w:r>
          </w:p>
        </w:tc>
        <w:tc>
          <w:tcPr>
            <w:tcW w:w="1524" w:type="dxa"/>
            <w:tcBorders>
              <w:top w:val="dotted" w:sz="4" w:space="0" w:color="auto"/>
              <w:left w:val="nil"/>
              <w:bottom w:val="single" w:sz="4" w:space="0" w:color="auto"/>
              <w:right w:val="dotted" w:sz="4" w:space="0" w:color="auto"/>
            </w:tcBorders>
            <w:shd w:val="clear" w:color="000000" w:fill="FFFFFF"/>
            <w:vAlign w:val="center"/>
            <w:hideMark/>
          </w:tcPr>
          <w:p w14:paraId="3F6FC0A9"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-0,1</w:t>
            </w:r>
          </w:p>
        </w:tc>
        <w:tc>
          <w:tcPr>
            <w:tcW w:w="1578" w:type="dxa"/>
            <w:tcBorders>
              <w:top w:val="dotted" w:sz="4" w:space="0" w:color="auto"/>
              <w:left w:val="nil"/>
              <w:bottom w:val="single" w:sz="4" w:space="0" w:color="auto"/>
              <w:right w:val="dotted" w:sz="4" w:space="0" w:color="auto"/>
            </w:tcBorders>
            <w:shd w:val="clear" w:color="000000" w:fill="FFFFFF"/>
            <w:vAlign w:val="center"/>
            <w:hideMark/>
          </w:tcPr>
          <w:p w14:paraId="3D3EFCBF"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-0,4</w:t>
            </w:r>
          </w:p>
        </w:tc>
        <w:tc>
          <w:tcPr>
            <w:tcW w:w="1578" w:type="dxa"/>
            <w:tcBorders>
              <w:top w:val="dotted" w:sz="4" w:space="0" w:color="auto"/>
              <w:left w:val="nil"/>
              <w:bottom w:val="single" w:sz="4" w:space="0" w:color="auto"/>
              <w:right w:val="double" w:sz="6" w:space="0" w:color="auto"/>
            </w:tcBorders>
            <w:shd w:val="clear" w:color="000000" w:fill="FFFFFF"/>
            <w:vAlign w:val="center"/>
            <w:hideMark/>
          </w:tcPr>
          <w:p w14:paraId="3472EDB3"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0,1</w:t>
            </w:r>
          </w:p>
        </w:tc>
      </w:tr>
      <w:tr w:rsidR="00FD4733" w:rsidRPr="00FD4733" w14:paraId="28C784CB" w14:textId="77777777" w:rsidTr="00FD4733">
        <w:trPr>
          <w:trHeight w:val="317"/>
        </w:trPr>
        <w:tc>
          <w:tcPr>
            <w:tcW w:w="5991" w:type="dxa"/>
            <w:tcBorders>
              <w:top w:val="nil"/>
              <w:left w:val="double" w:sz="6" w:space="0" w:color="auto"/>
              <w:bottom w:val="nil"/>
              <w:right w:val="dotted" w:sz="4" w:space="0" w:color="auto"/>
            </w:tcBorders>
            <w:shd w:val="clear" w:color="000000" w:fill="FFFFFF"/>
            <w:vAlign w:val="center"/>
            <w:hideMark/>
          </w:tcPr>
          <w:p w14:paraId="34E797BF" w14:textId="77777777" w:rsidR="00FD4733" w:rsidRPr="00FD4733" w:rsidRDefault="00FD4733" w:rsidP="00FD4733">
            <w:pPr>
              <w:spacing w:after="0"/>
              <w:jc w:val="left"/>
              <w:rPr>
                <w:rFonts w:eastAsia="Times New Roman" w:cs="Times New Roman"/>
                <w:i/>
                <w:iCs/>
                <w:szCs w:val="24"/>
              </w:rPr>
            </w:pPr>
            <w:r w:rsidRPr="00FD4733">
              <w:rPr>
                <w:rFonts w:eastAsia="Times New Roman" w:cs="Times New Roman"/>
                <w:i/>
                <w:iCs/>
                <w:szCs w:val="24"/>
              </w:rPr>
              <w:t>of which:</w:t>
            </w:r>
          </w:p>
        </w:tc>
        <w:tc>
          <w:tcPr>
            <w:tcW w:w="1364" w:type="dxa"/>
            <w:tcBorders>
              <w:top w:val="nil"/>
              <w:left w:val="nil"/>
              <w:bottom w:val="nil"/>
              <w:right w:val="single" w:sz="8" w:space="0" w:color="auto"/>
            </w:tcBorders>
            <w:shd w:val="clear" w:color="000000" w:fill="FFFFFF"/>
            <w:vAlign w:val="center"/>
            <w:hideMark/>
          </w:tcPr>
          <w:p w14:paraId="33B54611"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 </w:t>
            </w:r>
          </w:p>
        </w:tc>
        <w:tc>
          <w:tcPr>
            <w:tcW w:w="1390" w:type="dxa"/>
            <w:tcBorders>
              <w:top w:val="nil"/>
              <w:left w:val="nil"/>
              <w:bottom w:val="nil"/>
              <w:right w:val="dotted" w:sz="4" w:space="0" w:color="auto"/>
            </w:tcBorders>
            <w:shd w:val="clear" w:color="000000" w:fill="FFFFFF"/>
            <w:vAlign w:val="center"/>
            <w:hideMark/>
          </w:tcPr>
          <w:p w14:paraId="4C4DBF2F"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 </w:t>
            </w:r>
          </w:p>
        </w:tc>
        <w:tc>
          <w:tcPr>
            <w:tcW w:w="1845" w:type="dxa"/>
            <w:tcBorders>
              <w:top w:val="nil"/>
              <w:left w:val="nil"/>
              <w:bottom w:val="nil"/>
              <w:right w:val="dotted" w:sz="4" w:space="0" w:color="auto"/>
            </w:tcBorders>
            <w:shd w:val="clear" w:color="000000" w:fill="FFFFFF"/>
            <w:vAlign w:val="center"/>
            <w:hideMark/>
          </w:tcPr>
          <w:p w14:paraId="5DAC5313"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 </w:t>
            </w:r>
          </w:p>
        </w:tc>
        <w:tc>
          <w:tcPr>
            <w:tcW w:w="1524" w:type="dxa"/>
            <w:tcBorders>
              <w:top w:val="nil"/>
              <w:left w:val="nil"/>
              <w:bottom w:val="nil"/>
              <w:right w:val="dotted" w:sz="4" w:space="0" w:color="auto"/>
            </w:tcBorders>
            <w:shd w:val="clear" w:color="000000" w:fill="FFFFFF"/>
            <w:vAlign w:val="center"/>
            <w:hideMark/>
          </w:tcPr>
          <w:p w14:paraId="36FBFA69"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 </w:t>
            </w:r>
          </w:p>
        </w:tc>
        <w:tc>
          <w:tcPr>
            <w:tcW w:w="1578" w:type="dxa"/>
            <w:tcBorders>
              <w:top w:val="nil"/>
              <w:left w:val="nil"/>
              <w:bottom w:val="nil"/>
              <w:right w:val="dotted" w:sz="4" w:space="0" w:color="auto"/>
            </w:tcBorders>
            <w:shd w:val="clear" w:color="000000" w:fill="FFFFFF"/>
            <w:vAlign w:val="center"/>
            <w:hideMark/>
          </w:tcPr>
          <w:p w14:paraId="7BC2674E"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 </w:t>
            </w:r>
          </w:p>
        </w:tc>
        <w:tc>
          <w:tcPr>
            <w:tcW w:w="1578" w:type="dxa"/>
            <w:tcBorders>
              <w:top w:val="nil"/>
              <w:left w:val="nil"/>
              <w:bottom w:val="nil"/>
              <w:right w:val="double" w:sz="6" w:space="0" w:color="auto"/>
            </w:tcBorders>
            <w:shd w:val="clear" w:color="000000" w:fill="FFFFFF"/>
            <w:vAlign w:val="center"/>
            <w:hideMark/>
          </w:tcPr>
          <w:p w14:paraId="6C022161"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 </w:t>
            </w:r>
          </w:p>
        </w:tc>
      </w:tr>
      <w:tr w:rsidR="00FD4733" w:rsidRPr="00FD4733" w14:paraId="0C5296DD" w14:textId="77777777" w:rsidTr="00FD4733">
        <w:trPr>
          <w:trHeight w:val="317"/>
        </w:trPr>
        <w:tc>
          <w:tcPr>
            <w:tcW w:w="5991" w:type="dxa"/>
            <w:tcBorders>
              <w:top w:val="nil"/>
              <w:left w:val="double" w:sz="6" w:space="0" w:color="auto"/>
              <w:bottom w:val="nil"/>
              <w:right w:val="dotted" w:sz="4" w:space="0" w:color="auto"/>
            </w:tcBorders>
            <w:shd w:val="clear" w:color="000000" w:fill="FFFFFF"/>
            <w:noWrap/>
            <w:vAlign w:val="bottom"/>
            <w:hideMark/>
          </w:tcPr>
          <w:p w14:paraId="093E31A5"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 xml:space="preserve">   - Differences between cash and accruals [4]</w:t>
            </w:r>
          </w:p>
        </w:tc>
        <w:tc>
          <w:tcPr>
            <w:tcW w:w="1364" w:type="dxa"/>
            <w:tcBorders>
              <w:top w:val="nil"/>
              <w:left w:val="nil"/>
              <w:bottom w:val="nil"/>
              <w:right w:val="single" w:sz="8" w:space="0" w:color="auto"/>
            </w:tcBorders>
            <w:shd w:val="clear" w:color="000000" w:fill="FFFFFF"/>
            <w:vAlign w:val="center"/>
            <w:hideMark/>
          </w:tcPr>
          <w:p w14:paraId="32034EE0"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 </w:t>
            </w:r>
          </w:p>
        </w:tc>
        <w:tc>
          <w:tcPr>
            <w:tcW w:w="1390" w:type="dxa"/>
            <w:tcBorders>
              <w:top w:val="nil"/>
              <w:left w:val="nil"/>
              <w:bottom w:val="nil"/>
              <w:right w:val="dotted" w:sz="4" w:space="0" w:color="auto"/>
            </w:tcBorders>
            <w:shd w:val="clear" w:color="000000" w:fill="FFFFFF"/>
            <w:vAlign w:val="center"/>
            <w:hideMark/>
          </w:tcPr>
          <w:p w14:paraId="43F5A93D"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845" w:type="dxa"/>
            <w:tcBorders>
              <w:top w:val="nil"/>
              <w:left w:val="nil"/>
              <w:bottom w:val="nil"/>
              <w:right w:val="dotted" w:sz="4" w:space="0" w:color="auto"/>
            </w:tcBorders>
            <w:shd w:val="clear" w:color="000000" w:fill="FFFFFF"/>
            <w:vAlign w:val="center"/>
            <w:hideMark/>
          </w:tcPr>
          <w:p w14:paraId="426A5609"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24" w:type="dxa"/>
            <w:tcBorders>
              <w:top w:val="nil"/>
              <w:left w:val="nil"/>
              <w:bottom w:val="nil"/>
              <w:right w:val="dotted" w:sz="4" w:space="0" w:color="auto"/>
            </w:tcBorders>
            <w:shd w:val="clear" w:color="000000" w:fill="FFFFFF"/>
            <w:vAlign w:val="center"/>
            <w:hideMark/>
          </w:tcPr>
          <w:p w14:paraId="04737F0D"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nil"/>
              <w:right w:val="dotted" w:sz="4" w:space="0" w:color="auto"/>
            </w:tcBorders>
            <w:shd w:val="clear" w:color="000000" w:fill="FFFFFF"/>
            <w:vAlign w:val="center"/>
            <w:hideMark/>
          </w:tcPr>
          <w:p w14:paraId="5DDDB8CA"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nil"/>
              <w:right w:val="double" w:sz="6" w:space="0" w:color="auto"/>
            </w:tcBorders>
            <w:shd w:val="clear" w:color="000000" w:fill="FFFFFF"/>
            <w:vAlign w:val="center"/>
            <w:hideMark/>
          </w:tcPr>
          <w:p w14:paraId="1E06F786"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r>
      <w:tr w:rsidR="00FD4733" w:rsidRPr="00FD4733" w14:paraId="44F11569" w14:textId="77777777" w:rsidTr="00FD4733">
        <w:trPr>
          <w:trHeight w:val="317"/>
        </w:trPr>
        <w:tc>
          <w:tcPr>
            <w:tcW w:w="5991" w:type="dxa"/>
            <w:tcBorders>
              <w:top w:val="nil"/>
              <w:left w:val="double" w:sz="6" w:space="0" w:color="auto"/>
              <w:bottom w:val="single" w:sz="4" w:space="0" w:color="auto"/>
              <w:right w:val="dotted" w:sz="4" w:space="0" w:color="auto"/>
            </w:tcBorders>
            <w:shd w:val="clear" w:color="auto" w:fill="auto"/>
            <w:noWrap/>
            <w:vAlign w:val="bottom"/>
            <w:hideMark/>
          </w:tcPr>
          <w:p w14:paraId="57726530"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 xml:space="preserve">  - Net accumulation of financial assets [5]</w:t>
            </w:r>
          </w:p>
        </w:tc>
        <w:tc>
          <w:tcPr>
            <w:tcW w:w="1364" w:type="dxa"/>
            <w:tcBorders>
              <w:top w:val="nil"/>
              <w:left w:val="nil"/>
              <w:bottom w:val="single" w:sz="4" w:space="0" w:color="auto"/>
              <w:right w:val="single" w:sz="8" w:space="0" w:color="auto"/>
            </w:tcBorders>
            <w:shd w:val="clear" w:color="000000" w:fill="FFFFFF"/>
            <w:vAlign w:val="center"/>
            <w:hideMark/>
          </w:tcPr>
          <w:p w14:paraId="5AA0D886"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 </w:t>
            </w:r>
          </w:p>
        </w:tc>
        <w:tc>
          <w:tcPr>
            <w:tcW w:w="1390" w:type="dxa"/>
            <w:tcBorders>
              <w:top w:val="nil"/>
              <w:left w:val="nil"/>
              <w:bottom w:val="single" w:sz="4" w:space="0" w:color="auto"/>
              <w:right w:val="dotted" w:sz="4" w:space="0" w:color="auto"/>
            </w:tcBorders>
            <w:shd w:val="clear" w:color="000000" w:fill="FFFFFF"/>
            <w:vAlign w:val="center"/>
            <w:hideMark/>
          </w:tcPr>
          <w:p w14:paraId="679F70B5"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845" w:type="dxa"/>
            <w:tcBorders>
              <w:top w:val="nil"/>
              <w:left w:val="nil"/>
              <w:bottom w:val="single" w:sz="4" w:space="0" w:color="auto"/>
              <w:right w:val="dotted" w:sz="4" w:space="0" w:color="auto"/>
            </w:tcBorders>
            <w:shd w:val="clear" w:color="000000" w:fill="FFFFFF"/>
            <w:vAlign w:val="center"/>
            <w:hideMark/>
          </w:tcPr>
          <w:p w14:paraId="6AB3BC66"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24" w:type="dxa"/>
            <w:tcBorders>
              <w:top w:val="nil"/>
              <w:left w:val="nil"/>
              <w:bottom w:val="single" w:sz="4" w:space="0" w:color="auto"/>
              <w:right w:val="dotted" w:sz="4" w:space="0" w:color="auto"/>
            </w:tcBorders>
            <w:shd w:val="clear" w:color="000000" w:fill="FFFFFF"/>
            <w:vAlign w:val="center"/>
            <w:hideMark/>
          </w:tcPr>
          <w:p w14:paraId="0C4F7D6F"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single" w:sz="4" w:space="0" w:color="auto"/>
              <w:right w:val="dotted" w:sz="4" w:space="0" w:color="auto"/>
            </w:tcBorders>
            <w:shd w:val="clear" w:color="000000" w:fill="FFFFFF"/>
            <w:vAlign w:val="center"/>
            <w:hideMark/>
          </w:tcPr>
          <w:p w14:paraId="608BBFC6"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single" w:sz="4" w:space="0" w:color="auto"/>
              <w:right w:val="double" w:sz="6" w:space="0" w:color="auto"/>
            </w:tcBorders>
            <w:shd w:val="clear" w:color="000000" w:fill="FFFFFF"/>
            <w:vAlign w:val="center"/>
            <w:hideMark/>
          </w:tcPr>
          <w:p w14:paraId="6C48EE76"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r>
      <w:tr w:rsidR="00FD4733" w:rsidRPr="00FD4733" w14:paraId="1BF16007" w14:textId="77777777" w:rsidTr="00FD4733">
        <w:trPr>
          <w:trHeight w:val="317"/>
        </w:trPr>
        <w:tc>
          <w:tcPr>
            <w:tcW w:w="5991" w:type="dxa"/>
            <w:tcBorders>
              <w:top w:val="nil"/>
              <w:left w:val="double" w:sz="6" w:space="0" w:color="auto"/>
              <w:bottom w:val="nil"/>
              <w:right w:val="dotted" w:sz="4" w:space="0" w:color="auto"/>
            </w:tcBorders>
            <w:shd w:val="clear" w:color="000000" w:fill="FFFFFF"/>
            <w:vAlign w:val="center"/>
            <w:hideMark/>
          </w:tcPr>
          <w:p w14:paraId="6FCF3063" w14:textId="77777777" w:rsidR="00FD4733" w:rsidRPr="00FD4733" w:rsidRDefault="00FD4733" w:rsidP="00FD4733">
            <w:pPr>
              <w:spacing w:after="0"/>
              <w:jc w:val="left"/>
              <w:rPr>
                <w:rFonts w:eastAsia="Times New Roman" w:cs="Times New Roman"/>
                <w:i/>
                <w:iCs/>
                <w:szCs w:val="24"/>
              </w:rPr>
            </w:pPr>
            <w:r w:rsidRPr="00FD4733">
              <w:rPr>
                <w:rFonts w:eastAsia="Times New Roman" w:cs="Times New Roman"/>
                <w:i/>
                <w:iCs/>
                <w:szCs w:val="24"/>
              </w:rPr>
              <w:t>of which:</w:t>
            </w:r>
          </w:p>
        </w:tc>
        <w:tc>
          <w:tcPr>
            <w:tcW w:w="1364" w:type="dxa"/>
            <w:tcBorders>
              <w:top w:val="nil"/>
              <w:left w:val="nil"/>
              <w:bottom w:val="nil"/>
              <w:right w:val="single" w:sz="8" w:space="0" w:color="auto"/>
            </w:tcBorders>
            <w:shd w:val="clear" w:color="000000" w:fill="FFFFFF"/>
            <w:vAlign w:val="center"/>
            <w:hideMark/>
          </w:tcPr>
          <w:p w14:paraId="7A803E99"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 </w:t>
            </w:r>
          </w:p>
        </w:tc>
        <w:tc>
          <w:tcPr>
            <w:tcW w:w="1390" w:type="dxa"/>
            <w:tcBorders>
              <w:top w:val="nil"/>
              <w:left w:val="nil"/>
              <w:bottom w:val="nil"/>
              <w:right w:val="dotted" w:sz="4" w:space="0" w:color="auto"/>
            </w:tcBorders>
            <w:shd w:val="clear" w:color="000000" w:fill="FFFFFF"/>
            <w:vAlign w:val="center"/>
            <w:hideMark/>
          </w:tcPr>
          <w:p w14:paraId="24EE5E82"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 </w:t>
            </w:r>
          </w:p>
        </w:tc>
        <w:tc>
          <w:tcPr>
            <w:tcW w:w="1845" w:type="dxa"/>
            <w:tcBorders>
              <w:top w:val="nil"/>
              <w:left w:val="nil"/>
              <w:bottom w:val="nil"/>
              <w:right w:val="dotted" w:sz="4" w:space="0" w:color="auto"/>
            </w:tcBorders>
            <w:shd w:val="clear" w:color="000000" w:fill="FFFFFF"/>
            <w:vAlign w:val="center"/>
            <w:hideMark/>
          </w:tcPr>
          <w:p w14:paraId="67AC5C7E"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 </w:t>
            </w:r>
          </w:p>
        </w:tc>
        <w:tc>
          <w:tcPr>
            <w:tcW w:w="1524" w:type="dxa"/>
            <w:tcBorders>
              <w:top w:val="nil"/>
              <w:left w:val="nil"/>
              <w:bottom w:val="nil"/>
              <w:right w:val="dotted" w:sz="4" w:space="0" w:color="auto"/>
            </w:tcBorders>
            <w:shd w:val="clear" w:color="000000" w:fill="FFFFFF"/>
            <w:vAlign w:val="center"/>
            <w:hideMark/>
          </w:tcPr>
          <w:p w14:paraId="5A65419C"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 </w:t>
            </w:r>
          </w:p>
        </w:tc>
        <w:tc>
          <w:tcPr>
            <w:tcW w:w="1578" w:type="dxa"/>
            <w:tcBorders>
              <w:top w:val="nil"/>
              <w:left w:val="nil"/>
              <w:bottom w:val="nil"/>
              <w:right w:val="dotted" w:sz="4" w:space="0" w:color="auto"/>
            </w:tcBorders>
            <w:shd w:val="clear" w:color="000000" w:fill="FFFFFF"/>
            <w:vAlign w:val="center"/>
            <w:hideMark/>
          </w:tcPr>
          <w:p w14:paraId="7992F6D4"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 </w:t>
            </w:r>
          </w:p>
        </w:tc>
        <w:tc>
          <w:tcPr>
            <w:tcW w:w="1578" w:type="dxa"/>
            <w:tcBorders>
              <w:top w:val="nil"/>
              <w:left w:val="nil"/>
              <w:bottom w:val="nil"/>
              <w:right w:val="double" w:sz="6" w:space="0" w:color="auto"/>
            </w:tcBorders>
            <w:shd w:val="clear" w:color="000000" w:fill="FFFFFF"/>
            <w:vAlign w:val="center"/>
            <w:hideMark/>
          </w:tcPr>
          <w:p w14:paraId="16141835"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 </w:t>
            </w:r>
          </w:p>
        </w:tc>
      </w:tr>
      <w:tr w:rsidR="00FD4733" w:rsidRPr="00FD4733" w14:paraId="39113D01" w14:textId="77777777" w:rsidTr="00FD4733">
        <w:trPr>
          <w:trHeight w:val="317"/>
        </w:trPr>
        <w:tc>
          <w:tcPr>
            <w:tcW w:w="5991" w:type="dxa"/>
            <w:tcBorders>
              <w:top w:val="nil"/>
              <w:left w:val="double" w:sz="6" w:space="0" w:color="auto"/>
              <w:bottom w:val="nil"/>
              <w:right w:val="dotted" w:sz="4" w:space="0" w:color="auto"/>
            </w:tcBorders>
            <w:shd w:val="clear" w:color="000000" w:fill="FFFFFF"/>
            <w:vAlign w:val="center"/>
            <w:hideMark/>
          </w:tcPr>
          <w:p w14:paraId="15FDBDEB"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 xml:space="preserve">   - Privatisation proceeds</w:t>
            </w:r>
          </w:p>
        </w:tc>
        <w:tc>
          <w:tcPr>
            <w:tcW w:w="1364" w:type="dxa"/>
            <w:tcBorders>
              <w:top w:val="nil"/>
              <w:left w:val="nil"/>
              <w:bottom w:val="nil"/>
              <w:right w:val="single" w:sz="8" w:space="0" w:color="auto"/>
            </w:tcBorders>
            <w:shd w:val="clear" w:color="000000" w:fill="FFFFFF"/>
            <w:vAlign w:val="center"/>
            <w:hideMark/>
          </w:tcPr>
          <w:p w14:paraId="426B9DE3"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 </w:t>
            </w:r>
          </w:p>
        </w:tc>
        <w:tc>
          <w:tcPr>
            <w:tcW w:w="1390" w:type="dxa"/>
            <w:tcBorders>
              <w:top w:val="nil"/>
              <w:left w:val="nil"/>
              <w:bottom w:val="nil"/>
              <w:right w:val="dotted" w:sz="4" w:space="0" w:color="auto"/>
            </w:tcBorders>
            <w:shd w:val="clear" w:color="000000" w:fill="FFFFFF"/>
            <w:vAlign w:val="center"/>
            <w:hideMark/>
          </w:tcPr>
          <w:p w14:paraId="3594EC2D"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845" w:type="dxa"/>
            <w:tcBorders>
              <w:top w:val="nil"/>
              <w:left w:val="nil"/>
              <w:bottom w:val="nil"/>
              <w:right w:val="dotted" w:sz="4" w:space="0" w:color="auto"/>
            </w:tcBorders>
            <w:shd w:val="clear" w:color="000000" w:fill="FFFFFF"/>
            <w:vAlign w:val="center"/>
            <w:hideMark/>
          </w:tcPr>
          <w:p w14:paraId="2D35449A"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24" w:type="dxa"/>
            <w:tcBorders>
              <w:top w:val="nil"/>
              <w:left w:val="nil"/>
              <w:bottom w:val="nil"/>
              <w:right w:val="dotted" w:sz="4" w:space="0" w:color="auto"/>
            </w:tcBorders>
            <w:shd w:val="clear" w:color="000000" w:fill="FFFFFF"/>
            <w:vAlign w:val="center"/>
            <w:hideMark/>
          </w:tcPr>
          <w:p w14:paraId="6F95A202"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nil"/>
              <w:right w:val="dotted" w:sz="4" w:space="0" w:color="auto"/>
            </w:tcBorders>
            <w:shd w:val="clear" w:color="000000" w:fill="FFFFFF"/>
            <w:vAlign w:val="center"/>
            <w:hideMark/>
          </w:tcPr>
          <w:p w14:paraId="5A750D4D"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nil"/>
              <w:right w:val="double" w:sz="6" w:space="0" w:color="auto"/>
            </w:tcBorders>
            <w:shd w:val="clear" w:color="000000" w:fill="FFFFFF"/>
            <w:vAlign w:val="center"/>
            <w:hideMark/>
          </w:tcPr>
          <w:p w14:paraId="578C3670"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r>
      <w:tr w:rsidR="00FD4733" w:rsidRPr="00FD4733" w14:paraId="1D7D7AB9" w14:textId="77777777" w:rsidTr="00FD4733">
        <w:trPr>
          <w:trHeight w:val="317"/>
        </w:trPr>
        <w:tc>
          <w:tcPr>
            <w:tcW w:w="5991" w:type="dxa"/>
            <w:tcBorders>
              <w:top w:val="nil"/>
              <w:left w:val="double" w:sz="6" w:space="0" w:color="auto"/>
              <w:bottom w:val="single" w:sz="4" w:space="0" w:color="auto"/>
              <w:right w:val="dotted" w:sz="4" w:space="0" w:color="auto"/>
            </w:tcBorders>
            <w:shd w:val="clear" w:color="auto" w:fill="auto"/>
            <w:noWrap/>
            <w:vAlign w:val="bottom"/>
            <w:hideMark/>
          </w:tcPr>
          <w:p w14:paraId="655E32CB" w14:textId="74A1CE66" w:rsidR="00FD4733" w:rsidRPr="00FD4733" w:rsidRDefault="00FD4733" w:rsidP="00FD4733">
            <w:pPr>
              <w:spacing w:after="0"/>
              <w:jc w:val="left"/>
              <w:rPr>
                <w:rFonts w:eastAsia="Times New Roman" w:cs="Times New Roman"/>
                <w:sz w:val="20"/>
                <w:szCs w:val="20"/>
              </w:rPr>
            </w:pPr>
            <w:bookmarkStart w:id="75" w:name="RANGE!B20"/>
            <w:r w:rsidRPr="00FD4733">
              <w:rPr>
                <w:rFonts w:eastAsia="Times New Roman" w:cs="Times New Roman"/>
                <w:sz w:val="20"/>
                <w:szCs w:val="20"/>
              </w:rPr>
              <w:t xml:space="preserve">   - Valuation effects and other [6]</w:t>
            </w:r>
            <w:bookmarkEnd w:id="75"/>
          </w:p>
        </w:tc>
        <w:tc>
          <w:tcPr>
            <w:tcW w:w="1364" w:type="dxa"/>
            <w:tcBorders>
              <w:top w:val="nil"/>
              <w:left w:val="nil"/>
              <w:bottom w:val="single" w:sz="4" w:space="0" w:color="auto"/>
              <w:right w:val="single" w:sz="8" w:space="0" w:color="auto"/>
            </w:tcBorders>
            <w:shd w:val="clear" w:color="000000" w:fill="FFFFFF"/>
            <w:vAlign w:val="center"/>
            <w:hideMark/>
          </w:tcPr>
          <w:p w14:paraId="69CF7102"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 </w:t>
            </w:r>
          </w:p>
        </w:tc>
        <w:tc>
          <w:tcPr>
            <w:tcW w:w="1390" w:type="dxa"/>
            <w:tcBorders>
              <w:top w:val="nil"/>
              <w:left w:val="nil"/>
              <w:bottom w:val="single" w:sz="4" w:space="0" w:color="auto"/>
              <w:right w:val="dotted" w:sz="4" w:space="0" w:color="auto"/>
            </w:tcBorders>
            <w:shd w:val="clear" w:color="000000" w:fill="FFFFFF"/>
            <w:vAlign w:val="center"/>
            <w:hideMark/>
          </w:tcPr>
          <w:p w14:paraId="562F3CB5"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845" w:type="dxa"/>
            <w:tcBorders>
              <w:top w:val="nil"/>
              <w:left w:val="nil"/>
              <w:bottom w:val="single" w:sz="4" w:space="0" w:color="auto"/>
              <w:right w:val="dotted" w:sz="4" w:space="0" w:color="auto"/>
            </w:tcBorders>
            <w:shd w:val="clear" w:color="000000" w:fill="FFFFFF"/>
            <w:vAlign w:val="center"/>
            <w:hideMark/>
          </w:tcPr>
          <w:p w14:paraId="6D38C391"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24" w:type="dxa"/>
            <w:tcBorders>
              <w:top w:val="nil"/>
              <w:left w:val="nil"/>
              <w:bottom w:val="single" w:sz="4" w:space="0" w:color="auto"/>
              <w:right w:val="dotted" w:sz="4" w:space="0" w:color="auto"/>
            </w:tcBorders>
            <w:shd w:val="clear" w:color="000000" w:fill="FFFFFF"/>
            <w:vAlign w:val="center"/>
            <w:hideMark/>
          </w:tcPr>
          <w:p w14:paraId="35B38D62"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single" w:sz="4" w:space="0" w:color="auto"/>
              <w:right w:val="dotted" w:sz="4" w:space="0" w:color="auto"/>
            </w:tcBorders>
            <w:shd w:val="clear" w:color="000000" w:fill="FFFFFF"/>
            <w:vAlign w:val="center"/>
            <w:hideMark/>
          </w:tcPr>
          <w:p w14:paraId="4443BE3F"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single" w:sz="4" w:space="0" w:color="auto"/>
              <w:right w:val="double" w:sz="6" w:space="0" w:color="auto"/>
            </w:tcBorders>
            <w:shd w:val="clear" w:color="000000" w:fill="FFFFFF"/>
            <w:vAlign w:val="center"/>
            <w:hideMark/>
          </w:tcPr>
          <w:p w14:paraId="75E641F6"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r>
      <w:tr w:rsidR="00FD4733" w:rsidRPr="00FD4733" w14:paraId="1FEB82C4" w14:textId="77777777" w:rsidTr="00FD4733">
        <w:trPr>
          <w:trHeight w:val="317"/>
        </w:trPr>
        <w:tc>
          <w:tcPr>
            <w:tcW w:w="5991" w:type="dxa"/>
            <w:tcBorders>
              <w:top w:val="nil"/>
              <w:left w:val="double" w:sz="6" w:space="0" w:color="auto"/>
              <w:bottom w:val="single" w:sz="8" w:space="0" w:color="auto"/>
              <w:right w:val="nil"/>
            </w:tcBorders>
            <w:shd w:val="clear" w:color="auto" w:fill="auto"/>
            <w:noWrap/>
            <w:vAlign w:val="bottom"/>
            <w:hideMark/>
          </w:tcPr>
          <w:p w14:paraId="71D9C486" w14:textId="77777777" w:rsidR="00FD4733" w:rsidRPr="00FD4733" w:rsidRDefault="00FD4733" w:rsidP="00FD4733">
            <w:pPr>
              <w:spacing w:after="0"/>
              <w:jc w:val="left"/>
              <w:rPr>
                <w:rFonts w:eastAsia="Times New Roman" w:cs="Times New Roman"/>
                <w:b/>
                <w:bCs/>
                <w:sz w:val="20"/>
                <w:szCs w:val="20"/>
              </w:rPr>
            </w:pPr>
            <w:r w:rsidRPr="00FD4733">
              <w:rPr>
                <w:rFonts w:eastAsia="Times New Roman" w:cs="Times New Roman"/>
                <w:b/>
                <w:bCs/>
                <w:sz w:val="20"/>
                <w:szCs w:val="20"/>
              </w:rPr>
              <w:t xml:space="preserve">   p.m. implicit interest rate on debt [7]</w:t>
            </w:r>
          </w:p>
        </w:tc>
        <w:tc>
          <w:tcPr>
            <w:tcW w:w="1364" w:type="dxa"/>
            <w:tcBorders>
              <w:top w:val="nil"/>
              <w:left w:val="nil"/>
              <w:bottom w:val="single" w:sz="8" w:space="0" w:color="auto"/>
              <w:right w:val="single" w:sz="8" w:space="0" w:color="auto"/>
            </w:tcBorders>
            <w:shd w:val="clear" w:color="000000" w:fill="FFFFFF"/>
            <w:vAlign w:val="center"/>
            <w:hideMark/>
          </w:tcPr>
          <w:p w14:paraId="4A554729" w14:textId="77777777" w:rsidR="00FD4733" w:rsidRPr="00FD4733" w:rsidRDefault="00FD4733" w:rsidP="00FD4733">
            <w:pPr>
              <w:spacing w:after="0"/>
              <w:jc w:val="center"/>
              <w:rPr>
                <w:rFonts w:eastAsia="Times New Roman" w:cs="Times New Roman"/>
                <w:szCs w:val="24"/>
              </w:rPr>
            </w:pPr>
            <w:r w:rsidRPr="00FD4733">
              <w:rPr>
                <w:rFonts w:eastAsia="Times New Roman" w:cs="Times New Roman"/>
                <w:szCs w:val="24"/>
              </w:rPr>
              <w:t> </w:t>
            </w:r>
          </w:p>
        </w:tc>
        <w:tc>
          <w:tcPr>
            <w:tcW w:w="1390" w:type="dxa"/>
            <w:tcBorders>
              <w:top w:val="nil"/>
              <w:left w:val="nil"/>
              <w:bottom w:val="single" w:sz="8" w:space="0" w:color="000000"/>
              <w:right w:val="dotted" w:sz="4" w:space="0" w:color="auto"/>
            </w:tcBorders>
            <w:shd w:val="clear" w:color="auto" w:fill="auto"/>
            <w:vAlign w:val="center"/>
            <w:hideMark/>
          </w:tcPr>
          <w:p w14:paraId="4497BABF" w14:textId="77777777" w:rsidR="00FD4733" w:rsidRPr="00FD4733" w:rsidRDefault="00FD4733" w:rsidP="00FD4733">
            <w:pPr>
              <w:spacing w:after="0"/>
              <w:jc w:val="right"/>
              <w:rPr>
                <w:rFonts w:eastAsia="Times New Roman" w:cs="Times New Roman"/>
                <w:color w:val="000000"/>
                <w:sz w:val="20"/>
                <w:szCs w:val="20"/>
              </w:rPr>
            </w:pPr>
            <w:r w:rsidRPr="00FD4733">
              <w:rPr>
                <w:rFonts w:eastAsia="Times New Roman" w:cs="Times New Roman"/>
                <w:color w:val="000000"/>
                <w:sz w:val="20"/>
                <w:szCs w:val="20"/>
              </w:rPr>
              <w:t>3,8</w:t>
            </w:r>
          </w:p>
        </w:tc>
        <w:tc>
          <w:tcPr>
            <w:tcW w:w="1845" w:type="dxa"/>
            <w:tcBorders>
              <w:top w:val="nil"/>
              <w:left w:val="nil"/>
              <w:bottom w:val="single" w:sz="8" w:space="0" w:color="000000"/>
              <w:right w:val="dotted" w:sz="4" w:space="0" w:color="auto"/>
            </w:tcBorders>
            <w:shd w:val="clear" w:color="auto" w:fill="auto"/>
            <w:vAlign w:val="center"/>
            <w:hideMark/>
          </w:tcPr>
          <w:p w14:paraId="0BE41CD6" w14:textId="77777777" w:rsidR="00FD4733" w:rsidRPr="00FD4733" w:rsidRDefault="00FD4733" w:rsidP="00FD4733">
            <w:pPr>
              <w:spacing w:after="0"/>
              <w:jc w:val="right"/>
              <w:rPr>
                <w:rFonts w:eastAsia="Times New Roman" w:cs="Times New Roman"/>
                <w:color w:val="000000"/>
                <w:sz w:val="20"/>
                <w:szCs w:val="20"/>
              </w:rPr>
            </w:pPr>
            <w:r w:rsidRPr="00FD4733">
              <w:rPr>
                <w:rFonts w:eastAsia="Times New Roman" w:cs="Times New Roman"/>
                <w:color w:val="000000"/>
                <w:sz w:val="20"/>
                <w:szCs w:val="20"/>
              </w:rPr>
              <w:t>4,4</w:t>
            </w:r>
          </w:p>
        </w:tc>
        <w:tc>
          <w:tcPr>
            <w:tcW w:w="1524" w:type="dxa"/>
            <w:tcBorders>
              <w:top w:val="nil"/>
              <w:left w:val="nil"/>
              <w:bottom w:val="single" w:sz="8" w:space="0" w:color="000000"/>
              <w:right w:val="dotted" w:sz="4" w:space="0" w:color="auto"/>
            </w:tcBorders>
            <w:shd w:val="clear" w:color="auto" w:fill="auto"/>
            <w:vAlign w:val="center"/>
            <w:hideMark/>
          </w:tcPr>
          <w:p w14:paraId="4933035A" w14:textId="77777777" w:rsidR="00FD4733" w:rsidRPr="00FD4733" w:rsidRDefault="00FD4733" w:rsidP="00FD4733">
            <w:pPr>
              <w:spacing w:after="0"/>
              <w:jc w:val="right"/>
              <w:rPr>
                <w:rFonts w:eastAsia="Times New Roman" w:cs="Times New Roman"/>
                <w:color w:val="000000"/>
                <w:sz w:val="20"/>
                <w:szCs w:val="20"/>
              </w:rPr>
            </w:pPr>
            <w:r w:rsidRPr="00FD4733">
              <w:rPr>
                <w:rFonts w:eastAsia="Times New Roman" w:cs="Times New Roman"/>
                <w:color w:val="000000"/>
                <w:sz w:val="20"/>
                <w:szCs w:val="20"/>
              </w:rPr>
              <w:t>4,8</w:t>
            </w:r>
          </w:p>
        </w:tc>
        <w:tc>
          <w:tcPr>
            <w:tcW w:w="1578" w:type="dxa"/>
            <w:tcBorders>
              <w:top w:val="nil"/>
              <w:left w:val="nil"/>
              <w:bottom w:val="single" w:sz="8" w:space="0" w:color="000000"/>
              <w:right w:val="dotted" w:sz="4" w:space="0" w:color="auto"/>
            </w:tcBorders>
            <w:shd w:val="clear" w:color="auto" w:fill="auto"/>
            <w:vAlign w:val="center"/>
            <w:hideMark/>
          </w:tcPr>
          <w:p w14:paraId="451463B8" w14:textId="77777777" w:rsidR="00FD4733" w:rsidRPr="00FD4733" w:rsidRDefault="00FD4733" w:rsidP="00FD4733">
            <w:pPr>
              <w:spacing w:after="0"/>
              <w:jc w:val="right"/>
              <w:rPr>
                <w:rFonts w:eastAsia="Times New Roman" w:cs="Times New Roman"/>
                <w:color w:val="000000"/>
                <w:sz w:val="20"/>
                <w:szCs w:val="20"/>
              </w:rPr>
            </w:pPr>
            <w:r w:rsidRPr="00FD4733">
              <w:rPr>
                <w:rFonts w:eastAsia="Times New Roman" w:cs="Times New Roman"/>
                <w:color w:val="000000"/>
                <w:sz w:val="20"/>
                <w:szCs w:val="20"/>
              </w:rPr>
              <w:t>4,8</w:t>
            </w:r>
          </w:p>
        </w:tc>
        <w:tc>
          <w:tcPr>
            <w:tcW w:w="1578" w:type="dxa"/>
            <w:tcBorders>
              <w:top w:val="nil"/>
              <w:left w:val="nil"/>
              <w:bottom w:val="single" w:sz="8" w:space="0" w:color="000000"/>
              <w:right w:val="double" w:sz="6" w:space="0" w:color="auto"/>
            </w:tcBorders>
            <w:shd w:val="clear" w:color="auto" w:fill="auto"/>
            <w:vAlign w:val="center"/>
            <w:hideMark/>
          </w:tcPr>
          <w:p w14:paraId="3A426362" w14:textId="77777777" w:rsidR="00FD4733" w:rsidRPr="00FD4733" w:rsidRDefault="00FD4733" w:rsidP="00FD4733">
            <w:pPr>
              <w:spacing w:after="0"/>
              <w:jc w:val="right"/>
              <w:rPr>
                <w:rFonts w:eastAsia="Times New Roman" w:cs="Times New Roman"/>
                <w:color w:val="000000"/>
                <w:sz w:val="20"/>
                <w:szCs w:val="20"/>
              </w:rPr>
            </w:pPr>
            <w:r w:rsidRPr="00FD4733">
              <w:rPr>
                <w:rFonts w:eastAsia="Times New Roman" w:cs="Times New Roman"/>
                <w:color w:val="000000"/>
                <w:sz w:val="20"/>
                <w:szCs w:val="20"/>
              </w:rPr>
              <w:t>4,5</w:t>
            </w:r>
          </w:p>
        </w:tc>
      </w:tr>
      <w:tr w:rsidR="00FD4733" w:rsidRPr="00FD4733" w14:paraId="2765A535" w14:textId="77777777" w:rsidTr="00FD4733">
        <w:trPr>
          <w:trHeight w:val="317"/>
        </w:trPr>
        <w:tc>
          <w:tcPr>
            <w:tcW w:w="15271" w:type="dxa"/>
            <w:gridSpan w:val="7"/>
            <w:tcBorders>
              <w:top w:val="single" w:sz="8" w:space="0" w:color="auto"/>
              <w:left w:val="double" w:sz="6" w:space="0" w:color="auto"/>
              <w:bottom w:val="single" w:sz="8" w:space="0" w:color="auto"/>
              <w:right w:val="nil"/>
            </w:tcBorders>
            <w:shd w:val="clear" w:color="000000" w:fill="FFFFFF"/>
            <w:vAlign w:val="center"/>
            <w:hideMark/>
          </w:tcPr>
          <w:p w14:paraId="29045CB7" w14:textId="77777777" w:rsidR="00FD4733" w:rsidRPr="00FD4733" w:rsidRDefault="00FD4733" w:rsidP="00FD4733">
            <w:pPr>
              <w:spacing w:after="0"/>
              <w:jc w:val="center"/>
              <w:rPr>
                <w:rFonts w:eastAsia="Times New Roman" w:cs="Times New Roman"/>
                <w:b/>
                <w:bCs/>
                <w:szCs w:val="24"/>
              </w:rPr>
            </w:pPr>
            <w:r w:rsidRPr="00FD4733">
              <w:rPr>
                <w:rFonts w:eastAsia="Times New Roman" w:cs="Times New Roman"/>
                <w:b/>
                <w:bCs/>
                <w:szCs w:val="24"/>
              </w:rPr>
              <w:t>Other relevant variables</w:t>
            </w:r>
          </w:p>
        </w:tc>
      </w:tr>
      <w:tr w:rsidR="00FD4733" w:rsidRPr="00FD4733" w14:paraId="790A5B75" w14:textId="77777777" w:rsidTr="00FD4733">
        <w:trPr>
          <w:trHeight w:val="317"/>
        </w:trPr>
        <w:tc>
          <w:tcPr>
            <w:tcW w:w="5991" w:type="dxa"/>
            <w:tcBorders>
              <w:top w:val="nil"/>
              <w:left w:val="double" w:sz="6" w:space="0" w:color="auto"/>
              <w:bottom w:val="dotted" w:sz="4" w:space="0" w:color="auto"/>
              <w:right w:val="dotted" w:sz="4" w:space="0" w:color="auto"/>
            </w:tcBorders>
            <w:shd w:val="clear" w:color="auto" w:fill="auto"/>
            <w:noWrap/>
            <w:vAlign w:val="bottom"/>
            <w:hideMark/>
          </w:tcPr>
          <w:p w14:paraId="017FBC19" w14:textId="77777777" w:rsidR="00FD4733" w:rsidRPr="00FD4733" w:rsidRDefault="00FD4733" w:rsidP="00FD4733">
            <w:pPr>
              <w:spacing w:after="0"/>
              <w:jc w:val="left"/>
              <w:rPr>
                <w:rFonts w:eastAsia="Times New Roman" w:cs="Times New Roman"/>
                <w:b/>
                <w:bCs/>
                <w:sz w:val="20"/>
                <w:szCs w:val="20"/>
              </w:rPr>
            </w:pPr>
            <w:r w:rsidRPr="00FD4733">
              <w:rPr>
                <w:rFonts w:eastAsia="Times New Roman" w:cs="Times New Roman"/>
                <w:b/>
                <w:bCs/>
                <w:sz w:val="20"/>
                <w:szCs w:val="20"/>
              </w:rPr>
              <w:t xml:space="preserve">  8. Liquid financial assets [8]</w:t>
            </w:r>
          </w:p>
        </w:tc>
        <w:tc>
          <w:tcPr>
            <w:tcW w:w="1364" w:type="dxa"/>
            <w:tcBorders>
              <w:top w:val="nil"/>
              <w:left w:val="nil"/>
              <w:bottom w:val="dotted" w:sz="4" w:space="0" w:color="auto"/>
              <w:right w:val="single" w:sz="8" w:space="0" w:color="auto"/>
            </w:tcBorders>
            <w:shd w:val="clear" w:color="000000" w:fill="FFFFFF"/>
            <w:vAlign w:val="center"/>
            <w:hideMark/>
          </w:tcPr>
          <w:p w14:paraId="1C5FB665" w14:textId="77777777" w:rsidR="00FD4733" w:rsidRPr="00FD4733" w:rsidRDefault="00FD4733" w:rsidP="00FD4733">
            <w:pPr>
              <w:spacing w:after="0"/>
              <w:jc w:val="center"/>
              <w:rPr>
                <w:rFonts w:eastAsia="Times New Roman" w:cs="Times New Roman"/>
                <w:szCs w:val="24"/>
              </w:rPr>
            </w:pPr>
            <w:bookmarkStart w:id="76" w:name="RANGE!D23"/>
            <w:r w:rsidRPr="00FD4733">
              <w:rPr>
                <w:rFonts w:eastAsia="Times New Roman" w:cs="Times New Roman"/>
                <w:szCs w:val="24"/>
              </w:rPr>
              <w:t> </w:t>
            </w:r>
            <w:bookmarkEnd w:id="76"/>
          </w:p>
        </w:tc>
        <w:tc>
          <w:tcPr>
            <w:tcW w:w="1390" w:type="dxa"/>
            <w:tcBorders>
              <w:top w:val="nil"/>
              <w:left w:val="nil"/>
              <w:bottom w:val="dashed" w:sz="4" w:space="0" w:color="auto"/>
              <w:right w:val="dotted" w:sz="4" w:space="0" w:color="auto"/>
            </w:tcBorders>
            <w:shd w:val="clear" w:color="000000" w:fill="FFFFFF"/>
            <w:vAlign w:val="center"/>
            <w:hideMark/>
          </w:tcPr>
          <w:p w14:paraId="1EE4F3B9"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845" w:type="dxa"/>
            <w:tcBorders>
              <w:top w:val="nil"/>
              <w:left w:val="nil"/>
              <w:bottom w:val="dotted" w:sz="4" w:space="0" w:color="auto"/>
              <w:right w:val="dotted" w:sz="4" w:space="0" w:color="auto"/>
            </w:tcBorders>
            <w:shd w:val="clear" w:color="000000" w:fill="FFFFFF"/>
            <w:vAlign w:val="center"/>
            <w:hideMark/>
          </w:tcPr>
          <w:p w14:paraId="5066B392"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24" w:type="dxa"/>
            <w:tcBorders>
              <w:top w:val="nil"/>
              <w:left w:val="nil"/>
              <w:bottom w:val="dotted" w:sz="4" w:space="0" w:color="auto"/>
              <w:right w:val="dotted" w:sz="4" w:space="0" w:color="auto"/>
            </w:tcBorders>
            <w:shd w:val="clear" w:color="000000" w:fill="FFFFFF"/>
            <w:vAlign w:val="center"/>
            <w:hideMark/>
          </w:tcPr>
          <w:p w14:paraId="0F03C272"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dotted" w:sz="4" w:space="0" w:color="auto"/>
              <w:right w:val="dotted" w:sz="4" w:space="0" w:color="auto"/>
            </w:tcBorders>
            <w:shd w:val="clear" w:color="000000" w:fill="FFFFFF"/>
            <w:vAlign w:val="center"/>
            <w:hideMark/>
          </w:tcPr>
          <w:p w14:paraId="1E47357B"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dotted" w:sz="4" w:space="0" w:color="auto"/>
              <w:right w:val="double" w:sz="6" w:space="0" w:color="auto"/>
            </w:tcBorders>
            <w:shd w:val="clear" w:color="000000" w:fill="FFFFFF"/>
            <w:vAlign w:val="center"/>
            <w:hideMark/>
          </w:tcPr>
          <w:p w14:paraId="2CDB6DA7"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r>
      <w:tr w:rsidR="00FD4733" w:rsidRPr="00FD4733" w14:paraId="3535FAB0" w14:textId="77777777" w:rsidTr="00FD4733">
        <w:trPr>
          <w:trHeight w:val="317"/>
        </w:trPr>
        <w:tc>
          <w:tcPr>
            <w:tcW w:w="5991" w:type="dxa"/>
            <w:tcBorders>
              <w:top w:val="nil"/>
              <w:left w:val="double" w:sz="6" w:space="0" w:color="auto"/>
              <w:bottom w:val="double" w:sz="6" w:space="0" w:color="auto"/>
              <w:right w:val="dotted" w:sz="4" w:space="0" w:color="auto"/>
            </w:tcBorders>
            <w:shd w:val="clear" w:color="000000" w:fill="FFFFFF"/>
            <w:vAlign w:val="center"/>
            <w:hideMark/>
          </w:tcPr>
          <w:p w14:paraId="1D6395C3" w14:textId="77777777" w:rsidR="00FD4733" w:rsidRPr="00FD4733" w:rsidRDefault="00FD4733" w:rsidP="00FD4733">
            <w:pPr>
              <w:spacing w:after="0"/>
              <w:jc w:val="left"/>
              <w:rPr>
                <w:rFonts w:eastAsia="Times New Roman" w:cs="Times New Roman"/>
                <w:b/>
                <w:bCs/>
                <w:sz w:val="20"/>
                <w:szCs w:val="20"/>
              </w:rPr>
            </w:pPr>
            <w:r w:rsidRPr="00FD4733">
              <w:rPr>
                <w:rFonts w:eastAsia="Times New Roman" w:cs="Times New Roman"/>
                <w:b/>
                <w:bCs/>
                <w:sz w:val="20"/>
                <w:szCs w:val="20"/>
              </w:rPr>
              <w:t xml:space="preserve">  9. Net financial debt (9 = 1 - 8)</w:t>
            </w:r>
          </w:p>
        </w:tc>
        <w:tc>
          <w:tcPr>
            <w:tcW w:w="1364" w:type="dxa"/>
            <w:tcBorders>
              <w:top w:val="nil"/>
              <w:left w:val="nil"/>
              <w:bottom w:val="double" w:sz="6" w:space="0" w:color="auto"/>
              <w:right w:val="single" w:sz="8" w:space="0" w:color="auto"/>
            </w:tcBorders>
            <w:shd w:val="clear" w:color="000000" w:fill="FFFFFF"/>
            <w:vAlign w:val="center"/>
            <w:hideMark/>
          </w:tcPr>
          <w:p w14:paraId="10750FDE" w14:textId="77777777" w:rsidR="00FD4733" w:rsidRPr="00FD4733" w:rsidRDefault="00FD4733" w:rsidP="00FD4733">
            <w:pPr>
              <w:spacing w:after="0"/>
              <w:jc w:val="center"/>
              <w:rPr>
                <w:rFonts w:eastAsia="Times New Roman" w:cs="Times New Roman"/>
                <w:szCs w:val="24"/>
              </w:rPr>
            </w:pPr>
            <w:bookmarkStart w:id="77" w:name="RANGE!D24"/>
            <w:r w:rsidRPr="00FD4733">
              <w:rPr>
                <w:rFonts w:eastAsia="Times New Roman" w:cs="Times New Roman"/>
                <w:szCs w:val="24"/>
              </w:rPr>
              <w:t> </w:t>
            </w:r>
            <w:bookmarkEnd w:id="77"/>
          </w:p>
        </w:tc>
        <w:tc>
          <w:tcPr>
            <w:tcW w:w="1390" w:type="dxa"/>
            <w:tcBorders>
              <w:top w:val="nil"/>
              <w:left w:val="nil"/>
              <w:bottom w:val="double" w:sz="6" w:space="0" w:color="auto"/>
              <w:right w:val="dotted" w:sz="4" w:space="0" w:color="auto"/>
            </w:tcBorders>
            <w:shd w:val="clear" w:color="000000" w:fill="FFFFFF"/>
            <w:vAlign w:val="center"/>
            <w:hideMark/>
          </w:tcPr>
          <w:p w14:paraId="75EE69B3"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845" w:type="dxa"/>
            <w:tcBorders>
              <w:top w:val="nil"/>
              <w:left w:val="nil"/>
              <w:bottom w:val="double" w:sz="6" w:space="0" w:color="auto"/>
              <w:right w:val="dotted" w:sz="4" w:space="0" w:color="auto"/>
            </w:tcBorders>
            <w:shd w:val="clear" w:color="000000" w:fill="FFFFFF"/>
            <w:vAlign w:val="center"/>
            <w:hideMark/>
          </w:tcPr>
          <w:p w14:paraId="5659DEC1"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24" w:type="dxa"/>
            <w:tcBorders>
              <w:top w:val="nil"/>
              <w:left w:val="nil"/>
              <w:bottom w:val="double" w:sz="6" w:space="0" w:color="auto"/>
              <w:right w:val="dotted" w:sz="4" w:space="0" w:color="auto"/>
            </w:tcBorders>
            <w:shd w:val="clear" w:color="000000" w:fill="FFFFFF"/>
            <w:vAlign w:val="center"/>
            <w:hideMark/>
          </w:tcPr>
          <w:p w14:paraId="50C36D27"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double" w:sz="6" w:space="0" w:color="auto"/>
              <w:right w:val="dotted" w:sz="4" w:space="0" w:color="auto"/>
            </w:tcBorders>
            <w:shd w:val="clear" w:color="000000" w:fill="FFFFFF"/>
            <w:vAlign w:val="center"/>
            <w:hideMark/>
          </w:tcPr>
          <w:p w14:paraId="743F3F3E"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c>
          <w:tcPr>
            <w:tcW w:w="1578" w:type="dxa"/>
            <w:tcBorders>
              <w:top w:val="nil"/>
              <w:left w:val="nil"/>
              <w:bottom w:val="double" w:sz="6" w:space="0" w:color="auto"/>
              <w:right w:val="double" w:sz="6" w:space="0" w:color="auto"/>
            </w:tcBorders>
            <w:shd w:val="clear" w:color="000000" w:fill="FFFFFF"/>
            <w:vAlign w:val="center"/>
            <w:hideMark/>
          </w:tcPr>
          <w:p w14:paraId="396A11B4" w14:textId="77777777" w:rsidR="00FD4733" w:rsidRPr="00FD4733" w:rsidRDefault="00FD4733" w:rsidP="00FD4733">
            <w:pPr>
              <w:spacing w:after="0"/>
              <w:jc w:val="right"/>
              <w:rPr>
                <w:rFonts w:eastAsia="Times New Roman" w:cs="Times New Roman"/>
                <w:sz w:val="20"/>
                <w:szCs w:val="20"/>
              </w:rPr>
            </w:pPr>
            <w:r w:rsidRPr="00FD4733">
              <w:rPr>
                <w:rFonts w:eastAsia="Times New Roman" w:cs="Times New Roman"/>
                <w:sz w:val="20"/>
                <w:szCs w:val="20"/>
              </w:rPr>
              <w:t>:</w:t>
            </w:r>
          </w:p>
        </w:tc>
      </w:tr>
    </w:tbl>
    <w:p w14:paraId="5457413A" w14:textId="77777777" w:rsidR="00FD4733" w:rsidRPr="00FD4733" w:rsidRDefault="00FD4733" w:rsidP="00FD4733">
      <w:pPr>
        <w:spacing w:after="160" w:line="259" w:lineRule="auto"/>
        <w:jc w:val="left"/>
        <w:rPr>
          <w:szCs w:val="24"/>
        </w:rPr>
      </w:pPr>
      <w:r>
        <w:rPr>
          <w:szCs w:val="24"/>
        </w:rPr>
        <w:fldChar w:fldCharType="end"/>
      </w:r>
    </w:p>
    <w:tbl>
      <w:tblPr>
        <w:tblW w:w="12345" w:type="dxa"/>
        <w:tblLook w:val="04A0" w:firstRow="1" w:lastRow="0" w:firstColumn="1" w:lastColumn="0" w:noHBand="0" w:noVBand="1"/>
      </w:tblPr>
      <w:tblGrid>
        <w:gridCol w:w="12345"/>
      </w:tblGrid>
      <w:tr w:rsidR="00FD4733" w:rsidRPr="00FD4733" w14:paraId="48DB11D9" w14:textId="77777777" w:rsidTr="00FD4733">
        <w:trPr>
          <w:trHeight w:val="225"/>
        </w:trPr>
        <w:tc>
          <w:tcPr>
            <w:tcW w:w="12345" w:type="dxa"/>
            <w:tcBorders>
              <w:top w:val="nil"/>
              <w:left w:val="nil"/>
              <w:bottom w:val="nil"/>
              <w:right w:val="nil"/>
            </w:tcBorders>
            <w:shd w:val="clear" w:color="000000" w:fill="FFFFFF"/>
            <w:noWrap/>
            <w:vAlign w:val="center"/>
            <w:hideMark/>
          </w:tcPr>
          <w:p w14:paraId="326E3459"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[1]   As defined in Regulation 3605/93 (not an ESA concept).</w:t>
            </w:r>
          </w:p>
        </w:tc>
      </w:tr>
      <w:tr w:rsidR="00FD4733" w:rsidRPr="00FD4733" w14:paraId="56090CCF" w14:textId="77777777" w:rsidTr="00FD4733">
        <w:trPr>
          <w:trHeight w:val="225"/>
        </w:trPr>
        <w:tc>
          <w:tcPr>
            <w:tcW w:w="12345" w:type="dxa"/>
            <w:tcBorders>
              <w:top w:val="nil"/>
              <w:left w:val="nil"/>
              <w:bottom w:val="nil"/>
              <w:right w:val="nil"/>
            </w:tcBorders>
            <w:shd w:val="clear" w:color="000000" w:fill="FFFFFF"/>
            <w:noWrap/>
            <w:vAlign w:val="center"/>
            <w:hideMark/>
          </w:tcPr>
          <w:p w14:paraId="174891AB"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[2]   Cf. item 10 in Table 2.</w:t>
            </w:r>
          </w:p>
        </w:tc>
      </w:tr>
      <w:tr w:rsidR="00FD4733" w:rsidRPr="00FD4733" w14:paraId="2E53662F" w14:textId="77777777" w:rsidTr="00FD4733">
        <w:trPr>
          <w:trHeight w:val="225"/>
        </w:trPr>
        <w:tc>
          <w:tcPr>
            <w:tcW w:w="12345" w:type="dxa"/>
            <w:tcBorders>
              <w:top w:val="nil"/>
              <w:left w:val="nil"/>
              <w:bottom w:val="nil"/>
              <w:right w:val="nil"/>
            </w:tcBorders>
            <w:shd w:val="clear" w:color="000000" w:fill="FFFFFF"/>
            <w:noWrap/>
            <w:vAlign w:val="center"/>
            <w:hideMark/>
          </w:tcPr>
          <w:p w14:paraId="343D4A2D"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[3]   Cf. item 9 in Table 2.</w:t>
            </w:r>
          </w:p>
        </w:tc>
      </w:tr>
      <w:tr w:rsidR="00FD4733" w:rsidRPr="00FD4733" w14:paraId="6CF47BC0" w14:textId="77777777" w:rsidTr="00FD4733">
        <w:trPr>
          <w:trHeight w:val="225"/>
        </w:trPr>
        <w:tc>
          <w:tcPr>
            <w:tcW w:w="12345" w:type="dxa"/>
            <w:tcBorders>
              <w:top w:val="nil"/>
              <w:left w:val="nil"/>
              <w:bottom w:val="nil"/>
              <w:right w:val="nil"/>
            </w:tcBorders>
            <w:shd w:val="clear" w:color="000000" w:fill="FFFFFF"/>
            <w:noWrap/>
            <w:vAlign w:val="center"/>
            <w:hideMark/>
          </w:tcPr>
          <w:p w14:paraId="5083D7A3"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 xml:space="preserve">[4]   The differences concerning interest expenditure, other expenditure and revenue could be distinguished when relevant. </w:t>
            </w:r>
          </w:p>
        </w:tc>
      </w:tr>
      <w:tr w:rsidR="00FD4733" w:rsidRPr="00FD4733" w14:paraId="7CE3C06F" w14:textId="77777777" w:rsidTr="00FD4733">
        <w:trPr>
          <w:trHeight w:val="225"/>
        </w:trPr>
        <w:tc>
          <w:tcPr>
            <w:tcW w:w="12345" w:type="dxa"/>
            <w:tcBorders>
              <w:top w:val="nil"/>
              <w:left w:val="nil"/>
              <w:bottom w:val="nil"/>
              <w:right w:val="nil"/>
            </w:tcBorders>
            <w:shd w:val="clear" w:color="000000" w:fill="FFFFFF"/>
            <w:noWrap/>
            <w:vAlign w:val="center"/>
            <w:hideMark/>
          </w:tcPr>
          <w:p w14:paraId="7A3C7865"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[5]   Liquid assets, assets on third countries, government controlled enterprises and the difference between quoted and</w:t>
            </w:r>
          </w:p>
        </w:tc>
      </w:tr>
      <w:tr w:rsidR="00FD4733" w:rsidRPr="00FD4733" w14:paraId="4FD5D787" w14:textId="77777777" w:rsidTr="00FD4733">
        <w:trPr>
          <w:trHeight w:val="225"/>
        </w:trPr>
        <w:tc>
          <w:tcPr>
            <w:tcW w:w="12345" w:type="dxa"/>
            <w:tcBorders>
              <w:top w:val="nil"/>
              <w:left w:val="nil"/>
              <w:bottom w:val="nil"/>
              <w:right w:val="nil"/>
            </w:tcBorders>
            <w:shd w:val="clear" w:color="000000" w:fill="FFFFFF"/>
            <w:noWrap/>
            <w:vAlign w:val="center"/>
            <w:hideMark/>
          </w:tcPr>
          <w:p w14:paraId="485A6B5E"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 xml:space="preserve">        non-quoted assets could be distinguished when relevant.</w:t>
            </w:r>
          </w:p>
        </w:tc>
      </w:tr>
      <w:tr w:rsidR="00FD4733" w:rsidRPr="00FD4733" w14:paraId="59A3020D" w14:textId="77777777" w:rsidTr="00FD4733">
        <w:trPr>
          <w:trHeight w:val="225"/>
        </w:trPr>
        <w:tc>
          <w:tcPr>
            <w:tcW w:w="12345" w:type="dxa"/>
            <w:tcBorders>
              <w:top w:val="nil"/>
              <w:left w:val="nil"/>
              <w:bottom w:val="nil"/>
              <w:right w:val="nil"/>
            </w:tcBorders>
            <w:shd w:val="clear" w:color="000000" w:fill="FFFFFF"/>
            <w:noWrap/>
            <w:vAlign w:val="center"/>
            <w:hideMark/>
          </w:tcPr>
          <w:p w14:paraId="59BA42D6"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[6]   Changes du to exchange rage movement, and operation in secondary market could be distinguished when relevant.</w:t>
            </w:r>
          </w:p>
        </w:tc>
      </w:tr>
      <w:tr w:rsidR="00FD4733" w:rsidRPr="00FD4733" w14:paraId="5DE9FE50" w14:textId="77777777" w:rsidTr="00FD4733">
        <w:trPr>
          <w:trHeight w:val="225"/>
        </w:trPr>
        <w:tc>
          <w:tcPr>
            <w:tcW w:w="12345" w:type="dxa"/>
            <w:tcBorders>
              <w:top w:val="nil"/>
              <w:left w:val="nil"/>
              <w:bottom w:val="nil"/>
              <w:right w:val="nil"/>
            </w:tcBorders>
            <w:shd w:val="clear" w:color="000000" w:fill="FFFFFF"/>
            <w:noWrap/>
            <w:vAlign w:val="center"/>
            <w:hideMark/>
          </w:tcPr>
          <w:p w14:paraId="5D92A5A8"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[7]   Proxied by interest expenditure divided by the debt level of the previous year.</w:t>
            </w:r>
          </w:p>
        </w:tc>
      </w:tr>
      <w:tr w:rsidR="00FD4733" w:rsidRPr="00FD4733" w14:paraId="24906090" w14:textId="77777777" w:rsidTr="00FD4733">
        <w:trPr>
          <w:trHeight w:val="225"/>
        </w:trPr>
        <w:tc>
          <w:tcPr>
            <w:tcW w:w="12345" w:type="dxa"/>
            <w:tcBorders>
              <w:top w:val="nil"/>
              <w:left w:val="nil"/>
              <w:bottom w:val="nil"/>
              <w:right w:val="nil"/>
            </w:tcBorders>
            <w:shd w:val="clear" w:color="000000" w:fill="FFFFFF"/>
            <w:noWrap/>
            <w:vAlign w:val="center"/>
            <w:hideMark/>
          </w:tcPr>
          <w:p w14:paraId="74CE2C8F" w14:textId="77777777" w:rsidR="00FD4733" w:rsidRPr="00FD4733" w:rsidRDefault="00FD4733" w:rsidP="00FD4733">
            <w:pPr>
              <w:spacing w:after="0"/>
              <w:jc w:val="left"/>
              <w:rPr>
                <w:rFonts w:eastAsia="Times New Roman" w:cs="Times New Roman"/>
                <w:sz w:val="20"/>
                <w:szCs w:val="20"/>
              </w:rPr>
            </w:pPr>
            <w:r w:rsidRPr="00FD4733">
              <w:rPr>
                <w:rFonts w:eastAsia="Times New Roman" w:cs="Times New Roman"/>
                <w:sz w:val="20"/>
                <w:szCs w:val="20"/>
              </w:rPr>
              <w:t>[8]   AF1, AF2, AF3 (consolidated at market value), AF5 (if quoted at stock exchange; including mutual fund shares).</w:t>
            </w:r>
          </w:p>
        </w:tc>
      </w:tr>
    </w:tbl>
    <w:p w14:paraId="79C562AD" w14:textId="7A54CE93" w:rsidR="00FD4733" w:rsidRDefault="00FD4733" w:rsidP="00FD4733">
      <w:pPr>
        <w:spacing w:after="160" w:line="259" w:lineRule="auto"/>
        <w:jc w:val="left"/>
        <w:rPr>
          <w:szCs w:val="24"/>
        </w:rPr>
      </w:pPr>
    </w:p>
    <w:p w14:paraId="2285E27A" w14:textId="0F813E0B" w:rsidR="001B0A09" w:rsidRDefault="001B0A09" w:rsidP="00FD4733">
      <w:pPr>
        <w:spacing w:after="160" w:line="259" w:lineRule="auto"/>
        <w:jc w:val="left"/>
        <w:rPr>
          <w:szCs w:val="24"/>
        </w:rPr>
      </w:pPr>
    </w:p>
    <w:p w14:paraId="6C35E610" w14:textId="070B79F1" w:rsidR="001B0A09" w:rsidRDefault="00EE57B3" w:rsidP="00FD4733">
      <w:pPr>
        <w:spacing w:after="160" w:line="259" w:lineRule="auto"/>
        <w:jc w:val="left"/>
        <w:rPr>
          <w:szCs w:val="24"/>
        </w:rPr>
      </w:pPr>
      <w:r w:rsidRPr="00EE57B3">
        <w:rPr>
          <w:noProof/>
        </w:rPr>
        <w:lastRenderedPageBreak/>
        <w:drawing>
          <wp:inline distT="0" distB="0" distL="0" distR="0" wp14:anchorId="655AC4C7" wp14:editId="793C8D18">
            <wp:extent cx="9715500" cy="2650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46001" cy="2658408"/>
                    </a:xfrm>
                    <a:prstGeom prst="rect">
                      <a:avLst/>
                    </a:prstGeom>
                    <a:noFill/>
                    <a:ln>
                      <a:noFill/>
                    </a:ln>
                  </pic:spPr>
                </pic:pic>
              </a:graphicData>
            </a:graphic>
          </wp:inline>
        </w:drawing>
      </w:r>
    </w:p>
    <w:p w14:paraId="3D9D7B83" w14:textId="4B5E56D6" w:rsidR="001B0A09" w:rsidRDefault="001B0A09" w:rsidP="00FD4733">
      <w:pPr>
        <w:spacing w:after="160" w:line="259" w:lineRule="auto"/>
        <w:jc w:val="left"/>
        <w:rPr>
          <w:szCs w:val="24"/>
        </w:rPr>
      </w:pPr>
    </w:p>
    <w:p w14:paraId="7D362352" w14:textId="446978FB" w:rsidR="001B0A09" w:rsidRDefault="001B0A09" w:rsidP="00FD4733">
      <w:pPr>
        <w:spacing w:after="160" w:line="259" w:lineRule="auto"/>
        <w:jc w:val="left"/>
        <w:rPr>
          <w:szCs w:val="24"/>
        </w:rPr>
      </w:pPr>
    </w:p>
    <w:p w14:paraId="485501FA" w14:textId="0CE13FDF" w:rsidR="00EE57B3" w:rsidRPr="00EE57B3" w:rsidRDefault="00EE57B3" w:rsidP="00FD4733">
      <w:pPr>
        <w:spacing w:after="160" w:line="259" w:lineRule="auto"/>
        <w:jc w:val="left"/>
        <w:rPr>
          <w:szCs w:val="24"/>
        </w:rPr>
      </w:pPr>
      <w:r w:rsidRPr="00EE57B3">
        <w:rPr>
          <w:szCs w:val="24"/>
        </w:rPr>
        <w:t>Table 5: Cyclical developments</w:t>
      </w:r>
      <w:r>
        <w:fldChar w:fldCharType="begin"/>
      </w:r>
      <w:r>
        <w:instrText xml:space="preserve"> LINK </w:instrText>
      </w:r>
      <w:r w:rsidR="002E5F43">
        <w:instrText xml:space="preserve">Excel.Sheet.12 "C:\\Users\\ognjen.jancic\\Documents\\kopija\\Ognjen\\memorandum\\ERP 2025-2027\\engleska verzija-ubacivanje tabela\\2025_ERP_Annex_tables_RS.xlsx" data!R226C2:R234C9 </w:instrText>
      </w:r>
      <w:r>
        <w:instrText xml:space="preserve">\a \f 4 \h  \* MERGEFORMAT </w:instrText>
      </w:r>
      <w:r>
        <w:fldChar w:fldCharType="separate"/>
      </w:r>
    </w:p>
    <w:tbl>
      <w:tblPr>
        <w:tblW w:w="15271" w:type="dxa"/>
        <w:tblLook w:val="04A0" w:firstRow="1" w:lastRow="0" w:firstColumn="1" w:lastColumn="0" w:noHBand="0" w:noVBand="1"/>
      </w:tblPr>
      <w:tblGrid>
        <w:gridCol w:w="5530"/>
        <w:gridCol w:w="1383"/>
        <w:gridCol w:w="1442"/>
        <w:gridCol w:w="1327"/>
        <w:gridCol w:w="1383"/>
        <w:gridCol w:w="1402"/>
        <w:gridCol w:w="1402"/>
        <w:gridCol w:w="1402"/>
      </w:tblGrid>
      <w:tr w:rsidR="00EE57B3" w:rsidRPr="00EE57B3" w14:paraId="6CB4A474" w14:textId="77777777" w:rsidTr="00EE57B3">
        <w:trPr>
          <w:trHeight w:val="371"/>
        </w:trPr>
        <w:tc>
          <w:tcPr>
            <w:tcW w:w="5530" w:type="dxa"/>
            <w:tcBorders>
              <w:top w:val="double" w:sz="6" w:space="0" w:color="auto"/>
              <w:left w:val="double" w:sz="6" w:space="0" w:color="auto"/>
              <w:bottom w:val="double" w:sz="6" w:space="0" w:color="auto"/>
              <w:right w:val="nil"/>
            </w:tcBorders>
            <w:shd w:val="clear" w:color="auto" w:fill="auto"/>
            <w:noWrap/>
            <w:vAlign w:val="center"/>
            <w:hideMark/>
          </w:tcPr>
          <w:p w14:paraId="27FD14C6" w14:textId="7E06075A" w:rsidR="00EE57B3" w:rsidRPr="00EE57B3" w:rsidRDefault="00EE57B3" w:rsidP="00EE57B3">
            <w:pPr>
              <w:spacing w:after="0"/>
              <w:jc w:val="left"/>
              <w:rPr>
                <w:rFonts w:eastAsia="Times New Roman" w:cs="Times New Roman"/>
                <w:b/>
                <w:bCs/>
                <w:sz w:val="20"/>
                <w:szCs w:val="20"/>
              </w:rPr>
            </w:pPr>
            <w:r w:rsidRPr="00EE57B3">
              <w:rPr>
                <w:rFonts w:eastAsia="Times New Roman" w:cs="Times New Roman"/>
                <w:b/>
                <w:bCs/>
                <w:sz w:val="20"/>
                <w:szCs w:val="20"/>
              </w:rPr>
              <w:t>Table 5: Cyclical developments</w:t>
            </w:r>
          </w:p>
        </w:tc>
        <w:tc>
          <w:tcPr>
            <w:tcW w:w="1383" w:type="dxa"/>
            <w:tcBorders>
              <w:top w:val="double" w:sz="6" w:space="0" w:color="auto"/>
              <w:left w:val="single" w:sz="8" w:space="0" w:color="auto"/>
              <w:bottom w:val="double" w:sz="6" w:space="0" w:color="auto"/>
              <w:right w:val="nil"/>
            </w:tcBorders>
            <w:shd w:val="clear" w:color="auto" w:fill="auto"/>
            <w:noWrap/>
            <w:vAlign w:val="center"/>
            <w:hideMark/>
          </w:tcPr>
          <w:p w14:paraId="3312A74E"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w:t>
            </w:r>
          </w:p>
        </w:tc>
        <w:tc>
          <w:tcPr>
            <w:tcW w:w="1441" w:type="dxa"/>
            <w:tcBorders>
              <w:top w:val="double" w:sz="6" w:space="0" w:color="auto"/>
              <w:left w:val="nil"/>
              <w:bottom w:val="double" w:sz="6" w:space="0" w:color="auto"/>
              <w:right w:val="single" w:sz="8" w:space="0" w:color="auto"/>
            </w:tcBorders>
            <w:shd w:val="clear" w:color="auto" w:fill="auto"/>
            <w:noWrap/>
            <w:vAlign w:val="center"/>
            <w:hideMark/>
          </w:tcPr>
          <w:p w14:paraId="6DA917BA"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w:t>
            </w:r>
          </w:p>
        </w:tc>
        <w:tc>
          <w:tcPr>
            <w:tcW w:w="1327" w:type="dxa"/>
            <w:tcBorders>
              <w:top w:val="double" w:sz="6" w:space="0" w:color="auto"/>
              <w:left w:val="nil"/>
              <w:bottom w:val="double" w:sz="6" w:space="0" w:color="auto"/>
              <w:right w:val="dashed" w:sz="4" w:space="0" w:color="auto"/>
            </w:tcBorders>
            <w:shd w:val="clear" w:color="auto" w:fill="auto"/>
            <w:noWrap/>
            <w:vAlign w:val="center"/>
            <w:hideMark/>
          </w:tcPr>
          <w:p w14:paraId="0B0023D9" w14:textId="77777777" w:rsidR="00EE57B3" w:rsidRPr="00EE57B3" w:rsidRDefault="00EE57B3" w:rsidP="00EE57B3">
            <w:pPr>
              <w:spacing w:after="0"/>
              <w:jc w:val="right"/>
              <w:rPr>
                <w:rFonts w:eastAsia="Times New Roman" w:cs="Times New Roman"/>
                <w:b/>
                <w:bCs/>
                <w:sz w:val="20"/>
                <w:szCs w:val="20"/>
              </w:rPr>
            </w:pPr>
            <w:r w:rsidRPr="00EE57B3">
              <w:rPr>
                <w:rFonts w:eastAsia="Times New Roman" w:cs="Times New Roman"/>
                <w:b/>
                <w:bCs/>
                <w:sz w:val="20"/>
                <w:szCs w:val="20"/>
              </w:rPr>
              <w:t>2023</w:t>
            </w:r>
          </w:p>
        </w:tc>
        <w:tc>
          <w:tcPr>
            <w:tcW w:w="1383" w:type="dxa"/>
            <w:tcBorders>
              <w:top w:val="double" w:sz="6" w:space="0" w:color="auto"/>
              <w:left w:val="nil"/>
              <w:bottom w:val="double" w:sz="6" w:space="0" w:color="auto"/>
              <w:right w:val="dashed" w:sz="4" w:space="0" w:color="auto"/>
            </w:tcBorders>
            <w:shd w:val="clear" w:color="auto" w:fill="auto"/>
            <w:noWrap/>
            <w:vAlign w:val="center"/>
            <w:hideMark/>
          </w:tcPr>
          <w:p w14:paraId="1F6BF741" w14:textId="77777777" w:rsidR="00EE57B3" w:rsidRPr="00EE57B3" w:rsidRDefault="00EE57B3" w:rsidP="00EE57B3">
            <w:pPr>
              <w:spacing w:after="0"/>
              <w:jc w:val="right"/>
              <w:rPr>
                <w:rFonts w:eastAsia="Times New Roman" w:cs="Times New Roman"/>
                <w:b/>
                <w:bCs/>
                <w:sz w:val="20"/>
                <w:szCs w:val="20"/>
              </w:rPr>
            </w:pPr>
            <w:r w:rsidRPr="00EE57B3">
              <w:rPr>
                <w:rFonts w:eastAsia="Times New Roman" w:cs="Times New Roman"/>
                <w:b/>
                <w:bCs/>
                <w:sz w:val="20"/>
                <w:szCs w:val="20"/>
              </w:rPr>
              <w:t>2024</w:t>
            </w:r>
          </w:p>
        </w:tc>
        <w:tc>
          <w:tcPr>
            <w:tcW w:w="1402" w:type="dxa"/>
            <w:tcBorders>
              <w:top w:val="double" w:sz="6" w:space="0" w:color="auto"/>
              <w:left w:val="nil"/>
              <w:bottom w:val="double" w:sz="6" w:space="0" w:color="auto"/>
              <w:right w:val="dashed" w:sz="4" w:space="0" w:color="auto"/>
            </w:tcBorders>
            <w:shd w:val="clear" w:color="auto" w:fill="auto"/>
            <w:noWrap/>
            <w:vAlign w:val="center"/>
            <w:hideMark/>
          </w:tcPr>
          <w:p w14:paraId="0BF92DAB" w14:textId="77777777" w:rsidR="00EE57B3" w:rsidRPr="00EE57B3" w:rsidRDefault="00EE57B3" w:rsidP="00EE57B3">
            <w:pPr>
              <w:spacing w:after="0"/>
              <w:jc w:val="right"/>
              <w:rPr>
                <w:rFonts w:eastAsia="Times New Roman" w:cs="Times New Roman"/>
                <w:b/>
                <w:bCs/>
                <w:sz w:val="20"/>
                <w:szCs w:val="20"/>
              </w:rPr>
            </w:pPr>
            <w:r w:rsidRPr="00EE57B3">
              <w:rPr>
                <w:rFonts w:eastAsia="Times New Roman" w:cs="Times New Roman"/>
                <w:b/>
                <w:bCs/>
                <w:sz w:val="20"/>
                <w:szCs w:val="20"/>
              </w:rPr>
              <w:t>2025</w:t>
            </w:r>
          </w:p>
        </w:tc>
        <w:tc>
          <w:tcPr>
            <w:tcW w:w="1402" w:type="dxa"/>
            <w:tcBorders>
              <w:top w:val="double" w:sz="6" w:space="0" w:color="auto"/>
              <w:left w:val="nil"/>
              <w:bottom w:val="double" w:sz="6" w:space="0" w:color="auto"/>
              <w:right w:val="dashed" w:sz="4" w:space="0" w:color="auto"/>
            </w:tcBorders>
            <w:shd w:val="clear" w:color="auto" w:fill="auto"/>
            <w:noWrap/>
            <w:vAlign w:val="center"/>
            <w:hideMark/>
          </w:tcPr>
          <w:p w14:paraId="71599D4F" w14:textId="77777777" w:rsidR="00EE57B3" w:rsidRPr="00EE57B3" w:rsidRDefault="00EE57B3" w:rsidP="00EE57B3">
            <w:pPr>
              <w:spacing w:after="0"/>
              <w:jc w:val="right"/>
              <w:rPr>
                <w:rFonts w:eastAsia="Times New Roman" w:cs="Times New Roman"/>
                <w:b/>
                <w:bCs/>
                <w:sz w:val="20"/>
                <w:szCs w:val="20"/>
              </w:rPr>
            </w:pPr>
            <w:r w:rsidRPr="00EE57B3">
              <w:rPr>
                <w:rFonts w:eastAsia="Times New Roman" w:cs="Times New Roman"/>
                <w:b/>
                <w:bCs/>
                <w:sz w:val="20"/>
                <w:szCs w:val="20"/>
              </w:rPr>
              <w:t>2026</w:t>
            </w:r>
          </w:p>
        </w:tc>
        <w:tc>
          <w:tcPr>
            <w:tcW w:w="1402" w:type="dxa"/>
            <w:tcBorders>
              <w:top w:val="double" w:sz="6" w:space="0" w:color="auto"/>
              <w:left w:val="nil"/>
              <w:bottom w:val="double" w:sz="6" w:space="0" w:color="auto"/>
              <w:right w:val="double" w:sz="6" w:space="0" w:color="auto"/>
            </w:tcBorders>
            <w:shd w:val="clear" w:color="auto" w:fill="auto"/>
            <w:noWrap/>
            <w:vAlign w:val="center"/>
            <w:hideMark/>
          </w:tcPr>
          <w:p w14:paraId="15F4D5A4" w14:textId="77777777" w:rsidR="00EE57B3" w:rsidRPr="00EE57B3" w:rsidRDefault="00EE57B3" w:rsidP="00EE57B3">
            <w:pPr>
              <w:spacing w:after="0"/>
              <w:jc w:val="right"/>
              <w:rPr>
                <w:rFonts w:eastAsia="Times New Roman" w:cs="Times New Roman"/>
                <w:b/>
                <w:bCs/>
                <w:sz w:val="20"/>
                <w:szCs w:val="20"/>
              </w:rPr>
            </w:pPr>
            <w:r w:rsidRPr="00EE57B3">
              <w:rPr>
                <w:rFonts w:eastAsia="Times New Roman" w:cs="Times New Roman"/>
                <w:b/>
                <w:bCs/>
                <w:sz w:val="20"/>
                <w:szCs w:val="20"/>
              </w:rPr>
              <w:t>2027</w:t>
            </w:r>
          </w:p>
        </w:tc>
      </w:tr>
      <w:tr w:rsidR="00EE57B3" w:rsidRPr="00EE57B3" w14:paraId="3D10AF3F" w14:textId="77777777" w:rsidTr="00EE57B3">
        <w:trPr>
          <w:trHeight w:val="359"/>
        </w:trPr>
        <w:tc>
          <w:tcPr>
            <w:tcW w:w="5530" w:type="dxa"/>
            <w:tcBorders>
              <w:top w:val="dotted" w:sz="4" w:space="0" w:color="000000"/>
              <w:left w:val="double" w:sz="6" w:space="0" w:color="000000"/>
              <w:bottom w:val="dotted" w:sz="4" w:space="0" w:color="000000"/>
              <w:right w:val="nil"/>
            </w:tcBorders>
            <w:shd w:val="clear" w:color="auto" w:fill="auto"/>
            <w:vAlign w:val="bottom"/>
            <w:hideMark/>
          </w:tcPr>
          <w:p w14:paraId="6915F8F7" w14:textId="77777777" w:rsidR="00EE57B3" w:rsidRPr="00EE57B3" w:rsidRDefault="00EE57B3" w:rsidP="00EE57B3">
            <w:pPr>
              <w:spacing w:after="0"/>
              <w:ind w:firstLineChars="100" w:firstLine="200"/>
              <w:jc w:val="left"/>
              <w:rPr>
                <w:rFonts w:eastAsia="Times New Roman" w:cs="Times New Roman"/>
                <w:sz w:val="20"/>
                <w:szCs w:val="20"/>
              </w:rPr>
            </w:pPr>
            <w:r w:rsidRPr="00EE57B3">
              <w:rPr>
                <w:rFonts w:eastAsia="Times New Roman" w:cs="Times New Roman"/>
                <w:sz w:val="20"/>
                <w:szCs w:val="20"/>
              </w:rPr>
              <w:t>4. One-off and other temporary measures [1]</w:t>
            </w:r>
          </w:p>
        </w:tc>
        <w:tc>
          <w:tcPr>
            <w:tcW w:w="2825" w:type="dxa"/>
            <w:gridSpan w:val="2"/>
            <w:tcBorders>
              <w:top w:val="double" w:sz="6" w:space="0" w:color="auto"/>
              <w:left w:val="single" w:sz="8" w:space="0" w:color="000000"/>
              <w:bottom w:val="dotted" w:sz="4" w:space="0" w:color="000000"/>
              <w:right w:val="single" w:sz="8" w:space="0" w:color="000000"/>
            </w:tcBorders>
            <w:shd w:val="clear" w:color="auto" w:fill="auto"/>
            <w:noWrap/>
            <w:vAlign w:val="bottom"/>
            <w:hideMark/>
          </w:tcPr>
          <w:p w14:paraId="0AFCFB45" w14:textId="77777777" w:rsidR="00EE57B3" w:rsidRPr="00EE57B3" w:rsidRDefault="00EE57B3" w:rsidP="00EE57B3">
            <w:pPr>
              <w:spacing w:after="0"/>
              <w:jc w:val="center"/>
              <w:rPr>
                <w:rFonts w:eastAsia="Times New Roman" w:cs="Times New Roman"/>
                <w:sz w:val="16"/>
                <w:szCs w:val="16"/>
              </w:rPr>
            </w:pPr>
            <w:r w:rsidRPr="00EE57B3">
              <w:rPr>
                <w:rFonts w:eastAsia="Times New Roman" w:cs="Times New Roman"/>
                <w:sz w:val="16"/>
                <w:szCs w:val="16"/>
              </w:rPr>
              <w:t>% of GDP</w:t>
            </w:r>
          </w:p>
        </w:tc>
        <w:tc>
          <w:tcPr>
            <w:tcW w:w="1327" w:type="dxa"/>
            <w:tcBorders>
              <w:top w:val="dotted" w:sz="4" w:space="0" w:color="000000"/>
              <w:left w:val="nil"/>
              <w:bottom w:val="dotted" w:sz="4" w:space="0" w:color="000000"/>
              <w:right w:val="dotted" w:sz="4" w:space="0" w:color="000000"/>
            </w:tcBorders>
            <w:shd w:val="clear" w:color="auto" w:fill="auto"/>
            <w:hideMark/>
          </w:tcPr>
          <w:p w14:paraId="264029E2"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-0,7</w:t>
            </w:r>
          </w:p>
        </w:tc>
        <w:tc>
          <w:tcPr>
            <w:tcW w:w="1383" w:type="dxa"/>
            <w:tcBorders>
              <w:top w:val="dotted" w:sz="4" w:space="0" w:color="000000"/>
              <w:left w:val="nil"/>
              <w:bottom w:val="dotted" w:sz="4" w:space="0" w:color="000000"/>
              <w:right w:val="dotted" w:sz="4" w:space="0" w:color="000000"/>
            </w:tcBorders>
            <w:shd w:val="clear" w:color="auto" w:fill="auto"/>
            <w:hideMark/>
          </w:tcPr>
          <w:p w14:paraId="06939633"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-0,4</w:t>
            </w:r>
          </w:p>
        </w:tc>
        <w:tc>
          <w:tcPr>
            <w:tcW w:w="1402" w:type="dxa"/>
            <w:tcBorders>
              <w:top w:val="dotted" w:sz="4" w:space="0" w:color="000000"/>
              <w:left w:val="nil"/>
              <w:bottom w:val="dotted" w:sz="4" w:space="0" w:color="000000"/>
              <w:right w:val="dotted" w:sz="4" w:space="0" w:color="000000"/>
            </w:tcBorders>
            <w:shd w:val="clear" w:color="auto" w:fill="auto"/>
            <w:hideMark/>
          </w:tcPr>
          <w:p w14:paraId="66F5E6DC"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-0,7</w:t>
            </w:r>
          </w:p>
        </w:tc>
        <w:tc>
          <w:tcPr>
            <w:tcW w:w="1402" w:type="dxa"/>
            <w:tcBorders>
              <w:top w:val="dotted" w:sz="4" w:space="0" w:color="000000"/>
              <w:left w:val="nil"/>
              <w:bottom w:val="dotted" w:sz="4" w:space="0" w:color="000000"/>
              <w:right w:val="dotted" w:sz="4" w:space="0" w:color="000000"/>
            </w:tcBorders>
            <w:shd w:val="clear" w:color="auto" w:fill="auto"/>
            <w:hideMark/>
          </w:tcPr>
          <w:p w14:paraId="02A678F1"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-1,3</w:t>
            </w:r>
          </w:p>
        </w:tc>
        <w:tc>
          <w:tcPr>
            <w:tcW w:w="1402" w:type="dxa"/>
            <w:tcBorders>
              <w:top w:val="dotted" w:sz="4" w:space="0" w:color="000000"/>
              <w:left w:val="nil"/>
              <w:bottom w:val="dotted" w:sz="4" w:space="0" w:color="000000"/>
              <w:right w:val="double" w:sz="6" w:space="0" w:color="000000"/>
            </w:tcBorders>
            <w:shd w:val="clear" w:color="auto" w:fill="auto"/>
            <w:hideMark/>
          </w:tcPr>
          <w:p w14:paraId="477A620F"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-1,5</w:t>
            </w:r>
          </w:p>
        </w:tc>
      </w:tr>
      <w:tr w:rsidR="00EE57B3" w:rsidRPr="00EE57B3" w14:paraId="17C59C04" w14:textId="77777777" w:rsidTr="00EE57B3">
        <w:trPr>
          <w:trHeight w:val="348"/>
        </w:trPr>
        <w:tc>
          <w:tcPr>
            <w:tcW w:w="5530" w:type="dxa"/>
            <w:tcBorders>
              <w:top w:val="nil"/>
              <w:left w:val="double" w:sz="6" w:space="0" w:color="000000"/>
              <w:bottom w:val="single" w:sz="4" w:space="0" w:color="auto"/>
              <w:right w:val="nil"/>
            </w:tcBorders>
            <w:shd w:val="clear" w:color="auto" w:fill="auto"/>
            <w:vAlign w:val="bottom"/>
            <w:hideMark/>
          </w:tcPr>
          <w:p w14:paraId="441FCD8B" w14:textId="77777777" w:rsidR="00EE57B3" w:rsidRPr="00EE57B3" w:rsidRDefault="00EE57B3" w:rsidP="00EE57B3">
            <w:pPr>
              <w:spacing w:after="0"/>
              <w:ind w:firstLineChars="100" w:firstLine="200"/>
              <w:jc w:val="left"/>
              <w:rPr>
                <w:rFonts w:eastAsia="Times New Roman" w:cs="Times New Roman"/>
                <w:sz w:val="20"/>
                <w:szCs w:val="20"/>
              </w:rPr>
            </w:pPr>
            <w:r w:rsidRPr="00EE57B3">
              <w:rPr>
                <w:rFonts w:eastAsia="Times New Roman" w:cs="Times New Roman"/>
                <w:sz w:val="20"/>
                <w:szCs w:val="20"/>
              </w:rPr>
              <w:t xml:space="preserve">5. Potential GDP growth </w:t>
            </w:r>
          </w:p>
        </w:tc>
        <w:tc>
          <w:tcPr>
            <w:tcW w:w="2825" w:type="dxa"/>
            <w:gridSpan w:val="2"/>
            <w:tcBorders>
              <w:top w:val="dotted" w:sz="4" w:space="0" w:color="000000"/>
              <w:left w:val="single" w:sz="8" w:space="0" w:color="000000"/>
              <w:bottom w:val="single" w:sz="4" w:space="0" w:color="auto"/>
              <w:right w:val="single" w:sz="8" w:space="0" w:color="000000"/>
            </w:tcBorders>
            <w:shd w:val="clear" w:color="auto" w:fill="auto"/>
            <w:noWrap/>
            <w:vAlign w:val="bottom"/>
            <w:hideMark/>
          </w:tcPr>
          <w:p w14:paraId="131D162E"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yoy</w:t>
            </w:r>
          </w:p>
        </w:tc>
        <w:tc>
          <w:tcPr>
            <w:tcW w:w="1327" w:type="dxa"/>
            <w:tcBorders>
              <w:top w:val="nil"/>
              <w:left w:val="nil"/>
              <w:bottom w:val="single" w:sz="4" w:space="0" w:color="auto"/>
              <w:right w:val="dotted" w:sz="4" w:space="0" w:color="000000"/>
            </w:tcBorders>
            <w:shd w:val="clear" w:color="auto" w:fill="auto"/>
            <w:vAlign w:val="bottom"/>
            <w:hideMark/>
          </w:tcPr>
          <w:p w14:paraId="5DE89D87"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4,0</w:t>
            </w:r>
          </w:p>
        </w:tc>
        <w:tc>
          <w:tcPr>
            <w:tcW w:w="1383" w:type="dxa"/>
            <w:tcBorders>
              <w:top w:val="nil"/>
              <w:left w:val="nil"/>
              <w:bottom w:val="single" w:sz="4" w:space="0" w:color="auto"/>
              <w:right w:val="dotted" w:sz="4" w:space="0" w:color="000000"/>
            </w:tcBorders>
            <w:shd w:val="clear" w:color="auto" w:fill="auto"/>
            <w:vAlign w:val="bottom"/>
            <w:hideMark/>
          </w:tcPr>
          <w:p w14:paraId="3FF03470"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4,0</w:t>
            </w:r>
          </w:p>
        </w:tc>
        <w:tc>
          <w:tcPr>
            <w:tcW w:w="1402" w:type="dxa"/>
            <w:tcBorders>
              <w:top w:val="nil"/>
              <w:left w:val="nil"/>
              <w:bottom w:val="single" w:sz="4" w:space="0" w:color="auto"/>
              <w:right w:val="dotted" w:sz="4" w:space="0" w:color="000000"/>
            </w:tcBorders>
            <w:shd w:val="clear" w:color="auto" w:fill="auto"/>
            <w:vAlign w:val="bottom"/>
            <w:hideMark/>
          </w:tcPr>
          <w:p w14:paraId="7D1871D8"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4,1</w:t>
            </w:r>
          </w:p>
        </w:tc>
        <w:tc>
          <w:tcPr>
            <w:tcW w:w="1402" w:type="dxa"/>
            <w:tcBorders>
              <w:top w:val="nil"/>
              <w:left w:val="nil"/>
              <w:bottom w:val="single" w:sz="4" w:space="0" w:color="auto"/>
              <w:right w:val="dotted" w:sz="4" w:space="0" w:color="000000"/>
            </w:tcBorders>
            <w:shd w:val="clear" w:color="auto" w:fill="auto"/>
            <w:vAlign w:val="bottom"/>
            <w:hideMark/>
          </w:tcPr>
          <w:p w14:paraId="2DD45E6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4,1</w:t>
            </w:r>
          </w:p>
        </w:tc>
        <w:tc>
          <w:tcPr>
            <w:tcW w:w="1402" w:type="dxa"/>
            <w:tcBorders>
              <w:top w:val="nil"/>
              <w:left w:val="nil"/>
              <w:bottom w:val="single" w:sz="4" w:space="0" w:color="auto"/>
              <w:right w:val="double" w:sz="6" w:space="0" w:color="000000"/>
            </w:tcBorders>
            <w:shd w:val="clear" w:color="auto" w:fill="auto"/>
            <w:vAlign w:val="bottom"/>
            <w:hideMark/>
          </w:tcPr>
          <w:p w14:paraId="4736AE32"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4,1</w:t>
            </w:r>
          </w:p>
        </w:tc>
      </w:tr>
      <w:tr w:rsidR="00EE57B3" w:rsidRPr="00EE57B3" w14:paraId="1B417FF0" w14:textId="77777777" w:rsidTr="00EE57B3">
        <w:trPr>
          <w:trHeight w:val="348"/>
        </w:trPr>
        <w:tc>
          <w:tcPr>
            <w:tcW w:w="5530" w:type="dxa"/>
            <w:tcBorders>
              <w:top w:val="nil"/>
              <w:left w:val="double" w:sz="6" w:space="0" w:color="000000"/>
              <w:bottom w:val="single" w:sz="4" w:space="0" w:color="000000"/>
              <w:right w:val="nil"/>
            </w:tcBorders>
            <w:shd w:val="clear" w:color="auto" w:fill="auto"/>
            <w:vAlign w:val="bottom"/>
            <w:hideMark/>
          </w:tcPr>
          <w:p w14:paraId="12FF15DB" w14:textId="77777777" w:rsidR="00EE57B3" w:rsidRPr="00EE57B3" w:rsidRDefault="00EE57B3" w:rsidP="00EE57B3">
            <w:pPr>
              <w:spacing w:after="0"/>
              <w:ind w:firstLineChars="200" w:firstLine="400"/>
              <w:jc w:val="left"/>
              <w:rPr>
                <w:rFonts w:eastAsia="Times New Roman" w:cs="Times New Roman"/>
                <w:sz w:val="20"/>
                <w:szCs w:val="20"/>
              </w:rPr>
            </w:pPr>
            <w:r w:rsidRPr="00EE57B3">
              <w:rPr>
                <w:rFonts w:eastAsia="Times New Roman" w:cs="Times New Roman"/>
                <w:sz w:val="20"/>
                <w:szCs w:val="20"/>
              </w:rPr>
              <w:t>Contributions:</w:t>
            </w:r>
          </w:p>
        </w:tc>
        <w:tc>
          <w:tcPr>
            <w:tcW w:w="1383" w:type="dxa"/>
            <w:tcBorders>
              <w:top w:val="nil"/>
              <w:left w:val="single" w:sz="8" w:space="0" w:color="000000"/>
              <w:bottom w:val="single" w:sz="4" w:space="0" w:color="000000"/>
              <w:right w:val="nil"/>
            </w:tcBorders>
            <w:shd w:val="clear" w:color="auto" w:fill="auto"/>
            <w:noWrap/>
            <w:vAlign w:val="bottom"/>
            <w:hideMark/>
          </w:tcPr>
          <w:p w14:paraId="5EF62236"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w:t>
            </w:r>
          </w:p>
        </w:tc>
        <w:tc>
          <w:tcPr>
            <w:tcW w:w="1441" w:type="dxa"/>
            <w:tcBorders>
              <w:top w:val="nil"/>
              <w:left w:val="nil"/>
              <w:bottom w:val="single" w:sz="4" w:space="0" w:color="000000"/>
              <w:right w:val="single" w:sz="8" w:space="0" w:color="auto"/>
            </w:tcBorders>
            <w:shd w:val="clear" w:color="auto" w:fill="auto"/>
            <w:noWrap/>
            <w:vAlign w:val="bottom"/>
            <w:hideMark/>
          </w:tcPr>
          <w:p w14:paraId="238B5F8A"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w:t>
            </w:r>
          </w:p>
        </w:tc>
        <w:tc>
          <w:tcPr>
            <w:tcW w:w="1327" w:type="dxa"/>
            <w:tcBorders>
              <w:top w:val="nil"/>
              <w:left w:val="nil"/>
              <w:bottom w:val="single" w:sz="4" w:space="0" w:color="000000"/>
              <w:right w:val="nil"/>
            </w:tcBorders>
            <w:shd w:val="clear" w:color="auto" w:fill="auto"/>
            <w:vAlign w:val="bottom"/>
            <w:hideMark/>
          </w:tcPr>
          <w:p w14:paraId="34DCF684"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383" w:type="dxa"/>
            <w:tcBorders>
              <w:top w:val="nil"/>
              <w:left w:val="nil"/>
              <w:bottom w:val="single" w:sz="4" w:space="0" w:color="000000"/>
              <w:right w:val="nil"/>
            </w:tcBorders>
            <w:shd w:val="clear" w:color="auto" w:fill="auto"/>
            <w:vAlign w:val="bottom"/>
            <w:hideMark/>
          </w:tcPr>
          <w:p w14:paraId="1BEA0770"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402" w:type="dxa"/>
            <w:tcBorders>
              <w:top w:val="nil"/>
              <w:left w:val="nil"/>
              <w:bottom w:val="single" w:sz="4" w:space="0" w:color="000000"/>
              <w:right w:val="nil"/>
            </w:tcBorders>
            <w:shd w:val="clear" w:color="auto" w:fill="auto"/>
            <w:vAlign w:val="bottom"/>
            <w:hideMark/>
          </w:tcPr>
          <w:p w14:paraId="7C2C133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402" w:type="dxa"/>
            <w:tcBorders>
              <w:top w:val="nil"/>
              <w:left w:val="nil"/>
              <w:bottom w:val="single" w:sz="4" w:space="0" w:color="000000"/>
              <w:right w:val="nil"/>
            </w:tcBorders>
            <w:shd w:val="clear" w:color="auto" w:fill="auto"/>
            <w:vAlign w:val="bottom"/>
            <w:hideMark/>
          </w:tcPr>
          <w:p w14:paraId="41EA731C"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402" w:type="dxa"/>
            <w:tcBorders>
              <w:top w:val="nil"/>
              <w:left w:val="nil"/>
              <w:bottom w:val="single" w:sz="4" w:space="0" w:color="000000"/>
              <w:right w:val="double" w:sz="6" w:space="0" w:color="000000"/>
            </w:tcBorders>
            <w:shd w:val="clear" w:color="auto" w:fill="auto"/>
            <w:vAlign w:val="bottom"/>
            <w:hideMark/>
          </w:tcPr>
          <w:p w14:paraId="5A4EC752"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r>
      <w:tr w:rsidR="00EE57B3" w:rsidRPr="00EE57B3" w14:paraId="269BF4DF" w14:textId="77777777" w:rsidTr="00EE57B3">
        <w:trPr>
          <w:trHeight w:val="348"/>
        </w:trPr>
        <w:tc>
          <w:tcPr>
            <w:tcW w:w="5530" w:type="dxa"/>
            <w:tcBorders>
              <w:top w:val="nil"/>
              <w:left w:val="double" w:sz="6" w:space="0" w:color="000000"/>
              <w:bottom w:val="dotted" w:sz="4" w:space="0" w:color="000000"/>
              <w:right w:val="nil"/>
            </w:tcBorders>
            <w:shd w:val="clear" w:color="auto" w:fill="auto"/>
            <w:vAlign w:val="bottom"/>
            <w:hideMark/>
          </w:tcPr>
          <w:p w14:paraId="3AD5EA49" w14:textId="77777777" w:rsidR="00EE57B3" w:rsidRPr="00EE57B3" w:rsidRDefault="00EE57B3" w:rsidP="00EE57B3">
            <w:pPr>
              <w:spacing w:after="0"/>
              <w:ind w:firstLineChars="300" w:firstLine="600"/>
              <w:jc w:val="left"/>
              <w:rPr>
                <w:rFonts w:eastAsia="Times New Roman" w:cs="Times New Roman"/>
                <w:sz w:val="20"/>
                <w:szCs w:val="20"/>
              </w:rPr>
            </w:pPr>
            <w:r w:rsidRPr="00EE57B3">
              <w:rPr>
                <w:rFonts w:eastAsia="Times New Roman" w:cs="Times New Roman"/>
                <w:sz w:val="20"/>
                <w:szCs w:val="20"/>
              </w:rPr>
              <w:t>- labour</w:t>
            </w:r>
          </w:p>
        </w:tc>
        <w:tc>
          <w:tcPr>
            <w:tcW w:w="2825" w:type="dxa"/>
            <w:gridSpan w:val="2"/>
            <w:tcBorders>
              <w:top w:val="single" w:sz="4" w:space="0" w:color="000000"/>
              <w:left w:val="single" w:sz="8" w:space="0" w:color="000000"/>
              <w:bottom w:val="dotted" w:sz="4" w:space="0" w:color="000000"/>
              <w:right w:val="single" w:sz="8" w:space="0" w:color="000000"/>
            </w:tcBorders>
            <w:shd w:val="clear" w:color="auto" w:fill="auto"/>
            <w:noWrap/>
            <w:vAlign w:val="bottom"/>
            <w:hideMark/>
          </w:tcPr>
          <w:p w14:paraId="3B89D307"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327" w:type="dxa"/>
            <w:tcBorders>
              <w:top w:val="nil"/>
              <w:left w:val="nil"/>
              <w:bottom w:val="dotted" w:sz="4" w:space="0" w:color="000000"/>
              <w:right w:val="dotted" w:sz="4" w:space="0" w:color="000000"/>
            </w:tcBorders>
            <w:shd w:val="clear" w:color="auto" w:fill="auto"/>
            <w:hideMark/>
          </w:tcPr>
          <w:p w14:paraId="31718B96"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0,8</w:t>
            </w:r>
          </w:p>
        </w:tc>
        <w:tc>
          <w:tcPr>
            <w:tcW w:w="1383" w:type="dxa"/>
            <w:tcBorders>
              <w:top w:val="nil"/>
              <w:left w:val="nil"/>
              <w:bottom w:val="dotted" w:sz="4" w:space="0" w:color="000000"/>
              <w:right w:val="dotted" w:sz="4" w:space="0" w:color="000000"/>
            </w:tcBorders>
            <w:shd w:val="clear" w:color="auto" w:fill="auto"/>
            <w:hideMark/>
          </w:tcPr>
          <w:p w14:paraId="6C04BD60"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0,8</w:t>
            </w:r>
          </w:p>
        </w:tc>
        <w:tc>
          <w:tcPr>
            <w:tcW w:w="1402" w:type="dxa"/>
            <w:tcBorders>
              <w:top w:val="nil"/>
              <w:left w:val="nil"/>
              <w:bottom w:val="dotted" w:sz="4" w:space="0" w:color="000000"/>
              <w:right w:val="dotted" w:sz="4" w:space="0" w:color="000000"/>
            </w:tcBorders>
            <w:shd w:val="clear" w:color="auto" w:fill="auto"/>
            <w:hideMark/>
          </w:tcPr>
          <w:p w14:paraId="0CE1FB72"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0,6</w:t>
            </w:r>
          </w:p>
        </w:tc>
        <w:tc>
          <w:tcPr>
            <w:tcW w:w="1402" w:type="dxa"/>
            <w:tcBorders>
              <w:top w:val="nil"/>
              <w:left w:val="nil"/>
              <w:bottom w:val="dotted" w:sz="4" w:space="0" w:color="000000"/>
              <w:right w:val="dotted" w:sz="4" w:space="0" w:color="000000"/>
            </w:tcBorders>
            <w:shd w:val="clear" w:color="auto" w:fill="auto"/>
            <w:hideMark/>
          </w:tcPr>
          <w:p w14:paraId="547809B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0,5</w:t>
            </w:r>
          </w:p>
        </w:tc>
        <w:tc>
          <w:tcPr>
            <w:tcW w:w="1402" w:type="dxa"/>
            <w:tcBorders>
              <w:top w:val="nil"/>
              <w:left w:val="nil"/>
              <w:bottom w:val="dotted" w:sz="4" w:space="0" w:color="000000"/>
              <w:right w:val="double" w:sz="6" w:space="0" w:color="000000"/>
            </w:tcBorders>
            <w:shd w:val="clear" w:color="auto" w:fill="auto"/>
            <w:hideMark/>
          </w:tcPr>
          <w:p w14:paraId="1C19D8B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0,4</w:t>
            </w:r>
          </w:p>
        </w:tc>
      </w:tr>
      <w:tr w:rsidR="00EE57B3" w:rsidRPr="00EE57B3" w14:paraId="7F4222CF" w14:textId="77777777" w:rsidTr="00EE57B3">
        <w:trPr>
          <w:trHeight w:val="348"/>
        </w:trPr>
        <w:tc>
          <w:tcPr>
            <w:tcW w:w="5530" w:type="dxa"/>
            <w:tcBorders>
              <w:top w:val="nil"/>
              <w:left w:val="double" w:sz="6" w:space="0" w:color="000000"/>
              <w:bottom w:val="dotted" w:sz="4" w:space="0" w:color="000000"/>
              <w:right w:val="nil"/>
            </w:tcBorders>
            <w:shd w:val="clear" w:color="auto" w:fill="auto"/>
            <w:vAlign w:val="bottom"/>
            <w:hideMark/>
          </w:tcPr>
          <w:p w14:paraId="480DC350" w14:textId="77777777" w:rsidR="00EE57B3" w:rsidRPr="00EE57B3" w:rsidRDefault="00EE57B3" w:rsidP="00EE57B3">
            <w:pPr>
              <w:spacing w:after="0"/>
              <w:ind w:firstLineChars="300" w:firstLine="600"/>
              <w:jc w:val="left"/>
              <w:rPr>
                <w:rFonts w:eastAsia="Times New Roman" w:cs="Times New Roman"/>
                <w:sz w:val="20"/>
                <w:szCs w:val="20"/>
              </w:rPr>
            </w:pPr>
            <w:r w:rsidRPr="00EE57B3">
              <w:rPr>
                <w:rFonts w:eastAsia="Times New Roman" w:cs="Times New Roman"/>
                <w:sz w:val="20"/>
                <w:szCs w:val="20"/>
              </w:rPr>
              <w:t>- capital</w:t>
            </w:r>
          </w:p>
        </w:tc>
        <w:tc>
          <w:tcPr>
            <w:tcW w:w="2825" w:type="dxa"/>
            <w:gridSpan w:val="2"/>
            <w:tcBorders>
              <w:top w:val="dotted" w:sz="4" w:space="0" w:color="000000"/>
              <w:left w:val="single" w:sz="8" w:space="0" w:color="000000"/>
              <w:bottom w:val="dotted" w:sz="4" w:space="0" w:color="000000"/>
              <w:right w:val="single" w:sz="8" w:space="0" w:color="000000"/>
            </w:tcBorders>
            <w:shd w:val="clear" w:color="auto" w:fill="auto"/>
            <w:noWrap/>
            <w:vAlign w:val="bottom"/>
            <w:hideMark/>
          </w:tcPr>
          <w:p w14:paraId="530AA5A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327" w:type="dxa"/>
            <w:tcBorders>
              <w:top w:val="nil"/>
              <w:left w:val="nil"/>
              <w:bottom w:val="dotted" w:sz="4" w:space="0" w:color="000000"/>
              <w:right w:val="dotted" w:sz="4" w:space="0" w:color="000000"/>
            </w:tcBorders>
            <w:shd w:val="clear" w:color="auto" w:fill="auto"/>
            <w:hideMark/>
          </w:tcPr>
          <w:p w14:paraId="5A8216D0"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1,7</w:t>
            </w:r>
          </w:p>
        </w:tc>
        <w:tc>
          <w:tcPr>
            <w:tcW w:w="1383" w:type="dxa"/>
            <w:tcBorders>
              <w:top w:val="nil"/>
              <w:left w:val="nil"/>
              <w:bottom w:val="dotted" w:sz="4" w:space="0" w:color="000000"/>
              <w:right w:val="dotted" w:sz="4" w:space="0" w:color="000000"/>
            </w:tcBorders>
            <w:shd w:val="clear" w:color="auto" w:fill="auto"/>
            <w:hideMark/>
          </w:tcPr>
          <w:p w14:paraId="4BB22246"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1,8</w:t>
            </w:r>
          </w:p>
        </w:tc>
        <w:tc>
          <w:tcPr>
            <w:tcW w:w="1402" w:type="dxa"/>
            <w:tcBorders>
              <w:top w:val="nil"/>
              <w:left w:val="nil"/>
              <w:bottom w:val="dotted" w:sz="4" w:space="0" w:color="000000"/>
              <w:right w:val="dotted" w:sz="4" w:space="0" w:color="000000"/>
            </w:tcBorders>
            <w:shd w:val="clear" w:color="auto" w:fill="auto"/>
            <w:hideMark/>
          </w:tcPr>
          <w:p w14:paraId="0BD9A2D0"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1,9</w:t>
            </w:r>
          </w:p>
        </w:tc>
        <w:tc>
          <w:tcPr>
            <w:tcW w:w="1402" w:type="dxa"/>
            <w:tcBorders>
              <w:top w:val="nil"/>
              <w:left w:val="nil"/>
              <w:bottom w:val="dotted" w:sz="4" w:space="0" w:color="000000"/>
              <w:right w:val="dotted" w:sz="4" w:space="0" w:color="000000"/>
            </w:tcBorders>
            <w:shd w:val="clear" w:color="auto" w:fill="auto"/>
            <w:hideMark/>
          </w:tcPr>
          <w:p w14:paraId="3747AEB3"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2,0</w:t>
            </w:r>
          </w:p>
        </w:tc>
        <w:tc>
          <w:tcPr>
            <w:tcW w:w="1402" w:type="dxa"/>
            <w:tcBorders>
              <w:top w:val="nil"/>
              <w:left w:val="nil"/>
              <w:bottom w:val="dotted" w:sz="4" w:space="0" w:color="000000"/>
              <w:right w:val="double" w:sz="6" w:space="0" w:color="000000"/>
            </w:tcBorders>
            <w:shd w:val="clear" w:color="auto" w:fill="auto"/>
            <w:hideMark/>
          </w:tcPr>
          <w:p w14:paraId="5405D827"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2,1</w:t>
            </w:r>
          </w:p>
        </w:tc>
      </w:tr>
      <w:tr w:rsidR="00EE57B3" w:rsidRPr="00EE57B3" w14:paraId="67B0ED7E" w14:textId="77777777" w:rsidTr="00EE57B3">
        <w:trPr>
          <w:trHeight w:val="348"/>
        </w:trPr>
        <w:tc>
          <w:tcPr>
            <w:tcW w:w="5530" w:type="dxa"/>
            <w:tcBorders>
              <w:top w:val="nil"/>
              <w:left w:val="double" w:sz="6" w:space="0" w:color="000000"/>
              <w:bottom w:val="single" w:sz="4" w:space="0" w:color="auto"/>
              <w:right w:val="nil"/>
            </w:tcBorders>
            <w:shd w:val="clear" w:color="auto" w:fill="auto"/>
            <w:vAlign w:val="bottom"/>
            <w:hideMark/>
          </w:tcPr>
          <w:p w14:paraId="273E6CD1" w14:textId="77777777" w:rsidR="00EE57B3" w:rsidRPr="00EE57B3" w:rsidRDefault="00EE57B3" w:rsidP="00EE57B3">
            <w:pPr>
              <w:spacing w:after="0"/>
              <w:ind w:firstLineChars="300" w:firstLine="600"/>
              <w:jc w:val="left"/>
              <w:rPr>
                <w:rFonts w:eastAsia="Times New Roman" w:cs="Times New Roman"/>
                <w:sz w:val="20"/>
                <w:szCs w:val="20"/>
              </w:rPr>
            </w:pPr>
            <w:r w:rsidRPr="00EE57B3">
              <w:rPr>
                <w:rFonts w:eastAsia="Times New Roman" w:cs="Times New Roman"/>
                <w:sz w:val="20"/>
                <w:szCs w:val="20"/>
              </w:rPr>
              <w:t>- total factor productivity</w:t>
            </w:r>
          </w:p>
        </w:tc>
        <w:tc>
          <w:tcPr>
            <w:tcW w:w="2825" w:type="dxa"/>
            <w:gridSpan w:val="2"/>
            <w:tcBorders>
              <w:top w:val="dotted" w:sz="4" w:space="0" w:color="000000"/>
              <w:left w:val="single" w:sz="8" w:space="0" w:color="000000"/>
              <w:bottom w:val="single" w:sz="4" w:space="0" w:color="auto"/>
              <w:right w:val="single" w:sz="8" w:space="0" w:color="000000"/>
            </w:tcBorders>
            <w:shd w:val="clear" w:color="auto" w:fill="auto"/>
            <w:noWrap/>
            <w:vAlign w:val="bottom"/>
            <w:hideMark/>
          </w:tcPr>
          <w:p w14:paraId="20E14D18"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327" w:type="dxa"/>
            <w:tcBorders>
              <w:top w:val="nil"/>
              <w:left w:val="nil"/>
              <w:bottom w:val="single" w:sz="4" w:space="0" w:color="auto"/>
              <w:right w:val="dotted" w:sz="4" w:space="0" w:color="000000"/>
            </w:tcBorders>
            <w:shd w:val="clear" w:color="auto" w:fill="auto"/>
            <w:hideMark/>
          </w:tcPr>
          <w:p w14:paraId="7E5749E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1,5</w:t>
            </w:r>
          </w:p>
        </w:tc>
        <w:tc>
          <w:tcPr>
            <w:tcW w:w="1383" w:type="dxa"/>
            <w:tcBorders>
              <w:top w:val="nil"/>
              <w:left w:val="nil"/>
              <w:bottom w:val="single" w:sz="4" w:space="0" w:color="auto"/>
              <w:right w:val="dotted" w:sz="4" w:space="0" w:color="000000"/>
            </w:tcBorders>
            <w:shd w:val="clear" w:color="auto" w:fill="auto"/>
            <w:hideMark/>
          </w:tcPr>
          <w:p w14:paraId="75BB78AF"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1,4</w:t>
            </w:r>
          </w:p>
        </w:tc>
        <w:tc>
          <w:tcPr>
            <w:tcW w:w="1402" w:type="dxa"/>
            <w:tcBorders>
              <w:top w:val="nil"/>
              <w:left w:val="nil"/>
              <w:bottom w:val="single" w:sz="4" w:space="0" w:color="auto"/>
              <w:right w:val="dotted" w:sz="4" w:space="0" w:color="000000"/>
            </w:tcBorders>
            <w:shd w:val="clear" w:color="auto" w:fill="auto"/>
            <w:hideMark/>
          </w:tcPr>
          <w:p w14:paraId="3411DA52"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1,5</w:t>
            </w:r>
          </w:p>
        </w:tc>
        <w:tc>
          <w:tcPr>
            <w:tcW w:w="1402" w:type="dxa"/>
            <w:tcBorders>
              <w:top w:val="nil"/>
              <w:left w:val="nil"/>
              <w:bottom w:val="single" w:sz="4" w:space="0" w:color="auto"/>
              <w:right w:val="dotted" w:sz="4" w:space="0" w:color="000000"/>
            </w:tcBorders>
            <w:shd w:val="clear" w:color="auto" w:fill="auto"/>
            <w:hideMark/>
          </w:tcPr>
          <w:p w14:paraId="2BF1424C"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1,5</w:t>
            </w:r>
          </w:p>
        </w:tc>
        <w:tc>
          <w:tcPr>
            <w:tcW w:w="1402" w:type="dxa"/>
            <w:tcBorders>
              <w:top w:val="nil"/>
              <w:left w:val="nil"/>
              <w:bottom w:val="single" w:sz="4" w:space="0" w:color="auto"/>
              <w:right w:val="double" w:sz="6" w:space="0" w:color="000000"/>
            </w:tcBorders>
            <w:shd w:val="clear" w:color="auto" w:fill="auto"/>
            <w:hideMark/>
          </w:tcPr>
          <w:p w14:paraId="61893486"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1,6</w:t>
            </w:r>
          </w:p>
        </w:tc>
      </w:tr>
      <w:tr w:rsidR="00EE57B3" w:rsidRPr="00EE57B3" w14:paraId="63BF8949" w14:textId="77777777" w:rsidTr="00EE57B3">
        <w:trPr>
          <w:trHeight w:val="348"/>
        </w:trPr>
        <w:tc>
          <w:tcPr>
            <w:tcW w:w="5530" w:type="dxa"/>
            <w:tcBorders>
              <w:top w:val="nil"/>
              <w:left w:val="double" w:sz="6" w:space="0" w:color="000000"/>
              <w:bottom w:val="dotted" w:sz="4" w:space="0" w:color="000000"/>
              <w:right w:val="nil"/>
            </w:tcBorders>
            <w:shd w:val="clear" w:color="auto" w:fill="auto"/>
            <w:vAlign w:val="bottom"/>
            <w:hideMark/>
          </w:tcPr>
          <w:p w14:paraId="0993DB6F"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xml:space="preserve">   6. Output gap</w:t>
            </w:r>
          </w:p>
        </w:tc>
        <w:tc>
          <w:tcPr>
            <w:tcW w:w="2825" w:type="dxa"/>
            <w:gridSpan w:val="2"/>
            <w:tcBorders>
              <w:top w:val="single" w:sz="4" w:space="0" w:color="auto"/>
              <w:left w:val="single" w:sz="8" w:space="0" w:color="000000"/>
              <w:bottom w:val="dotted" w:sz="4" w:space="0" w:color="000000"/>
              <w:right w:val="single" w:sz="8" w:space="0" w:color="000000"/>
            </w:tcBorders>
            <w:shd w:val="clear" w:color="auto" w:fill="auto"/>
            <w:noWrap/>
            <w:vAlign w:val="bottom"/>
            <w:hideMark/>
          </w:tcPr>
          <w:p w14:paraId="0855F0F1"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of GDP</w:t>
            </w:r>
          </w:p>
        </w:tc>
        <w:tc>
          <w:tcPr>
            <w:tcW w:w="1327" w:type="dxa"/>
            <w:tcBorders>
              <w:top w:val="nil"/>
              <w:left w:val="nil"/>
              <w:bottom w:val="dotted" w:sz="4" w:space="0" w:color="000000"/>
              <w:right w:val="dotted" w:sz="4" w:space="0" w:color="000000"/>
            </w:tcBorders>
            <w:shd w:val="clear" w:color="auto" w:fill="auto"/>
            <w:vAlign w:val="bottom"/>
            <w:hideMark/>
          </w:tcPr>
          <w:p w14:paraId="64090931"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0,1</w:t>
            </w:r>
          </w:p>
        </w:tc>
        <w:tc>
          <w:tcPr>
            <w:tcW w:w="1383" w:type="dxa"/>
            <w:tcBorders>
              <w:top w:val="nil"/>
              <w:left w:val="nil"/>
              <w:bottom w:val="dotted" w:sz="4" w:space="0" w:color="000000"/>
              <w:right w:val="dotted" w:sz="4" w:space="0" w:color="000000"/>
            </w:tcBorders>
            <w:shd w:val="clear" w:color="auto" w:fill="auto"/>
            <w:vAlign w:val="bottom"/>
            <w:hideMark/>
          </w:tcPr>
          <w:p w14:paraId="49B28D1E"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-0,2</w:t>
            </w:r>
          </w:p>
        </w:tc>
        <w:tc>
          <w:tcPr>
            <w:tcW w:w="1402" w:type="dxa"/>
            <w:tcBorders>
              <w:top w:val="nil"/>
              <w:left w:val="nil"/>
              <w:bottom w:val="dotted" w:sz="4" w:space="0" w:color="000000"/>
              <w:right w:val="dotted" w:sz="4" w:space="0" w:color="000000"/>
            </w:tcBorders>
            <w:shd w:val="clear" w:color="auto" w:fill="auto"/>
            <w:vAlign w:val="bottom"/>
            <w:hideMark/>
          </w:tcPr>
          <w:p w14:paraId="61DC9C73"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0,0</w:t>
            </w:r>
          </w:p>
        </w:tc>
        <w:tc>
          <w:tcPr>
            <w:tcW w:w="1402" w:type="dxa"/>
            <w:tcBorders>
              <w:top w:val="nil"/>
              <w:left w:val="nil"/>
              <w:bottom w:val="dotted" w:sz="4" w:space="0" w:color="000000"/>
              <w:right w:val="dotted" w:sz="4" w:space="0" w:color="000000"/>
            </w:tcBorders>
            <w:shd w:val="clear" w:color="auto" w:fill="auto"/>
            <w:vAlign w:val="bottom"/>
            <w:hideMark/>
          </w:tcPr>
          <w:p w14:paraId="676ADED6"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0,0</w:t>
            </w:r>
          </w:p>
        </w:tc>
        <w:tc>
          <w:tcPr>
            <w:tcW w:w="1402" w:type="dxa"/>
            <w:tcBorders>
              <w:top w:val="nil"/>
              <w:left w:val="nil"/>
              <w:bottom w:val="dotted" w:sz="4" w:space="0" w:color="000000"/>
              <w:right w:val="double" w:sz="6" w:space="0" w:color="000000"/>
            </w:tcBorders>
            <w:shd w:val="clear" w:color="auto" w:fill="auto"/>
            <w:vAlign w:val="bottom"/>
            <w:hideMark/>
          </w:tcPr>
          <w:p w14:paraId="09F3A9A3"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0,7</w:t>
            </w:r>
          </w:p>
        </w:tc>
      </w:tr>
      <w:tr w:rsidR="00EE57B3" w:rsidRPr="00EE57B3" w14:paraId="40B1BF55" w14:textId="77777777" w:rsidTr="00EE57B3">
        <w:trPr>
          <w:trHeight w:val="359"/>
        </w:trPr>
        <w:tc>
          <w:tcPr>
            <w:tcW w:w="5530" w:type="dxa"/>
            <w:tcBorders>
              <w:top w:val="nil"/>
              <w:left w:val="double" w:sz="6" w:space="0" w:color="000000"/>
              <w:bottom w:val="double" w:sz="6" w:space="0" w:color="000000"/>
              <w:right w:val="nil"/>
            </w:tcBorders>
            <w:shd w:val="clear" w:color="auto" w:fill="auto"/>
            <w:vAlign w:val="bottom"/>
            <w:hideMark/>
          </w:tcPr>
          <w:p w14:paraId="4602A2C4"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xml:space="preserve">   7. Cyclical budgetary component</w:t>
            </w:r>
          </w:p>
        </w:tc>
        <w:tc>
          <w:tcPr>
            <w:tcW w:w="2825" w:type="dxa"/>
            <w:gridSpan w:val="2"/>
            <w:tcBorders>
              <w:top w:val="dotted" w:sz="4" w:space="0" w:color="000000"/>
              <w:left w:val="single" w:sz="8" w:space="0" w:color="000000"/>
              <w:bottom w:val="double" w:sz="6" w:space="0" w:color="000000"/>
              <w:right w:val="single" w:sz="8" w:space="0" w:color="000000"/>
            </w:tcBorders>
            <w:shd w:val="clear" w:color="auto" w:fill="auto"/>
            <w:noWrap/>
            <w:vAlign w:val="bottom"/>
            <w:hideMark/>
          </w:tcPr>
          <w:p w14:paraId="6E2B0C9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of GDP</w:t>
            </w:r>
          </w:p>
        </w:tc>
        <w:tc>
          <w:tcPr>
            <w:tcW w:w="1327" w:type="dxa"/>
            <w:tcBorders>
              <w:top w:val="nil"/>
              <w:left w:val="nil"/>
              <w:bottom w:val="double" w:sz="6" w:space="0" w:color="000000"/>
              <w:right w:val="dotted" w:sz="4" w:space="0" w:color="000000"/>
            </w:tcBorders>
            <w:shd w:val="clear" w:color="auto" w:fill="auto"/>
            <w:vAlign w:val="bottom"/>
            <w:hideMark/>
          </w:tcPr>
          <w:p w14:paraId="048F29CB"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0,0</w:t>
            </w:r>
          </w:p>
        </w:tc>
        <w:tc>
          <w:tcPr>
            <w:tcW w:w="1383" w:type="dxa"/>
            <w:tcBorders>
              <w:top w:val="nil"/>
              <w:left w:val="nil"/>
              <w:bottom w:val="double" w:sz="6" w:space="0" w:color="000000"/>
              <w:right w:val="dotted" w:sz="4" w:space="0" w:color="000000"/>
            </w:tcBorders>
            <w:shd w:val="clear" w:color="auto" w:fill="auto"/>
            <w:vAlign w:val="bottom"/>
            <w:hideMark/>
          </w:tcPr>
          <w:p w14:paraId="03430CEB"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-0,1</w:t>
            </w:r>
          </w:p>
        </w:tc>
        <w:tc>
          <w:tcPr>
            <w:tcW w:w="1402" w:type="dxa"/>
            <w:tcBorders>
              <w:top w:val="nil"/>
              <w:left w:val="nil"/>
              <w:bottom w:val="double" w:sz="6" w:space="0" w:color="000000"/>
              <w:right w:val="dotted" w:sz="4" w:space="0" w:color="000000"/>
            </w:tcBorders>
            <w:shd w:val="clear" w:color="auto" w:fill="auto"/>
            <w:vAlign w:val="bottom"/>
            <w:hideMark/>
          </w:tcPr>
          <w:p w14:paraId="3E534161"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0,0</w:t>
            </w:r>
          </w:p>
        </w:tc>
        <w:tc>
          <w:tcPr>
            <w:tcW w:w="1402" w:type="dxa"/>
            <w:tcBorders>
              <w:top w:val="nil"/>
              <w:left w:val="nil"/>
              <w:bottom w:val="double" w:sz="6" w:space="0" w:color="000000"/>
              <w:right w:val="dotted" w:sz="4" w:space="0" w:color="000000"/>
            </w:tcBorders>
            <w:shd w:val="clear" w:color="auto" w:fill="auto"/>
            <w:vAlign w:val="bottom"/>
            <w:hideMark/>
          </w:tcPr>
          <w:p w14:paraId="1AFFEDF3"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0,0</w:t>
            </w:r>
          </w:p>
        </w:tc>
        <w:tc>
          <w:tcPr>
            <w:tcW w:w="1402" w:type="dxa"/>
            <w:tcBorders>
              <w:top w:val="nil"/>
              <w:left w:val="nil"/>
              <w:bottom w:val="double" w:sz="6" w:space="0" w:color="000000"/>
              <w:right w:val="double" w:sz="6" w:space="0" w:color="000000"/>
            </w:tcBorders>
            <w:shd w:val="clear" w:color="auto" w:fill="auto"/>
            <w:vAlign w:val="bottom"/>
            <w:hideMark/>
          </w:tcPr>
          <w:p w14:paraId="6758473C"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0,2</w:t>
            </w:r>
          </w:p>
        </w:tc>
      </w:tr>
    </w:tbl>
    <w:p w14:paraId="1ED47CF8" w14:textId="2958BA66" w:rsidR="00EE57B3" w:rsidRDefault="00EE57B3" w:rsidP="00FD4733">
      <w:pPr>
        <w:spacing w:after="160" w:line="259" w:lineRule="auto"/>
        <w:jc w:val="left"/>
        <w:rPr>
          <w:szCs w:val="24"/>
        </w:rPr>
      </w:pPr>
      <w:r>
        <w:rPr>
          <w:szCs w:val="24"/>
        </w:rPr>
        <w:fldChar w:fldCharType="end"/>
      </w:r>
    </w:p>
    <w:p w14:paraId="4BF3A755" w14:textId="666E1E75" w:rsidR="00EE57B3" w:rsidRDefault="00EE57B3" w:rsidP="00FD4733">
      <w:pPr>
        <w:spacing w:after="160" w:line="259" w:lineRule="auto"/>
        <w:jc w:val="left"/>
        <w:rPr>
          <w:szCs w:val="24"/>
        </w:rPr>
      </w:pPr>
    </w:p>
    <w:p w14:paraId="558334DD" w14:textId="4357780E" w:rsidR="00EE57B3" w:rsidRDefault="00EE57B3" w:rsidP="00FD4733">
      <w:pPr>
        <w:spacing w:after="160" w:line="259" w:lineRule="auto"/>
        <w:jc w:val="left"/>
        <w:rPr>
          <w:rFonts w:asciiTheme="minorHAnsi" w:hAnsiTheme="minorHAnsi"/>
          <w:sz w:val="22"/>
        </w:rPr>
      </w:pPr>
      <w:r>
        <w:lastRenderedPageBreak/>
        <w:fldChar w:fldCharType="begin"/>
      </w:r>
      <w:r>
        <w:instrText xml:space="preserve"> LINK </w:instrText>
      </w:r>
      <w:r w:rsidR="002E5F43">
        <w:instrText xml:space="preserve">Excel.Sheet.12 "C:\\Users\\ognjen.jancic\\Documents\\kopija\\Ognjen\\memorandum\\ERP 2025-2027\\engleska verzija-ubacivanje tabela\\2025_ERP_Annex_tables_RS.xlsx" "Tab5-Cycl. dev.!R4C3:R19C9" </w:instrText>
      </w:r>
      <w:r>
        <w:instrText xml:space="preserve">\a \f 4 \h  \* MERGEFORMAT </w:instrText>
      </w:r>
      <w:r>
        <w:fldChar w:fldCharType="separate"/>
      </w:r>
    </w:p>
    <w:tbl>
      <w:tblPr>
        <w:tblW w:w="15151" w:type="dxa"/>
        <w:tblLook w:val="04A0" w:firstRow="1" w:lastRow="0" w:firstColumn="1" w:lastColumn="0" w:noHBand="0" w:noVBand="1"/>
      </w:tblPr>
      <w:tblGrid>
        <w:gridCol w:w="5922"/>
        <w:gridCol w:w="1480"/>
        <w:gridCol w:w="1829"/>
        <w:gridCol w:w="1480"/>
        <w:gridCol w:w="1480"/>
        <w:gridCol w:w="1480"/>
        <w:gridCol w:w="1480"/>
      </w:tblGrid>
      <w:tr w:rsidR="00EE57B3" w:rsidRPr="00EE57B3" w14:paraId="63CA4267" w14:textId="77777777" w:rsidTr="00EE57B3">
        <w:trPr>
          <w:trHeight w:val="266"/>
        </w:trPr>
        <w:tc>
          <w:tcPr>
            <w:tcW w:w="5922" w:type="dxa"/>
            <w:tcBorders>
              <w:top w:val="double" w:sz="6" w:space="0" w:color="000000"/>
              <w:left w:val="double" w:sz="6" w:space="0" w:color="000000"/>
              <w:bottom w:val="nil"/>
              <w:right w:val="nil"/>
            </w:tcBorders>
            <w:shd w:val="clear" w:color="000000" w:fill="FFFFFF"/>
            <w:vAlign w:val="bottom"/>
            <w:hideMark/>
          </w:tcPr>
          <w:p w14:paraId="5F6A7A59" w14:textId="06751A6B"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of GDP</w:t>
            </w:r>
          </w:p>
        </w:tc>
        <w:tc>
          <w:tcPr>
            <w:tcW w:w="1480" w:type="dxa"/>
            <w:tcBorders>
              <w:top w:val="double" w:sz="6" w:space="0" w:color="000000"/>
              <w:left w:val="single" w:sz="4" w:space="0" w:color="000000"/>
              <w:bottom w:val="nil"/>
              <w:right w:val="single" w:sz="4" w:space="0" w:color="000000"/>
            </w:tcBorders>
            <w:shd w:val="clear" w:color="000000" w:fill="FFFFFF"/>
            <w:vAlign w:val="bottom"/>
            <w:hideMark/>
          </w:tcPr>
          <w:p w14:paraId="12E4840C"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ESA Code</w:t>
            </w:r>
          </w:p>
        </w:tc>
        <w:tc>
          <w:tcPr>
            <w:tcW w:w="1829" w:type="dxa"/>
            <w:tcBorders>
              <w:top w:val="double" w:sz="6" w:space="0" w:color="000000"/>
              <w:left w:val="nil"/>
              <w:bottom w:val="nil"/>
              <w:right w:val="nil"/>
            </w:tcBorders>
            <w:shd w:val="clear" w:color="000000" w:fill="FFFFFF"/>
            <w:vAlign w:val="bottom"/>
            <w:hideMark/>
          </w:tcPr>
          <w:p w14:paraId="63AA806C"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Year</w:t>
            </w:r>
          </w:p>
        </w:tc>
        <w:tc>
          <w:tcPr>
            <w:tcW w:w="1480" w:type="dxa"/>
            <w:tcBorders>
              <w:top w:val="double" w:sz="6" w:space="0" w:color="000000"/>
              <w:left w:val="dotted" w:sz="4" w:space="0" w:color="000000"/>
              <w:bottom w:val="nil"/>
              <w:right w:val="dotted" w:sz="4" w:space="0" w:color="000000"/>
            </w:tcBorders>
            <w:shd w:val="clear" w:color="000000" w:fill="FFFFFF"/>
            <w:vAlign w:val="bottom"/>
            <w:hideMark/>
          </w:tcPr>
          <w:p w14:paraId="1F0D94B1"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Year</w:t>
            </w:r>
          </w:p>
        </w:tc>
        <w:tc>
          <w:tcPr>
            <w:tcW w:w="1480" w:type="dxa"/>
            <w:tcBorders>
              <w:top w:val="double" w:sz="6" w:space="0" w:color="000000"/>
              <w:left w:val="nil"/>
              <w:bottom w:val="nil"/>
              <w:right w:val="dotted" w:sz="4" w:space="0" w:color="000000"/>
            </w:tcBorders>
            <w:shd w:val="clear" w:color="000000" w:fill="FFFFFF"/>
            <w:vAlign w:val="bottom"/>
            <w:hideMark/>
          </w:tcPr>
          <w:p w14:paraId="670DFB87"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Year</w:t>
            </w:r>
          </w:p>
        </w:tc>
        <w:tc>
          <w:tcPr>
            <w:tcW w:w="1480" w:type="dxa"/>
            <w:tcBorders>
              <w:top w:val="double" w:sz="6" w:space="0" w:color="000000"/>
              <w:left w:val="nil"/>
              <w:bottom w:val="nil"/>
              <w:right w:val="dotted" w:sz="4" w:space="0" w:color="000000"/>
            </w:tcBorders>
            <w:shd w:val="clear" w:color="000000" w:fill="FFFFFF"/>
            <w:vAlign w:val="bottom"/>
            <w:hideMark/>
          </w:tcPr>
          <w:p w14:paraId="1E7750D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Year</w:t>
            </w:r>
          </w:p>
        </w:tc>
        <w:tc>
          <w:tcPr>
            <w:tcW w:w="1480" w:type="dxa"/>
            <w:tcBorders>
              <w:top w:val="double" w:sz="6" w:space="0" w:color="000000"/>
              <w:left w:val="nil"/>
              <w:bottom w:val="nil"/>
              <w:right w:val="double" w:sz="6" w:space="0" w:color="000000"/>
            </w:tcBorders>
            <w:shd w:val="clear" w:color="000000" w:fill="FFFFFF"/>
            <w:vAlign w:val="bottom"/>
            <w:hideMark/>
          </w:tcPr>
          <w:p w14:paraId="62655066"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Year</w:t>
            </w:r>
          </w:p>
        </w:tc>
      </w:tr>
      <w:tr w:rsidR="00EE57B3" w:rsidRPr="00EE57B3" w14:paraId="6AE0CE98" w14:textId="77777777" w:rsidTr="00EE57B3">
        <w:trPr>
          <w:trHeight w:val="258"/>
        </w:trPr>
        <w:tc>
          <w:tcPr>
            <w:tcW w:w="5922" w:type="dxa"/>
            <w:tcBorders>
              <w:top w:val="nil"/>
              <w:left w:val="double" w:sz="6" w:space="0" w:color="000000"/>
              <w:bottom w:val="single" w:sz="4" w:space="0" w:color="000000"/>
              <w:right w:val="nil"/>
            </w:tcBorders>
            <w:shd w:val="clear" w:color="000000" w:fill="FFFFFF"/>
            <w:vAlign w:val="bottom"/>
            <w:hideMark/>
          </w:tcPr>
          <w:p w14:paraId="61625217"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w:t>
            </w:r>
          </w:p>
        </w:tc>
        <w:tc>
          <w:tcPr>
            <w:tcW w:w="1480" w:type="dxa"/>
            <w:tcBorders>
              <w:top w:val="nil"/>
              <w:left w:val="single" w:sz="4" w:space="0" w:color="000000"/>
              <w:bottom w:val="single" w:sz="4" w:space="0" w:color="000000"/>
              <w:right w:val="single" w:sz="4" w:space="0" w:color="000000"/>
            </w:tcBorders>
            <w:shd w:val="clear" w:color="000000" w:fill="FFFFFF"/>
            <w:vAlign w:val="bottom"/>
            <w:hideMark/>
          </w:tcPr>
          <w:p w14:paraId="13F4330B"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w:t>
            </w:r>
          </w:p>
        </w:tc>
        <w:tc>
          <w:tcPr>
            <w:tcW w:w="1829" w:type="dxa"/>
            <w:tcBorders>
              <w:top w:val="nil"/>
              <w:left w:val="nil"/>
              <w:bottom w:val="single" w:sz="4" w:space="0" w:color="000000"/>
              <w:right w:val="nil"/>
            </w:tcBorders>
            <w:shd w:val="clear" w:color="000000" w:fill="FFFFFF"/>
            <w:vAlign w:val="bottom"/>
            <w:hideMark/>
          </w:tcPr>
          <w:p w14:paraId="1A56FC0C"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2023</w:t>
            </w:r>
          </w:p>
        </w:tc>
        <w:tc>
          <w:tcPr>
            <w:tcW w:w="1480" w:type="dxa"/>
            <w:tcBorders>
              <w:top w:val="nil"/>
              <w:left w:val="dotted" w:sz="4" w:space="0" w:color="000000"/>
              <w:bottom w:val="single" w:sz="4" w:space="0" w:color="000000"/>
              <w:right w:val="dotted" w:sz="4" w:space="0" w:color="000000"/>
            </w:tcBorders>
            <w:shd w:val="clear" w:color="000000" w:fill="FFFFFF"/>
            <w:vAlign w:val="bottom"/>
            <w:hideMark/>
          </w:tcPr>
          <w:p w14:paraId="1610240A"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2024</w:t>
            </w:r>
          </w:p>
        </w:tc>
        <w:tc>
          <w:tcPr>
            <w:tcW w:w="1480" w:type="dxa"/>
            <w:tcBorders>
              <w:top w:val="nil"/>
              <w:left w:val="nil"/>
              <w:bottom w:val="single" w:sz="4" w:space="0" w:color="000000"/>
              <w:right w:val="dotted" w:sz="4" w:space="0" w:color="000000"/>
            </w:tcBorders>
            <w:shd w:val="clear" w:color="000000" w:fill="FFFFFF"/>
            <w:vAlign w:val="bottom"/>
            <w:hideMark/>
          </w:tcPr>
          <w:p w14:paraId="044358A5"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2025</w:t>
            </w:r>
          </w:p>
        </w:tc>
        <w:tc>
          <w:tcPr>
            <w:tcW w:w="1480" w:type="dxa"/>
            <w:tcBorders>
              <w:top w:val="nil"/>
              <w:left w:val="nil"/>
              <w:bottom w:val="single" w:sz="4" w:space="0" w:color="000000"/>
              <w:right w:val="dotted" w:sz="4" w:space="0" w:color="000000"/>
            </w:tcBorders>
            <w:shd w:val="clear" w:color="000000" w:fill="FFFFFF"/>
            <w:vAlign w:val="bottom"/>
            <w:hideMark/>
          </w:tcPr>
          <w:p w14:paraId="26AC7095"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2026</w:t>
            </w:r>
          </w:p>
        </w:tc>
        <w:tc>
          <w:tcPr>
            <w:tcW w:w="1480" w:type="dxa"/>
            <w:tcBorders>
              <w:top w:val="nil"/>
              <w:left w:val="nil"/>
              <w:bottom w:val="single" w:sz="4" w:space="0" w:color="000000"/>
              <w:right w:val="double" w:sz="6" w:space="0" w:color="000000"/>
            </w:tcBorders>
            <w:shd w:val="clear" w:color="000000" w:fill="FFFFFF"/>
            <w:vAlign w:val="bottom"/>
            <w:hideMark/>
          </w:tcPr>
          <w:p w14:paraId="4067D846"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2027</w:t>
            </w:r>
          </w:p>
        </w:tc>
      </w:tr>
      <w:tr w:rsidR="00EE57B3" w:rsidRPr="00EE57B3" w14:paraId="0EC41E0B" w14:textId="77777777" w:rsidTr="00EE57B3">
        <w:trPr>
          <w:trHeight w:val="255"/>
        </w:trPr>
        <w:tc>
          <w:tcPr>
            <w:tcW w:w="5922" w:type="dxa"/>
            <w:tcBorders>
              <w:top w:val="nil"/>
              <w:left w:val="double" w:sz="6" w:space="0" w:color="000000"/>
              <w:bottom w:val="dotted" w:sz="4" w:space="0" w:color="000000"/>
              <w:right w:val="nil"/>
            </w:tcBorders>
            <w:shd w:val="clear" w:color="000000" w:fill="FFFFFF"/>
            <w:vAlign w:val="bottom"/>
            <w:hideMark/>
          </w:tcPr>
          <w:p w14:paraId="4D627CE7" w14:textId="77777777" w:rsidR="00EE57B3" w:rsidRPr="00EE57B3" w:rsidRDefault="00EE57B3" w:rsidP="00EE57B3">
            <w:pPr>
              <w:spacing w:after="0"/>
              <w:ind w:firstLineChars="100" w:firstLine="200"/>
              <w:jc w:val="left"/>
              <w:rPr>
                <w:rFonts w:eastAsia="Times New Roman" w:cs="Times New Roman"/>
                <w:sz w:val="20"/>
                <w:szCs w:val="20"/>
              </w:rPr>
            </w:pPr>
            <w:r w:rsidRPr="00EE57B3">
              <w:rPr>
                <w:rFonts w:eastAsia="Times New Roman" w:cs="Times New Roman"/>
                <w:sz w:val="20"/>
                <w:szCs w:val="20"/>
              </w:rPr>
              <w:t>1.  Real GDP growth (%, yoy)</w:t>
            </w:r>
          </w:p>
        </w:tc>
        <w:tc>
          <w:tcPr>
            <w:tcW w:w="1480" w:type="dxa"/>
            <w:tcBorders>
              <w:top w:val="nil"/>
              <w:left w:val="single" w:sz="4" w:space="0" w:color="000000"/>
              <w:bottom w:val="dotted" w:sz="4" w:space="0" w:color="000000"/>
              <w:right w:val="single" w:sz="4" w:space="0" w:color="000000"/>
            </w:tcBorders>
            <w:shd w:val="clear" w:color="000000" w:fill="FFFFFF"/>
            <w:vAlign w:val="bottom"/>
            <w:hideMark/>
          </w:tcPr>
          <w:p w14:paraId="565E821C" w14:textId="77777777" w:rsidR="00EE57B3" w:rsidRPr="00EE57B3" w:rsidRDefault="00EE57B3" w:rsidP="00EE57B3">
            <w:pPr>
              <w:spacing w:after="0"/>
              <w:jc w:val="left"/>
              <w:rPr>
                <w:rFonts w:eastAsia="Times New Roman" w:cs="Times New Roman"/>
                <w:sz w:val="18"/>
                <w:szCs w:val="18"/>
              </w:rPr>
            </w:pPr>
            <w:r w:rsidRPr="00EE57B3">
              <w:rPr>
                <w:rFonts w:eastAsia="Times New Roman" w:cs="Times New Roman"/>
                <w:sz w:val="18"/>
                <w:szCs w:val="18"/>
              </w:rPr>
              <w:t>B1g</w:t>
            </w:r>
          </w:p>
        </w:tc>
        <w:tc>
          <w:tcPr>
            <w:tcW w:w="1829" w:type="dxa"/>
            <w:tcBorders>
              <w:top w:val="nil"/>
              <w:left w:val="nil"/>
              <w:bottom w:val="dotted" w:sz="4" w:space="0" w:color="000000"/>
              <w:right w:val="dotted" w:sz="4" w:space="0" w:color="000000"/>
            </w:tcBorders>
            <w:shd w:val="clear" w:color="000000" w:fill="FFFFFF"/>
            <w:vAlign w:val="bottom"/>
            <w:hideMark/>
          </w:tcPr>
          <w:p w14:paraId="02B23DFF"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3,8</w:t>
            </w:r>
          </w:p>
        </w:tc>
        <w:tc>
          <w:tcPr>
            <w:tcW w:w="1480" w:type="dxa"/>
            <w:tcBorders>
              <w:top w:val="nil"/>
              <w:left w:val="nil"/>
              <w:bottom w:val="dotted" w:sz="4" w:space="0" w:color="000000"/>
              <w:right w:val="dotted" w:sz="4" w:space="0" w:color="000000"/>
            </w:tcBorders>
            <w:shd w:val="clear" w:color="000000" w:fill="FFFFFF"/>
            <w:vAlign w:val="bottom"/>
            <w:hideMark/>
          </w:tcPr>
          <w:p w14:paraId="0B01209A"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3,8</w:t>
            </w:r>
          </w:p>
        </w:tc>
        <w:tc>
          <w:tcPr>
            <w:tcW w:w="1480" w:type="dxa"/>
            <w:tcBorders>
              <w:top w:val="nil"/>
              <w:left w:val="nil"/>
              <w:bottom w:val="dotted" w:sz="4" w:space="0" w:color="000000"/>
              <w:right w:val="dotted" w:sz="4" w:space="0" w:color="000000"/>
            </w:tcBorders>
            <w:shd w:val="clear" w:color="000000" w:fill="FFFFFF"/>
            <w:vAlign w:val="bottom"/>
            <w:hideMark/>
          </w:tcPr>
          <w:p w14:paraId="454C79EE"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4,2</w:t>
            </w:r>
          </w:p>
        </w:tc>
        <w:tc>
          <w:tcPr>
            <w:tcW w:w="1480" w:type="dxa"/>
            <w:tcBorders>
              <w:top w:val="nil"/>
              <w:left w:val="nil"/>
              <w:bottom w:val="dotted" w:sz="4" w:space="0" w:color="000000"/>
              <w:right w:val="dotted" w:sz="4" w:space="0" w:color="000000"/>
            </w:tcBorders>
            <w:shd w:val="clear" w:color="000000" w:fill="FFFFFF"/>
            <w:vAlign w:val="bottom"/>
            <w:hideMark/>
          </w:tcPr>
          <w:p w14:paraId="21EE82F5"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4,0</w:t>
            </w:r>
          </w:p>
        </w:tc>
        <w:tc>
          <w:tcPr>
            <w:tcW w:w="1480" w:type="dxa"/>
            <w:tcBorders>
              <w:top w:val="nil"/>
              <w:left w:val="nil"/>
              <w:bottom w:val="dotted" w:sz="4" w:space="0" w:color="000000"/>
              <w:right w:val="double" w:sz="6" w:space="0" w:color="000000"/>
            </w:tcBorders>
            <w:shd w:val="clear" w:color="000000" w:fill="FFFFFF"/>
            <w:vAlign w:val="bottom"/>
            <w:hideMark/>
          </w:tcPr>
          <w:p w14:paraId="5622C3F3"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5,0</w:t>
            </w:r>
          </w:p>
        </w:tc>
      </w:tr>
      <w:tr w:rsidR="00EE57B3" w:rsidRPr="00EE57B3" w14:paraId="73D62467" w14:textId="77777777" w:rsidTr="00EE57B3">
        <w:trPr>
          <w:trHeight w:val="300"/>
        </w:trPr>
        <w:tc>
          <w:tcPr>
            <w:tcW w:w="5922" w:type="dxa"/>
            <w:tcBorders>
              <w:top w:val="nil"/>
              <w:left w:val="double" w:sz="6" w:space="0" w:color="000000"/>
              <w:bottom w:val="dotted" w:sz="4" w:space="0" w:color="000000"/>
              <w:right w:val="nil"/>
            </w:tcBorders>
            <w:shd w:val="clear" w:color="000000" w:fill="FFFFFF"/>
            <w:vAlign w:val="bottom"/>
            <w:hideMark/>
          </w:tcPr>
          <w:p w14:paraId="14C13A88" w14:textId="77777777" w:rsidR="00EE57B3" w:rsidRPr="00EE57B3" w:rsidRDefault="00EE57B3" w:rsidP="00EE57B3">
            <w:pPr>
              <w:spacing w:after="0"/>
              <w:ind w:firstLineChars="100" w:firstLine="200"/>
              <w:jc w:val="left"/>
              <w:rPr>
                <w:rFonts w:eastAsia="Times New Roman" w:cs="Times New Roman"/>
                <w:sz w:val="20"/>
                <w:szCs w:val="20"/>
              </w:rPr>
            </w:pPr>
            <w:r w:rsidRPr="00EE57B3">
              <w:rPr>
                <w:rFonts w:eastAsia="Times New Roman" w:cs="Times New Roman"/>
                <w:sz w:val="20"/>
                <w:szCs w:val="20"/>
              </w:rPr>
              <w:t xml:space="preserve">2.  Net lending of general government </w:t>
            </w:r>
          </w:p>
        </w:tc>
        <w:tc>
          <w:tcPr>
            <w:tcW w:w="1480" w:type="dxa"/>
            <w:tcBorders>
              <w:top w:val="nil"/>
              <w:left w:val="single" w:sz="4" w:space="0" w:color="000000"/>
              <w:bottom w:val="dotted" w:sz="4" w:space="0" w:color="000000"/>
              <w:right w:val="single" w:sz="4" w:space="0" w:color="000000"/>
            </w:tcBorders>
            <w:shd w:val="clear" w:color="000000" w:fill="FFFFFF"/>
            <w:vAlign w:val="bottom"/>
            <w:hideMark/>
          </w:tcPr>
          <w:p w14:paraId="53EF1F2A" w14:textId="77777777" w:rsidR="00EE57B3" w:rsidRPr="00EE57B3" w:rsidRDefault="00EE57B3" w:rsidP="00EE57B3">
            <w:pPr>
              <w:spacing w:after="0"/>
              <w:jc w:val="left"/>
              <w:rPr>
                <w:rFonts w:eastAsia="Times New Roman" w:cs="Times New Roman"/>
                <w:sz w:val="18"/>
                <w:szCs w:val="18"/>
              </w:rPr>
            </w:pPr>
            <w:r w:rsidRPr="00EE57B3">
              <w:rPr>
                <w:rFonts w:eastAsia="Times New Roman" w:cs="Times New Roman"/>
                <w:sz w:val="18"/>
                <w:szCs w:val="18"/>
              </w:rPr>
              <w:t>EDP.B.9</w:t>
            </w:r>
          </w:p>
        </w:tc>
        <w:tc>
          <w:tcPr>
            <w:tcW w:w="1829" w:type="dxa"/>
            <w:tcBorders>
              <w:top w:val="nil"/>
              <w:left w:val="nil"/>
              <w:bottom w:val="dotted" w:sz="4" w:space="0" w:color="000000"/>
              <w:right w:val="dotted" w:sz="4" w:space="0" w:color="000000"/>
            </w:tcBorders>
            <w:shd w:val="clear" w:color="000000" w:fill="FFFFFF"/>
            <w:vAlign w:val="bottom"/>
            <w:hideMark/>
          </w:tcPr>
          <w:p w14:paraId="178B6B1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-2,1</w:t>
            </w:r>
          </w:p>
        </w:tc>
        <w:tc>
          <w:tcPr>
            <w:tcW w:w="1480" w:type="dxa"/>
            <w:tcBorders>
              <w:top w:val="nil"/>
              <w:left w:val="nil"/>
              <w:bottom w:val="dotted" w:sz="4" w:space="0" w:color="000000"/>
              <w:right w:val="dotted" w:sz="4" w:space="0" w:color="000000"/>
            </w:tcBorders>
            <w:shd w:val="clear" w:color="000000" w:fill="FFFFFF"/>
            <w:vAlign w:val="bottom"/>
            <w:hideMark/>
          </w:tcPr>
          <w:p w14:paraId="5A985394"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-2,7</w:t>
            </w:r>
          </w:p>
        </w:tc>
        <w:tc>
          <w:tcPr>
            <w:tcW w:w="1480" w:type="dxa"/>
            <w:tcBorders>
              <w:top w:val="nil"/>
              <w:left w:val="nil"/>
              <w:bottom w:val="dotted" w:sz="4" w:space="0" w:color="000000"/>
              <w:right w:val="dotted" w:sz="4" w:space="0" w:color="000000"/>
            </w:tcBorders>
            <w:shd w:val="clear" w:color="000000" w:fill="FFFFFF"/>
            <w:vAlign w:val="bottom"/>
            <w:hideMark/>
          </w:tcPr>
          <w:p w14:paraId="20CB4922"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-3,0</w:t>
            </w:r>
          </w:p>
        </w:tc>
        <w:tc>
          <w:tcPr>
            <w:tcW w:w="1480" w:type="dxa"/>
            <w:tcBorders>
              <w:top w:val="nil"/>
              <w:left w:val="nil"/>
              <w:bottom w:val="dotted" w:sz="4" w:space="0" w:color="000000"/>
              <w:right w:val="dotted" w:sz="4" w:space="0" w:color="000000"/>
            </w:tcBorders>
            <w:shd w:val="clear" w:color="000000" w:fill="FFFFFF"/>
            <w:vAlign w:val="bottom"/>
            <w:hideMark/>
          </w:tcPr>
          <w:p w14:paraId="31C15433"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-3,0</w:t>
            </w:r>
          </w:p>
        </w:tc>
        <w:tc>
          <w:tcPr>
            <w:tcW w:w="1480" w:type="dxa"/>
            <w:tcBorders>
              <w:top w:val="nil"/>
              <w:left w:val="nil"/>
              <w:bottom w:val="dotted" w:sz="4" w:space="0" w:color="000000"/>
              <w:right w:val="double" w:sz="6" w:space="0" w:color="000000"/>
            </w:tcBorders>
            <w:shd w:val="clear" w:color="000000" w:fill="FFFFFF"/>
            <w:vAlign w:val="bottom"/>
            <w:hideMark/>
          </w:tcPr>
          <w:p w14:paraId="60C800DE"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-3,0</w:t>
            </w:r>
          </w:p>
        </w:tc>
      </w:tr>
      <w:tr w:rsidR="00EE57B3" w:rsidRPr="00EE57B3" w14:paraId="76085633" w14:textId="77777777" w:rsidTr="00EE57B3">
        <w:trPr>
          <w:trHeight w:val="300"/>
        </w:trPr>
        <w:tc>
          <w:tcPr>
            <w:tcW w:w="5922" w:type="dxa"/>
            <w:tcBorders>
              <w:top w:val="nil"/>
              <w:left w:val="double" w:sz="6" w:space="0" w:color="000000"/>
              <w:bottom w:val="dotted" w:sz="4" w:space="0" w:color="000000"/>
              <w:right w:val="nil"/>
            </w:tcBorders>
            <w:shd w:val="clear" w:color="000000" w:fill="FFFFFF"/>
            <w:vAlign w:val="bottom"/>
            <w:hideMark/>
          </w:tcPr>
          <w:p w14:paraId="793F88DD" w14:textId="77777777" w:rsidR="00EE57B3" w:rsidRPr="00EE57B3" w:rsidRDefault="00EE57B3" w:rsidP="00EE57B3">
            <w:pPr>
              <w:spacing w:after="0"/>
              <w:ind w:firstLineChars="100" w:firstLine="200"/>
              <w:jc w:val="left"/>
              <w:rPr>
                <w:rFonts w:eastAsia="Times New Roman" w:cs="Times New Roman"/>
                <w:sz w:val="20"/>
                <w:szCs w:val="20"/>
              </w:rPr>
            </w:pPr>
            <w:r w:rsidRPr="00EE57B3">
              <w:rPr>
                <w:rFonts w:eastAsia="Times New Roman" w:cs="Times New Roman"/>
                <w:sz w:val="20"/>
                <w:szCs w:val="20"/>
              </w:rPr>
              <w:t>3.  Interest expenditure</w:t>
            </w:r>
          </w:p>
        </w:tc>
        <w:tc>
          <w:tcPr>
            <w:tcW w:w="1480" w:type="dxa"/>
            <w:tcBorders>
              <w:top w:val="nil"/>
              <w:left w:val="single" w:sz="4" w:space="0" w:color="000000"/>
              <w:bottom w:val="dotted" w:sz="4" w:space="0" w:color="000000"/>
              <w:right w:val="single" w:sz="4" w:space="0" w:color="000000"/>
            </w:tcBorders>
            <w:shd w:val="clear" w:color="000000" w:fill="FFFFFF"/>
            <w:vAlign w:val="bottom"/>
            <w:hideMark/>
          </w:tcPr>
          <w:p w14:paraId="15727375" w14:textId="77777777" w:rsidR="00EE57B3" w:rsidRPr="00EE57B3" w:rsidRDefault="00EE57B3" w:rsidP="00EE57B3">
            <w:pPr>
              <w:spacing w:after="0"/>
              <w:jc w:val="left"/>
              <w:rPr>
                <w:rFonts w:eastAsia="Times New Roman" w:cs="Times New Roman"/>
                <w:sz w:val="16"/>
                <w:szCs w:val="16"/>
              </w:rPr>
            </w:pPr>
            <w:r w:rsidRPr="00EE57B3">
              <w:rPr>
                <w:rFonts w:eastAsia="Times New Roman" w:cs="Times New Roman"/>
                <w:sz w:val="16"/>
                <w:szCs w:val="16"/>
              </w:rPr>
              <w:t>EDP.D.41</w:t>
            </w:r>
          </w:p>
        </w:tc>
        <w:tc>
          <w:tcPr>
            <w:tcW w:w="1829" w:type="dxa"/>
            <w:tcBorders>
              <w:top w:val="nil"/>
              <w:left w:val="nil"/>
              <w:bottom w:val="dotted" w:sz="4" w:space="0" w:color="000000"/>
              <w:right w:val="dotted" w:sz="4" w:space="0" w:color="000000"/>
            </w:tcBorders>
            <w:shd w:val="clear" w:color="000000" w:fill="FFFFFF"/>
            <w:hideMark/>
          </w:tcPr>
          <w:p w14:paraId="62C41C01"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1,7</w:t>
            </w:r>
          </w:p>
        </w:tc>
        <w:tc>
          <w:tcPr>
            <w:tcW w:w="1480" w:type="dxa"/>
            <w:tcBorders>
              <w:top w:val="nil"/>
              <w:left w:val="nil"/>
              <w:bottom w:val="dotted" w:sz="4" w:space="0" w:color="000000"/>
              <w:right w:val="dotted" w:sz="4" w:space="0" w:color="000000"/>
            </w:tcBorders>
            <w:shd w:val="clear" w:color="000000" w:fill="FFFFFF"/>
            <w:hideMark/>
          </w:tcPr>
          <w:p w14:paraId="18733DAA"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2,0</w:t>
            </w:r>
          </w:p>
        </w:tc>
        <w:tc>
          <w:tcPr>
            <w:tcW w:w="1480" w:type="dxa"/>
            <w:tcBorders>
              <w:top w:val="nil"/>
              <w:left w:val="nil"/>
              <w:bottom w:val="dotted" w:sz="4" w:space="0" w:color="000000"/>
              <w:right w:val="dotted" w:sz="4" w:space="0" w:color="000000"/>
            </w:tcBorders>
            <w:shd w:val="clear" w:color="000000" w:fill="FFFFFF"/>
            <w:hideMark/>
          </w:tcPr>
          <w:p w14:paraId="18115A6F"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2,2</w:t>
            </w:r>
          </w:p>
        </w:tc>
        <w:tc>
          <w:tcPr>
            <w:tcW w:w="1480" w:type="dxa"/>
            <w:tcBorders>
              <w:top w:val="nil"/>
              <w:left w:val="nil"/>
              <w:bottom w:val="dotted" w:sz="4" w:space="0" w:color="000000"/>
              <w:right w:val="dotted" w:sz="4" w:space="0" w:color="000000"/>
            </w:tcBorders>
            <w:shd w:val="clear" w:color="000000" w:fill="FFFFFF"/>
            <w:hideMark/>
          </w:tcPr>
          <w:p w14:paraId="6CC7063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2,1</w:t>
            </w:r>
          </w:p>
        </w:tc>
        <w:tc>
          <w:tcPr>
            <w:tcW w:w="1480" w:type="dxa"/>
            <w:tcBorders>
              <w:top w:val="nil"/>
              <w:left w:val="nil"/>
              <w:bottom w:val="dotted" w:sz="4" w:space="0" w:color="000000"/>
              <w:right w:val="double" w:sz="6" w:space="0" w:color="000000"/>
            </w:tcBorders>
            <w:shd w:val="clear" w:color="000000" w:fill="FFFFFF"/>
            <w:hideMark/>
          </w:tcPr>
          <w:p w14:paraId="2A46B7DD"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2,0</w:t>
            </w:r>
          </w:p>
        </w:tc>
      </w:tr>
      <w:tr w:rsidR="00EE57B3" w:rsidRPr="00EE57B3" w14:paraId="01CD5C54" w14:textId="77777777" w:rsidTr="00EE57B3">
        <w:trPr>
          <w:trHeight w:val="285"/>
        </w:trPr>
        <w:tc>
          <w:tcPr>
            <w:tcW w:w="5922" w:type="dxa"/>
            <w:tcBorders>
              <w:top w:val="nil"/>
              <w:left w:val="double" w:sz="6" w:space="0" w:color="000000"/>
              <w:bottom w:val="dotted" w:sz="4" w:space="0" w:color="000000"/>
              <w:right w:val="nil"/>
            </w:tcBorders>
            <w:shd w:val="clear" w:color="000000" w:fill="FFFFFF"/>
            <w:vAlign w:val="bottom"/>
            <w:hideMark/>
          </w:tcPr>
          <w:p w14:paraId="38DFD638" w14:textId="77777777" w:rsidR="00EE57B3" w:rsidRPr="00EE57B3" w:rsidRDefault="00EE57B3" w:rsidP="00EE57B3">
            <w:pPr>
              <w:spacing w:after="0"/>
              <w:ind w:firstLineChars="100" w:firstLine="200"/>
              <w:jc w:val="left"/>
              <w:rPr>
                <w:rFonts w:eastAsia="Times New Roman" w:cs="Times New Roman"/>
                <w:sz w:val="20"/>
                <w:szCs w:val="20"/>
              </w:rPr>
            </w:pPr>
            <w:r w:rsidRPr="00EE57B3">
              <w:rPr>
                <w:rFonts w:eastAsia="Times New Roman" w:cs="Times New Roman"/>
                <w:sz w:val="20"/>
                <w:szCs w:val="20"/>
              </w:rPr>
              <w:t>4. One-off and other temporary measures [1]</w:t>
            </w:r>
          </w:p>
        </w:tc>
        <w:tc>
          <w:tcPr>
            <w:tcW w:w="1480" w:type="dxa"/>
            <w:tcBorders>
              <w:top w:val="nil"/>
              <w:left w:val="single" w:sz="4" w:space="0" w:color="000000"/>
              <w:bottom w:val="dotted" w:sz="4" w:space="0" w:color="000000"/>
              <w:right w:val="single" w:sz="4" w:space="0" w:color="000000"/>
            </w:tcBorders>
            <w:shd w:val="clear" w:color="000000" w:fill="FFFFFF"/>
            <w:vAlign w:val="bottom"/>
            <w:hideMark/>
          </w:tcPr>
          <w:p w14:paraId="7E29E733" w14:textId="77777777" w:rsidR="00EE57B3" w:rsidRPr="00EE57B3" w:rsidRDefault="00EE57B3" w:rsidP="00EE57B3">
            <w:pPr>
              <w:spacing w:after="0"/>
              <w:jc w:val="left"/>
              <w:rPr>
                <w:rFonts w:eastAsia="Times New Roman" w:cs="Times New Roman"/>
                <w:sz w:val="16"/>
                <w:szCs w:val="16"/>
              </w:rPr>
            </w:pPr>
            <w:r w:rsidRPr="00EE57B3">
              <w:rPr>
                <w:rFonts w:eastAsia="Times New Roman" w:cs="Times New Roman"/>
                <w:sz w:val="16"/>
                <w:szCs w:val="16"/>
              </w:rPr>
              <w:t> </w:t>
            </w:r>
          </w:p>
        </w:tc>
        <w:tc>
          <w:tcPr>
            <w:tcW w:w="1829" w:type="dxa"/>
            <w:tcBorders>
              <w:top w:val="nil"/>
              <w:left w:val="nil"/>
              <w:bottom w:val="dotted" w:sz="4" w:space="0" w:color="000000"/>
              <w:right w:val="dotted" w:sz="4" w:space="0" w:color="000000"/>
            </w:tcBorders>
            <w:shd w:val="clear" w:color="auto" w:fill="auto"/>
            <w:hideMark/>
          </w:tcPr>
          <w:p w14:paraId="28978CF6"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-0,7</w:t>
            </w:r>
          </w:p>
        </w:tc>
        <w:tc>
          <w:tcPr>
            <w:tcW w:w="1480" w:type="dxa"/>
            <w:tcBorders>
              <w:top w:val="nil"/>
              <w:left w:val="nil"/>
              <w:bottom w:val="dotted" w:sz="4" w:space="0" w:color="000000"/>
              <w:right w:val="dotted" w:sz="4" w:space="0" w:color="000000"/>
            </w:tcBorders>
            <w:shd w:val="clear" w:color="auto" w:fill="auto"/>
            <w:hideMark/>
          </w:tcPr>
          <w:p w14:paraId="59076F8A"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-0,4</w:t>
            </w:r>
          </w:p>
        </w:tc>
        <w:tc>
          <w:tcPr>
            <w:tcW w:w="1480" w:type="dxa"/>
            <w:tcBorders>
              <w:top w:val="nil"/>
              <w:left w:val="nil"/>
              <w:bottom w:val="dotted" w:sz="4" w:space="0" w:color="000000"/>
              <w:right w:val="dotted" w:sz="4" w:space="0" w:color="000000"/>
            </w:tcBorders>
            <w:shd w:val="clear" w:color="auto" w:fill="auto"/>
            <w:hideMark/>
          </w:tcPr>
          <w:p w14:paraId="0D4EE77D"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-0,7</w:t>
            </w:r>
          </w:p>
        </w:tc>
        <w:tc>
          <w:tcPr>
            <w:tcW w:w="1480" w:type="dxa"/>
            <w:tcBorders>
              <w:top w:val="nil"/>
              <w:left w:val="nil"/>
              <w:bottom w:val="dotted" w:sz="4" w:space="0" w:color="000000"/>
              <w:right w:val="dotted" w:sz="4" w:space="0" w:color="000000"/>
            </w:tcBorders>
            <w:shd w:val="clear" w:color="auto" w:fill="auto"/>
            <w:hideMark/>
          </w:tcPr>
          <w:p w14:paraId="27135E8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-1,3</w:t>
            </w:r>
          </w:p>
        </w:tc>
        <w:tc>
          <w:tcPr>
            <w:tcW w:w="1480" w:type="dxa"/>
            <w:tcBorders>
              <w:top w:val="nil"/>
              <w:left w:val="nil"/>
              <w:bottom w:val="dotted" w:sz="4" w:space="0" w:color="000000"/>
              <w:right w:val="double" w:sz="6" w:space="0" w:color="000000"/>
            </w:tcBorders>
            <w:shd w:val="clear" w:color="auto" w:fill="auto"/>
            <w:hideMark/>
          </w:tcPr>
          <w:p w14:paraId="2D1E631F"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-1,5</w:t>
            </w:r>
          </w:p>
        </w:tc>
      </w:tr>
      <w:tr w:rsidR="00EE57B3" w:rsidRPr="00EE57B3" w14:paraId="36BF6CAD" w14:textId="77777777" w:rsidTr="00EE57B3">
        <w:trPr>
          <w:trHeight w:val="258"/>
        </w:trPr>
        <w:tc>
          <w:tcPr>
            <w:tcW w:w="5922" w:type="dxa"/>
            <w:tcBorders>
              <w:top w:val="nil"/>
              <w:left w:val="double" w:sz="6" w:space="0" w:color="000000"/>
              <w:bottom w:val="single" w:sz="4" w:space="0" w:color="auto"/>
              <w:right w:val="nil"/>
            </w:tcBorders>
            <w:shd w:val="clear" w:color="000000" w:fill="FFFFFF"/>
            <w:vAlign w:val="bottom"/>
            <w:hideMark/>
          </w:tcPr>
          <w:p w14:paraId="3E5BC19B" w14:textId="77777777" w:rsidR="00EE57B3" w:rsidRPr="00EE57B3" w:rsidRDefault="00EE57B3" w:rsidP="00EE57B3">
            <w:pPr>
              <w:spacing w:after="0"/>
              <w:ind w:firstLineChars="100" w:firstLine="200"/>
              <w:jc w:val="left"/>
              <w:rPr>
                <w:rFonts w:eastAsia="Times New Roman" w:cs="Times New Roman"/>
                <w:sz w:val="20"/>
                <w:szCs w:val="20"/>
              </w:rPr>
            </w:pPr>
            <w:r w:rsidRPr="00EE57B3">
              <w:rPr>
                <w:rFonts w:eastAsia="Times New Roman" w:cs="Times New Roman"/>
                <w:sz w:val="20"/>
                <w:szCs w:val="20"/>
              </w:rPr>
              <w:t>5. Potential GDP growth (%, yoy)</w:t>
            </w:r>
          </w:p>
        </w:tc>
        <w:tc>
          <w:tcPr>
            <w:tcW w:w="1480" w:type="dxa"/>
            <w:tcBorders>
              <w:top w:val="nil"/>
              <w:left w:val="single" w:sz="4" w:space="0" w:color="000000"/>
              <w:bottom w:val="single" w:sz="4" w:space="0" w:color="auto"/>
              <w:right w:val="single" w:sz="4" w:space="0" w:color="000000"/>
            </w:tcBorders>
            <w:shd w:val="clear" w:color="000000" w:fill="FFFFFF"/>
            <w:vAlign w:val="bottom"/>
            <w:hideMark/>
          </w:tcPr>
          <w:p w14:paraId="611F2EE7"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829" w:type="dxa"/>
            <w:tcBorders>
              <w:top w:val="nil"/>
              <w:left w:val="nil"/>
              <w:bottom w:val="single" w:sz="4" w:space="0" w:color="auto"/>
              <w:right w:val="dotted" w:sz="4" w:space="0" w:color="000000"/>
            </w:tcBorders>
            <w:shd w:val="clear" w:color="auto" w:fill="auto"/>
            <w:vAlign w:val="bottom"/>
            <w:hideMark/>
          </w:tcPr>
          <w:p w14:paraId="04572B5D"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4,0</w:t>
            </w:r>
          </w:p>
        </w:tc>
        <w:tc>
          <w:tcPr>
            <w:tcW w:w="1480" w:type="dxa"/>
            <w:tcBorders>
              <w:top w:val="nil"/>
              <w:left w:val="nil"/>
              <w:bottom w:val="single" w:sz="4" w:space="0" w:color="auto"/>
              <w:right w:val="dotted" w:sz="4" w:space="0" w:color="000000"/>
            </w:tcBorders>
            <w:shd w:val="clear" w:color="auto" w:fill="auto"/>
            <w:vAlign w:val="bottom"/>
            <w:hideMark/>
          </w:tcPr>
          <w:p w14:paraId="1F27414A"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4,0</w:t>
            </w:r>
          </w:p>
        </w:tc>
        <w:tc>
          <w:tcPr>
            <w:tcW w:w="1480" w:type="dxa"/>
            <w:tcBorders>
              <w:top w:val="nil"/>
              <w:left w:val="nil"/>
              <w:bottom w:val="single" w:sz="4" w:space="0" w:color="auto"/>
              <w:right w:val="dotted" w:sz="4" w:space="0" w:color="000000"/>
            </w:tcBorders>
            <w:shd w:val="clear" w:color="auto" w:fill="auto"/>
            <w:vAlign w:val="bottom"/>
            <w:hideMark/>
          </w:tcPr>
          <w:p w14:paraId="400077B1"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4,1</w:t>
            </w:r>
          </w:p>
        </w:tc>
        <w:tc>
          <w:tcPr>
            <w:tcW w:w="1480" w:type="dxa"/>
            <w:tcBorders>
              <w:top w:val="nil"/>
              <w:left w:val="nil"/>
              <w:bottom w:val="single" w:sz="4" w:space="0" w:color="auto"/>
              <w:right w:val="dotted" w:sz="4" w:space="0" w:color="000000"/>
            </w:tcBorders>
            <w:shd w:val="clear" w:color="auto" w:fill="auto"/>
            <w:vAlign w:val="bottom"/>
            <w:hideMark/>
          </w:tcPr>
          <w:p w14:paraId="6CFCA9E6"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4,1</w:t>
            </w:r>
          </w:p>
        </w:tc>
        <w:tc>
          <w:tcPr>
            <w:tcW w:w="1480" w:type="dxa"/>
            <w:tcBorders>
              <w:top w:val="nil"/>
              <w:left w:val="nil"/>
              <w:bottom w:val="single" w:sz="4" w:space="0" w:color="auto"/>
              <w:right w:val="double" w:sz="6" w:space="0" w:color="000000"/>
            </w:tcBorders>
            <w:shd w:val="clear" w:color="auto" w:fill="auto"/>
            <w:vAlign w:val="bottom"/>
            <w:hideMark/>
          </w:tcPr>
          <w:p w14:paraId="340ECC46"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4,1</w:t>
            </w:r>
          </w:p>
        </w:tc>
      </w:tr>
      <w:tr w:rsidR="00EE57B3" w:rsidRPr="00EE57B3" w14:paraId="73C27C9B" w14:textId="77777777" w:rsidTr="00EE57B3">
        <w:trPr>
          <w:trHeight w:val="255"/>
        </w:trPr>
        <w:tc>
          <w:tcPr>
            <w:tcW w:w="5922" w:type="dxa"/>
            <w:tcBorders>
              <w:top w:val="nil"/>
              <w:left w:val="double" w:sz="6" w:space="0" w:color="000000"/>
              <w:bottom w:val="dotted" w:sz="4" w:space="0" w:color="000000"/>
              <w:right w:val="nil"/>
            </w:tcBorders>
            <w:shd w:val="clear" w:color="000000" w:fill="FFFFFF"/>
            <w:vAlign w:val="bottom"/>
            <w:hideMark/>
          </w:tcPr>
          <w:p w14:paraId="68B8FB1E" w14:textId="77777777" w:rsidR="00EE57B3" w:rsidRPr="00EE57B3" w:rsidRDefault="00EE57B3" w:rsidP="00EE57B3">
            <w:pPr>
              <w:spacing w:after="0"/>
              <w:ind w:firstLineChars="200" w:firstLine="400"/>
              <w:jc w:val="left"/>
              <w:rPr>
                <w:rFonts w:eastAsia="Times New Roman" w:cs="Times New Roman"/>
                <w:sz w:val="20"/>
                <w:szCs w:val="20"/>
              </w:rPr>
            </w:pPr>
            <w:r w:rsidRPr="00EE57B3">
              <w:rPr>
                <w:rFonts w:eastAsia="Times New Roman" w:cs="Times New Roman"/>
                <w:sz w:val="20"/>
                <w:szCs w:val="20"/>
              </w:rPr>
              <w:t>Contributions:</w:t>
            </w:r>
          </w:p>
        </w:tc>
        <w:tc>
          <w:tcPr>
            <w:tcW w:w="1480" w:type="dxa"/>
            <w:tcBorders>
              <w:top w:val="nil"/>
              <w:left w:val="single" w:sz="4" w:space="0" w:color="000000"/>
              <w:bottom w:val="dotted" w:sz="4" w:space="0" w:color="000000"/>
              <w:right w:val="single" w:sz="4" w:space="0" w:color="000000"/>
            </w:tcBorders>
            <w:shd w:val="clear" w:color="000000" w:fill="FFFFFF"/>
            <w:vAlign w:val="bottom"/>
            <w:hideMark/>
          </w:tcPr>
          <w:p w14:paraId="1B8698AC"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829" w:type="dxa"/>
            <w:tcBorders>
              <w:top w:val="nil"/>
              <w:left w:val="nil"/>
              <w:bottom w:val="dotted" w:sz="4" w:space="0" w:color="000000"/>
              <w:right w:val="dotted" w:sz="4" w:space="0" w:color="000000"/>
            </w:tcBorders>
            <w:shd w:val="clear" w:color="auto" w:fill="auto"/>
            <w:vAlign w:val="bottom"/>
            <w:hideMark/>
          </w:tcPr>
          <w:p w14:paraId="159BD21B"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480" w:type="dxa"/>
            <w:tcBorders>
              <w:top w:val="nil"/>
              <w:left w:val="nil"/>
              <w:bottom w:val="dotted" w:sz="4" w:space="0" w:color="000000"/>
              <w:right w:val="dotted" w:sz="4" w:space="0" w:color="000000"/>
            </w:tcBorders>
            <w:shd w:val="clear" w:color="auto" w:fill="auto"/>
            <w:vAlign w:val="bottom"/>
            <w:hideMark/>
          </w:tcPr>
          <w:p w14:paraId="15D82490"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480" w:type="dxa"/>
            <w:tcBorders>
              <w:top w:val="nil"/>
              <w:left w:val="nil"/>
              <w:bottom w:val="dotted" w:sz="4" w:space="0" w:color="000000"/>
              <w:right w:val="dotted" w:sz="4" w:space="0" w:color="000000"/>
            </w:tcBorders>
            <w:shd w:val="clear" w:color="auto" w:fill="auto"/>
            <w:vAlign w:val="bottom"/>
            <w:hideMark/>
          </w:tcPr>
          <w:p w14:paraId="1FFF581E"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480" w:type="dxa"/>
            <w:tcBorders>
              <w:top w:val="nil"/>
              <w:left w:val="nil"/>
              <w:bottom w:val="dotted" w:sz="4" w:space="0" w:color="000000"/>
              <w:right w:val="dotted" w:sz="4" w:space="0" w:color="000000"/>
            </w:tcBorders>
            <w:shd w:val="clear" w:color="auto" w:fill="auto"/>
            <w:vAlign w:val="bottom"/>
            <w:hideMark/>
          </w:tcPr>
          <w:p w14:paraId="21E44C65"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480" w:type="dxa"/>
            <w:tcBorders>
              <w:top w:val="nil"/>
              <w:left w:val="nil"/>
              <w:bottom w:val="dotted" w:sz="4" w:space="0" w:color="000000"/>
              <w:right w:val="double" w:sz="6" w:space="0" w:color="000000"/>
            </w:tcBorders>
            <w:shd w:val="clear" w:color="auto" w:fill="auto"/>
            <w:vAlign w:val="bottom"/>
            <w:hideMark/>
          </w:tcPr>
          <w:p w14:paraId="4E537BD5"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r>
      <w:tr w:rsidR="00EE57B3" w:rsidRPr="00EE57B3" w14:paraId="1BAB2550" w14:textId="77777777" w:rsidTr="00EE57B3">
        <w:trPr>
          <w:trHeight w:val="300"/>
        </w:trPr>
        <w:tc>
          <w:tcPr>
            <w:tcW w:w="5922" w:type="dxa"/>
            <w:tcBorders>
              <w:top w:val="nil"/>
              <w:left w:val="double" w:sz="6" w:space="0" w:color="000000"/>
              <w:bottom w:val="dotted" w:sz="4" w:space="0" w:color="000000"/>
              <w:right w:val="nil"/>
            </w:tcBorders>
            <w:shd w:val="clear" w:color="000000" w:fill="FFFFFF"/>
            <w:vAlign w:val="bottom"/>
            <w:hideMark/>
          </w:tcPr>
          <w:p w14:paraId="07334B89" w14:textId="77777777" w:rsidR="00EE57B3" w:rsidRPr="00EE57B3" w:rsidRDefault="00EE57B3" w:rsidP="00EE57B3">
            <w:pPr>
              <w:spacing w:after="0"/>
              <w:ind w:firstLineChars="300" w:firstLine="600"/>
              <w:jc w:val="left"/>
              <w:rPr>
                <w:rFonts w:eastAsia="Times New Roman" w:cs="Times New Roman"/>
                <w:sz w:val="20"/>
                <w:szCs w:val="20"/>
              </w:rPr>
            </w:pPr>
            <w:r w:rsidRPr="00EE57B3">
              <w:rPr>
                <w:rFonts w:eastAsia="Times New Roman" w:cs="Times New Roman"/>
                <w:sz w:val="20"/>
                <w:szCs w:val="20"/>
              </w:rPr>
              <w:t>- labour</w:t>
            </w:r>
          </w:p>
        </w:tc>
        <w:tc>
          <w:tcPr>
            <w:tcW w:w="1480" w:type="dxa"/>
            <w:tcBorders>
              <w:top w:val="nil"/>
              <w:left w:val="single" w:sz="4" w:space="0" w:color="000000"/>
              <w:bottom w:val="dotted" w:sz="4" w:space="0" w:color="000000"/>
              <w:right w:val="single" w:sz="4" w:space="0" w:color="000000"/>
            </w:tcBorders>
            <w:shd w:val="clear" w:color="000000" w:fill="FFFFFF"/>
            <w:vAlign w:val="bottom"/>
            <w:hideMark/>
          </w:tcPr>
          <w:p w14:paraId="55E578BF"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829" w:type="dxa"/>
            <w:tcBorders>
              <w:top w:val="nil"/>
              <w:left w:val="nil"/>
              <w:bottom w:val="dotted" w:sz="4" w:space="0" w:color="000000"/>
              <w:right w:val="dotted" w:sz="4" w:space="0" w:color="000000"/>
            </w:tcBorders>
            <w:shd w:val="clear" w:color="auto" w:fill="auto"/>
            <w:hideMark/>
          </w:tcPr>
          <w:p w14:paraId="5F561725"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0,8</w:t>
            </w:r>
          </w:p>
        </w:tc>
        <w:tc>
          <w:tcPr>
            <w:tcW w:w="1480" w:type="dxa"/>
            <w:tcBorders>
              <w:top w:val="nil"/>
              <w:left w:val="nil"/>
              <w:bottom w:val="dotted" w:sz="4" w:space="0" w:color="000000"/>
              <w:right w:val="dotted" w:sz="4" w:space="0" w:color="000000"/>
            </w:tcBorders>
            <w:shd w:val="clear" w:color="auto" w:fill="auto"/>
            <w:hideMark/>
          </w:tcPr>
          <w:p w14:paraId="04C2C588"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0,8</w:t>
            </w:r>
          </w:p>
        </w:tc>
        <w:tc>
          <w:tcPr>
            <w:tcW w:w="1480" w:type="dxa"/>
            <w:tcBorders>
              <w:top w:val="nil"/>
              <w:left w:val="nil"/>
              <w:bottom w:val="dotted" w:sz="4" w:space="0" w:color="000000"/>
              <w:right w:val="dotted" w:sz="4" w:space="0" w:color="000000"/>
            </w:tcBorders>
            <w:shd w:val="clear" w:color="auto" w:fill="auto"/>
            <w:hideMark/>
          </w:tcPr>
          <w:p w14:paraId="3F2092C7"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0,6</w:t>
            </w:r>
          </w:p>
        </w:tc>
        <w:tc>
          <w:tcPr>
            <w:tcW w:w="1480" w:type="dxa"/>
            <w:tcBorders>
              <w:top w:val="nil"/>
              <w:left w:val="nil"/>
              <w:bottom w:val="dotted" w:sz="4" w:space="0" w:color="000000"/>
              <w:right w:val="dotted" w:sz="4" w:space="0" w:color="000000"/>
            </w:tcBorders>
            <w:shd w:val="clear" w:color="auto" w:fill="auto"/>
            <w:hideMark/>
          </w:tcPr>
          <w:p w14:paraId="5FABA1C0"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0,5</w:t>
            </w:r>
          </w:p>
        </w:tc>
        <w:tc>
          <w:tcPr>
            <w:tcW w:w="1480" w:type="dxa"/>
            <w:tcBorders>
              <w:top w:val="nil"/>
              <w:left w:val="nil"/>
              <w:bottom w:val="dotted" w:sz="4" w:space="0" w:color="000000"/>
              <w:right w:val="double" w:sz="6" w:space="0" w:color="000000"/>
            </w:tcBorders>
            <w:shd w:val="clear" w:color="auto" w:fill="auto"/>
            <w:hideMark/>
          </w:tcPr>
          <w:p w14:paraId="56692B33"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0,4</w:t>
            </w:r>
          </w:p>
        </w:tc>
      </w:tr>
      <w:tr w:rsidR="00EE57B3" w:rsidRPr="00EE57B3" w14:paraId="639792FB" w14:textId="77777777" w:rsidTr="00EE57B3">
        <w:trPr>
          <w:trHeight w:val="300"/>
        </w:trPr>
        <w:tc>
          <w:tcPr>
            <w:tcW w:w="5922" w:type="dxa"/>
            <w:tcBorders>
              <w:top w:val="nil"/>
              <w:left w:val="double" w:sz="6" w:space="0" w:color="000000"/>
              <w:bottom w:val="dotted" w:sz="4" w:space="0" w:color="000000"/>
              <w:right w:val="nil"/>
            </w:tcBorders>
            <w:shd w:val="clear" w:color="000000" w:fill="FFFFFF"/>
            <w:vAlign w:val="bottom"/>
            <w:hideMark/>
          </w:tcPr>
          <w:p w14:paraId="0FC3231D" w14:textId="77777777" w:rsidR="00EE57B3" w:rsidRPr="00EE57B3" w:rsidRDefault="00EE57B3" w:rsidP="00EE57B3">
            <w:pPr>
              <w:spacing w:after="0"/>
              <w:ind w:firstLineChars="300" w:firstLine="600"/>
              <w:jc w:val="left"/>
              <w:rPr>
                <w:rFonts w:eastAsia="Times New Roman" w:cs="Times New Roman"/>
                <w:sz w:val="20"/>
                <w:szCs w:val="20"/>
              </w:rPr>
            </w:pPr>
            <w:r w:rsidRPr="00EE57B3">
              <w:rPr>
                <w:rFonts w:eastAsia="Times New Roman" w:cs="Times New Roman"/>
                <w:sz w:val="20"/>
                <w:szCs w:val="20"/>
              </w:rPr>
              <w:t>- capital</w:t>
            </w:r>
          </w:p>
        </w:tc>
        <w:tc>
          <w:tcPr>
            <w:tcW w:w="1480" w:type="dxa"/>
            <w:tcBorders>
              <w:top w:val="nil"/>
              <w:left w:val="single" w:sz="4" w:space="0" w:color="000000"/>
              <w:bottom w:val="dotted" w:sz="4" w:space="0" w:color="000000"/>
              <w:right w:val="single" w:sz="4" w:space="0" w:color="000000"/>
            </w:tcBorders>
            <w:shd w:val="clear" w:color="000000" w:fill="FFFFFF"/>
            <w:vAlign w:val="bottom"/>
            <w:hideMark/>
          </w:tcPr>
          <w:p w14:paraId="4C26DA17"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829" w:type="dxa"/>
            <w:tcBorders>
              <w:top w:val="nil"/>
              <w:left w:val="nil"/>
              <w:bottom w:val="dotted" w:sz="4" w:space="0" w:color="000000"/>
              <w:right w:val="dotted" w:sz="4" w:space="0" w:color="000000"/>
            </w:tcBorders>
            <w:shd w:val="clear" w:color="auto" w:fill="auto"/>
            <w:hideMark/>
          </w:tcPr>
          <w:p w14:paraId="098973EF"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1,7</w:t>
            </w:r>
          </w:p>
        </w:tc>
        <w:tc>
          <w:tcPr>
            <w:tcW w:w="1480" w:type="dxa"/>
            <w:tcBorders>
              <w:top w:val="nil"/>
              <w:left w:val="nil"/>
              <w:bottom w:val="dotted" w:sz="4" w:space="0" w:color="000000"/>
              <w:right w:val="dotted" w:sz="4" w:space="0" w:color="000000"/>
            </w:tcBorders>
            <w:shd w:val="clear" w:color="auto" w:fill="auto"/>
            <w:hideMark/>
          </w:tcPr>
          <w:p w14:paraId="7931478D"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1,8</w:t>
            </w:r>
          </w:p>
        </w:tc>
        <w:tc>
          <w:tcPr>
            <w:tcW w:w="1480" w:type="dxa"/>
            <w:tcBorders>
              <w:top w:val="nil"/>
              <w:left w:val="nil"/>
              <w:bottom w:val="dotted" w:sz="4" w:space="0" w:color="000000"/>
              <w:right w:val="dotted" w:sz="4" w:space="0" w:color="000000"/>
            </w:tcBorders>
            <w:shd w:val="clear" w:color="auto" w:fill="auto"/>
            <w:hideMark/>
          </w:tcPr>
          <w:p w14:paraId="7292E11C"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1,9</w:t>
            </w:r>
          </w:p>
        </w:tc>
        <w:tc>
          <w:tcPr>
            <w:tcW w:w="1480" w:type="dxa"/>
            <w:tcBorders>
              <w:top w:val="nil"/>
              <w:left w:val="nil"/>
              <w:bottom w:val="dotted" w:sz="4" w:space="0" w:color="000000"/>
              <w:right w:val="dotted" w:sz="4" w:space="0" w:color="000000"/>
            </w:tcBorders>
            <w:shd w:val="clear" w:color="auto" w:fill="auto"/>
            <w:hideMark/>
          </w:tcPr>
          <w:p w14:paraId="07D2D6CD"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2,0</w:t>
            </w:r>
          </w:p>
        </w:tc>
        <w:tc>
          <w:tcPr>
            <w:tcW w:w="1480" w:type="dxa"/>
            <w:tcBorders>
              <w:top w:val="nil"/>
              <w:left w:val="nil"/>
              <w:bottom w:val="dotted" w:sz="4" w:space="0" w:color="000000"/>
              <w:right w:val="double" w:sz="6" w:space="0" w:color="000000"/>
            </w:tcBorders>
            <w:shd w:val="clear" w:color="auto" w:fill="auto"/>
            <w:hideMark/>
          </w:tcPr>
          <w:p w14:paraId="3E87320B"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2,1</w:t>
            </w:r>
          </w:p>
        </w:tc>
      </w:tr>
      <w:tr w:rsidR="00EE57B3" w:rsidRPr="00EE57B3" w14:paraId="6AF869CA" w14:textId="77777777" w:rsidTr="00EE57B3">
        <w:trPr>
          <w:trHeight w:val="258"/>
        </w:trPr>
        <w:tc>
          <w:tcPr>
            <w:tcW w:w="5922" w:type="dxa"/>
            <w:tcBorders>
              <w:top w:val="nil"/>
              <w:left w:val="double" w:sz="6" w:space="0" w:color="000000"/>
              <w:bottom w:val="single" w:sz="4" w:space="0" w:color="auto"/>
              <w:right w:val="nil"/>
            </w:tcBorders>
            <w:shd w:val="clear" w:color="000000" w:fill="FFFFFF"/>
            <w:vAlign w:val="bottom"/>
            <w:hideMark/>
          </w:tcPr>
          <w:p w14:paraId="48EE8FDC" w14:textId="77777777" w:rsidR="00EE57B3" w:rsidRPr="00EE57B3" w:rsidRDefault="00EE57B3" w:rsidP="00EE57B3">
            <w:pPr>
              <w:spacing w:after="0"/>
              <w:ind w:firstLineChars="300" w:firstLine="600"/>
              <w:jc w:val="left"/>
              <w:rPr>
                <w:rFonts w:eastAsia="Times New Roman" w:cs="Times New Roman"/>
                <w:sz w:val="20"/>
                <w:szCs w:val="20"/>
              </w:rPr>
            </w:pPr>
            <w:r w:rsidRPr="00EE57B3">
              <w:rPr>
                <w:rFonts w:eastAsia="Times New Roman" w:cs="Times New Roman"/>
                <w:sz w:val="20"/>
                <w:szCs w:val="20"/>
              </w:rPr>
              <w:t>- total factor productivity</w:t>
            </w:r>
          </w:p>
        </w:tc>
        <w:tc>
          <w:tcPr>
            <w:tcW w:w="1480" w:type="dxa"/>
            <w:tcBorders>
              <w:top w:val="nil"/>
              <w:left w:val="single" w:sz="4" w:space="0" w:color="000000"/>
              <w:bottom w:val="single" w:sz="4" w:space="0" w:color="auto"/>
              <w:right w:val="single" w:sz="4" w:space="0" w:color="000000"/>
            </w:tcBorders>
            <w:shd w:val="clear" w:color="000000" w:fill="FFFFFF"/>
            <w:vAlign w:val="bottom"/>
            <w:hideMark/>
          </w:tcPr>
          <w:p w14:paraId="0311BB40"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829" w:type="dxa"/>
            <w:tcBorders>
              <w:top w:val="nil"/>
              <w:left w:val="nil"/>
              <w:bottom w:val="single" w:sz="4" w:space="0" w:color="auto"/>
              <w:right w:val="dotted" w:sz="4" w:space="0" w:color="000000"/>
            </w:tcBorders>
            <w:shd w:val="clear" w:color="auto" w:fill="auto"/>
            <w:hideMark/>
          </w:tcPr>
          <w:p w14:paraId="5A492EEF"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1,5</w:t>
            </w:r>
          </w:p>
        </w:tc>
        <w:tc>
          <w:tcPr>
            <w:tcW w:w="1480" w:type="dxa"/>
            <w:tcBorders>
              <w:top w:val="nil"/>
              <w:left w:val="nil"/>
              <w:bottom w:val="single" w:sz="4" w:space="0" w:color="auto"/>
              <w:right w:val="dotted" w:sz="4" w:space="0" w:color="000000"/>
            </w:tcBorders>
            <w:shd w:val="clear" w:color="auto" w:fill="auto"/>
            <w:hideMark/>
          </w:tcPr>
          <w:p w14:paraId="449A78DE"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1,4</w:t>
            </w:r>
          </w:p>
        </w:tc>
        <w:tc>
          <w:tcPr>
            <w:tcW w:w="1480" w:type="dxa"/>
            <w:tcBorders>
              <w:top w:val="nil"/>
              <w:left w:val="nil"/>
              <w:bottom w:val="single" w:sz="4" w:space="0" w:color="auto"/>
              <w:right w:val="dotted" w:sz="4" w:space="0" w:color="000000"/>
            </w:tcBorders>
            <w:shd w:val="clear" w:color="auto" w:fill="auto"/>
            <w:hideMark/>
          </w:tcPr>
          <w:p w14:paraId="751BB8A8"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1,5</w:t>
            </w:r>
          </w:p>
        </w:tc>
        <w:tc>
          <w:tcPr>
            <w:tcW w:w="1480" w:type="dxa"/>
            <w:tcBorders>
              <w:top w:val="nil"/>
              <w:left w:val="nil"/>
              <w:bottom w:val="single" w:sz="4" w:space="0" w:color="auto"/>
              <w:right w:val="dotted" w:sz="4" w:space="0" w:color="000000"/>
            </w:tcBorders>
            <w:shd w:val="clear" w:color="auto" w:fill="auto"/>
            <w:hideMark/>
          </w:tcPr>
          <w:p w14:paraId="43880755"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1,5</w:t>
            </w:r>
          </w:p>
        </w:tc>
        <w:tc>
          <w:tcPr>
            <w:tcW w:w="1480" w:type="dxa"/>
            <w:tcBorders>
              <w:top w:val="nil"/>
              <w:left w:val="nil"/>
              <w:bottom w:val="single" w:sz="4" w:space="0" w:color="auto"/>
              <w:right w:val="double" w:sz="6" w:space="0" w:color="000000"/>
            </w:tcBorders>
            <w:shd w:val="clear" w:color="auto" w:fill="auto"/>
            <w:hideMark/>
          </w:tcPr>
          <w:p w14:paraId="548E1CEC"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1,6</w:t>
            </w:r>
          </w:p>
        </w:tc>
      </w:tr>
      <w:tr w:rsidR="00EE57B3" w:rsidRPr="00EE57B3" w14:paraId="414B1392" w14:textId="77777777" w:rsidTr="00EE57B3">
        <w:trPr>
          <w:trHeight w:val="255"/>
        </w:trPr>
        <w:tc>
          <w:tcPr>
            <w:tcW w:w="5922" w:type="dxa"/>
            <w:tcBorders>
              <w:top w:val="nil"/>
              <w:left w:val="double" w:sz="6" w:space="0" w:color="000000"/>
              <w:bottom w:val="dotted" w:sz="4" w:space="0" w:color="000000"/>
              <w:right w:val="nil"/>
            </w:tcBorders>
            <w:shd w:val="clear" w:color="000000" w:fill="FFFFFF"/>
            <w:vAlign w:val="bottom"/>
            <w:hideMark/>
          </w:tcPr>
          <w:p w14:paraId="56FF6557"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xml:space="preserve">   6. Output gap</w:t>
            </w:r>
          </w:p>
        </w:tc>
        <w:tc>
          <w:tcPr>
            <w:tcW w:w="1480" w:type="dxa"/>
            <w:tcBorders>
              <w:top w:val="nil"/>
              <w:left w:val="single" w:sz="4" w:space="0" w:color="000000"/>
              <w:bottom w:val="dotted" w:sz="4" w:space="0" w:color="000000"/>
              <w:right w:val="single" w:sz="4" w:space="0" w:color="000000"/>
            </w:tcBorders>
            <w:shd w:val="clear" w:color="000000" w:fill="FFFFFF"/>
            <w:vAlign w:val="bottom"/>
            <w:hideMark/>
          </w:tcPr>
          <w:p w14:paraId="1EDF974B"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829" w:type="dxa"/>
            <w:tcBorders>
              <w:top w:val="nil"/>
              <w:left w:val="nil"/>
              <w:bottom w:val="dotted" w:sz="4" w:space="0" w:color="000000"/>
              <w:right w:val="dotted" w:sz="4" w:space="0" w:color="000000"/>
            </w:tcBorders>
            <w:shd w:val="clear" w:color="auto" w:fill="auto"/>
            <w:vAlign w:val="bottom"/>
            <w:hideMark/>
          </w:tcPr>
          <w:p w14:paraId="02BBE62D"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0,1</w:t>
            </w:r>
          </w:p>
        </w:tc>
        <w:tc>
          <w:tcPr>
            <w:tcW w:w="1480" w:type="dxa"/>
            <w:tcBorders>
              <w:top w:val="nil"/>
              <w:left w:val="nil"/>
              <w:bottom w:val="dotted" w:sz="4" w:space="0" w:color="000000"/>
              <w:right w:val="dotted" w:sz="4" w:space="0" w:color="000000"/>
            </w:tcBorders>
            <w:shd w:val="clear" w:color="auto" w:fill="auto"/>
            <w:vAlign w:val="bottom"/>
            <w:hideMark/>
          </w:tcPr>
          <w:p w14:paraId="7D79FC3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-0,2</w:t>
            </w:r>
          </w:p>
        </w:tc>
        <w:tc>
          <w:tcPr>
            <w:tcW w:w="1480" w:type="dxa"/>
            <w:tcBorders>
              <w:top w:val="nil"/>
              <w:left w:val="nil"/>
              <w:bottom w:val="dotted" w:sz="4" w:space="0" w:color="000000"/>
              <w:right w:val="dotted" w:sz="4" w:space="0" w:color="000000"/>
            </w:tcBorders>
            <w:shd w:val="clear" w:color="auto" w:fill="auto"/>
            <w:vAlign w:val="bottom"/>
            <w:hideMark/>
          </w:tcPr>
          <w:p w14:paraId="4BCE198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0,0</w:t>
            </w:r>
          </w:p>
        </w:tc>
        <w:tc>
          <w:tcPr>
            <w:tcW w:w="1480" w:type="dxa"/>
            <w:tcBorders>
              <w:top w:val="nil"/>
              <w:left w:val="nil"/>
              <w:bottom w:val="dotted" w:sz="4" w:space="0" w:color="000000"/>
              <w:right w:val="dotted" w:sz="4" w:space="0" w:color="000000"/>
            </w:tcBorders>
            <w:shd w:val="clear" w:color="auto" w:fill="auto"/>
            <w:vAlign w:val="bottom"/>
            <w:hideMark/>
          </w:tcPr>
          <w:p w14:paraId="3CB66CDE"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0,0</w:t>
            </w:r>
          </w:p>
        </w:tc>
        <w:tc>
          <w:tcPr>
            <w:tcW w:w="1480" w:type="dxa"/>
            <w:tcBorders>
              <w:top w:val="nil"/>
              <w:left w:val="nil"/>
              <w:bottom w:val="dotted" w:sz="4" w:space="0" w:color="000000"/>
              <w:right w:val="double" w:sz="6" w:space="0" w:color="000000"/>
            </w:tcBorders>
            <w:shd w:val="clear" w:color="auto" w:fill="auto"/>
            <w:vAlign w:val="bottom"/>
            <w:hideMark/>
          </w:tcPr>
          <w:p w14:paraId="3D7B6128"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0,7</w:t>
            </w:r>
          </w:p>
        </w:tc>
      </w:tr>
      <w:tr w:rsidR="00EE57B3" w:rsidRPr="00EE57B3" w14:paraId="4DA3EC4C" w14:textId="77777777" w:rsidTr="00EE57B3">
        <w:trPr>
          <w:trHeight w:val="300"/>
        </w:trPr>
        <w:tc>
          <w:tcPr>
            <w:tcW w:w="5922" w:type="dxa"/>
            <w:tcBorders>
              <w:top w:val="nil"/>
              <w:left w:val="double" w:sz="6" w:space="0" w:color="000000"/>
              <w:bottom w:val="single" w:sz="4" w:space="0" w:color="auto"/>
              <w:right w:val="nil"/>
            </w:tcBorders>
            <w:shd w:val="clear" w:color="000000" w:fill="FFFFFF"/>
            <w:vAlign w:val="bottom"/>
            <w:hideMark/>
          </w:tcPr>
          <w:p w14:paraId="783AB249"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xml:space="preserve">   7. Cyclical budgetary component</w:t>
            </w:r>
          </w:p>
        </w:tc>
        <w:tc>
          <w:tcPr>
            <w:tcW w:w="1480" w:type="dxa"/>
            <w:tcBorders>
              <w:top w:val="nil"/>
              <w:left w:val="single" w:sz="4" w:space="0" w:color="000000"/>
              <w:bottom w:val="single" w:sz="4" w:space="0" w:color="auto"/>
              <w:right w:val="single" w:sz="4" w:space="0" w:color="000000"/>
            </w:tcBorders>
            <w:shd w:val="clear" w:color="000000" w:fill="FFFFFF"/>
            <w:vAlign w:val="bottom"/>
            <w:hideMark/>
          </w:tcPr>
          <w:p w14:paraId="7ED68A16"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829" w:type="dxa"/>
            <w:tcBorders>
              <w:top w:val="nil"/>
              <w:left w:val="nil"/>
              <w:bottom w:val="single" w:sz="4" w:space="0" w:color="auto"/>
              <w:right w:val="dotted" w:sz="4" w:space="0" w:color="000000"/>
            </w:tcBorders>
            <w:shd w:val="clear" w:color="auto" w:fill="auto"/>
            <w:vAlign w:val="bottom"/>
            <w:hideMark/>
          </w:tcPr>
          <w:p w14:paraId="077C59AB"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0,0</w:t>
            </w:r>
          </w:p>
        </w:tc>
        <w:tc>
          <w:tcPr>
            <w:tcW w:w="1480" w:type="dxa"/>
            <w:tcBorders>
              <w:top w:val="nil"/>
              <w:left w:val="nil"/>
              <w:bottom w:val="single" w:sz="4" w:space="0" w:color="auto"/>
              <w:right w:val="dotted" w:sz="4" w:space="0" w:color="000000"/>
            </w:tcBorders>
            <w:shd w:val="clear" w:color="auto" w:fill="auto"/>
            <w:vAlign w:val="bottom"/>
            <w:hideMark/>
          </w:tcPr>
          <w:p w14:paraId="4888A95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-0,1</w:t>
            </w:r>
          </w:p>
        </w:tc>
        <w:tc>
          <w:tcPr>
            <w:tcW w:w="1480" w:type="dxa"/>
            <w:tcBorders>
              <w:top w:val="nil"/>
              <w:left w:val="nil"/>
              <w:bottom w:val="single" w:sz="4" w:space="0" w:color="auto"/>
              <w:right w:val="dotted" w:sz="4" w:space="0" w:color="000000"/>
            </w:tcBorders>
            <w:shd w:val="clear" w:color="auto" w:fill="auto"/>
            <w:vAlign w:val="bottom"/>
            <w:hideMark/>
          </w:tcPr>
          <w:p w14:paraId="3DD585F6"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0,0</w:t>
            </w:r>
          </w:p>
        </w:tc>
        <w:tc>
          <w:tcPr>
            <w:tcW w:w="1480" w:type="dxa"/>
            <w:tcBorders>
              <w:top w:val="nil"/>
              <w:left w:val="nil"/>
              <w:bottom w:val="single" w:sz="4" w:space="0" w:color="auto"/>
              <w:right w:val="dotted" w:sz="4" w:space="0" w:color="000000"/>
            </w:tcBorders>
            <w:shd w:val="clear" w:color="auto" w:fill="auto"/>
            <w:vAlign w:val="bottom"/>
            <w:hideMark/>
          </w:tcPr>
          <w:p w14:paraId="438104E9"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0,0</w:t>
            </w:r>
          </w:p>
        </w:tc>
        <w:tc>
          <w:tcPr>
            <w:tcW w:w="1480" w:type="dxa"/>
            <w:tcBorders>
              <w:top w:val="nil"/>
              <w:left w:val="nil"/>
              <w:bottom w:val="single" w:sz="4" w:space="0" w:color="auto"/>
              <w:right w:val="double" w:sz="6" w:space="0" w:color="000000"/>
            </w:tcBorders>
            <w:shd w:val="clear" w:color="auto" w:fill="auto"/>
            <w:vAlign w:val="bottom"/>
            <w:hideMark/>
          </w:tcPr>
          <w:p w14:paraId="47A6309E"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0,2</w:t>
            </w:r>
          </w:p>
        </w:tc>
      </w:tr>
      <w:tr w:rsidR="00EE57B3" w:rsidRPr="00EE57B3" w14:paraId="0CFEAB4F" w14:textId="77777777" w:rsidTr="00EE57B3">
        <w:trPr>
          <w:trHeight w:val="300"/>
        </w:trPr>
        <w:tc>
          <w:tcPr>
            <w:tcW w:w="5922" w:type="dxa"/>
            <w:tcBorders>
              <w:top w:val="nil"/>
              <w:left w:val="double" w:sz="6" w:space="0" w:color="000000"/>
              <w:bottom w:val="dotted" w:sz="4" w:space="0" w:color="000000"/>
              <w:right w:val="nil"/>
            </w:tcBorders>
            <w:shd w:val="clear" w:color="000000" w:fill="FFFFFF"/>
            <w:vAlign w:val="bottom"/>
            <w:hideMark/>
          </w:tcPr>
          <w:p w14:paraId="24AD03B7"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xml:space="preserve">   8. Cyclically-adjusted balance (2-7)</w:t>
            </w:r>
          </w:p>
        </w:tc>
        <w:tc>
          <w:tcPr>
            <w:tcW w:w="1480" w:type="dxa"/>
            <w:tcBorders>
              <w:top w:val="nil"/>
              <w:left w:val="single" w:sz="4" w:space="0" w:color="000000"/>
              <w:bottom w:val="dotted" w:sz="4" w:space="0" w:color="000000"/>
              <w:right w:val="single" w:sz="4" w:space="0" w:color="000000"/>
            </w:tcBorders>
            <w:shd w:val="clear" w:color="000000" w:fill="FFFFFF"/>
            <w:vAlign w:val="bottom"/>
            <w:hideMark/>
          </w:tcPr>
          <w:p w14:paraId="1C7450BC"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829" w:type="dxa"/>
            <w:tcBorders>
              <w:top w:val="nil"/>
              <w:left w:val="nil"/>
              <w:bottom w:val="dotted" w:sz="4" w:space="0" w:color="000000"/>
              <w:right w:val="dotted" w:sz="4" w:space="0" w:color="000000"/>
            </w:tcBorders>
            <w:shd w:val="clear" w:color="auto" w:fill="auto"/>
            <w:vAlign w:val="bottom"/>
            <w:hideMark/>
          </w:tcPr>
          <w:p w14:paraId="3549FA30"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-2,1</w:t>
            </w:r>
          </w:p>
        </w:tc>
        <w:tc>
          <w:tcPr>
            <w:tcW w:w="1480" w:type="dxa"/>
            <w:tcBorders>
              <w:top w:val="nil"/>
              <w:left w:val="nil"/>
              <w:bottom w:val="dotted" w:sz="4" w:space="0" w:color="000000"/>
              <w:right w:val="dotted" w:sz="4" w:space="0" w:color="000000"/>
            </w:tcBorders>
            <w:shd w:val="clear" w:color="auto" w:fill="auto"/>
            <w:vAlign w:val="bottom"/>
            <w:hideMark/>
          </w:tcPr>
          <w:p w14:paraId="720FDE9F"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-2,6</w:t>
            </w:r>
          </w:p>
        </w:tc>
        <w:tc>
          <w:tcPr>
            <w:tcW w:w="1480" w:type="dxa"/>
            <w:tcBorders>
              <w:top w:val="nil"/>
              <w:left w:val="nil"/>
              <w:bottom w:val="dotted" w:sz="4" w:space="0" w:color="000000"/>
              <w:right w:val="dotted" w:sz="4" w:space="0" w:color="000000"/>
            </w:tcBorders>
            <w:shd w:val="clear" w:color="auto" w:fill="auto"/>
            <w:vAlign w:val="bottom"/>
            <w:hideMark/>
          </w:tcPr>
          <w:p w14:paraId="65DC7C23"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-3,0</w:t>
            </w:r>
          </w:p>
        </w:tc>
        <w:tc>
          <w:tcPr>
            <w:tcW w:w="1480" w:type="dxa"/>
            <w:tcBorders>
              <w:top w:val="nil"/>
              <w:left w:val="nil"/>
              <w:bottom w:val="dotted" w:sz="4" w:space="0" w:color="000000"/>
              <w:right w:val="dotted" w:sz="4" w:space="0" w:color="000000"/>
            </w:tcBorders>
            <w:shd w:val="clear" w:color="auto" w:fill="auto"/>
            <w:vAlign w:val="bottom"/>
            <w:hideMark/>
          </w:tcPr>
          <w:p w14:paraId="569326A7"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-3,0</w:t>
            </w:r>
          </w:p>
        </w:tc>
        <w:tc>
          <w:tcPr>
            <w:tcW w:w="1480" w:type="dxa"/>
            <w:tcBorders>
              <w:top w:val="nil"/>
              <w:left w:val="nil"/>
              <w:bottom w:val="dotted" w:sz="4" w:space="0" w:color="000000"/>
              <w:right w:val="double" w:sz="6" w:space="0" w:color="000000"/>
            </w:tcBorders>
            <w:shd w:val="clear" w:color="auto" w:fill="auto"/>
            <w:vAlign w:val="bottom"/>
            <w:hideMark/>
          </w:tcPr>
          <w:p w14:paraId="663EA9A2"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-3,2</w:t>
            </w:r>
          </w:p>
        </w:tc>
      </w:tr>
      <w:tr w:rsidR="00EE57B3" w:rsidRPr="00EE57B3" w14:paraId="0A9DCF41" w14:textId="77777777" w:rsidTr="00EE57B3">
        <w:trPr>
          <w:trHeight w:val="300"/>
        </w:trPr>
        <w:tc>
          <w:tcPr>
            <w:tcW w:w="5922" w:type="dxa"/>
            <w:tcBorders>
              <w:top w:val="nil"/>
              <w:left w:val="double" w:sz="6" w:space="0" w:color="000000"/>
              <w:bottom w:val="dotted" w:sz="4" w:space="0" w:color="000000"/>
              <w:right w:val="nil"/>
            </w:tcBorders>
            <w:shd w:val="clear" w:color="000000" w:fill="FFFFFF"/>
            <w:vAlign w:val="bottom"/>
            <w:hideMark/>
          </w:tcPr>
          <w:p w14:paraId="20FEA80E"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xml:space="preserve">   9. Cyclically-adjusted primary balance (8+3)</w:t>
            </w:r>
          </w:p>
        </w:tc>
        <w:tc>
          <w:tcPr>
            <w:tcW w:w="1480" w:type="dxa"/>
            <w:tcBorders>
              <w:top w:val="nil"/>
              <w:left w:val="single" w:sz="4" w:space="0" w:color="000000"/>
              <w:bottom w:val="dotted" w:sz="4" w:space="0" w:color="000000"/>
              <w:right w:val="single" w:sz="4" w:space="0" w:color="000000"/>
            </w:tcBorders>
            <w:shd w:val="clear" w:color="000000" w:fill="FFFFFF"/>
            <w:vAlign w:val="bottom"/>
            <w:hideMark/>
          </w:tcPr>
          <w:p w14:paraId="6481D6F5"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829" w:type="dxa"/>
            <w:tcBorders>
              <w:top w:val="nil"/>
              <w:left w:val="nil"/>
              <w:bottom w:val="dotted" w:sz="4" w:space="0" w:color="000000"/>
              <w:right w:val="dotted" w:sz="4" w:space="0" w:color="000000"/>
            </w:tcBorders>
            <w:shd w:val="clear" w:color="auto" w:fill="auto"/>
            <w:vAlign w:val="bottom"/>
            <w:hideMark/>
          </w:tcPr>
          <w:p w14:paraId="642065D8"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-0,4</w:t>
            </w:r>
          </w:p>
        </w:tc>
        <w:tc>
          <w:tcPr>
            <w:tcW w:w="1480" w:type="dxa"/>
            <w:tcBorders>
              <w:top w:val="nil"/>
              <w:left w:val="nil"/>
              <w:bottom w:val="dotted" w:sz="4" w:space="0" w:color="000000"/>
              <w:right w:val="dotted" w:sz="4" w:space="0" w:color="000000"/>
            </w:tcBorders>
            <w:shd w:val="clear" w:color="auto" w:fill="auto"/>
            <w:vAlign w:val="bottom"/>
            <w:hideMark/>
          </w:tcPr>
          <w:p w14:paraId="49EFFE70"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-0,7</w:t>
            </w:r>
          </w:p>
        </w:tc>
        <w:tc>
          <w:tcPr>
            <w:tcW w:w="1480" w:type="dxa"/>
            <w:tcBorders>
              <w:top w:val="nil"/>
              <w:left w:val="nil"/>
              <w:bottom w:val="dotted" w:sz="4" w:space="0" w:color="000000"/>
              <w:right w:val="dotted" w:sz="4" w:space="0" w:color="000000"/>
            </w:tcBorders>
            <w:shd w:val="clear" w:color="auto" w:fill="auto"/>
            <w:vAlign w:val="bottom"/>
            <w:hideMark/>
          </w:tcPr>
          <w:p w14:paraId="1700E8E7"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-0,9</w:t>
            </w:r>
          </w:p>
        </w:tc>
        <w:tc>
          <w:tcPr>
            <w:tcW w:w="1480" w:type="dxa"/>
            <w:tcBorders>
              <w:top w:val="nil"/>
              <w:left w:val="nil"/>
              <w:bottom w:val="dotted" w:sz="4" w:space="0" w:color="000000"/>
              <w:right w:val="dotted" w:sz="4" w:space="0" w:color="000000"/>
            </w:tcBorders>
            <w:shd w:val="clear" w:color="auto" w:fill="auto"/>
            <w:vAlign w:val="bottom"/>
            <w:hideMark/>
          </w:tcPr>
          <w:p w14:paraId="18F3B412"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-0,9</w:t>
            </w:r>
          </w:p>
        </w:tc>
        <w:tc>
          <w:tcPr>
            <w:tcW w:w="1480" w:type="dxa"/>
            <w:tcBorders>
              <w:top w:val="nil"/>
              <w:left w:val="nil"/>
              <w:bottom w:val="dotted" w:sz="4" w:space="0" w:color="000000"/>
              <w:right w:val="double" w:sz="6" w:space="0" w:color="000000"/>
            </w:tcBorders>
            <w:shd w:val="clear" w:color="auto" w:fill="auto"/>
            <w:vAlign w:val="bottom"/>
            <w:hideMark/>
          </w:tcPr>
          <w:p w14:paraId="584FDB52"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-1,2</w:t>
            </w:r>
          </w:p>
        </w:tc>
      </w:tr>
      <w:tr w:rsidR="00EE57B3" w:rsidRPr="00EE57B3" w14:paraId="20D42AA7" w14:textId="77777777" w:rsidTr="00EE57B3">
        <w:trPr>
          <w:trHeight w:val="266"/>
        </w:trPr>
        <w:tc>
          <w:tcPr>
            <w:tcW w:w="5922" w:type="dxa"/>
            <w:tcBorders>
              <w:top w:val="nil"/>
              <w:left w:val="double" w:sz="6" w:space="0" w:color="000000"/>
              <w:bottom w:val="double" w:sz="6" w:space="0" w:color="000000"/>
              <w:right w:val="nil"/>
            </w:tcBorders>
            <w:shd w:val="clear" w:color="000000" w:fill="FFFFFF"/>
            <w:vAlign w:val="bottom"/>
            <w:hideMark/>
          </w:tcPr>
          <w:p w14:paraId="6324AAC1" w14:textId="77777777" w:rsidR="00EE57B3" w:rsidRPr="00EE57B3" w:rsidRDefault="00EE57B3" w:rsidP="00EE57B3">
            <w:pPr>
              <w:spacing w:after="0"/>
              <w:jc w:val="left"/>
              <w:rPr>
                <w:rFonts w:eastAsia="Times New Roman" w:cs="Times New Roman"/>
                <w:sz w:val="20"/>
                <w:szCs w:val="20"/>
              </w:rPr>
            </w:pPr>
            <w:r w:rsidRPr="00EE57B3">
              <w:rPr>
                <w:rFonts w:eastAsia="Times New Roman" w:cs="Times New Roman"/>
                <w:sz w:val="20"/>
                <w:szCs w:val="20"/>
              </w:rPr>
              <w:t xml:space="preserve">   10. Structural balance (8-4)</w:t>
            </w:r>
          </w:p>
        </w:tc>
        <w:tc>
          <w:tcPr>
            <w:tcW w:w="1480" w:type="dxa"/>
            <w:tcBorders>
              <w:top w:val="nil"/>
              <w:left w:val="single" w:sz="4" w:space="0" w:color="000000"/>
              <w:bottom w:val="double" w:sz="6" w:space="0" w:color="000000"/>
              <w:right w:val="single" w:sz="4" w:space="0" w:color="000000"/>
            </w:tcBorders>
            <w:shd w:val="clear" w:color="000000" w:fill="FFFFFF"/>
            <w:vAlign w:val="bottom"/>
            <w:hideMark/>
          </w:tcPr>
          <w:p w14:paraId="10B7AC85"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 </w:t>
            </w:r>
          </w:p>
        </w:tc>
        <w:tc>
          <w:tcPr>
            <w:tcW w:w="1829" w:type="dxa"/>
            <w:tcBorders>
              <w:top w:val="nil"/>
              <w:left w:val="nil"/>
              <w:bottom w:val="double" w:sz="6" w:space="0" w:color="000000"/>
              <w:right w:val="dotted" w:sz="4" w:space="0" w:color="000000"/>
            </w:tcBorders>
            <w:shd w:val="clear" w:color="auto" w:fill="auto"/>
            <w:vAlign w:val="bottom"/>
            <w:hideMark/>
          </w:tcPr>
          <w:p w14:paraId="71622E33"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-1,4</w:t>
            </w:r>
          </w:p>
        </w:tc>
        <w:tc>
          <w:tcPr>
            <w:tcW w:w="1480" w:type="dxa"/>
            <w:tcBorders>
              <w:top w:val="nil"/>
              <w:left w:val="nil"/>
              <w:bottom w:val="double" w:sz="6" w:space="0" w:color="000000"/>
              <w:right w:val="dotted" w:sz="4" w:space="0" w:color="000000"/>
            </w:tcBorders>
            <w:shd w:val="clear" w:color="auto" w:fill="auto"/>
            <w:vAlign w:val="bottom"/>
            <w:hideMark/>
          </w:tcPr>
          <w:p w14:paraId="5E934A18"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-2,2</w:t>
            </w:r>
          </w:p>
        </w:tc>
        <w:tc>
          <w:tcPr>
            <w:tcW w:w="1480" w:type="dxa"/>
            <w:tcBorders>
              <w:top w:val="nil"/>
              <w:left w:val="nil"/>
              <w:bottom w:val="double" w:sz="6" w:space="0" w:color="000000"/>
              <w:right w:val="dotted" w:sz="4" w:space="0" w:color="000000"/>
            </w:tcBorders>
            <w:shd w:val="clear" w:color="auto" w:fill="auto"/>
            <w:vAlign w:val="bottom"/>
            <w:hideMark/>
          </w:tcPr>
          <w:p w14:paraId="538E6664"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-2,3</w:t>
            </w:r>
          </w:p>
        </w:tc>
        <w:tc>
          <w:tcPr>
            <w:tcW w:w="1480" w:type="dxa"/>
            <w:tcBorders>
              <w:top w:val="nil"/>
              <w:left w:val="nil"/>
              <w:bottom w:val="double" w:sz="6" w:space="0" w:color="000000"/>
              <w:right w:val="dotted" w:sz="4" w:space="0" w:color="000000"/>
            </w:tcBorders>
            <w:shd w:val="clear" w:color="auto" w:fill="auto"/>
            <w:vAlign w:val="bottom"/>
            <w:hideMark/>
          </w:tcPr>
          <w:p w14:paraId="18FAE4D8"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-1,7</w:t>
            </w:r>
          </w:p>
        </w:tc>
        <w:tc>
          <w:tcPr>
            <w:tcW w:w="1480" w:type="dxa"/>
            <w:tcBorders>
              <w:top w:val="nil"/>
              <w:left w:val="nil"/>
              <w:bottom w:val="double" w:sz="6" w:space="0" w:color="000000"/>
              <w:right w:val="double" w:sz="6" w:space="0" w:color="000000"/>
            </w:tcBorders>
            <w:shd w:val="clear" w:color="auto" w:fill="auto"/>
            <w:vAlign w:val="bottom"/>
            <w:hideMark/>
          </w:tcPr>
          <w:p w14:paraId="6C29F620" w14:textId="77777777" w:rsidR="00EE57B3" w:rsidRPr="00EE57B3" w:rsidRDefault="00EE57B3" w:rsidP="00EE57B3">
            <w:pPr>
              <w:spacing w:after="0"/>
              <w:jc w:val="center"/>
              <w:rPr>
                <w:rFonts w:eastAsia="Times New Roman" w:cs="Times New Roman"/>
                <w:sz w:val="20"/>
                <w:szCs w:val="20"/>
              </w:rPr>
            </w:pPr>
            <w:r w:rsidRPr="00EE57B3">
              <w:rPr>
                <w:rFonts w:eastAsia="Times New Roman" w:cs="Times New Roman"/>
                <w:sz w:val="20"/>
                <w:szCs w:val="20"/>
              </w:rPr>
              <w:t>-1,7</w:t>
            </w:r>
          </w:p>
        </w:tc>
      </w:tr>
    </w:tbl>
    <w:p w14:paraId="29936E7C" w14:textId="7AAF4725" w:rsidR="00EE57B3" w:rsidRDefault="00EE57B3" w:rsidP="00FD4733">
      <w:pPr>
        <w:spacing w:after="160" w:line="259" w:lineRule="auto"/>
        <w:jc w:val="left"/>
        <w:rPr>
          <w:szCs w:val="24"/>
        </w:rPr>
      </w:pPr>
      <w:r>
        <w:rPr>
          <w:szCs w:val="24"/>
        </w:rPr>
        <w:fldChar w:fldCharType="end"/>
      </w:r>
    </w:p>
    <w:p w14:paraId="17212542" w14:textId="77777777" w:rsidR="00154C34" w:rsidRPr="00154C34" w:rsidRDefault="00154C34" w:rsidP="00154C34">
      <w:pPr>
        <w:spacing w:after="0"/>
        <w:rPr>
          <w:rFonts w:eastAsia="Times New Roman" w:cs="Times New Roman"/>
          <w:sz w:val="20"/>
          <w:szCs w:val="20"/>
        </w:rPr>
      </w:pPr>
      <w:r w:rsidRPr="00154C34">
        <w:rPr>
          <w:rFonts w:eastAsia="Times New Roman" w:cs="Times New Roman"/>
          <w:sz w:val="20"/>
          <w:szCs w:val="20"/>
        </w:rPr>
        <w:t>[1] A plus sign means deficit-reducing one-off measures.</w:t>
      </w:r>
    </w:p>
    <w:p w14:paraId="0452210C" w14:textId="686B83BB" w:rsidR="00EE57B3" w:rsidRDefault="00EE57B3" w:rsidP="00EE57B3">
      <w:pPr>
        <w:rPr>
          <w:szCs w:val="24"/>
        </w:rPr>
      </w:pPr>
    </w:p>
    <w:p w14:paraId="7FA98EBF" w14:textId="1EA91316" w:rsidR="00EE57B3" w:rsidRDefault="00EE57B3" w:rsidP="00EE57B3">
      <w:pPr>
        <w:tabs>
          <w:tab w:val="left" w:pos="6960"/>
        </w:tabs>
        <w:rPr>
          <w:szCs w:val="24"/>
        </w:rPr>
      </w:pPr>
      <w:r>
        <w:rPr>
          <w:szCs w:val="24"/>
        </w:rPr>
        <w:tab/>
      </w:r>
    </w:p>
    <w:p w14:paraId="63A3AE1E" w14:textId="6BBC5F60" w:rsidR="00E34026" w:rsidRDefault="00EE57B3" w:rsidP="00EE57B3">
      <w:pPr>
        <w:tabs>
          <w:tab w:val="left" w:pos="6960"/>
        </w:tabs>
        <w:rPr>
          <w:szCs w:val="24"/>
        </w:rPr>
      </w:pPr>
      <w:r>
        <w:rPr>
          <w:szCs w:val="24"/>
        </w:rPr>
        <w:tab/>
      </w:r>
    </w:p>
    <w:p w14:paraId="54277269" w14:textId="77777777" w:rsidR="00E34026" w:rsidRPr="00E34026" w:rsidRDefault="00E34026" w:rsidP="00E34026">
      <w:pPr>
        <w:rPr>
          <w:szCs w:val="24"/>
        </w:rPr>
      </w:pPr>
    </w:p>
    <w:p w14:paraId="73C6AD5A" w14:textId="77777777" w:rsidR="00E34026" w:rsidRPr="00E34026" w:rsidRDefault="00E34026" w:rsidP="00E34026">
      <w:pPr>
        <w:rPr>
          <w:szCs w:val="24"/>
        </w:rPr>
      </w:pPr>
    </w:p>
    <w:p w14:paraId="09B96CA2" w14:textId="77777777" w:rsidR="00E34026" w:rsidRPr="00E34026" w:rsidRDefault="00E34026" w:rsidP="00E34026">
      <w:pPr>
        <w:rPr>
          <w:szCs w:val="24"/>
        </w:rPr>
      </w:pPr>
    </w:p>
    <w:p w14:paraId="108E5F56" w14:textId="77777777" w:rsidR="00E34026" w:rsidRPr="00E34026" w:rsidRDefault="00E34026" w:rsidP="00E34026">
      <w:pPr>
        <w:rPr>
          <w:szCs w:val="24"/>
        </w:rPr>
      </w:pPr>
    </w:p>
    <w:p w14:paraId="3E5585FD" w14:textId="77777777" w:rsidR="00E34026" w:rsidRPr="00E34026" w:rsidRDefault="00E34026" w:rsidP="00E34026">
      <w:pPr>
        <w:rPr>
          <w:szCs w:val="24"/>
        </w:rPr>
      </w:pPr>
    </w:p>
    <w:p w14:paraId="34A3DB24" w14:textId="5BE2CC6D" w:rsidR="00E34026" w:rsidRDefault="00E34026" w:rsidP="00E34026">
      <w:pPr>
        <w:rPr>
          <w:szCs w:val="24"/>
        </w:rPr>
      </w:pPr>
    </w:p>
    <w:p w14:paraId="26C96118" w14:textId="5D2E6AB4" w:rsidR="00E34026" w:rsidRDefault="00E34026" w:rsidP="00E34026">
      <w:pPr>
        <w:rPr>
          <w:szCs w:val="24"/>
        </w:rPr>
      </w:pPr>
    </w:p>
    <w:p w14:paraId="58C06EC7" w14:textId="27F758FA" w:rsidR="00E34026" w:rsidRDefault="00E34026" w:rsidP="00E34026">
      <w:pPr>
        <w:rPr>
          <w:szCs w:val="24"/>
        </w:rPr>
      </w:pPr>
    </w:p>
    <w:p w14:paraId="571D3733" w14:textId="17891B82" w:rsidR="00E34026" w:rsidRDefault="00E34026" w:rsidP="00E34026">
      <w:pPr>
        <w:rPr>
          <w:szCs w:val="24"/>
        </w:rPr>
      </w:pPr>
      <w:r w:rsidRPr="00E34026">
        <w:rPr>
          <w:szCs w:val="24"/>
        </w:rPr>
        <w:lastRenderedPageBreak/>
        <w:t>Table 6:  Divergence from previous programme</w:t>
      </w:r>
    </w:p>
    <w:p w14:paraId="762F9B9A" w14:textId="492D7328" w:rsidR="00E34026" w:rsidRDefault="00E34026" w:rsidP="00E34026">
      <w:pPr>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data!R238C2:R241C9 </w:instrText>
      </w:r>
      <w:r>
        <w:instrText xml:space="preserve">\a \f 4 \h  \* MERGEFORMAT </w:instrText>
      </w:r>
      <w:r>
        <w:fldChar w:fldCharType="separate"/>
      </w:r>
    </w:p>
    <w:tbl>
      <w:tblPr>
        <w:tblW w:w="15354" w:type="dxa"/>
        <w:tblLook w:val="04A0" w:firstRow="1" w:lastRow="0" w:firstColumn="1" w:lastColumn="0" w:noHBand="0" w:noVBand="1"/>
      </w:tblPr>
      <w:tblGrid>
        <w:gridCol w:w="5588"/>
        <w:gridCol w:w="1387"/>
        <w:gridCol w:w="1445"/>
        <w:gridCol w:w="1329"/>
        <w:gridCol w:w="1387"/>
        <w:gridCol w:w="1406"/>
        <w:gridCol w:w="1406"/>
        <w:gridCol w:w="1406"/>
      </w:tblGrid>
      <w:tr w:rsidR="00E34026" w:rsidRPr="00E34026" w14:paraId="4BEE89C7" w14:textId="77777777" w:rsidTr="00E34026">
        <w:trPr>
          <w:trHeight w:val="296"/>
        </w:trPr>
        <w:tc>
          <w:tcPr>
            <w:tcW w:w="5588" w:type="dxa"/>
            <w:tcBorders>
              <w:top w:val="double" w:sz="6" w:space="0" w:color="auto"/>
              <w:left w:val="double" w:sz="6" w:space="0" w:color="auto"/>
              <w:bottom w:val="double" w:sz="6" w:space="0" w:color="auto"/>
              <w:right w:val="nil"/>
            </w:tcBorders>
            <w:shd w:val="clear" w:color="auto" w:fill="auto"/>
            <w:noWrap/>
            <w:vAlign w:val="center"/>
            <w:hideMark/>
          </w:tcPr>
          <w:p w14:paraId="50C93330" w14:textId="311A1C7E" w:rsidR="00E34026" w:rsidRPr="00E34026" w:rsidRDefault="00E34026" w:rsidP="00E34026">
            <w:pPr>
              <w:spacing w:after="0"/>
              <w:jc w:val="left"/>
              <w:rPr>
                <w:rFonts w:eastAsia="Times New Roman" w:cs="Times New Roman"/>
                <w:b/>
                <w:bCs/>
                <w:sz w:val="20"/>
                <w:szCs w:val="20"/>
              </w:rPr>
            </w:pPr>
            <w:r w:rsidRPr="00E34026">
              <w:rPr>
                <w:rFonts w:eastAsia="Times New Roman" w:cs="Times New Roman"/>
                <w:b/>
                <w:bCs/>
                <w:sz w:val="20"/>
                <w:szCs w:val="20"/>
              </w:rPr>
              <w:t>Divergence from previous programme</w:t>
            </w:r>
          </w:p>
        </w:tc>
        <w:tc>
          <w:tcPr>
            <w:tcW w:w="1387" w:type="dxa"/>
            <w:tcBorders>
              <w:top w:val="double" w:sz="6" w:space="0" w:color="auto"/>
              <w:left w:val="single" w:sz="8" w:space="0" w:color="auto"/>
              <w:bottom w:val="double" w:sz="6" w:space="0" w:color="auto"/>
              <w:right w:val="nil"/>
            </w:tcBorders>
            <w:shd w:val="clear" w:color="auto" w:fill="auto"/>
            <w:noWrap/>
            <w:vAlign w:val="center"/>
            <w:hideMark/>
          </w:tcPr>
          <w:p w14:paraId="51BD9007"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 </w:t>
            </w:r>
          </w:p>
        </w:tc>
        <w:tc>
          <w:tcPr>
            <w:tcW w:w="1445" w:type="dxa"/>
            <w:tcBorders>
              <w:top w:val="double" w:sz="6" w:space="0" w:color="auto"/>
              <w:left w:val="nil"/>
              <w:bottom w:val="double" w:sz="6" w:space="0" w:color="auto"/>
              <w:right w:val="single" w:sz="8" w:space="0" w:color="auto"/>
            </w:tcBorders>
            <w:shd w:val="clear" w:color="auto" w:fill="auto"/>
            <w:noWrap/>
            <w:vAlign w:val="center"/>
            <w:hideMark/>
          </w:tcPr>
          <w:p w14:paraId="704B4358" w14:textId="77777777" w:rsidR="00E34026" w:rsidRPr="00E34026" w:rsidRDefault="00E34026" w:rsidP="00E34026">
            <w:pPr>
              <w:spacing w:after="0"/>
              <w:jc w:val="right"/>
              <w:rPr>
                <w:rFonts w:eastAsia="Times New Roman" w:cs="Times New Roman"/>
                <w:b/>
                <w:bCs/>
                <w:sz w:val="20"/>
                <w:szCs w:val="20"/>
              </w:rPr>
            </w:pPr>
            <w:r w:rsidRPr="00E34026">
              <w:rPr>
                <w:rFonts w:eastAsia="Times New Roman" w:cs="Times New Roman"/>
                <w:b/>
                <w:bCs/>
                <w:sz w:val="20"/>
                <w:szCs w:val="20"/>
              </w:rPr>
              <w:t> </w:t>
            </w:r>
          </w:p>
        </w:tc>
        <w:tc>
          <w:tcPr>
            <w:tcW w:w="1329" w:type="dxa"/>
            <w:tcBorders>
              <w:top w:val="double" w:sz="6" w:space="0" w:color="auto"/>
              <w:left w:val="nil"/>
              <w:bottom w:val="double" w:sz="6" w:space="0" w:color="auto"/>
              <w:right w:val="dashed" w:sz="4" w:space="0" w:color="auto"/>
            </w:tcBorders>
            <w:shd w:val="clear" w:color="auto" w:fill="auto"/>
            <w:noWrap/>
            <w:vAlign w:val="center"/>
            <w:hideMark/>
          </w:tcPr>
          <w:p w14:paraId="126368E7" w14:textId="77777777" w:rsidR="00E34026" w:rsidRPr="00E34026" w:rsidRDefault="00E34026" w:rsidP="00E34026">
            <w:pPr>
              <w:spacing w:after="0"/>
              <w:jc w:val="right"/>
              <w:rPr>
                <w:rFonts w:eastAsia="Times New Roman" w:cs="Times New Roman"/>
                <w:b/>
                <w:bCs/>
                <w:sz w:val="20"/>
                <w:szCs w:val="20"/>
              </w:rPr>
            </w:pPr>
            <w:r w:rsidRPr="00E34026">
              <w:rPr>
                <w:rFonts w:eastAsia="Times New Roman" w:cs="Times New Roman"/>
                <w:b/>
                <w:bCs/>
                <w:sz w:val="20"/>
                <w:szCs w:val="20"/>
              </w:rPr>
              <w:t>2023</w:t>
            </w:r>
          </w:p>
        </w:tc>
        <w:tc>
          <w:tcPr>
            <w:tcW w:w="1387" w:type="dxa"/>
            <w:tcBorders>
              <w:top w:val="double" w:sz="6" w:space="0" w:color="auto"/>
              <w:left w:val="nil"/>
              <w:bottom w:val="double" w:sz="6" w:space="0" w:color="auto"/>
              <w:right w:val="dashed" w:sz="4" w:space="0" w:color="auto"/>
            </w:tcBorders>
            <w:shd w:val="clear" w:color="auto" w:fill="auto"/>
            <w:noWrap/>
            <w:vAlign w:val="center"/>
            <w:hideMark/>
          </w:tcPr>
          <w:p w14:paraId="0ABC28FB" w14:textId="77777777" w:rsidR="00E34026" w:rsidRPr="00E34026" w:rsidRDefault="00E34026" w:rsidP="00E34026">
            <w:pPr>
              <w:spacing w:after="0"/>
              <w:jc w:val="right"/>
              <w:rPr>
                <w:rFonts w:eastAsia="Times New Roman" w:cs="Times New Roman"/>
                <w:b/>
                <w:bCs/>
                <w:sz w:val="20"/>
                <w:szCs w:val="20"/>
              </w:rPr>
            </w:pPr>
            <w:r w:rsidRPr="00E34026">
              <w:rPr>
                <w:rFonts w:eastAsia="Times New Roman" w:cs="Times New Roman"/>
                <w:b/>
                <w:bCs/>
                <w:sz w:val="20"/>
                <w:szCs w:val="20"/>
              </w:rPr>
              <w:t>2024</w:t>
            </w:r>
          </w:p>
        </w:tc>
        <w:tc>
          <w:tcPr>
            <w:tcW w:w="1406" w:type="dxa"/>
            <w:tcBorders>
              <w:top w:val="double" w:sz="6" w:space="0" w:color="auto"/>
              <w:left w:val="nil"/>
              <w:bottom w:val="double" w:sz="6" w:space="0" w:color="auto"/>
              <w:right w:val="dashed" w:sz="4" w:space="0" w:color="auto"/>
            </w:tcBorders>
            <w:shd w:val="clear" w:color="auto" w:fill="auto"/>
            <w:noWrap/>
            <w:vAlign w:val="center"/>
            <w:hideMark/>
          </w:tcPr>
          <w:p w14:paraId="6F7CEE76" w14:textId="77777777" w:rsidR="00E34026" w:rsidRPr="00E34026" w:rsidRDefault="00E34026" w:rsidP="00E34026">
            <w:pPr>
              <w:spacing w:after="0"/>
              <w:jc w:val="right"/>
              <w:rPr>
                <w:rFonts w:eastAsia="Times New Roman" w:cs="Times New Roman"/>
                <w:b/>
                <w:bCs/>
                <w:sz w:val="20"/>
                <w:szCs w:val="20"/>
              </w:rPr>
            </w:pPr>
            <w:r w:rsidRPr="00E34026">
              <w:rPr>
                <w:rFonts w:eastAsia="Times New Roman" w:cs="Times New Roman"/>
                <w:b/>
                <w:bCs/>
                <w:sz w:val="20"/>
                <w:szCs w:val="20"/>
              </w:rPr>
              <w:t>2025</w:t>
            </w:r>
          </w:p>
        </w:tc>
        <w:tc>
          <w:tcPr>
            <w:tcW w:w="1406" w:type="dxa"/>
            <w:tcBorders>
              <w:top w:val="double" w:sz="6" w:space="0" w:color="auto"/>
              <w:left w:val="nil"/>
              <w:bottom w:val="double" w:sz="6" w:space="0" w:color="auto"/>
              <w:right w:val="dashed" w:sz="4" w:space="0" w:color="auto"/>
            </w:tcBorders>
            <w:shd w:val="clear" w:color="auto" w:fill="auto"/>
            <w:noWrap/>
            <w:vAlign w:val="center"/>
            <w:hideMark/>
          </w:tcPr>
          <w:p w14:paraId="26D5176F" w14:textId="77777777" w:rsidR="00E34026" w:rsidRPr="00E34026" w:rsidRDefault="00E34026" w:rsidP="00E34026">
            <w:pPr>
              <w:spacing w:after="0"/>
              <w:jc w:val="right"/>
              <w:rPr>
                <w:rFonts w:eastAsia="Times New Roman" w:cs="Times New Roman"/>
                <w:b/>
                <w:bCs/>
                <w:sz w:val="20"/>
                <w:szCs w:val="20"/>
              </w:rPr>
            </w:pPr>
            <w:r w:rsidRPr="00E34026">
              <w:rPr>
                <w:rFonts w:eastAsia="Times New Roman" w:cs="Times New Roman"/>
                <w:b/>
                <w:bCs/>
                <w:sz w:val="20"/>
                <w:szCs w:val="20"/>
              </w:rPr>
              <w:t>2026</w:t>
            </w:r>
          </w:p>
        </w:tc>
        <w:tc>
          <w:tcPr>
            <w:tcW w:w="1406" w:type="dxa"/>
            <w:tcBorders>
              <w:top w:val="double" w:sz="6" w:space="0" w:color="auto"/>
              <w:left w:val="nil"/>
              <w:bottom w:val="double" w:sz="6" w:space="0" w:color="auto"/>
              <w:right w:val="double" w:sz="6" w:space="0" w:color="auto"/>
            </w:tcBorders>
            <w:shd w:val="clear" w:color="auto" w:fill="auto"/>
            <w:noWrap/>
            <w:vAlign w:val="center"/>
            <w:hideMark/>
          </w:tcPr>
          <w:p w14:paraId="57F0CCD2" w14:textId="77777777" w:rsidR="00E34026" w:rsidRPr="00E34026" w:rsidRDefault="00E34026" w:rsidP="00E34026">
            <w:pPr>
              <w:spacing w:after="0"/>
              <w:jc w:val="right"/>
              <w:rPr>
                <w:rFonts w:eastAsia="Times New Roman" w:cs="Times New Roman"/>
                <w:b/>
                <w:bCs/>
                <w:sz w:val="20"/>
                <w:szCs w:val="20"/>
              </w:rPr>
            </w:pPr>
            <w:r w:rsidRPr="00E34026">
              <w:rPr>
                <w:rFonts w:eastAsia="Times New Roman" w:cs="Times New Roman"/>
                <w:b/>
                <w:bCs/>
                <w:sz w:val="20"/>
                <w:szCs w:val="20"/>
              </w:rPr>
              <w:t>2027</w:t>
            </w:r>
          </w:p>
        </w:tc>
      </w:tr>
      <w:tr w:rsidR="00E34026" w:rsidRPr="00E34026" w14:paraId="424A1A94" w14:textId="77777777" w:rsidTr="00E34026">
        <w:trPr>
          <w:trHeight w:val="286"/>
        </w:trPr>
        <w:tc>
          <w:tcPr>
            <w:tcW w:w="5588" w:type="dxa"/>
            <w:tcBorders>
              <w:top w:val="nil"/>
              <w:left w:val="double" w:sz="6" w:space="0" w:color="auto"/>
              <w:bottom w:val="dashed" w:sz="4" w:space="0" w:color="auto"/>
              <w:right w:val="nil"/>
            </w:tcBorders>
            <w:shd w:val="clear" w:color="auto" w:fill="auto"/>
            <w:hideMark/>
          </w:tcPr>
          <w:p w14:paraId="192869F1" w14:textId="77777777" w:rsidR="00E34026" w:rsidRPr="00E34026" w:rsidRDefault="00E34026" w:rsidP="00E34026">
            <w:pPr>
              <w:spacing w:after="0"/>
              <w:jc w:val="left"/>
              <w:rPr>
                <w:rFonts w:eastAsia="Times New Roman" w:cs="Times New Roman"/>
                <w:sz w:val="20"/>
                <w:szCs w:val="20"/>
              </w:rPr>
            </w:pPr>
            <w:r w:rsidRPr="00E34026">
              <w:rPr>
                <w:rFonts w:eastAsia="Times New Roman" w:cs="Times New Roman"/>
                <w:sz w:val="20"/>
                <w:szCs w:val="20"/>
              </w:rPr>
              <w:t>1. GDP growth</w:t>
            </w:r>
          </w:p>
        </w:tc>
        <w:tc>
          <w:tcPr>
            <w:tcW w:w="2832" w:type="dxa"/>
            <w:gridSpan w:val="2"/>
            <w:tcBorders>
              <w:top w:val="double" w:sz="6" w:space="0" w:color="auto"/>
              <w:left w:val="single" w:sz="8" w:space="0" w:color="auto"/>
              <w:bottom w:val="dashed" w:sz="4" w:space="0" w:color="auto"/>
              <w:right w:val="single" w:sz="8" w:space="0" w:color="000000"/>
            </w:tcBorders>
            <w:shd w:val="clear" w:color="auto" w:fill="auto"/>
            <w:noWrap/>
            <w:hideMark/>
          </w:tcPr>
          <w:p w14:paraId="3E750370" w14:textId="77777777" w:rsidR="00E34026" w:rsidRPr="00E34026" w:rsidRDefault="00E34026" w:rsidP="00E34026">
            <w:pPr>
              <w:spacing w:after="0"/>
              <w:jc w:val="left"/>
              <w:rPr>
                <w:rFonts w:eastAsia="Times New Roman" w:cs="Times New Roman"/>
                <w:sz w:val="20"/>
                <w:szCs w:val="20"/>
              </w:rPr>
            </w:pPr>
            <w:r w:rsidRPr="00E34026">
              <w:rPr>
                <w:rFonts w:eastAsia="Times New Roman" w:cs="Times New Roman"/>
                <w:sz w:val="20"/>
                <w:szCs w:val="20"/>
              </w:rPr>
              <w:t>%, yoy, previous programme</w:t>
            </w:r>
          </w:p>
        </w:tc>
        <w:tc>
          <w:tcPr>
            <w:tcW w:w="1329" w:type="dxa"/>
            <w:tcBorders>
              <w:top w:val="nil"/>
              <w:left w:val="nil"/>
              <w:bottom w:val="dotted" w:sz="4" w:space="0" w:color="auto"/>
              <w:right w:val="dotted" w:sz="4" w:space="0" w:color="auto"/>
            </w:tcBorders>
            <w:shd w:val="clear" w:color="auto" w:fill="auto"/>
            <w:hideMark/>
          </w:tcPr>
          <w:p w14:paraId="2A11C511"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2,5</w:t>
            </w:r>
          </w:p>
        </w:tc>
        <w:tc>
          <w:tcPr>
            <w:tcW w:w="1387" w:type="dxa"/>
            <w:tcBorders>
              <w:top w:val="nil"/>
              <w:left w:val="nil"/>
              <w:bottom w:val="dotted" w:sz="4" w:space="0" w:color="auto"/>
              <w:right w:val="dotted" w:sz="4" w:space="0" w:color="auto"/>
            </w:tcBorders>
            <w:shd w:val="clear" w:color="auto" w:fill="auto"/>
            <w:hideMark/>
          </w:tcPr>
          <w:p w14:paraId="06C1EDCD"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3,5</w:t>
            </w:r>
          </w:p>
        </w:tc>
        <w:tc>
          <w:tcPr>
            <w:tcW w:w="1406" w:type="dxa"/>
            <w:tcBorders>
              <w:top w:val="nil"/>
              <w:left w:val="nil"/>
              <w:bottom w:val="dotted" w:sz="4" w:space="0" w:color="auto"/>
              <w:right w:val="dotted" w:sz="4" w:space="0" w:color="auto"/>
            </w:tcBorders>
            <w:shd w:val="clear" w:color="auto" w:fill="auto"/>
            <w:hideMark/>
          </w:tcPr>
          <w:p w14:paraId="58CC9608"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4,0</w:t>
            </w:r>
          </w:p>
        </w:tc>
        <w:tc>
          <w:tcPr>
            <w:tcW w:w="1406" w:type="dxa"/>
            <w:tcBorders>
              <w:top w:val="nil"/>
              <w:left w:val="nil"/>
              <w:bottom w:val="dotted" w:sz="4" w:space="0" w:color="auto"/>
              <w:right w:val="dotted" w:sz="4" w:space="0" w:color="auto"/>
            </w:tcBorders>
            <w:shd w:val="clear" w:color="auto" w:fill="auto"/>
            <w:hideMark/>
          </w:tcPr>
          <w:p w14:paraId="3BA49277"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4,3</w:t>
            </w:r>
          </w:p>
        </w:tc>
        <w:tc>
          <w:tcPr>
            <w:tcW w:w="1406" w:type="dxa"/>
            <w:tcBorders>
              <w:top w:val="nil"/>
              <w:left w:val="nil"/>
              <w:bottom w:val="dotted" w:sz="4" w:space="0" w:color="auto"/>
              <w:right w:val="double" w:sz="6" w:space="0" w:color="auto"/>
            </w:tcBorders>
            <w:shd w:val="clear" w:color="auto" w:fill="auto"/>
            <w:hideMark/>
          </w:tcPr>
          <w:p w14:paraId="3393A5BD"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 </w:t>
            </w:r>
          </w:p>
        </w:tc>
      </w:tr>
      <w:tr w:rsidR="00E34026" w:rsidRPr="00E34026" w14:paraId="212AB9DA" w14:textId="77777777" w:rsidTr="00E34026">
        <w:trPr>
          <w:trHeight w:val="278"/>
        </w:trPr>
        <w:tc>
          <w:tcPr>
            <w:tcW w:w="5588" w:type="dxa"/>
            <w:tcBorders>
              <w:top w:val="nil"/>
              <w:left w:val="double" w:sz="6" w:space="0" w:color="auto"/>
              <w:bottom w:val="dashed" w:sz="4" w:space="0" w:color="auto"/>
              <w:right w:val="nil"/>
            </w:tcBorders>
            <w:shd w:val="clear" w:color="auto" w:fill="auto"/>
            <w:noWrap/>
            <w:hideMark/>
          </w:tcPr>
          <w:p w14:paraId="2FEA6E38" w14:textId="77777777" w:rsidR="00E34026" w:rsidRPr="00E34026" w:rsidRDefault="00E34026" w:rsidP="00E34026">
            <w:pPr>
              <w:spacing w:after="0"/>
              <w:jc w:val="left"/>
              <w:rPr>
                <w:rFonts w:eastAsia="Times New Roman" w:cs="Times New Roman"/>
                <w:sz w:val="20"/>
                <w:szCs w:val="20"/>
              </w:rPr>
            </w:pPr>
            <w:r w:rsidRPr="00E34026">
              <w:rPr>
                <w:rFonts w:eastAsia="Times New Roman" w:cs="Times New Roman"/>
                <w:sz w:val="20"/>
                <w:szCs w:val="20"/>
              </w:rPr>
              <w:t>2. General government net lending</w:t>
            </w:r>
          </w:p>
        </w:tc>
        <w:tc>
          <w:tcPr>
            <w:tcW w:w="2832" w:type="dxa"/>
            <w:gridSpan w:val="2"/>
            <w:tcBorders>
              <w:top w:val="dashed" w:sz="4" w:space="0" w:color="auto"/>
              <w:left w:val="single" w:sz="8" w:space="0" w:color="auto"/>
              <w:bottom w:val="dashed" w:sz="4" w:space="0" w:color="auto"/>
              <w:right w:val="single" w:sz="8" w:space="0" w:color="000000"/>
            </w:tcBorders>
            <w:shd w:val="clear" w:color="auto" w:fill="auto"/>
            <w:noWrap/>
            <w:hideMark/>
          </w:tcPr>
          <w:p w14:paraId="4F9314A3" w14:textId="77777777" w:rsidR="00E34026" w:rsidRPr="00E34026" w:rsidRDefault="00E34026" w:rsidP="00E34026">
            <w:pPr>
              <w:spacing w:after="0"/>
              <w:jc w:val="left"/>
              <w:rPr>
                <w:rFonts w:eastAsia="Times New Roman" w:cs="Times New Roman"/>
                <w:sz w:val="20"/>
                <w:szCs w:val="20"/>
              </w:rPr>
            </w:pPr>
            <w:r w:rsidRPr="00E34026">
              <w:rPr>
                <w:rFonts w:eastAsia="Times New Roman" w:cs="Times New Roman"/>
                <w:sz w:val="20"/>
                <w:szCs w:val="20"/>
              </w:rPr>
              <w:t>% of GDP, previous programme</w:t>
            </w:r>
          </w:p>
        </w:tc>
        <w:tc>
          <w:tcPr>
            <w:tcW w:w="1329" w:type="dxa"/>
            <w:tcBorders>
              <w:top w:val="nil"/>
              <w:left w:val="nil"/>
              <w:bottom w:val="dashed" w:sz="4" w:space="0" w:color="auto"/>
              <w:right w:val="dotted" w:sz="4" w:space="0" w:color="auto"/>
            </w:tcBorders>
            <w:shd w:val="clear" w:color="auto" w:fill="auto"/>
            <w:hideMark/>
          </w:tcPr>
          <w:p w14:paraId="588B9731"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-2,8</w:t>
            </w:r>
          </w:p>
        </w:tc>
        <w:tc>
          <w:tcPr>
            <w:tcW w:w="1387" w:type="dxa"/>
            <w:tcBorders>
              <w:top w:val="nil"/>
              <w:left w:val="nil"/>
              <w:bottom w:val="dashed" w:sz="4" w:space="0" w:color="auto"/>
              <w:right w:val="dotted" w:sz="4" w:space="0" w:color="auto"/>
            </w:tcBorders>
            <w:shd w:val="clear" w:color="auto" w:fill="auto"/>
            <w:hideMark/>
          </w:tcPr>
          <w:p w14:paraId="7E3414CE"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-2,2</w:t>
            </w:r>
          </w:p>
        </w:tc>
        <w:tc>
          <w:tcPr>
            <w:tcW w:w="1406" w:type="dxa"/>
            <w:tcBorders>
              <w:top w:val="nil"/>
              <w:left w:val="nil"/>
              <w:bottom w:val="dashed" w:sz="4" w:space="0" w:color="auto"/>
              <w:right w:val="dotted" w:sz="4" w:space="0" w:color="auto"/>
            </w:tcBorders>
            <w:shd w:val="clear" w:color="auto" w:fill="auto"/>
            <w:hideMark/>
          </w:tcPr>
          <w:p w14:paraId="2F0F1328"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-1,5</w:t>
            </w:r>
          </w:p>
        </w:tc>
        <w:tc>
          <w:tcPr>
            <w:tcW w:w="1406" w:type="dxa"/>
            <w:tcBorders>
              <w:top w:val="nil"/>
              <w:left w:val="nil"/>
              <w:bottom w:val="dashed" w:sz="4" w:space="0" w:color="auto"/>
              <w:right w:val="dotted" w:sz="4" w:space="0" w:color="auto"/>
            </w:tcBorders>
            <w:shd w:val="clear" w:color="auto" w:fill="auto"/>
            <w:hideMark/>
          </w:tcPr>
          <w:p w14:paraId="705EA3CB"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-1,5</w:t>
            </w:r>
          </w:p>
        </w:tc>
        <w:tc>
          <w:tcPr>
            <w:tcW w:w="1406" w:type="dxa"/>
            <w:tcBorders>
              <w:top w:val="nil"/>
              <w:left w:val="nil"/>
              <w:bottom w:val="dashed" w:sz="4" w:space="0" w:color="auto"/>
              <w:right w:val="double" w:sz="6" w:space="0" w:color="auto"/>
            </w:tcBorders>
            <w:shd w:val="clear" w:color="auto" w:fill="auto"/>
            <w:hideMark/>
          </w:tcPr>
          <w:p w14:paraId="79BEA0C6"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 </w:t>
            </w:r>
          </w:p>
        </w:tc>
      </w:tr>
      <w:tr w:rsidR="00E34026" w:rsidRPr="00E34026" w14:paraId="1F5501E0" w14:textId="77777777" w:rsidTr="00E34026">
        <w:trPr>
          <w:trHeight w:val="286"/>
        </w:trPr>
        <w:tc>
          <w:tcPr>
            <w:tcW w:w="5588" w:type="dxa"/>
            <w:tcBorders>
              <w:top w:val="nil"/>
              <w:left w:val="double" w:sz="6" w:space="0" w:color="auto"/>
              <w:bottom w:val="double" w:sz="6" w:space="0" w:color="auto"/>
              <w:right w:val="nil"/>
            </w:tcBorders>
            <w:shd w:val="clear" w:color="auto" w:fill="auto"/>
            <w:noWrap/>
            <w:hideMark/>
          </w:tcPr>
          <w:p w14:paraId="7F28A5A6" w14:textId="77777777" w:rsidR="00E34026" w:rsidRPr="00E34026" w:rsidRDefault="00E34026" w:rsidP="00E34026">
            <w:pPr>
              <w:spacing w:after="0"/>
              <w:jc w:val="left"/>
              <w:rPr>
                <w:rFonts w:eastAsia="Times New Roman" w:cs="Times New Roman"/>
                <w:sz w:val="20"/>
                <w:szCs w:val="20"/>
              </w:rPr>
            </w:pPr>
            <w:r w:rsidRPr="00E34026">
              <w:rPr>
                <w:rFonts w:eastAsia="Times New Roman" w:cs="Times New Roman"/>
                <w:sz w:val="20"/>
                <w:szCs w:val="20"/>
              </w:rPr>
              <w:t>3. General government gross debt</w:t>
            </w:r>
          </w:p>
        </w:tc>
        <w:tc>
          <w:tcPr>
            <w:tcW w:w="2832" w:type="dxa"/>
            <w:gridSpan w:val="2"/>
            <w:tcBorders>
              <w:top w:val="nil"/>
              <w:left w:val="single" w:sz="8" w:space="0" w:color="auto"/>
              <w:bottom w:val="double" w:sz="6" w:space="0" w:color="auto"/>
              <w:right w:val="single" w:sz="8" w:space="0" w:color="000000"/>
            </w:tcBorders>
            <w:shd w:val="clear" w:color="auto" w:fill="auto"/>
            <w:noWrap/>
            <w:hideMark/>
          </w:tcPr>
          <w:p w14:paraId="5567E01E" w14:textId="77777777" w:rsidR="00E34026" w:rsidRPr="00E34026" w:rsidRDefault="00E34026" w:rsidP="00E34026">
            <w:pPr>
              <w:spacing w:after="0"/>
              <w:jc w:val="left"/>
              <w:rPr>
                <w:rFonts w:eastAsia="Times New Roman" w:cs="Times New Roman"/>
                <w:sz w:val="20"/>
                <w:szCs w:val="20"/>
              </w:rPr>
            </w:pPr>
            <w:r w:rsidRPr="00E34026">
              <w:rPr>
                <w:rFonts w:eastAsia="Times New Roman" w:cs="Times New Roman"/>
                <w:sz w:val="20"/>
                <w:szCs w:val="20"/>
              </w:rPr>
              <w:t>% of GDP, previous programme</w:t>
            </w:r>
          </w:p>
        </w:tc>
        <w:tc>
          <w:tcPr>
            <w:tcW w:w="1329" w:type="dxa"/>
            <w:tcBorders>
              <w:top w:val="nil"/>
              <w:left w:val="nil"/>
              <w:bottom w:val="double" w:sz="6" w:space="0" w:color="auto"/>
              <w:right w:val="dotted" w:sz="4" w:space="0" w:color="auto"/>
            </w:tcBorders>
            <w:shd w:val="clear" w:color="auto" w:fill="auto"/>
            <w:hideMark/>
          </w:tcPr>
          <w:p w14:paraId="0D0DC0D5"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53,3</w:t>
            </w:r>
          </w:p>
        </w:tc>
        <w:tc>
          <w:tcPr>
            <w:tcW w:w="1387" w:type="dxa"/>
            <w:tcBorders>
              <w:top w:val="nil"/>
              <w:left w:val="nil"/>
              <w:bottom w:val="double" w:sz="6" w:space="0" w:color="auto"/>
              <w:right w:val="dotted" w:sz="4" w:space="0" w:color="auto"/>
            </w:tcBorders>
            <w:shd w:val="clear" w:color="auto" w:fill="auto"/>
            <w:hideMark/>
          </w:tcPr>
          <w:p w14:paraId="63AB6E5D"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51,7</w:t>
            </w:r>
          </w:p>
        </w:tc>
        <w:tc>
          <w:tcPr>
            <w:tcW w:w="1406" w:type="dxa"/>
            <w:tcBorders>
              <w:top w:val="nil"/>
              <w:left w:val="nil"/>
              <w:bottom w:val="double" w:sz="6" w:space="0" w:color="auto"/>
              <w:right w:val="dotted" w:sz="4" w:space="0" w:color="auto"/>
            </w:tcBorders>
            <w:shd w:val="clear" w:color="auto" w:fill="auto"/>
            <w:hideMark/>
          </w:tcPr>
          <w:p w14:paraId="42B5CE76"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50,7</w:t>
            </w:r>
          </w:p>
        </w:tc>
        <w:tc>
          <w:tcPr>
            <w:tcW w:w="1406" w:type="dxa"/>
            <w:tcBorders>
              <w:top w:val="nil"/>
              <w:left w:val="nil"/>
              <w:bottom w:val="double" w:sz="6" w:space="0" w:color="auto"/>
              <w:right w:val="dotted" w:sz="4" w:space="0" w:color="auto"/>
            </w:tcBorders>
            <w:shd w:val="clear" w:color="auto" w:fill="auto"/>
            <w:hideMark/>
          </w:tcPr>
          <w:p w14:paraId="53BE5530"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50,0</w:t>
            </w:r>
          </w:p>
        </w:tc>
        <w:tc>
          <w:tcPr>
            <w:tcW w:w="1406" w:type="dxa"/>
            <w:tcBorders>
              <w:top w:val="nil"/>
              <w:left w:val="nil"/>
              <w:bottom w:val="double" w:sz="6" w:space="0" w:color="auto"/>
              <w:right w:val="double" w:sz="6" w:space="0" w:color="auto"/>
            </w:tcBorders>
            <w:shd w:val="clear" w:color="auto" w:fill="auto"/>
            <w:hideMark/>
          </w:tcPr>
          <w:p w14:paraId="47D707DA" w14:textId="77777777" w:rsidR="00E34026" w:rsidRPr="00E34026" w:rsidRDefault="00E34026" w:rsidP="00E34026">
            <w:pPr>
              <w:spacing w:after="0"/>
              <w:jc w:val="center"/>
              <w:rPr>
                <w:rFonts w:eastAsia="Times New Roman" w:cs="Times New Roman"/>
                <w:sz w:val="20"/>
                <w:szCs w:val="20"/>
              </w:rPr>
            </w:pPr>
            <w:r w:rsidRPr="00E34026">
              <w:rPr>
                <w:rFonts w:eastAsia="Times New Roman" w:cs="Times New Roman"/>
                <w:sz w:val="20"/>
                <w:szCs w:val="20"/>
              </w:rPr>
              <w:t> </w:t>
            </w:r>
          </w:p>
        </w:tc>
      </w:tr>
    </w:tbl>
    <w:p w14:paraId="01F110BD" w14:textId="6134CE6E" w:rsidR="00E34026" w:rsidRDefault="00E34026" w:rsidP="00E34026">
      <w:pPr>
        <w:rPr>
          <w:szCs w:val="24"/>
        </w:rPr>
      </w:pPr>
      <w:r>
        <w:rPr>
          <w:szCs w:val="24"/>
        </w:rPr>
        <w:fldChar w:fldCharType="end"/>
      </w:r>
    </w:p>
    <w:p w14:paraId="3333589A" w14:textId="209BD71F" w:rsidR="00E34026" w:rsidRDefault="00E34026" w:rsidP="00E34026">
      <w:pPr>
        <w:rPr>
          <w:szCs w:val="24"/>
        </w:rPr>
      </w:pPr>
    </w:p>
    <w:p w14:paraId="0E3341A6" w14:textId="0EF3AD11" w:rsidR="00E34026" w:rsidRDefault="00E34026" w:rsidP="00E34026">
      <w:pPr>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Tab6-Divergence!R4C2:R17C7 </w:instrText>
      </w:r>
      <w:r>
        <w:instrText xml:space="preserve">\a \f 4 \h  \* MERGEFORMAT </w:instrText>
      </w:r>
      <w:r>
        <w:fldChar w:fldCharType="separate"/>
      </w:r>
    </w:p>
    <w:tbl>
      <w:tblPr>
        <w:tblW w:w="15353" w:type="dxa"/>
        <w:tblLook w:val="04A0" w:firstRow="1" w:lastRow="0" w:firstColumn="1" w:lastColumn="0" w:noHBand="0" w:noVBand="1"/>
      </w:tblPr>
      <w:tblGrid>
        <w:gridCol w:w="6464"/>
        <w:gridCol w:w="1777"/>
        <w:gridCol w:w="1777"/>
        <w:gridCol w:w="1777"/>
        <w:gridCol w:w="1777"/>
        <w:gridCol w:w="1781"/>
      </w:tblGrid>
      <w:tr w:rsidR="00E34026" w:rsidRPr="00E34026" w14:paraId="2F873623" w14:textId="77777777" w:rsidTr="00E34026">
        <w:trPr>
          <w:trHeight w:val="383"/>
        </w:trPr>
        <w:tc>
          <w:tcPr>
            <w:tcW w:w="6464" w:type="dxa"/>
            <w:vMerge w:val="restart"/>
            <w:tcBorders>
              <w:top w:val="double" w:sz="6" w:space="0" w:color="auto"/>
              <w:left w:val="double" w:sz="6" w:space="0" w:color="auto"/>
              <w:bottom w:val="single" w:sz="8" w:space="0" w:color="000000"/>
              <w:right w:val="single" w:sz="8" w:space="0" w:color="auto"/>
            </w:tcBorders>
            <w:shd w:val="clear" w:color="000000" w:fill="FFFFFF"/>
            <w:hideMark/>
          </w:tcPr>
          <w:p w14:paraId="118EC8AE" w14:textId="498F015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 </w:t>
            </w:r>
          </w:p>
        </w:tc>
        <w:tc>
          <w:tcPr>
            <w:tcW w:w="1777" w:type="dxa"/>
            <w:tcBorders>
              <w:top w:val="double" w:sz="6" w:space="0" w:color="auto"/>
              <w:left w:val="nil"/>
              <w:bottom w:val="nil"/>
              <w:right w:val="dotted" w:sz="4" w:space="0" w:color="auto"/>
            </w:tcBorders>
            <w:shd w:val="clear" w:color="000000" w:fill="FFFFFF"/>
            <w:hideMark/>
          </w:tcPr>
          <w:p w14:paraId="2DB57DC0"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Year</w:t>
            </w:r>
          </w:p>
        </w:tc>
        <w:tc>
          <w:tcPr>
            <w:tcW w:w="1777" w:type="dxa"/>
            <w:tcBorders>
              <w:top w:val="double" w:sz="6" w:space="0" w:color="auto"/>
              <w:left w:val="nil"/>
              <w:bottom w:val="nil"/>
              <w:right w:val="dotted" w:sz="4" w:space="0" w:color="auto"/>
            </w:tcBorders>
            <w:shd w:val="clear" w:color="000000" w:fill="FFFFFF"/>
            <w:hideMark/>
          </w:tcPr>
          <w:p w14:paraId="26A5ED9E"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Year</w:t>
            </w:r>
          </w:p>
        </w:tc>
        <w:tc>
          <w:tcPr>
            <w:tcW w:w="1777" w:type="dxa"/>
            <w:tcBorders>
              <w:top w:val="double" w:sz="6" w:space="0" w:color="auto"/>
              <w:left w:val="nil"/>
              <w:bottom w:val="nil"/>
              <w:right w:val="dotted" w:sz="4" w:space="0" w:color="auto"/>
            </w:tcBorders>
            <w:shd w:val="clear" w:color="000000" w:fill="FFFFFF"/>
            <w:hideMark/>
          </w:tcPr>
          <w:p w14:paraId="46998916"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Year</w:t>
            </w:r>
          </w:p>
        </w:tc>
        <w:tc>
          <w:tcPr>
            <w:tcW w:w="1777" w:type="dxa"/>
            <w:tcBorders>
              <w:top w:val="double" w:sz="6" w:space="0" w:color="auto"/>
              <w:left w:val="nil"/>
              <w:bottom w:val="nil"/>
              <w:right w:val="dotted" w:sz="4" w:space="0" w:color="auto"/>
            </w:tcBorders>
            <w:shd w:val="clear" w:color="000000" w:fill="FFFFFF"/>
            <w:hideMark/>
          </w:tcPr>
          <w:p w14:paraId="0B2CDDCC"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Year</w:t>
            </w:r>
          </w:p>
        </w:tc>
        <w:tc>
          <w:tcPr>
            <w:tcW w:w="1777" w:type="dxa"/>
            <w:tcBorders>
              <w:top w:val="double" w:sz="6" w:space="0" w:color="auto"/>
              <w:left w:val="nil"/>
              <w:bottom w:val="nil"/>
              <w:right w:val="double" w:sz="6" w:space="0" w:color="auto"/>
            </w:tcBorders>
            <w:shd w:val="clear" w:color="000000" w:fill="FFFFFF"/>
            <w:hideMark/>
          </w:tcPr>
          <w:p w14:paraId="5345958D"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Year</w:t>
            </w:r>
          </w:p>
        </w:tc>
      </w:tr>
      <w:tr w:rsidR="00E34026" w:rsidRPr="00E34026" w14:paraId="199E5354" w14:textId="77777777" w:rsidTr="00E34026">
        <w:trPr>
          <w:trHeight w:val="383"/>
        </w:trPr>
        <w:tc>
          <w:tcPr>
            <w:tcW w:w="6464" w:type="dxa"/>
            <w:vMerge/>
            <w:tcBorders>
              <w:top w:val="double" w:sz="6" w:space="0" w:color="auto"/>
              <w:left w:val="double" w:sz="6" w:space="0" w:color="auto"/>
              <w:bottom w:val="single" w:sz="8" w:space="0" w:color="000000"/>
              <w:right w:val="single" w:sz="8" w:space="0" w:color="auto"/>
            </w:tcBorders>
            <w:vAlign w:val="center"/>
            <w:hideMark/>
          </w:tcPr>
          <w:p w14:paraId="7134B67A" w14:textId="77777777" w:rsidR="00E34026" w:rsidRPr="00E34026" w:rsidRDefault="00E34026" w:rsidP="00E34026">
            <w:pPr>
              <w:spacing w:after="0"/>
              <w:jc w:val="left"/>
              <w:rPr>
                <w:rFonts w:eastAsia="Times New Roman" w:cs="Times New Roman"/>
                <w:szCs w:val="24"/>
              </w:rPr>
            </w:pPr>
          </w:p>
        </w:tc>
        <w:tc>
          <w:tcPr>
            <w:tcW w:w="1777" w:type="dxa"/>
            <w:tcBorders>
              <w:top w:val="nil"/>
              <w:left w:val="nil"/>
              <w:bottom w:val="single" w:sz="8" w:space="0" w:color="auto"/>
              <w:right w:val="dotted" w:sz="4" w:space="0" w:color="auto"/>
            </w:tcBorders>
            <w:shd w:val="clear" w:color="000000" w:fill="FFFFFF"/>
            <w:hideMark/>
          </w:tcPr>
          <w:p w14:paraId="0E495764"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2023</w:t>
            </w:r>
          </w:p>
        </w:tc>
        <w:tc>
          <w:tcPr>
            <w:tcW w:w="1777" w:type="dxa"/>
            <w:tcBorders>
              <w:top w:val="nil"/>
              <w:left w:val="nil"/>
              <w:bottom w:val="single" w:sz="8" w:space="0" w:color="auto"/>
              <w:right w:val="dotted" w:sz="4" w:space="0" w:color="auto"/>
            </w:tcBorders>
            <w:shd w:val="clear" w:color="000000" w:fill="FFFFFF"/>
            <w:hideMark/>
          </w:tcPr>
          <w:p w14:paraId="2EAA4E8D"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2024</w:t>
            </w:r>
          </w:p>
        </w:tc>
        <w:tc>
          <w:tcPr>
            <w:tcW w:w="1777" w:type="dxa"/>
            <w:tcBorders>
              <w:top w:val="nil"/>
              <w:left w:val="nil"/>
              <w:bottom w:val="single" w:sz="8" w:space="0" w:color="auto"/>
              <w:right w:val="dotted" w:sz="4" w:space="0" w:color="auto"/>
            </w:tcBorders>
            <w:shd w:val="clear" w:color="000000" w:fill="FFFFFF"/>
            <w:hideMark/>
          </w:tcPr>
          <w:p w14:paraId="56944C0A"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2025</w:t>
            </w:r>
          </w:p>
        </w:tc>
        <w:tc>
          <w:tcPr>
            <w:tcW w:w="1777" w:type="dxa"/>
            <w:tcBorders>
              <w:top w:val="nil"/>
              <w:left w:val="nil"/>
              <w:bottom w:val="single" w:sz="8" w:space="0" w:color="auto"/>
              <w:right w:val="dotted" w:sz="4" w:space="0" w:color="auto"/>
            </w:tcBorders>
            <w:shd w:val="clear" w:color="000000" w:fill="FFFFFF"/>
            <w:hideMark/>
          </w:tcPr>
          <w:p w14:paraId="12360D27"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2026</w:t>
            </w:r>
          </w:p>
        </w:tc>
        <w:tc>
          <w:tcPr>
            <w:tcW w:w="1777" w:type="dxa"/>
            <w:tcBorders>
              <w:top w:val="nil"/>
              <w:left w:val="nil"/>
              <w:bottom w:val="single" w:sz="8" w:space="0" w:color="auto"/>
              <w:right w:val="double" w:sz="6" w:space="0" w:color="auto"/>
            </w:tcBorders>
            <w:shd w:val="clear" w:color="000000" w:fill="FFFFFF"/>
            <w:hideMark/>
          </w:tcPr>
          <w:p w14:paraId="3EA34BC3"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2027</w:t>
            </w:r>
          </w:p>
        </w:tc>
      </w:tr>
      <w:tr w:rsidR="00E34026" w:rsidRPr="00E34026" w14:paraId="264F3E16" w14:textId="77777777" w:rsidTr="00E34026">
        <w:trPr>
          <w:trHeight w:val="383"/>
        </w:trPr>
        <w:tc>
          <w:tcPr>
            <w:tcW w:w="15353" w:type="dxa"/>
            <w:gridSpan w:val="6"/>
            <w:tcBorders>
              <w:top w:val="single" w:sz="8" w:space="0" w:color="auto"/>
              <w:left w:val="double" w:sz="6" w:space="0" w:color="auto"/>
              <w:bottom w:val="single" w:sz="4" w:space="0" w:color="auto"/>
              <w:right w:val="double" w:sz="6" w:space="0" w:color="000000"/>
            </w:tcBorders>
            <w:shd w:val="clear" w:color="000000" w:fill="FFFFFF"/>
            <w:hideMark/>
          </w:tcPr>
          <w:p w14:paraId="69EF8F09" w14:textId="77777777" w:rsidR="00E34026" w:rsidRPr="00E34026" w:rsidRDefault="00E34026" w:rsidP="00E34026">
            <w:pPr>
              <w:spacing w:after="0"/>
              <w:jc w:val="center"/>
              <w:rPr>
                <w:rFonts w:eastAsia="Times New Roman" w:cs="Times New Roman"/>
                <w:b/>
                <w:bCs/>
                <w:szCs w:val="24"/>
              </w:rPr>
            </w:pPr>
            <w:r w:rsidRPr="00E34026">
              <w:rPr>
                <w:rFonts w:eastAsia="Times New Roman" w:cs="Times New Roman"/>
                <w:b/>
                <w:bCs/>
                <w:szCs w:val="24"/>
              </w:rPr>
              <w:t>1. GDP growth (%, yoy)</w:t>
            </w:r>
          </w:p>
        </w:tc>
      </w:tr>
      <w:tr w:rsidR="00E34026" w:rsidRPr="00E34026" w14:paraId="48CED8E9" w14:textId="77777777" w:rsidTr="00E34026">
        <w:trPr>
          <w:trHeight w:val="383"/>
        </w:trPr>
        <w:tc>
          <w:tcPr>
            <w:tcW w:w="6464" w:type="dxa"/>
            <w:tcBorders>
              <w:top w:val="nil"/>
              <w:left w:val="double" w:sz="6" w:space="0" w:color="auto"/>
              <w:bottom w:val="dotted" w:sz="4" w:space="0" w:color="auto"/>
              <w:right w:val="single" w:sz="8" w:space="0" w:color="auto"/>
            </w:tcBorders>
            <w:shd w:val="clear" w:color="000000" w:fill="FFFFFF"/>
            <w:hideMark/>
          </w:tcPr>
          <w:p w14:paraId="490DA876" w14:textId="77777777" w:rsidR="00E34026" w:rsidRPr="00E34026" w:rsidRDefault="00E34026" w:rsidP="00E34026">
            <w:pPr>
              <w:spacing w:after="0"/>
              <w:jc w:val="left"/>
              <w:rPr>
                <w:rFonts w:eastAsia="Times New Roman" w:cs="Times New Roman"/>
                <w:szCs w:val="24"/>
              </w:rPr>
            </w:pPr>
            <w:r w:rsidRPr="00E34026">
              <w:rPr>
                <w:rFonts w:eastAsia="Times New Roman" w:cs="Times New Roman"/>
                <w:szCs w:val="24"/>
              </w:rPr>
              <w:t>Previous programme</w:t>
            </w:r>
          </w:p>
        </w:tc>
        <w:tc>
          <w:tcPr>
            <w:tcW w:w="1777" w:type="dxa"/>
            <w:tcBorders>
              <w:top w:val="nil"/>
              <w:left w:val="nil"/>
              <w:bottom w:val="dotted" w:sz="4" w:space="0" w:color="auto"/>
              <w:right w:val="dotted" w:sz="4" w:space="0" w:color="auto"/>
            </w:tcBorders>
            <w:shd w:val="clear" w:color="auto" w:fill="auto"/>
            <w:hideMark/>
          </w:tcPr>
          <w:p w14:paraId="2C0481DF"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2,5</w:t>
            </w:r>
          </w:p>
        </w:tc>
        <w:tc>
          <w:tcPr>
            <w:tcW w:w="1777" w:type="dxa"/>
            <w:tcBorders>
              <w:top w:val="nil"/>
              <w:left w:val="nil"/>
              <w:bottom w:val="dotted" w:sz="4" w:space="0" w:color="auto"/>
              <w:right w:val="dotted" w:sz="4" w:space="0" w:color="auto"/>
            </w:tcBorders>
            <w:shd w:val="clear" w:color="auto" w:fill="auto"/>
            <w:hideMark/>
          </w:tcPr>
          <w:p w14:paraId="43F71B08"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3,5</w:t>
            </w:r>
          </w:p>
        </w:tc>
        <w:tc>
          <w:tcPr>
            <w:tcW w:w="1777" w:type="dxa"/>
            <w:tcBorders>
              <w:top w:val="nil"/>
              <w:left w:val="nil"/>
              <w:bottom w:val="dotted" w:sz="4" w:space="0" w:color="auto"/>
              <w:right w:val="dotted" w:sz="4" w:space="0" w:color="auto"/>
            </w:tcBorders>
            <w:shd w:val="clear" w:color="auto" w:fill="auto"/>
            <w:hideMark/>
          </w:tcPr>
          <w:p w14:paraId="79D4E5A2"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4,0</w:t>
            </w:r>
          </w:p>
        </w:tc>
        <w:tc>
          <w:tcPr>
            <w:tcW w:w="1777" w:type="dxa"/>
            <w:tcBorders>
              <w:top w:val="nil"/>
              <w:left w:val="nil"/>
              <w:bottom w:val="dotted" w:sz="4" w:space="0" w:color="auto"/>
              <w:right w:val="dotted" w:sz="4" w:space="0" w:color="auto"/>
            </w:tcBorders>
            <w:shd w:val="clear" w:color="auto" w:fill="auto"/>
            <w:hideMark/>
          </w:tcPr>
          <w:p w14:paraId="777A6EFC"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4,3</w:t>
            </w:r>
          </w:p>
        </w:tc>
        <w:tc>
          <w:tcPr>
            <w:tcW w:w="1777" w:type="dxa"/>
            <w:tcBorders>
              <w:top w:val="nil"/>
              <w:left w:val="nil"/>
              <w:bottom w:val="dotted" w:sz="4" w:space="0" w:color="auto"/>
              <w:right w:val="double" w:sz="6" w:space="0" w:color="auto"/>
            </w:tcBorders>
            <w:shd w:val="clear" w:color="auto" w:fill="auto"/>
            <w:hideMark/>
          </w:tcPr>
          <w:p w14:paraId="2F00B28F"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w:t>
            </w:r>
          </w:p>
        </w:tc>
      </w:tr>
      <w:tr w:rsidR="00E34026" w:rsidRPr="00E34026" w14:paraId="16331695" w14:textId="77777777" w:rsidTr="00E34026">
        <w:trPr>
          <w:trHeight w:val="383"/>
        </w:trPr>
        <w:tc>
          <w:tcPr>
            <w:tcW w:w="6464" w:type="dxa"/>
            <w:tcBorders>
              <w:top w:val="nil"/>
              <w:left w:val="double" w:sz="6" w:space="0" w:color="auto"/>
              <w:bottom w:val="dotted" w:sz="4" w:space="0" w:color="auto"/>
              <w:right w:val="single" w:sz="8" w:space="0" w:color="auto"/>
            </w:tcBorders>
            <w:shd w:val="clear" w:color="000000" w:fill="FFFFFF"/>
            <w:hideMark/>
          </w:tcPr>
          <w:p w14:paraId="42644EFE" w14:textId="77777777" w:rsidR="00E34026" w:rsidRPr="00E34026" w:rsidRDefault="00E34026" w:rsidP="00E34026">
            <w:pPr>
              <w:spacing w:after="0"/>
              <w:jc w:val="left"/>
              <w:rPr>
                <w:rFonts w:eastAsia="Times New Roman" w:cs="Times New Roman"/>
                <w:szCs w:val="24"/>
              </w:rPr>
            </w:pPr>
            <w:r w:rsidRPr="00E34026">
              <w:rPr>
                <w:rFonts w:eastAsia="Times New Roman" w:cs="Times New Roman"/>
                <w:szCs w:val="24"/>
              </w:rPr>
              <w:t>Latest update</w:t>
            </w:r>
          </w:p>
        </w:tc>
        <w:tc>
          <w:tcPr>
            <w:tcW w:w="1777" w:type="dxa"/>
            <w:tcBorders>
              <w:top w:val="nil"/>
              <w:left w:val="nil"/>
              <w:bottom w:val="dotted" w:sz="4" w:space="0" w:color="auto"/>
              <w:right w:val="dotted" w:sz="4" w:space="0" w:color="auto"/>
            </w:tcBorders>
            <w:shd w:val="clear" w:color="000000" w:fill="FFFFFF"/>
            <w:hideMark/>
          </w:tcPr>
          <w:p w14:paraId="1D3732C7"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3,8</w:t>
            </w:r>
          </w:p>
        </w:tc>
        <w:tc>
          <w:tcPr>
            <w:tcW w:w="1777" w:type="dxa"/>
            <w:tcBorders>
              <w:top w:val="nil"/>
              <w:left w:val="nil"/>
              <w:bottom w:val="dotted" w:sz="4" w:space="0" w:color="auto"/>
              <w:right w:val="dotted" w:sz="4" w:space="0" w:color="auto"/>
            </w:tcBorders>
            <w:shd w:val="clear" w:color="000000" w:fill="FFFFFF"/>
            <w:hideMark/>
          </w:tcPr>
          <w:p w14:paraId="69A3C13A"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3,8</w:t>
            </w:r>
          </w:p>
        </w:tc>
        <w:tc>
          <w:tcPr>
            <w:tcW w:w="1777" w:type="dxa"/>
            <w:tcBorders>
              <w:top w:val="nil"/>
              <w:left w:val="nil"/>
              <w:bottom w:val="dotted" w:sz="4" w:space="0" w:color="auto"/>
              <w:right w:val="dotted" w:sz="4" w:space="0" w:color="auto"/>
            </w:tcBorders>
            <w:shd w:val="clear" w:color="000000" w:fill="FFFFFF"/>
            <w:hideMark/>
          </w:tcPr>
          <w:p w14:paraId="4A38AC1B"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4,2</w:t>
            </w:r>
          </w:p>
        </w:tc>
        <w:tc>
          <w:tcPr>
            <w:tcW w:w="1777" w:type="dxa"/>
            <w:tcBorders>
              <w:top w:val="nil"/>
              <w:left w:val="nil"/>
              <w:bottom w:val="dotted" w:sz="4" w:space="0" w:color="auto"/>
              <w:right w:val="dotted" w:sz="4" w:space="0" w:color="auto"/>
            </w:tcBorders>
            <w:shd w:val="clear" w:color="000000" w:fill="FFFFFF"/>
            <w:hideMark/>
          </w:tcPr>
          <w:p w14:paraId="7B2F6012"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4,0</w:t>
            </w:r>
          </w:p>
        </w:tc>
        <w:tc>
          <w:tcPr>
            <w:tcW w:w="1777" w:type="dxa"/>
            <w:tcBorders>
              <w:top w:val="nil"/>
              <w:left w:val="nil"/>
              <w:bottom w:val="dotted" w:sz="4" w:space="0" w:color="auto"/>
              <w:right w:val="double" w:sz="6" w:space="0" w:color="auto"/>
            </w:tcBorders>
            <w:shd w:val="clear" w:color="000000" w:fill="FFFFFF"/>
            <w:hideMark/>
          </w:tcPr>
          <w:p w14:paraId="638591B1"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5,0</w:t>
            </w:r>
          </w:p>
        </w:tc>
      </w:tr>
      <w:tr w:rsidR="00E34026" w:rsidRPr="00E34026" w14:paraId="34E579AC" w14:textId="77777777" w:rsidTr="00E34026">
        <w:trPr>
          <w:trHeight w:val="383"/>
        </w:trPr>
        <w:tc>
          <w:tcPr>
            <w:tcW w:w="6464" w:type="dxa"/>
            <w:tcBorders>
              <w:top w:val="nil"/>
              <w:left w:val="double" w:sz="6" w:space="0" w:color="auto"/>
              <w:bottom w:val="single" w:sz="8" w:space="0" w:color="auto"/>
              <w:right w:val="single" w:sz="8" w:space="0" w:color="auto"/>
            </w:tcBorders>
            <w:shd w:val="clear" w:color="000000" w:fill="FFFFFF"/>
            <w:hideMark/>
          </w:tcPr>
          <w:p w14:paraId="40F61F75" w14:textId="77777777" w:rsidR="00E34026" w:rsidRPr="00E34026" w:rsidRDefault="00E34026" w:rsidP="00E34026">
            <w:pPr>
              <w:spacing w:after="0"/>
              <w:jc w:val="left"/>
              <w:rPr>
                <w:rFonts w:eastAsia="Times New Roman" w:cs="Times New Roman"/>
                <w:szCs w:val="24"/>
              </w:rPr>
            </w:pPr>
            <w:r w:rsidRPr="00E34026">
              <w:rPr>
                <w:rFonts w:eastAsia="Times New Roman" w:cs="Times New Roman"/>
                <w:szCs w:val="24"/>
              </w:rPr>
              <w:t>Difference (percentage points)</w:t>
            </w:r>
          </w:p>
        </w:tc>
        <w:tc>
          <w:tcPr>
            <w:tcW w:w="1777" w:type="dxa"/>
            <w:tcBorders>
              <w:top w:val="nil"/>
              <w:left w:val="nil"/>
              <w:bottom w:val="single" w:sz="8" w:space="0" w:color="auto"/>
              <w:right w:val="dotted" w:sz="4" w:space="0" w:color="auto"/>
            </w:tcBorders>
            <w:shd w:val="clear" w:color="000000" w:fill="FFFFFF"/>
            <w:hideMark/>
          </w:tcPr>
          <w:p w14:paraId="3D21905D"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1,3</w:t>
            </w:r>
          </w:p>
        </w:tc>
        <w:tc>
          <w:tcPr>
            <w:tcW w:w="1777" w:type="dxa"/>
            <w:tcBorders>
              <w:top w:val="nil"/>
              <w:left w:val="nil"/>
              <w:bottom w:val="single" w:sz="8" w:space="0" w:color="auto"/>
              <w:right w:val="dotted" w:sz="4" w:space="0" w:color="auto"/>
            </w:tcBorders>
            <w:shd w:val="clear" w:color="000000" w:fill="FFFFFF"/>
            <w:hideMark/>
          </w:tcPr>
          <w:p w14:paraId="4BAC16DA"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0,3</w:t>
            </w:r>
          </w:p>
        </w:tc>
        <w:tc>
          <w:tcPr>
            <w:tcW w:w="1777" w:type="dxa"/>
            <w:tcBorders>
              <w:top w:val="nil"/>
              <w:left w:val="nil"/>
              <w:bottom w:val="single" w:sz="8" w:space="0" w:color="auto"/>
              <w:right w:val="dotted" w:sz="4" w:space="0" w:color="auto"/>
            </w:tcBorders>
            <w:shd w:val="clear" w:color="000000" w:fill="FFFFFF"/>
            <w:hideMark/>
          </w:tcPr>
          <w:p w14:paraId="23F58595"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0,2</w:t>
            </w:r>
          </w:p>
        </w:tc>
        <w:tc>
          <w:tcPr>
            <w:tcW w:w="1777" w:type="dxa"/>
            <w:tcBorders>
              <w:top w:val="nil"/>
              <w:left w:val="nil"/>
              <w:bottom w:val="single" w:sz="8" w:space="0" w:color="auto"/>
              <w:right w:val="dotted" w:sz="4" w:space="0" w:color="auto"/>
            </w:tcBorders>
            <w:shd w:val="clear" w:color="000000" w:fill="FFFFFF"/>
            <w:hideMark/>
          </w:tcPr>
          <w:p w14:paraId="1D127D8C"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-0,3</w:t>
            </w:r>
          </w:p>
        </w:tc>
        <w:tc>
          <w:tcPr>
            <w:tcW w:w="1777" w:type="dxa"/>
            <w:tcBorders>
              <w:top w:val="nil"/>
              <w:left w:val="nil"/>
              <w:bottom w:val="single" w:sz="8" w:space="0" w:color="auto"/>
              <w:right w:val="double" w:sz="6" w:space="0" w:color="auto"/>
            </w:tcBorders>
            <w:shd w:val="clear" w:color="000000" w:fill="FFFFFF"/>
            <w:hideMark/>
          </w:tcPr>
          <w:p w14:paraId="69672438"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w:t>
            </w:r>
          </w:p>
        </w:tc>
      </w:tr>
      <w:tr w:rsidR="00E34026" w:rsidRPr="00E34026" w14:paraId="6A93C327" w14:textId="77777777" w:rsidTr="00E34026">
        <w:trPr>
          <w:trHeight w:val="383"/>
        </w:trPr>
        <w:tc>
          <w:tcPr>
            <w:tcW w:w="15353" w:type="dxa"/>
            <w:gridSpan w:val="6"/>
            <w:tcBorders>
              <w:top w:val="single" w:sz="8" w:space="0" w:color="auto"/>
              <w:left w:val="double" w:sz="6" w:space="0" w:color="auto"/>
              <w:bottom w:val="single" w:sz="4" w:space="0" w:color="auto"/>
              <w:right w:val="double" w:sz="6" w:space="0" w:color="000000"/>
            </w:tcBorders>
            <w:shd w:val="clear" w:color="000000" w:fill="FFFFFF"/>
            <w:hideMark/>
          </w:tcPr>
          <w:p w14:paraId="62798297" w14:textId="77777777" w:rsidR="00E34026" w:rsidRPr="00E34026" w:rsidRDefault="00E34026" w:rsidP="00E34026">
            <w:pPr>
              <w:spacing w:after="0"/>
              <w:jc w:val="center"/>
              <w:rPr>
                <w:rFonts w:eastAsia="Times New Roman" w:cs="Times New Roman"/>
                <w:b/>
                <w:bCs/>
                <w:szCs w:val="24"/>
              </w:rPr>
            </w:pPr>
            <w:r w:rsidRPr="00E34026">
              <w:rPr>
                <w:rFonts w:eastAsia="Times New Roman" w:cs="Times New Roman"/>
                <w:b/>
                <w:bCs/>
                <w:szCs w:val="24"/>
              </w:rPr>
              <w:t>2. General government net lending  (% of GDP)</w:t>
            </w:r>
          </w:p>
        </w:tc>
      </w:tr>
      <w:tr w:rsidR="00E34026" w:rsidRPr="00E34026" w14:paraId="21EE9C5F" w14:textId="77777777" w:rsidTr="00E34026">
        <w:trPr>
          <w:trHeight w:val="383"/>
        </w:trPr>
        <w:tc>
          <w:tcPr>
            <w:tcW w:w="6464" w:type="dxa"/>
            <w:tcBorders>
              <w:top w:val="nil"/>
              <w:left w:val="double" w:sz="6" w:space="0" w:color="auto"/>
              <w:bottom w:val="dotted" w:sz="4" w:space="0" w:color="auto"/>
              <w:right w:val="single" w:sz="8" w:space="0" w:color="auto"/>
            </w:tcBorders>
            <w:shd w:val="clear" w:color="000000" w:fill="FFFFFF"/>
            <w:hideMark/>
          </w:tcPr>
          <w:p w14:paraId="41B2A960" w14:textId="77777777" w:rsidR="00E34026" w:rsidRPr="00E34026" w:rsidRDefault="00E34026" w:rsidP="00E34026">
            <w:pPr>
              <w:spacing w:after="0"/>
              <w:jc w:val="left"/>
              <w:rPr>
                <w:rFonts w:eastAsia="Times New Roman" w:cs="Times New Roman"/>
                <w:szCs w:val="24"/>
              </w:rPr>
            </w:pPr>
            <w:r w:rsidRPr="00E34026">
              <w:rPr>
                <w:rFonts w:eastAsia="Times New Roman" w:cs="Times New Roman"/>
                <w:szCs w:val="24"/>
              </w:rPr>
              <w:t>Previous programme</w:t>
            </w:r>
          </w:p>
        </w:tc>
        <w:tc>
          <w:tcPr>
            <w:tcW w:w="1777" w:type="dxa"/>
            <w:tcBorders>
              <w:top w:val="nil"/>
              <w:left w:val="nil"/>
              <w:bottom w:val="dotted" w:sz="4" w:space="0" w:color="auto"/>
              <w:right w:val="dotted" w:sz="4" w:space="0" w:color="auto"/>
            </w:tcBorders>
            <w:shd w:val="clear" w:color="auto" w:fill="auto"/>
            <w:hideMark/>
          </w:tcPr>
          <w:p w14:paraId="7E18AB87"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-2,8</w:t>
            </w:r>
          </w:p>
        </w:tc>
        <w:tc>
          <w:tcPr>
            <w:tcW w:w="1777" w:type="dxa"/>
            <w:tcBorders>
              <w:top w:val="nil"/>
              <w:left w:val="nil"/>
              <w:bottom w:val="dotted" w:sz="4" w:space="0" w:color="auto"/>
              <w:right w:val="dotted" w:sz="4" w:space="0" w:color="auto"/>
            </w:tcBorders>
            <w:shd w:val="clear" w:color="auto" w:fill="auto"/>
            <w:hideMark/>
          </w:tcPr>
          <w:p w14:paraId="13794A37"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-2,2</w:t>
            </w:r>
          </w:p>
        </w:tc>
        <w:tc>
          <w:tcPr>
            <w:tcW w:w="1777" w:type="dxa"/>
            <w:tcBorders>
              <w:top w:val="nil"/>
              <w:left w:val="nil"/>
              <w:bottom w:val="dotted" w:sz="4" w:space="0" w:color="auto"/>
              <w:right w:val="dotted" w:sz="4" w:space="0" w:color="auto"/>
            </w:tcBorders>
            <w:shd w:val="clear" w:color="auto" w:fill="auto"/>
            <w:hideMark/>
          </w:tcPr>
          <w:p w14:paraId="2F20D050"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-1,5</w:t>
            </w:r>
          </w:p>
        </w:tc>
        <w:tc>
          <w:tcPr>
            <w:tcW w:w="1777" w:type="dxa"/>
            <w:tcBorders>
              <w:top w:val="nil"/>
              <w:left w:val="nil"/>
              <w:bottom w:val="dotted" w:sz="4" w:space="0" w:color="auto"/>
              <w:right w:val="dotted" w:sz="4" w:space="0" w:color="auto"/>
            </w:tcBorders>
            <w:shd w:val="clear" w:color="auto" w:fill="auto"/>
            <w:hideMark/>
          </w:tcPr>
          <w:p w14:paraId="18E4469C"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-1,5</w:t>
            </w:r>
          </w:p>
        </w:tc>
        <w:tc>
          <w:tcPr>
            <w:tcW w:w="1777" w:type="dxa"/>
            <w:tcBorders>
              <w:top w:val="nil"/>
              <w:left w:val="nil"/>
              <w:bottom w:val="dotted" w:sz="4" w:space="0" w:color="auto"/>
              <w:right w:val="double" w:sz="6" w:space="0" w:color="auto"/>
            </w:tcBorders>
            <w:shd w:val="clear" w:color="auto" w:fill="auto"/>
            <w:hideMark/>
          </w:tcPr>
          <w:p w14:paraId="08759555"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w:t>
            </w:r>
          </w:p>
        </w:tc>
      </w:tr>
      <w:tr w:rsidR="00E34026" w:rsidRPr="00E34026" w14:paraId="1BE05A84" w14:textId="77777777" w:rsidTr="00E34026">
        <w:trPr>
          <w:trHeight w:val="383"/>
        </w:trPr>
        <w:tc>
          <w:tcPr>
            <w:tcW w:w="6464" w:type="dxa"/>
            <w:tcBorders>
              <w:top w:val="nil"/>
              <w:left w:val="double" w:sz="6" w:space="0" w:color="auto"/>
              <w:bottom w:val="dotted" w:sz="4" w:space="0" w:color="auto"/>
              <w:right w:val="single" w:sz="8" w:space="0" w:color="auto"/>
            </w:tcBorders>
            <w:shd w:val="clear" w:color="000000" w:fill="FFFFFF"/>
            <w:hideMark/>
          </w:tcPr>
          <w:p w14:paraId="59F1AEB8" w14:textId="77777777" w:rsidR="00E34026" w:rsidRPr="00E34026" w:rsidRDefault="00E34026" w:rsidP="00E34026">
            <w:pPr>
              <w:spacing w:after="0"/>
              <w:jc w:val="left"/>
              <w:rPr>
                <w:rFonts w:eastAsia="Times New Roman" w:cs="Times New Roman"/>
                <w:szCs w:val="24"/>
              </w:rPr>
            </w:pPr>
            <w:r w:rsidRPr="00E34026">
              <w:rPr>
                <w:rFonts w:eastAsia="Times New Roman" w:cs="Times New Roman"/>
                <w:szCs w:val="24"/>
              </w:rPr>
              <w:t>Latest update</w:t>
            </w:r>
          </w:p>
        </w:tc>
        <w:tc>
          <w:tcPr>
            <w:tcW w:w="1777" w:type="dxa"/>
            <w:tcBorders>
              <w:top w:val="nil"/>
              <w:left w:val="nil"/>
              <w:bottom w:val="dotted" w:sz="4" w:space="0" w:color="auto"/>
              <w:right w:val="dotted" w:sz="4" w:space="0" w:color="auto"/>
            </w:tcBorders>
            <w:shd w:val="clear" w:color="000000" w:fill="FFFFFF"/>
            <w:hideMark/>
          </w:tcPr>
          <w:p w14:paraId="27C8AA41"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-2,1</w:t>
            </w:r>
          </w:p>
        </w:tc>
        <w:tc>
          <w:tcPr>
            <w:tcW w:w="1777" w:type="dxa"/>
            <w:tcBorders>
              <w:top w:val="nil"/>
              <w:left w:val="nil"/>
              <w:bottom w:val="dotted" w:sz="4" w:space="0" w:color="auto"/>
              <w:right w:val="dotted" w:sz="4" w:space="0" w:color="auto"/>
            </w:tcBorders>
            <w:shd w:val="clear" w:color="000000" w:fill="FFFFFF"/>
            <w:hideMark/>
          </w:tcPr>
          <w:p w14:paraId="5838382F"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-2,7</w:t>
            </w:r>
          </w:p>
        </w:tc>
        <w:tc>
          <w:tcPr>
            <w:tcW w:w="1777" w:type="dxa"/>
            <w:tcBorders>
              <w:top w:val="nil"/>
              <w:left w:val="nil"/>
              <w:bottom w:val="dotted" w:sz="4" w:space="0" w:color="auto"/>
              <w:right w:val="dotted" w:sz="4" w:space="0" w:color="auto"/>
            </w:tcBorders>
            <w:shd w:val="clear" w:color="000000" w:fill="FFFFFF"/>
            <w:hideMark/>
          </w:tcPr>
          <w:p w14:paraId="7FD0423B"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-3,0</w:t>
            </w:r>
          </w:p>
        </w:tc>
        <w:tc>
          <w:tcPr>
            <w:tcW w:w="1777" w:type="dxa"/>
            <w:tcBorders>
              <w:top w:val="nil"/>
              <w:left w:val="nil"/>
              <w:bottom w:val="dotted" w:sz="4" w:space="0" w:color="auto"/>
              <w:right w:val="dotted" w:sz="4" w:space="0" w:color="auto"/>
            </w:tcBorders>
            <w:shd w:val="clear" w:color="000000" w:fill="FFFFFF"/>
            <w:hideMark/>
          </w:tcPr>
          <w:p w14:paraId="7389C57F"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-3,0</w:t>
            </w:r>
          </w:p>
        </w:tc>
        <w:tc>
          <w:tcPr>
            <w:tcW w:w="1777" w:type="dxa"/>
            <w:tcBorders>
              <w:top w:val="nil"/>
              <w:left w:val="nil"/>
              <w:bottom w:val="dotted" w:sz="4" w:space="0" w:color="auto"/>
              <w:right w:val="double" w:sz="6" w:space="0" w:color="auto"/>
            </w:tcBorders>
            <w:shd w:val="clear" w:color="000000" w:fill="FFFFFF"/>
            <w:hideMark/>
          </w:tcPr>
          <w:p w14:paraId="076A80EB"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-3,0</w:t>
            </w:r>
          </w:p>
        </w:tc>
      </w:tr>
      <w:tr w:rsidR="00E34026" w:rsidRPr="00E34026" w14:paraId="2D114761" w14:textId="77777777" w:rsidTr="00E34026">
        <w:trPr>
          <w:trHeight w:val="383"/>
        </w:trPr>
        <w:tc>
          <w:tcPr>
            <w:tcW w:w="6464" w:type="dxa"/>
            <w:tcBorders>
              <w:top w:val="nil"/>
              <w:left w:val="double" w:sz="6" w:space="0" w:color="auto"/>
              <w:bottom w:val="single" w:sz="8" w:space="0" w:color="auto"/>
              <w:right w:val="single" w:sz="8" w:space="0" w:color="auto"/>
            </w:tcBorders>
            <w:shd w:val="clear" w:color="000000" w:fill="FFFFFF"/>
            <w:hideMark/>
          </w:tcPr>
          <w:p w14:paraId="08FD34B3" w14:textId="77777777" w:rsidR="00E34026" w:rsidRPr="00E34026" w:rsidRDefault="00E34026" w:rsidP="00E34026">
            <w:pPr>
              <w:spacing w:after="0"/>
              <w:jc w:val="left"/>
              <w:rPr>
                <w:rFonts w:eastAsia="Times New Roman" w:cs="Times New Roman"/>
                <w:szCs w:val="24"/>
              </w:rPr>
            </w:pPr>
            <w:r w:rsidRPr="00E34026">
              <w:rPr>
                <w:rFonts w:eastAsia="Times New Roman" w:cs="Times New Roman"/>
                <w:szCs w:val="24"/>
              </w:rPr>
              <w:t>Difference</w:t>
            </w:r>
          </w:p>
        </w:tc>
        <w:tc>
          <w:tcPr>
            <w:tcW w:w="1777" w:type="dxa"/>
            <w:tcBorders>
              <w:top w:val="nil"/>
              <w:left w:val="nil"/>
              <w:bottom w:val="single" w:sz="8" w:space="0" w:color="auto"/>
              <w:right w:val="dotted" w:sz="4" w:space="0" w:color="auto"/>
            </w:tcBorders>
            <w:shd w:val="clear" w:color="000000" w:fill="FFFFFF"/>
            <w:hideMark/>
          </w:tcPr>
          <w:p w14:paraId="74DB7A16"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0,7</w:t>
            </w:r>
          </w:p>
        </w:tc>
        <w:tc>
          <w:tcPr>
            <w:tcW w:w="1777" w:type="dxa"/>
            <w:tcBorders>
              <w:top w:val="nil"/>
              <w:left w:val="nil"/>
              <w:bottom w:val="single" w:sz="8" w:space="0" w:color="auto"/>
              <w:right w:val="dotted" w:sz="4" w:space="0" w:color="auto"/>
            </w:tcBorders>
            <w:shd w:val="clear" w:color="000000" w:fill="FFFFFF"/>
            <w:hideMark/>
          </w:tcPr>
          <w:p w14:paraId="22E78DA3"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-0,5</w:t>
            </w:r>
          </w:p>
        </w:tc>
        <w:tc>
          <w:tcPr>
            <w:tcW w:w="1777" w:type="dxa"/>
            <w:tcBorders>
              <w:top w:val="nil"/>
              <w:left w:val="nil"/>
              <w:bottom w:val="single" w:sz="8" w:space="0" w:color="auto"/>
              <w:right w:val="dotted" w:sz="4" w:space="0" w:color="auto"/>
            </w:tcBorders>
            <w:shd w:val="clear" w:color="000000" w:fill="FFFFFF"/>
            <w:hideMark/>
          </w:tcPr>
          <w:p w14:paraId="28317292"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-1,5</w:t>
            </w:r>
          </w:p>
        </w:tc>
        <w:tc>
          <w:tcPr>
            <w:tcW w:w="1777" w:type="dxa"/>
            <w:tcBorders>
              <w:top w:val="nil"/>
              <w:left w:val="nil"/>
              <w:bottom w:val="single" w:sz="8" w:space="0" w:color="auto"/>
              <w:right w:val="dotted" w:sz="4" w:space="0" w:color="auto"/>
            </w:tcBorders>
            <w:shd w:val="clear" w:color="000000" w:fill="FFFFFF"/>
            <w:hideMark/>
          </w:tcPr>
          <w:p w14:paraId="0C05020A"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-1,5</w:t>
            </w:r>
          </w:p>
        </w:tc>
        <w:tc>
          <w:tcPr>
            <w:tcW w:w="1777" w:type="dxa"/>
            <w:tcBorders>
              <w:top w:val="nil"/>
              <w:left w:val="nil"/>
              <w:bottom w:val="single" w:sz="8" w:space="0" w:color="auto"/>
              <w:right w:val="double" w:sz="6" w:space="0" w:color="auto"/>
            </w:tcBorders>
            <w:shd w:val="clear" w:color="000000" w:fill="FFFFFF"/>
            <w:hideMark/>
          </w:tcPr>
          <w:p w14:paraId="372BF98C"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w:t>
            </w:r>
          </w:p>
        </w:tc>
      </w:tr>
      <w:tr w:rsidR="00E34026" w:rsidRPr="00E34026" w14:paraId="1CD6BECF" w14:textId="77777777" w:rsidTr="00E34026">
        <w:trPr>
          <w:trHeight w:val="383"/>
        </w:trPr>
        <w:tc>
          <w:tcPr>
            <w:tcW w:w="15353" w:type="dxa"/>
            <w:gridSpan w:val="6"/>
            <w:tcBorders>
              <w:top w:val="single" w:sz="8" w:space="0" w:color="auto"/>
              <w:left w:val="double" w:sz="6" w:space="0" w:color="auto"/>
              <w:bottom w:val="single" w:sz="4" w:space="0" w:color="auto"/>
              <w:right w:val="double" w:sz="6" w:space="0" w:color="000000"/>
            </w:tcBorders>
            <w:shd w:val="clear" w:color="000000" w:fill="FFFFFF"/>
            <w:hideMark/>
          </w:tcPr>
          <w:p w14:paraId="0AEC0DB6" w14:textId="77777777" w:rsidR="00E34026" w:rsidRPr="00E34026" w:rsidRDefault="00E34026" w:rsidP="00E34026">
            <w:pPr>
              <w:spacing w:after="0"/>
              <w:jc w:val="center"/>
              <w:rPr>
                <w:rFonts w:eastAsia="Times New Roman" w:cs="Times New Roman"/>
                <w:b/>
                <w:bCs/>
                <w:szCs w:val="24"/>
              </w:rPr>
            </w:pPr>
            <w:r w:rsidRPr="00E34026">
              <w:rPr>
                <w:rFonts w:eastAsia="Times New Roman" w:cs="Times New Roman"/>
                <w:b/>
                <w:bCs/>
                <w:szCs w:val="24"/>
              </w:rPr>
              <w:t>3. General government gross debt (% of GDP)</w:t>
            </w:r>
          </w:p>
        </w:tc>
      </w:tr>
      <w:tr w:rsidR="00E34026" w:rsidRPr="00E34026" w14:paraId="67A4D657" w14:textId="77777777" w:rsidTr="00E34026">
        <w:trPr>
          <w:trHeight w:val="383"/>
        </w:trPr>
        <w:tc>
          <w:tcPr>
            <w:tcW w:w="6464" w:type="dxa"/>
            <w:tcBorders>
              <w:top w:val="nil"/>
              <w:left w:val="double" w:sz="6" w:space="0" w:color="auto"/>
              <w:bottom w:val="dotted" w:sz="4" w:space="0" w:color="auto"/>
              <w:right w:val="single" w:sz="8" w:space="0" w:color="auto"/>
            </w:tcBorders>
            <w:shd w:val="clear" w:color="000000" w:fill="FFFFFF"/>
            <w:hideMark/>
          </w:tcPr>
          <w:p w14:paraId="7562CDCF" w14:textId="77777777" w:rsidR="00E34026" w:rsidRPr="00E34026" w:rsidRDefault="00E34026" w:rsidP="00E34026">
            <w:pPr>
              <w:spacing w:after="0"/>
              <w:jc w:val="left"/>
              <w:rPr>
                <w:rFonts w:eastAsia="Times New Roman" w:cs="Times New Roman"/>
                <w:szCs w:val="24"/>
              </w:rPr>
            </w:pPr>
            <w:r w:rsidRPr="00E34026">
              <w:rPr>
                <w:rFonts w:eastAsia="Times New Roman" w:cs="Times New Roman"/>
                <w:szCs w:val="24"/>
              </w:rPr>
              <w:t>Previous programme</w:t>
            </w:r>
          </w:p>
        </w:tc>
        <w:tc>
          <w:tcPr>
            <w:tcW w:w="1777" w:type="dxa"/>
            <w:tcBorders>
              <w:top w:val="nil"/>
              <w:left w:val="nil"/>
              <w:bottom w:val="dotted" w:sz="4" w:space="0" w:color="auto"/>
              <w:right w:val="dotted" w:sz="4" w:space="0" w:color="auto"/>
            </w:tcBorders>
            <w:shd w:val="clear" w:color="auto" w:fill="auto"/>
            <w:hideMark/>
          </w:tcPr>
          <w:p w14:paraId="6A7E6A65"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53,3</w:t>
            </w:r>
          </w:p>
        </w:tc>
        <w:tc>
          <w:tcPr>
            <w:tcW w:w="1777" w:type="dxa"/>
            <w:tcBorders>
              <w:top w:val="nil"/>
              <w:left w:val="nil"/>
              <w:bottom w:val="dotted" w:sz="4" w:space="0" w:color="auto"/>
              <w:right w:val="dotted" w:sz="4" w:space="0" w:color="auto"/>
            </w:tcBorders>
            <w:shd w:val="clear" w:color="auto" w:fill="auto"/>
            <w:hideMark/>
          </w:tcPr>
          <w:p w14:paraId="0EC489A0"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51,7</w:t>
            </w:r>
          </w:p>
        </w:tc>
        <w:tc>
          <w:tcPr>
            <w:tcW w:w="1777" w:type="dxa"/>
            <w:tcBorders>
              <w:top w:val="nil"/>
              <w:left w:val="nil"/>
              <w:bottom w:val="dotted" w:sz="4" w:space="0" w:color="auto"/>
              <w:right w:val="dotted" w:sz="4" w:space="0" w:color="auto"/>
            </w:tcBorders>
            <w:shd w:val="clear" w:color="auto" w:fill="auto"/>
            <w:hideMark/>
          </w:tcPr>
          <w:p w14:paraId="24E065F1"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50,7</w:t>
            </w:r>
          </w:p>
        </w:tc>
        <w:tc>
          <w:tcPr>
            <w:tcW w:w="1777" w:type="dxa"/>
            <w:tcBorders>
              <w:top w:val="nil"/>
              <w:left w:val="nil"/>
              <w:bottom w:val="dotted" w:sz="4" w:space="0" w:color="auto"/>
              <w:right w:val="dotted" w:sz="4" w:space="0" w:color="auto"/>
            </w:tcBorders>
            <w:shd w:val="clear" w:color="auto" w:fill="auto"/>
            <w:hideMark/>
          </w:tcPr>
          <w:p w14:paraId="4FB38579"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50,0</w:t>
            </w:r>
          </w:p>
        </w:tc>
        <w:tc>
          <w:tcPr>
            <w:tcW w:w="1777" w:type="dxa"/>
            <w:tcBorders>
              <w:top w:val="nil"/>
              <w:left w:val="nil"/>
              <w:bottom w:val="dotted" w:sz="4" w:space="0" w:color="auto"/>
              <w:right w:val="double" w:sz="6" w:space="0" w:color="auto"/>
            </w:tcBorders>
            <w:shd w:val="clear" w:color="auto" w:fill="auto"/>
            <w:hideMark/>
          </w:tcPr>
          <w:p w14:paraId="35145244"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w:t>
            </w:r>
          </w:p>
        </w:tc>
      </w:tr>
      <w:tr w:rsidR="00E34026" w:rsidRPr="00E34026" w14:paraId="4A04B7F6" w14:textId="77777777" w:rsidTr="00E34026">
        <w:trPr>
          <w:trHeight w:val="383"/>
        </w:trPr>
        <w:tc>
          <w:tcPr>
            <w:tcW w:w="6464" w:type="dxa"/>
            <w:tcBorders>
              <w:top w:val="nil"/>
              <w:left w:val="double" w:sz="6" w:space="0" w:color="auto"/>
              <w:bottom w:val="dotted" w:sz="4" w:space="0" w:color="auto"/>
              <w:right w:val="single" w:sz="8" w:space="0" w:color="auto"/>
            </w:tcBorders>
            <w:shd w:val="clear" w:color="000000" w:fill="FFFFFF"/>
            <w:hideMark/>
          </w:tcPr>
          <w:p w14:paraId="39BFA711" w14:textId="77777777" w:rsidR="00E34026" w:rsidRPr="00E34026" w:rsidRDefault="00E34026" w:rsidP="00E34026">
            <w:pPr>
              <w:spacing w:after="0"/>
              <w:jc w:val="left"/>
              <w:rPr>
                <w:rFonts w:eastAsia="Times New Roman" w:cs="Times New Roman"/>
                <w:szCs w:val="24"/>
              </w:rPr>
            </w:pPr>
            <w:r w:rsidRPr="00E34026">
              <w:rPr>
                <w:rFonts w:eastAsia="Times New Roman" w:cs="Times New Roman"/>
                <w:szCs w:val="24"/>
              </w:rPr>
              <w:t>Latest update</w:t>
            </w:r>
          </w:p>
        </w:tc>
        <w:tc>
          <w:tcPr>
            <w:tcW w:w="1777" w:type="dxa"/>
            <w:tcBorders>
              <w:top w:val="nil"/>
              <w:left w:val="nil"/>
              <w:bottom w:val="dotted" w:sz="4" w:space="0" w:color="auto"/>
              <w:right w:val="dotted" w:sz="4" w:space="0" w:color="auto"/>
            </w:tcBorders>
            <w:shd w:val="clear" w:color="000000" w:fill="FFFFFF"/>
            <w:hideMark/>
          </w:tcPr>
          <w:p w14:paraId="0878FA64"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48,4</w:t>
            </w:r>
          </w:p>
        </w:tc>
        <w:tc>
          <w:tcPr>
            <w:tcW w:w="1777" w:type="dxa"/>
            <w:tcBorders>
              <w:top w:val="nil"/>
              <w:left w:val="nil"/>
              <w:bottom w:val="dotted" w:sz="4" w:space="0" w:color="auto"/>
              <w:right w:val="dotted" w:sz="4" w:space="0" w:color="auto"/>
            </w:tcBorders>
            <w:shd w:val="clear" w:color="000000" w:fill="FFFFFF"/>
            <w:hideMark/>
          </w:tcPr>
          <w:p w14:paraId="242A7F2F"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47,9</w:t>
            </w:r>
          </w:p>
        </w:tc>
        <w:tc>
          <w:tcPr>
            <w:tcW w:w="1777" w:type="dxa"/>
            <w:tcBorders>
              <w:top w:val="nil"/>
              <w:left w:val="nil"/>
              <w:bottom w:val="dotted" w:sz="4" w:space="0" w:color="auto"/>
              <w:right w:val="dotted" w:sz="4" w:space="0" w:color="auto"/>
            </w:tcBorders>
            <w:shd w:val="clear" w:color="000000" w:fill="FFFFFF"/>
            <w:hideMark/>
          </w:tcPr>
          <w:p w14:paraId="0D5DF20A"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47,5</w:t>
            </w:r>
          </w:p>
        </w:tc>
        <w:tc>
          <w:tcPr>
            <w:tcW w:w="1777" w:type="dxa"/>
            <w:tcBorders>
              <w:top w:val="nil"/>
              <w:left w:val="nil"/>
              <w:bottom w:val="dotted" w:sz="4" w:space="0" w:color="auto"/>
              <w:right w:val="dotted" w:sz="4" w:space="0" w:color="auto"/>
            </w:tcBorders>
            <w:shd w:val="clear" w:color="000000" w:fill="FFFFFF"/>
            <w:hideMark/>
          </w:tcPr>
          <w:p w14:paraId="681B1371"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47,0</w:t>
            </w:r>
          </w:p>
        </w:tc>
        <w:tc>
          <w:tcPr>
            <w:tcW w:w="1777" w:type="dxa"/>
            <w:tcBorders>
              <w:top w:val="nil"/>
              <w:left w:val="nil"/>
              <w:bottom w:val="dotted" w:sz="4" w:space="0" w:color="auto"/>
              <w:right w:val="double" w:sz="6" w:space="0" w:color="auto"/>
            </w:tcBorders>
            <w:shd w:val="clear" w:color="000000" w:fill="FFFFFF"/>
            <w:hideMark/>
          </w:tcPr>
          <w:p w14:paraId="71C5BD86"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46,5</w:t>
            </w:r>
          </w:p>
        </w:tc>
      </w:tr>
      <w:tr w:rsidR="00E34026" w:rsidRPr="00E34026" w14:paraId="7B501052" w14:textId="77777777" w:rsidTr="00E34026">
        <w:trPr>
          <w:trHeight w:val="383"/>
        </w:trPr>
        <w:tc>
          <w:tcPr>
            <w:tcW w:w="6464" w:type="dxa"/>
            <w:tcBorders>
              <w:top w:val="nil"/>
              <w:left w:val="double" w:sz="6" w:space="0" w:color="auto"/>
              <w:bottom w:val="double" w:sz="6" w:space="0" w:color="auto"/>
              <w:right w:val="single" w:sz="8" w:space="0" w:color="auto"/>
            </w:tcBorders>
            <w:shd w:val="clear" w:color="000000" w:fill="FFFFFF"/>
            <w:hideMark/>
          </w:tcPr>
          <w:p w14:paraId="321242FE" w14:textId="50117799" w:rsidR="00E34026" w:rsidRPr="00E34026" w:rsidRDefault="00E34026" w:rsidP="00E34026">
            <w:pPr>
              <w:spacing w:after="0"/>
              <w:jc w:val="left"/>
              <w:rPr>
                <w:rFonts w:eastAsia="Times New Roman" w:cs="Times New Roman"/>
                <w:szCs w:val="24"/>
              </w:rPr>
            </w:pPr>
            <w:bookmarkStart w:id="78" w:name="RANGE!B17"/>
            <w:r w:rsidRPr="00E34026">
              <w:rPr>
                <w:rFonts w:eastAsia="Times New Roman" w:cs="Times New Roman"/>
                <w:szCs w:val="24"/>
              </w:rPr>
              <w:t>Difference</w:t>
            </w:r>
            <w:bookmarkEnd w:id="78"/>
          </w:p>
        </w:tc>
        <w:tc>
          <w:tcPr>
            <w:tcW w:w="1777" w:type="dxa"/>
            <w:tcBorders>
              <w:top w:val="nil"/>
              <w:left w:val="nil"/>
              <w:bottom w:val="double" w:sz="6" w:space="0" w:color="auto"/>
              <w:right w:val="dotted" w:sz="4" w:space="0" w:color="auto"/>
            </w:tcBorders>
            <w:shd w:val="clear" w:color="000000" w:fill="FFFFFF"/>
            <w:hideMark/>
          </w:tcPr>
          <w:p w14:paraId="01A0CFF6"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-4,9</w:t>
            </w:r>
          </w:p>
        </w:tc>
        <w:tc>
          <w:tcPr>
            <w:tcW w:w="1777" w:type="dxa"/>
            <w:tcBorders>
              <w:top w:val="nil"/>
              <w:left w:val="nil"/>
              <w:bottom w:val="double" w:sz="6" w:space="0" w:color="auto"/>
              <w:right w:val="dotted" w:sz="4" w:space="0" w:color="auto"/>
            </w:tcBorders>
            <w:shd w:val="clear" w:color="000000" w:fill="FFFFFF"/>
            <w:hideMark/>
          </w:tcPr>
          <w:p w14:paraId="1156C100"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-3,8</w:t>
            </w:r>
          </w:p>
        </w:tc>
        <w:tc>
          <w:tcPr>
            <w:tcW w:w="1777" w:type="dxa"/>
            <w:tcBorders>
              <w:top w:val="nil"/>
              <w:left w:val="nil"/>
              <w:bottom w:val="double" w:sz="6" w:space="0" w:color="auto"/>
              <w:right w:val="dotted" w:sz="4" w:space="0" w:color="auto"/>
            </w:tcBorders>
            <w:shd w:val="clear" w:color="000000" w:fill="FFFFFF"/>
            <w:hideMark/>
          </w:tcPr>
          <w:p w14:paraId="4836CC0E"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-3,2</w:t>
            </w:r>
          </w:p>
        </w:tc>
        <w:tc>
          <w:tcPr>
            <w:tcW w:w="1777" w:type="dxa"/>
            <w:tcBorders>
              <w:top w:val="nil"/>
              <w:left w:val="nil"/>
              <w:bottom w:val="double" w:sz="6" w:space="0" w:color="auto"/>
              <w:right w:val="dotted" w:sz="4" w:space="0" w:color="auto"/>
            </w:tcBorders>
            <w:shd w:val="clear" w:color="000000" w:fill="FFFFFF"/>
            <w:hideMark/>
          </w:tcPr>
          <w:p w14:paraId="793F1D1F"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-3,0</w:t>
            </w:r>
          </w:p>
        </w:tc>
        <w:tc>
          <w:tcPr>
            <w:tcW w:w="1777" w:type="dxa"/>
            <w:tcBorders>
              <w:top w:val="nil"/>
              <w:left w:val="nil"/>
              <w:bottom w:val="double" w:sz="6" w:space="0" w:color="auto"/>
              <w:right w:val="double" w:sz="6" w:space="0" w:color="auto"/>
            </w:tcBorders>
            <w:shd w:val="clear" w:color="000000" w:fill="FFFFFF"/>
            <w:hideMark/>
          </w:tcPr>
          <w:p w14:paraId="054D234E" w14:textId="77777777" w:rsidR="00E34026" w:rsidRPr="00E34026" w:rsidRDefault="00E34026" w:rsidP="00E34026">
            <w:pPr>
              <w:spacing w:after="0"/>
              <w:jc w:val="center"/>
              <w:rPr>
                <w:rFonts w:eastAsia="Times New Roman" w:cs="Times New Roman"/>
                <w:szCs w:val="24"/>
              </w:rPr>
            </w:pPr>
            <w:r w:rsidRPr="00E34026">
              <w:rPr>
                <w:rFonts w:eastAsia="Times New Roman" w:cs="Times New Roman"/>
                <w:szCs w:val="24"/>
              </w:rPr>
              <w:t>:</w:t>
            </w:r>
          </w:p>
        </w:tc>
      </w:tr>
    </w:tbl>
    <w:p w14:paraId="15987444" w14:textId="1ADFAC19" w:rsidR="00247B57" w:rsidRDefault="00E34026" w:rsidP="00E34026">
      <w:pPr>
        <w:rPr>
          <w:szCs w:val="24"/>
        </w:rPr>
      </w:pPr>
      <w:r>
        <w:rPr>
          <w:szCs w:val="24"/>
        </w:rPr>
        <w:fldChar w:fldCharType="end"/>
      </w:r>
    </w:p>
    <w:p w14:paraId="11D9F528" w14:textId="1BD4B9DE" w:rsidR="00247B57" w:rsidRDefault="00247B57" w:rsidP="00247B57">
      <w:pPr>
        <w:rPr>
          <w:szCs w:val="24"/>
        </w:rPr>
      </w:pPr>
    </w:p>
    <w:p w14:paraId="4AEB4A59" w14:textId="089DFF2D" w:rsidR="00247B57" w:rsidRDefault="00247B57" w:rsidP="00247B57">
      <w:pPr>
        <w:rPr>
          <w:szCs w:val="24"/>
        </w:rPr>
      </w:pPr>
    </w:p>
    <w:p w14:paraId="30531A12" w14:textId="7C71E7F6" w:rsidR="00247B57" w:rsidRDefault="00247B57" w:rsidP="00247B57">
      <w:pPr>
        <w:rPr>
          <w:szCs w:val="24"/>
        </w:rPr>
      </w:pPr>
      <w:r w:rsidRPr="00247B57">
        <w:rPr>
          <w:szCs w:val="24"/>
        </w:rPr>
        <w:lastRenderedPageBreak/>
        <w:t>Table 7: Long-term sustainability of public finances (% GDP)</w:t>
      </w:r>
    </w:p>
    <w:p w14:paraId="519A7F95" w14:textId="10F3A87D" w:rsidR="00247B57" w:rsidRDefault="00247B57" w:rsidP="00247B57">
      <w:pPr>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data!R244C2:R270C9 </w:instrText>
      </w:r>
      <w:r>
        <w:instrText xml:space="preserve">\a \f 4 \h  \* MERGEFORMAT </w:instrText>
      </w:r>
      <w:r>
        <w:fldChar w:fldCharType="separate"/>
      </w:r>
    </w:p>
    <w:tbl>
      <w:tblPr>
        <w:tblW w:w="15242" w:type="dxa"/>
        <w:tblLook w:val="04A0" w:firstRow="1" w:lastRow="0" w:firstColumn="1" w:lastColumn="0" w:noHBand="0" w:noVBand="1"/>
      </w:tblPr>
      <w:tblGrid>
        <w:gridCol w:w="5547"/>
        <w:gridCol w:w="1377"/>
        <w:gridCol w:w="1434"/>
        <w:gridCol w:w="1319"/>
        <w:gridCol w:w="1377"/>
        <w:gridCol w:w="1396"/>
        <w:gridCol w:w="1396"/>
        <w:gridCol w:w="1396"/>
      </w:tblGrid>
      <w:tr w:rsidR="00247B57" w:rsidRPr="00247B57" w14:paraId="56C6131A" w14:textId="77777777" w:rsidTr="00247B57">
        <w:trPr>
          <w:trHeight w:val="298"/>
        </w:trPr>
        <w:tc>
          <w:tcPr>
            <w:tcW w:w="5547" w:type="dxa"/>
            <w:tcBorders>
              <w:top w:val="double" w:sz="6" w:space="0" w:color="auto"/>
              <w:left w:val="double" w:sz="6" w:space="0" w:color="auto"/>
              <w:bottom w:val="double" w:sz="6" w:space="0" w:color="auto"/>
              <w:right w:val="nil"/>
            </w:tcBorders>
            <w:shd w:val="clear" w:color="auto" w:fill="auto"/>
            <w:noWrap/>
            <w:vAlign w:val="center"/>
            <w:hideMark/>
          </w:tcPr>
          <w:p w14:paraId="5D987BB4" w14:textId="3B3A9608" w:rsidR="00247B57" w:rsidRPr="00247B57" w:rsidRDefault="00247B57" w:rsidP="00247B57">
            <w:pPr>
              <w:spacing w:after="0"/>
              <w:jc w:val="left"/>
              <w:rPr>
                <w:rFonts w:eastAsia="Times New Roman" w:cs="Times New Roman"/>
                <w:b/>
                <w:bCs/>
                <w:sz w:val="20"/>
                <w:szCs w:val="20"/>
              </w:rPr>
            </w:pPr>
            <w:r w:rsidRPr="00247B57">
              <w:rPr>
                <w:rFonts w:eastAsia="Times New Roman" w:cs="Times New Roman"/>
                <w:b/>
                <w:bCs/>
                <w:sz w:val="20"/>
                <w:szCs w:val="20"/>
              </w:rPr>
              <w:t>Table 7: Long-term sustainability of public finances (% GDP)</w:t>
            </w:r>
          </w:p>
        </w:tc>
        <w:tc>
          <w:tcPr>
            <w:tcW w:w="1377" w:type="dxa"/>
            <w:tcBorders>
              <w:top w:val="double" w:sz="6" w:space="0" w:color="auto"/>
              <w:left w:val="single" w:sz="8" w:space="0" w:color="auto"/>
              <w:bottom w:val="double" w:sz="6" w:space="0" w:color="auto"/>
              <w:right w:val="dashed" w:sz="4" w:space="0" w:color="auto"/>
            </w:tcBorders>
            <w:shd w:val="clear" w:color="auto" w:fill="auto"/>
            <w:noWrap/>
            <w:vAlign w:val="center"/>
            <w:hideMark/>
          </w:tcPr>
          <w:p w14:paraId="3DCE9EA1" w14:textId="77777777" w:rsidR="00247B57" w:rsidRPr="00247B57" w:rsidRDefault="00247B57" w:rsidP="00247B57">
            <w:pPr>
              <w:spacing w:after="0"/>
              <w:jc w:val="right"/>
              <w:rPr>
                <w:rFonts w:eastAsia="Times New Roman" w:cs="Times New Roman"/>
                <w:b/>
                <w:bCs/>
                <w:sz w:val="20"/>
                <w:szCs w:val="20"/>
              </w:rPr>
            </w:pPr>
            <w:r w:rsidRPr="00247B57">
              <w:rPr>
                <w:rFonts w:eastAsia="Times New Roman" w:cs="Times New Roman"/>
                <w:b/>
                <w:bCs/>
                <w:sz w:val="20"/>
                <w:szCs w:val="20"/>
              </w:rPr>
              <w:t>2007</w:t>
            </w:r>
          </w:p>
        </w:tc>
        <w:tc>
          <w:tcPr>
            <w:tcW w:w="1434" w:type="dxa"/>
            <w:tcBorders>
              <w:top w:val="double" w:sz="6" w:space="0" w:color="auto"/>
              <w:left w:val="nil"/>
              <w:bottom w:val="double" w:sz="6" w:space="0" w:color="auto"/>
              <w:right w:val="dashed" w:sz="4" w:space="0" w:color="auto"/>
            </w:tcBorders>
            <w:shd w:val="clear" w:color="auto" w:fill="auto"/>
            <w:noWrap/>
            <w:vAlign w:val="center"/>
            <w:hideMark/>
          </w:tcPr>
          <w:p w14:paraId="3AA85217" w14:textId="77777777" w:rsidR="00247B57" w:rsidRPr="00247B57" w:rsidRDefault="00247B57" w:rsidP="00247B57">
            <w:pPr>
              <w:spacing w:after="0"/>
              <w:jc w:val="right"/>
              <w:rPr>
                <w:rFonts w:eastAsia="Times New Roman" w:cs="Times New Roman"/>
                <w:b/>
                <w:bCs/>
                <w:sz w:val="20"/>
                <w:szCs w:val="20"/>
              </w:rPr>
            </w:pPr>
            <w:r w:rsidRPr="00247B57">
              <w:rPr>
                <w:rFonts w:eastAsia="Times New Roman" w:cs="Times New Roman"/>
                <w:b/>
                <w:bCs/>
                <w:sz w:val="20"/>
                <w:szCs w:val="20"/>
              </w:rPr>
              <w:t>2010</w:t>
            </w:r>
          </w:p>
        </w:tc>
        <w:tc>
          <w:tcPr>
            <w:tcW w:w="1319" w:type="dxa"/>
            <w:tcBorders>
              <w:top w:val="double" w:sz="6" w:space="0" w:color="auto"/>
              <w:left w:val="nil"/>
              <w:bottom w:val="double" w:sz="6" w:space="0" w:color="auto"/>
              <w:right w:val="dashed" w:sz="4" w:space="0" w:color="auto"/>
            </w:tcBorders>
            <w:shd w:val="clear" w:color="auto" w:fill="auto"/>
            <w:noWrap/>
            <w:vAlign w:val="center"/>
            <w:hideMark/>
          </w:tcPr>
          <w:p w14:paraId="666220C2" w14:textId="77777777" w:rsidR="00247B57" w:rsidRPr="00247B57" w:rsidRDefault="00247B57" w:rsidP="00247B57">
            <w:pPr>
              <w:spacing w:after="0"/>
              <w:jc w:val="right"/>
              <w:rPr>
                <w:rFonts w:eastAsia="Times New Roman" w:cs="Times New Roman"/>
                <w:b/>
                <w:bCs/>
                <w:sz w:val="20"/>
                <w:szCs w:val="20"/>
              </w:rPr>
            </w:pPr>
            <w:r w:rsidRPr="00247B57">
              <w:rPr>
                <w:rFonts w:eastAsia="Times New Roman" w:cs="Times New Roman"/>
                <w:b/>
                <w:bCs/>
                <w:sz w:val="20"/>
                <w:szCs w:val="20"/>
              </w:rPr>
              <w:t>2020</w:t>
            </w:r>
          </w:p>
        </w:tc>
        <w:tc>
          <w:tcPr>
            <w:tcW w:w="1377" w:type="dxa"/>
            <w:tcBorders>
              <w:top w:val="double" w:sz="6" w:space="0" w:color="auto"/>
              <w:left w:val="nil"/>
              <w:bottom w:val="double" w:sz="6" w:space="0" w:color="auto"/>
              <w:right w:val="dashed" w:sz="4" w:space="0" w:color="auto"/>
            </w:tcBorders>
            <w:shd w:val="clear" w:color="auto" w:fill="auto"/>
            <w:noWrap/>
            <w:vAlign w:val="center"/>
            <w:hideMark/>
          </w:tcPr>
          <w:p w14:paraId="5D8F9B99" w14:textId="77777777" w:rsidR="00247B57" w:rsidRPr="00247B57" w:rsidRDefault="00247B57" w:rsidP="00247B57">
            <w:pPr>
              <w:spacing w:after="0"/>
              <w:jc w:val="right"/>
              <w:rPr>
                <w:rFonts w:eastAsia="Times New Roman" w:cs="Times New Roman"/>
                <w:b/>
                <w:bCs/>
                <w:sz w:val="20"/>
                <w:szCs w:val="20"/>
              </w:rPr>
            </w:pPr>
            <w:r w:rsidRPr="00247B57">
              <w:rPr>
                <w:rFonts w:eastAsia="Times New Roman" w:cs="Times New Roman"/>
                <w:b/>
                <w:bCs/>
                <w:sz w:val="20"/>
                <w:szCs w:val="20"/>
              </w:rPr>
              <w:t>2030</w:t>
            </w:r>
          </w:p>
        </w:tc>
        <w:tc>
          <w:tcPr>
            <w:tcW w:w="1396" w:type="dxa"/>
            <w:tcBorders>
              <w:top w:val="double" w:sz="6" w:space="0" w:color="auto"/>
              <w:left w:val="nil"/>
              <w:bottom w:val="double" w:sz="6" w:space="0" w:color="auto"/>
              <w:right w:val="dashed" w:sz="4" w:space="0" w:color="auto"/>
            </w:tcBorders>
            <w:shd w:val="clear" w:color="auto" w:fill="auto"/>
            <w:noWrap/>
            <w:vAlign w:val="center"/>
            <w:hideMark/>
          </w:tcPr>
          <w:p w14:paraId="695136B7" w14:textId="77777777" w:rsidR="00247B57" w:rsidRPr="00247B57" w:rsidRDefault="00247B57" w:rsidP="00247B57">
            <w:pPr>
              <w:spacing w:after="0"/>
              <w:jc w:val="right"/>
              <w:rPr>
                <w:rFonts w:eastAsia="Times New Roman" w:cs="Times New Roman"/>
                <w:b/>
                <w:bCs/>
                <w:sz w:val="20"/>
                <w:szCs w:val="20"/>
              </w:rPr>
            </w:pPr>
            <w:r w:rsidRPr="00247B57">
              <w:rPr>
                <w:rFonts w:eastAsia="Times New Roman" w:cs="Times New Roman"/>
                <w:b/>
                <w:bCs/>
                <w:sz w:val="20"/>
                <w:szCs w:val="20"/>
              </w:rPr>
              <w:t>2040</w:t>
            </w:r>
          </w:p>
        </w:tc>
        <w:tc>
          <w:tcPr>
            <w:tcW w:w="1396" w:type="dxa"/>
            <w:tcBorders>
              <w:top w:val="double" w:sz="6" w:space="0" w:color="auto"/>
              <w:left w:val="nil"/>
              <w:bottom w:val="double" w:sz="6" w:space="0" w:color="auto"/>
              <w:right w:val="dashed" w:sz="4" w:space="0" w:color="auto"/>
            </w:tcBorders>
            <w:shd w:val="clear" w:color="auto" w:fill="auto"/>
            <w:noWrap/>
            <w:vAlign w:val="center"/>
            <w:hideMark/>
          </w:tcPr>
          <w:p w14:paraId="6BACE72A" w14:textId="77777777" w:rsidR="00247B57" w:rsidRPr="00247B57" w:rsidRDefault="00247B57" w:rsidP="00247B57">
            <w:pPr>
              <w:spacing w:after="0"/>
              <w:jc w:val="right"/>
              <w:rPr>
                <w:rFonts w:eastAsia="Times New Roman" w:cs="Times New Roman"/>
                <w:b/>
                <w:bCs/>
                <w:sz w:val="20"/>
                <w:szCs w:val="20"/>
              </w:rPr>
            </w:pPr>
            <w:r w:rsidRPr="00247B57">
              <w:rPr>
                <w:rFonts w:eastAsia="Times New Roman" w:cs="Times New Roman"/>
                <w:b/>
                <w:bCs/>
                <w:sz w:val="20"/>
                <w:szCs w:val="20"/>
              </w:rPr>
              <w:t>2050</w:t>
            </w:r>
          </w:p>
        </w:tc>
        <w:tc>
          <w:tcPr>
            <w:tcW w:w="1396" w:type="dxa"/>
            <w:tcBorders>
              <w:top w:val="double" w:sz="6" w:space="0" w:color="auto"/>
              <w:left w:val="nil"/>
              <w:bottom w:val="double" w:sz="6" w:space="0" w:color="auto"/>
              <w:right w:val="double" w:sz="6" w:space="0" w:color="auto"/>
            </w:tcBorders>
            <w:shd w:val="clear" w:color="auto" w:fill="auto"/>
            <w:noWrap/>
            <w:vAlign w:val="center"/>
            <w:hideMark/>
          </w:tcPr>
          <w:p w14:paraId="632D2A8B" w14:textId="77777777" w:rsidR="00247B57" w:rsidRPr="00247B57" w:rsidRDefault="00247B57" w:rsidP="00247B57">
            <w:pPr>
              <w:spacing w:after="0"/>
              <w:jc w:val="right"/>
              <w:rPr>
                <w:rFonts w:eastAsia="Times New Roman" w:cs="Times New Roman"/>
                <w:b/>
                <w:bCs/>
                <w:sz w:val="20"/>
                <w:szCs w:val="20"/>
              </w:rPr>
            </w:pPr>
            <w:r w:rsidRPr="00247B57">
              <w:rPr>
                <w:rFonts w:eastAsia="Times New Roman" w:cs="Times New Roman"/>
                <w:b/>
                <w:bCs/>
                <w:sz w:val="20"/>
                <w:szCs w:val="20"/>
              </w:rPr>
              <w:t>2060</w:t>
            </w:r>
          </w:p>
        </w:tc>
      </w:tr>
      <w:tr w:rsidR="00247B57" w:rsidRPr="00247B57" w14:paraId="3A55A505" w14:textId="77777777" w:rsidTr="00247B57">
        <w:trPr>
          <w:trHeight w:val="298"/>
        </w:trPr>
        <w:tc>
          <w:tcPr>
            <w:tcW w:w="5547" w:type="dxa"/>
            <w:tcBorders>
              <w:top w:val="single" w:sz="4" w:space="0" w:color="auto"/>
              <w:left w:val="double" w:sz="6" w:space="0" w:color="000000"/>
              <w:bottom w:val="dotted" w:sz="4" w:space="0" w:color="000000"/>
              <w:right w:val="single" w:sz="4" w:space="0" w:color="auto"/>
            </w:tcBorders>
            <w:shd w:val="clear" w:color="auto" w:fill="auto"/>
            <w:hideMark/>
          </w:tcPr>
          <w:p w14:paraId="07D7A8E9"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Total expenditure</w:t>
            </w:r>
          </w:p>
        </w:tc>
        <w:tc>
          <w:tcPr>
            <w:tcW w:w="1377" w:type="dxa"/>
            <w:tcBorders>
              <w:top w:val="nil"/>
              <w:left w:val="nil"/>
              <w:bottom w:val="dotted" w:sz="4" w:space="0" w:color="000000"/>
              <w:right w:val="dotted" w:sz="4" w:space="0" w:color="000000"/>
            </w:tcBorders>
            <w:shd w:val="clear" w:color="auto" w:fill="auto"/>
            <w:hideMark/>
          </w:tcPr>
          <w:p w14:paraId="7777ABA9"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45017B5D"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64E67A1F"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78E7E135"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72B7A84F"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0AC0DADC"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2398DCA7"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39AEADE4"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02A88D0F"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xml:space="preserve">of which: </w:t>
            </w:r>
          </w:p>
        </w:tc>
        <w:tc>
          <w:tcPr>
            <w:tcW w:w="1377" w:type="dxa"/>
            <w:tcBorders>
              <w:top w:val="nil"/>
              <w:left w:val="nil"/>
              <w:bottom w:val="dotted" w:sz="4" w:space="0" w:color="000000"/>
              <w:right w:val="dotted" w:sz="4" w:space="0" w:color="000000"/>
            </w:tcBorders>
            <w:shd w:val="clear" w:color="auto" w:fill="auto"/>
            <w:hideMark/>
          </w:tcPr>
          <w:p w14:paraId="17381C91"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5EACAF48"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21CD4E60"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5C447DF5"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4AA10BFA"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1F5545D9"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25654903"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3ADEF537"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7D51C756" w14:textId="77777777" w:rsidR="00247B57" w:rsidRPr="00247B57" w:rsidRDefault="00247B57" w:rsidP="00247B57">
            <w:pPr>
              <w:spacing w:after="0"/>
              <w:ind w:firstLineChars="100" w:firstLine="200"/>
              <w:jc w:val="left"/>
              <w:rPr>
                <w:rFonts w:eastAsia="Times New Roman" w:cs="Times New Roman"/>
                <w:color w:val="000000"/>
                <w:sz w:val="20"/>
                <w:szCs w:val="20"/>
              </w:rPr>
            </w:pPr>
            <w:r w:rsidRPr="00247B57">
              <w:rPr>
                <w:rFonts w:eastAsia="Times New Roman" w:cs="Times New Roman"/>
                <w:color w:val="000000"/>
                <w:sz w:val="20"/>
                <w:szCs w:val="20"/>
              </w:rPr>
              <w:t>- Age-related expenditures</w:t>
            </w:r>
          </w:p>
        </w:tc>
        <w:tc>
          <w:tcPr>
            <w:tcW w:w="1377" w:type="dxa"/>
            <w:tcBorders>
              <w:top w:val="nil"/>
              <w:left w:val="nil"/>
              <w:bottom w:val="dotted" w:sz="4" w:space="0" w:color="000000"/>
              <w:right w:val="dotted" w:sz="4" w:space="0" w:color="000000"/>
            </w:tcBorders>
            <w:shd w:val="clear" w:color="auto" w:fill="auto"/>
            <w:hideMark/>
          </w:tcPr>
          <w:p w14:paraId="45592155"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434" w:type="dxa"/>
            <w:tcBorders>
              <w:top w:val="nil"/>
              <w:left w:val="nil"/>
              <w:bottom w:val="dotted" w:sz="4" w:space="0" w:color="000000"/>
              <w:right w:val="dotted" w:sz="4" w:space="0" w:color="000000"/>
            </w:tcBorders>
            <w:shd w:val="clear" w:color="auto" w:fill="auto"/>
            <w:hideMark/>
          </w:tcPr>
          <w:p w14:paraId="076093B9"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19" w:type="dxa"/>
            <w:tcBorders>
              <w:top w:val="nil"/>
              <w:left w:val="nil"/>
              <w:bottom w:val="dotted" w:sz="4" w:space="0" w:color="000000"/>
              <w:right w:val="dotted" w:sz="4" w:space="0" w:color="000000"/>
            </w:tcBorders>
            <w:shd w:val="clear" w:color="auto" w:fill="auto"/>
            <w:hideMark/>
          </w:tcPr>
          <w:p w14:paraId="1F0FCB85"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77" w:type="dxa"/>
            <w:tcBorders>
              <w:top w:val="nil"/>
              <w:left w:val="nil"/>
              <w:bottom w:val="dotted" w:sz="4" w:space="0" w:color="000000"/>
              <w:right w:val="dotted" w:sz="4" w:space="0" w:color="000000"/>
            </w:tcBorders>
            <w:shd w:val="clear" w:color="auto" w:fill="auto"/>
            <w:hideMark/>
          </w:tcPr>
          <w:p w14:paraId="3BFF6058"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4F1FDE31"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149BEFEB"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uble" w:sz="6" w:space="0" w:color="000000"/>
            </w:tcBorders>
            <w:shd w:val="clear" w:color="auto" w:fill="auto"/>
            <w:hideMark/>
          </w:tcPr>
          <w:p w14:paraId="3D4FD659"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r>
      <w:tr w:rsidR="00247B57" w:rsidRPr="00247B57" w14:paraId="1DFBD4DA"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16721381" w14:textId="77777777" w:rsidR="00247B57" w:rsidRPr="00247B57" w:rsidRDefault="00247B57" w:rsidP="00247B57">
            <w:pPr>
              <w:spacing w:after="0"/>
              <w:ind w:firstLineChars="100" w:firstLine="200"/>
              <w:jc w:val="left"/>
              <w:rPr>
                <w:rFonts w:eastAsia="Times New Roman" w:cs="Times New Roman"/>
                <w:color w:val="000000"/>
                <w:sz w:val="20"/>
                <w:szCs w:val="20"/>
              </w:rPr>
            </w:pPr>
            <w:r w:rsidRPr="00247B57">
              <w:rPr>
                <w:rFonts w:eastAsia="Times New Roman" w:cs="Times New Roman"/>
                <w:color w:val="000000"/>
                <w:sz w:val="20"/>
                <w:szCs w:val="20"/>
              </w:rPr>
              <w:t>- Pension expenditure</w:t>
            </w:r>
          </w:p>
        </w:tc>
        <w:tc>
          <w:tcPr>
            <w:tcW w:w="1377" w:type="dxa"/>
            <w:tcBorders>
              <w:top w:val="nil"/>
              <w:left w:val="nil"/>
              <w:bottom w:val="dotted" w:sz="4" w:space="0" w:color="000000"/>
              <w:right w:val="dotted" w:sz="4" w:space="0" w:color="000000"/>
            </w:tcBorders>
            <w:shd w:val="clear" w:color="auto" w:fill="auto"/>
            <w:hideMark/>
          </w:tcPr>
          <w:p w14:paraId="3162EB25"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3AE3B585"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4CB7894E"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381B54F2"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0B969911"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2B7AC9CA"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209C0F18"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0558357D"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61216D76" w14:textId="77777777" w:rsidR="00247B57" w:rsidRPr="00247B57" w:rsidRDefault="00247B57" w:rsidP="00247B57">
            <w:pPr>
              <w:spacing w:after="0"/>
              <w:ind w:firstLineChars="100" w:firstLine="200"/>
              <w:jc w:val="left"/>
              <w:rPr>
                <w:rFonts w:eastAsia="Times New Roman" w:cs="Times New Roman"/>
                <w:color w:val="000000"/>
                <w:sz w:val="20"/>
                <w:szCs w:val="20"/>
              </w:rPr>
            </w:pPr>
            <w:r w:rsidRPr="00247B57">
              <w:rPr>
                <w:rFonts w:eastAsia="Times New Roman" w:cs="Times New Roman"/>
                <w:color w:val="000000"/>
                <w:sz w:val="20"/>
                <w:szCs w:val="20"/>
              </w:rPr>
              <w:t>- Social security pension</w:t>
            </w:r>
          </w:p>
        </w:tc>
        <w:tc>
          <w:tcPr>
            <w:tcW w:w="1377" w:type="dxa"/>
            <w:tcBorders>
              <w:top w:val="nil"/>
              <w:left w:val="nil"/>
              <w:bottom w:val="dotted" w:sz="4" w:space="0" w:color="000000"/>
              <w:right w:val="dotted" w:sz="4" w:space="0" w:color="000000"/>
            </w:tcBorders>
            <w:shd w:val="clear" w:color="auto" w:fill="auto"/>
            <w:hideMark/>
          </w:tcPr>
          <w:p w14:paraId="5A711F88"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434" w:type="dxa"/>
            <w:tcBorders>
              <w:top w:val="nil"/>
              <w:left w:val="nil"/>
              <w:bottom w:val="dotted" w:sz="4" w:space="0" w:color="000000"/>
              <w:right w:val="dotted" w:sz="4" w:space="0" w:color="000000"/>
            </w:tcBorders>
            <w:shd w:val="clear" w:color="auto" w:fill="auto"/>
            <w:hideMark/>
          </w:tcPr>
          <w:p w14:paraId="40D3922D"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19" w:type="dxa"/>
            <w:tcBorders>
              <w:top w:val="nil"/>
              <w:left w:val="nil"/>
              <w:bottom w:val="dotted" w:sz="4" w:space="0" w:color="000000"/>
              <w:right w:val="dotted" w:sz="4" w:space="0" w:color="000000"/>
            </w:tcBorders>
            <w:shd w:val="clear" w:color="auto" w:fill="auto"/>
            <w:hideMark/>
          </w:tcPr>
          <w:p w14:paraId="0F9BA629"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77" w:type="dxa"/>
            <w:tcBorders>
              <w:top w:val="nil"/>
              <w:left w:val="nil"/>
              <w:bottom w:val="dotted" w:sz="4" w:space="0" w:color="000000"/>
              <w:right w:val="dotted" w:sz="4" w:space="0" w:color="000000"/>
            </w:tcBorders>
            <w:shd w:val="clear" w:color="auto" w:fill="auto"/>
            <w:hideMark/>
          </w:tcPr>
          <w:p w14:paraId="61423641"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442840C4"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57498148"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uble" w:sz="6" w:space="0" w:color="000000"/>
            </w:tcBorders>
            <w:shd w:val="clear" w:color="auto" w:fill="auto"/>
            <w:hideMark/>
          </w:tcPr>
          <w:p w14:paraId="39F19E71"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r>
      <w:tr w:rsidR="00247B57" w:rsidRPr="00247B57" w14:paraId="72F7843E"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2408A71F" w14:textId="77777777" w:rsidR="00247B57" w:rsidRPr="00247B57" w:rsidRDefault="00247B57" w:rsidP="00247B57">
            <w:pPr>
              <w:spacing w:after="0"/>
              <w:ind w:firstLineChars="100" w:firstLine="200"/>
              <w:jc w:val="left"/>
              <w:rPr>
                <w:rFonts w:eastAsia="Times New Roman" w:cs="Times New Roman"/>
                <w:color w:val="000000"/>
                <w:sz w:val="20"/>
                <w:szCs w:val="20"/>
              </w:rPr>
            </w:pPr>
            <w:r w:rsidRPr="00247B57">
              <w:rPr>
                <w:rFonts w:eastAsia="Times New Roman" w:cs="Times New Roman"/>
                <w:color w:val="000000"/>
                <w:sz w:val="20"/>
                <w:szCs w:val="20"/>
              </w:rPr>
              <w:t>- Old-age and early pensions</w:t>
            </w:r>
          </w:p>
        </w:tc>
        <w:tc>
          <w:tcPr>
            <w:tcW w:w="1377" w:type="dxa"/>
            <w:tcBorders>
              <w:top w:val="nil"/>
              <w:left w:val="nil"/>
              <w:bottom w:val="dotted" w:sz="4" w:space="0" w:color="000000"/>
              <w:right w:val="dotted" w:sz="4" w:space="0" w:color="000000"/>
            </w:tcBorders>
            <w:shd w:val="clear" w:color="auto" w:fill="auto"/>
            <w:hideMark/>
          </w:tcPr>
          <w:p w14:paraId="7B001844"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434" w:type="dxa"/>
            <w:tcBorders>
              <w:top w:val="nil"/>
              <w:left w:val="nil"/>
              <w:bottom w:val="dotted" w:sz="4" w:space="0" w:color="000000"/>
              <w:right w:val="dotted" w:sz="4" w:space="0" w:color="000000"/>
            </w:tcBorders>
            <w:shd w:val="clear" w:color="auto" w:fill="auto"/>
            <w:hideMark/>
          </w:tcPr>
          <w:p w14:paraId="4DAFD7E5"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19" w:type="dxa"/>
            <w:tcBorders>
              <w:top w:val="nil"/>
              <w:left w:val="nil"/>
              <w:bottom w:val="dotted" w:sz="4" w:space="0" w:color="000000"/>
              <w:right w:val="dotted" w:sz="4" w:space="0" w:color="000000"/>
            </w:tcBorders>
            <w:shd w:val="clear" w:color="auto" w:fill="auto"/>
            <w:hideMark/>
          </w:tcPr>
          <w:p w14:paraId="6DFA5B4F"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77" w:type="dxa"/>
            <w:tcBorders>
              <w:top w:val="nil"/>
              <w:left w:val="nil"/>
              <w:bottom w:val="dotted" w:sz="4" w:space="0" w:color="000000"/>
              <w:right w:val="dotted" w:sz="4" w:space="0" w:color="000000"/>
            </w:tcBorders>
            <w:shd w:val="clear" w:color="auto" w:fill="auto"/>
            <w:hideMark/>
          </w:tcPr>
          <w:p w14:paraId="388DCDDA"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331EEA41"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440D9315"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uble" w:sz="6" w:space="0" w:color="000000"/>
            </w:tcBorders>
            <w:shd w:val="clear" w:color="auto" w:fill="auto"/>
            <w:hideMark/>
          </w:tcPr>
          <w:p w14:paraId="57D073CE"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r>
      <w:tr w:rsidR="00247B57" w:rsidRPr="00247B57" w14:paraId="5E64CA12"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1C9939A2" w14:textId="77777777" w:rsidR="00247B57" w:rsidRPr="00247B57" w:rsidRDefault="00247B57" w:rsidP="00247B57">
            <w:pPr>
              <w:spacing w:after="0"/>
              <w:ind w:firstLineChars="100" w:firstLine="200"/>
              <w:jc w:val="left"/>
              <w:rPr>
                <w:rFonts w:eastAsia="Times New Roman" w:cs="Times New Roman"/>
                <w:color w:val="000000"/>
                <w:sz w:val="20"/>
                <w:szCs w:val="20"/>
              </w:rPr>
            </w:pPr>
            <w:r w:rsidRPr="00247B57">
              <w:rPr>
                <w:rFonts w:eastAsia="Times New Roman" w:cs="Times New Roman"/>
                <w:color w:val="000000"/>
                <w:sz w:val="20"/>
                <w:szCs w:val="20"/>
              </w:rPr>
              <w:t>- Other pensions (disability, survivors)</w:t>
            </w:r>
          </w:p>
        </w:tc>
        <w:tc>
          <w:tcPr>
            <w:tcW w:w="1377" w:type="dxa"/>
            <w:tcBorders>
              <w:top w:val="nil"/>
              <w:left w:val="nil"/>
              <w:bottom w:val="dotted" w:sz="4" w:space="0" w:color="000000"/>
              <w:right w:val="dotted" w:sz="4" w:space="0" w:color="000000"/>
            </w:tcBorders>
            <w:shd w:val="clear" w:color="auto" w:fill="auto"/>
            <w:hideMark/>
          </w:tcPr>
          <w:p w14:paraId="3D44C01D"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434" w:type="dxa"/>
            <w:tcBorders>
              <w:top w:val="nil"/>
              <w:left w:val="nil"/>
              <w:bottom w:val="dotted" w:sz="4" w:space="0" w:color="000000"/>
              <w:right w:val="dotted" w:sz="4" w:space="0" w:color="000000"/>
            </w:tcBorders>
            <w:shd w:val="clear" w:color="auto" w:fill="auto"/>
            <w:hideMark/>
          </w:tcPr>
          <w:p w14:paraId="118ADE39"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19" w:type="dxa"/>
            <w:tcBorders>
              <w:top w:val="nil"/>
              <w:left w:val="nil"/>
              <w:bottom w:val="dotted" w:sz="4" w:space="0" w:color="000000"/>
              <w:right w:val="dotted" w:sz="4" w:space="0" w:color="000000"/>
            </w:tcBorders>
            <w:shd w:val="clear" w:color="auto" w:fill="auto"/>
            <w:hideMark/>
          </w:tcPr>
          <w:p w14:paraId="177BE157"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77" w:type="dxa"/>
            <w:tcBorders>
              <w:top w:val="nil"/>
              <w:left w:val="nil"/>
              <w:bottom w:val="dotted" w:sz="4" w:space="0" w:color="000000"/>
              <w:right w:val="dotted" w:sz="4" w:space="0" w:color="000000"/>
            </w:tcBorders>
            <w:shd w:val="clear" w:color="auto" w:fill="auto"/>
            <w:hideMark/>
          </w:tcPr>
          <w:p w14:paraId="068075AA"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092EB0EF"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5F4680D0"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uble" w:sz="6" w:space="0" w:color="000000"/>
            </w:tcBorders>
            <w:shd w:val="clear" w:color="auto" w:fill="auto"/>
            <w:hideMark/>
          </w:tcPr>
          <w:p w14:paraId="2EC88A0C"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r>
      <w:tr w:rsidR="00247B57" w:rsidRPr="00247B57" w14:paraId="00809860"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5BA8FAF7" w14:textId="77777777" w:rsidR="00247B57" w:rsidRPr="00247B57" w:rsidRDefault="00247B57" w:rsidP="00247B57">
            <w:pPr>
              <w:spacing w:after="0"/>
              <w:ind w:firstLineChars="100" w:firstLine="200"/>
              <w:jc w:val="left"/>
              <w:rPr>
                <w:rFonts w:eastAsia="Times New Roman" w:cs="Times New Roman"/>
                <w:color w:val="000000"/>
                <w:sz w:val="20"/>
                <w:szCs w:val="20"/>
              </w:rPr>
            </w:pPr>
            <w:r w:rsidRPr="00247B57">
              <w:rPr>
                <w:rFonts w:eastAsia="Times New Roman" w:cs="Times New Roman"/>
                <w:color w:val="000000"/>
                <w:sz w:val="20"/>
                <w:szCs w:val="20"/>
              </w:rPr>
              <w:t xml:space="preserve">- Occupational pensions </w:t>
            </w:r>
            <w:r w:rsidRPr="00247B57">
              <w:rPr>
                <w:rFonts w:eastAsia="Times New Roman" w:cs="Times New Roman"/>
                <w:color w:val="000000"/>
                <w:sz w:val="18"/>
                <w:szCs w:val="18"/>
              </w:rPr>
              <w:t>(if in general government)</w:t>
            </w:r>
          </w:p>
        </w:tc>
        <w:tc>
          <w:tcPr>
            <w:tcW w:w="1377" w:type="dxa"/>
            <w:tcBorders>
              <w:top w:val="nil"/>
              <w:left w:val="nil"/>
              <w:bottom w:val="dotted" w:sz="4" w:space="0" w:color="000000"/>
              <w:right w:val="dotted" w:sz="4" w:space="0" w:color="000000"/>
            </w:tcBorders>
            <w:shd w:val="clear" w:color="auto" w:fill="auto"/>
            <w:hideMark/>
          </w:tcPr>
          <w:p w14:paraId="7CB0BB2E"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434" w:type="dxa"/>
            <w:tcBorders>
              <w:top w:val="nil"/>
              <w:left w:val="nil"/>
              <w:bottom w:val="dotted" w:sz="4" w:space="0" w:color="000000"/>
              <w:right w:val="dotted" w:sz="4" w:space="0" w:color="000000"/>
            </w:tcBorders>
            <w:shd w:val="clear" w:color="auto" w:fill="auto"/>
            <w:hideMark/>
          </w:tcPr>
          <w:p w14:paraId="2309D1AB"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19" w:type="dxa"/>
            <w:tcBorders>
              <w:top w:val="nil"/>
              <w:left w:val="nil"/>
              <w:bottom w:val="dotted" w:sz="4" w:space="0" w:color="000000"/>
              <w:right w:val="dotted" w:sz="4" w:space="0" w:color="000000"/>
            </w:tcBorders>
            <w:shd w:val="clear" w:color="auto" w:fill="auto"/>
            <w:hideMark/>
          </w:tcPr>
          <w:p w14:paraId="4ABD4DA2"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77" w:type="dxa"/>
            <w:tcBorders>
              <w:top w:val="nil"/>
              <w:left w:val="nil"/>
              <w:bottom w:val="dotted" w:sz="4" w:space="0" w:color="000000"/>
              <w:right w:val="dotted" w:sz="4" w:space="0" w:color="000000"/>
            </w:tcBorders>
            <w:shd w:val="clear" w:color="auto" w:fill="auto"/>
            <w:hideMark/>
          </w:tcPr>
          <w:p w14:paraId="5B5828C0"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602032FA"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4E5089DF"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uble" w:sz="6" w:space="0" w:color="000000"/>
            </w:tcBorders>
            <w:shd w:val="clear" w:color="auto" w:fill="auto"/>
            <w:hideMark/>
          </w:tcPr>
          <w:p w14:paraId="02C5FCD1"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r>
      <w:tr w:rsidR="00247B57" w:rsidRPr="00247B57" w14:paraId="46616D1B"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60624210" w14:textId="77777777" w:rsidR="00247B57" w:rsidRPr="00247B57" w:rsidRDefault="00247B57" w:rsidP="00247B57">
            <w:pPr>
              <w:spacing w:after="0"/>
              <w:ind w:firstLineChars="100" w:firstLine="200"/>
              <w:jc w:val="left"/>
              <w:rPr>
                <w:rFonts w:eastAsia="Times New Roman" w:cs="Times New Roman"/>
                <w:color w:val="000000"/>
                <w:sz w:val="20"/>
                <w:szCs w:val="20"/>
              </w:rPr>
            </w:pPr>
            <w:r w:rsidRPr="00247B57">
              <w:rPr>
                <w:rFonts w:eastAsia="Times New Roman" w:cs="Times New Roman"/>
                <w:color w:val="000000"/>
                <w:sz w:val="20"/>
                <w:szCs w:val="20"/>
              </w:rPr>
              <w:t>- Health care</w:t>
            </w:r>
          </w:p>
        </w:tc>
        <w:tc>
          <w:tcPr>
            <w:tcW w:w="1377" w:type="dxa"/>
            <w:tcBorders>
              <w:top w:val="nil"/>
              <w:left w:val="nil"/>
              <w:bottom w:val="dotted" w:sz="4" w:space="0" w:color="000000"/>
              <w:right w:val="dotted" w:sz="4" w:space="0" w:color="000000"/>
            </w:tcBorders>
            <w:shd w:val="clear" w:color="auto" w:fill="auto"/>
            <w:hideMark/>
          </w:tcPr>
          <w:p w14:paraId="348D5093"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2C58EC4C"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6A6DF1BB"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16DF6FC6"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14CFB46E"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7F49ADF5"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48A39394"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379CF5AD"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22A38492" w14:textId="77777777" w:rsidR="00247B57" w:rsidRPr="00247B57" w:rsidRDefault="00247B57" w:rsidP="00247B57">
            <w:pPr>
              <w:spacing w:after="0"/>
              <w:ind w:firstLineChars="100" w:firstLine="200"/>
              <w:jc w:val="left"/>
              <w:rPr>
                <w:rFonts w:eastAsia="Times New Roman" w:cs="Times New Roman"/>
                <w:color w:val="000000"/>
                <w:sz w:val="20"/>
                <w:szCs w:val="20"/>
              </w:rPr>
            </w:pPr>
            <w:r w:rsidRPr="00247B57">
              <w:rPr>
                <w:rFonts w:eastAsia="Times New Roman" w:cs="Times New Roman"/>
                <w:color w:val="000000"/>
                <w:sz w:val="20"/>
                <w:szCs w:val="20"/>
              </w:rPr>
              <w:t xml:space="preserve">- Long-term care </w:t>
            </w:r>
            <w:r w:rsidRPr="00247B57">
              <w:rPr>
                <w:rFonts w:eastAsia="Times New Roman" w:cs="Times New Roman"/>
                <w:color w:val="000000"/>
                <w:sz w:val="18"/>
                <w:szCs w:val="18"/>
              </w:rPr>
              <w:t>(this was earlier included in the health care)</w:t>
            </w:r>
            <w:r w:rsidRPr="00247B57">
              <w:rPr>
                <w:rFonts w:eastAsia="Times New Roman" w:cs="Times New Roman"/>
                <w:color w:val="000000"/>
                <w:sz w:val="20"/>
                <w:szCs w:val="20"/>
              </w:rPr>
              <w:t xml:space="preserve"> </w:t>
            </w:r>
          </w:p>
        </w:tc>
        <w:tc>
          <w:tcPr>
            <w:tcW w:w="1377" w:type="dxa"/>
            <w:tcBorders>
              <w:top w:val="nil"/>
              <w:left w:val="nil"/>
              <w:bottom w:val="dotted" w:sz="4" w:space="0" w:color="000000"/>
              <w:right w:val="dotted" w:sz="4" w:space="0" w:color="000000"/>
            </w:tcBorders>
            <w:shd w:val="clear" w:color="auto" w:fill="auto"/>
            <w:hideMark/>
          </w:tcPr>
          <w:p w14:paraId="76218DC2"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434" w:type="dxa"/>
            <w:tcBorders>
              <w:top w:val="nil"/>
              <w:left w:val="nil"/>
              <w:bottom w:val="dotted" w:sz="4" w:space="0" w:color="000000"/>
              <w:right w:val="dotted" w:sz="4" w:space="0" w:color="000000"/>
            </w:tcBorders>
            <w:shd w:val="clear" w:color="auto" w:fill="auto"/>
            <w:hideMark/>
          </w:tcPr>
          <w:p w14:paraId="00483894"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19" w:type="dxa"/>
            <w:tcBorders>
              <w:top w:val="nil"/>
              <w:left w:val="nil"/>
              <w:bottom w:val="dotted" w:sz="4" w:space="0" w:color="000000"/>
              <w:right w:val="dotted" w:sz="4" w:space="0" w:color="000000"/>
            </w:tcBorders>
            <w:shd w:val="clear" w:color="auto" w:fill="auto"/>
            <w:hideMark/>
          </w:tcPr>
          <w:p w14:paraId="6DAF24DC"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77" w:type="dxa"/>
            <w:tcBorders>
              <w:top w:val="nil"/>
              <w:left w:val="nil"/>
              <w:bottom w:val="dotted" w:sz="4" w:space="0" w:color="000000"/>
              <w:right w:val="dotted" w:sz="4" w:space="0" w:color="000000"/>
            </w:tcBorders>
            <w:shd w:val="clear" w:color="auto" w:fill="auto"/>
            <w:hideMark/>
          </w:tcPr>
          <w:p w14:paraId="7325F45F"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121CD0AF"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767E79E6"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uble" w:sz="6" w:space="0" w:color="000000"/>
            </w:tcBorders>
            <w:shd w:val="clear" w:color="auto" w:fill="auto"/>
            <w:hideMark/>
          </w:tcPr>
          <w:p w14:paraId="6D1772D3"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r>
      <w:tr w:rsidR="00247B57" w:rsidRPr="00247B57" w14:paraId="74D4067C"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1B89AC6A"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Education expenditure</w:t>
            </w:r>
          </w:p>
        </w:tc>
        <w:tc>
          <w:tcPr>
            <w:tcW w:w="1377" w:type="dxa"/>
            <w:tcBorders>
              <w:top w:val="nil"/>
              <w:left w:val="nil"/>
              <w:bottom w:val="dotted" w:sz="4" w:space="0" w:color="000000"/>
              <w:right w:val="dotted" w:sz="4" w:space="0" w:color="000000"/>
            </w:tcBorders>
            <w:shd w:val="clear" w:color="auto" w:fill="auto"/>
            <w:hideMark/>
          </w:tcPr>
          <w:p w14:paraId="0BA82BB0"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4DA0B5DC"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296D983B"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6C75EB12"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02C7F100"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4B75505C"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6E98BE93"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596B3728"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0509B145"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Other age-related expenditures</w:t>
            </w:r>
          </w:p>
        </w:tc>
        <w:tc>
          <w:tcPr>
            <w:tcW w:w="1377" w:type="dxa"/>
            <w:tcBorders>
              <w:top w:val="nil"/>
              <w:left w:val="nil"/>
              <w:bottom w:val="dotted" w:sz="4" w:space="0" w:color="000000"/>
              <w:right w:val="dotted" w:sz="4" w:space="0" w:color="000000"/>
            </w:tcBorders>
            <w:shd w:val="clear" w:color="auto" w:fill="auto"/>
            <w:hideMark/>
          </w:tcPr>
          <w:p w14:paraId="5FE25F09"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434" w:type="dxa"/>
            <w:tcBorders>
              <w:top w:val="nil"/>
              <w:left w:val="nil"/>
              <w:bottom w:val="dotted" w:sz="4" w:space="0" w:color="000000"/>
              <w:right w:val="dotted" w:sz="4" w:space="0" w:color="000000"/>
            </w:tcBorders>
            <w:shd w:val="clear" w:color="auto" w:fill="auto"/>
            <w:hideMark/>
          </w:tcPr>
          <w:p w14:paraId="0A64B43D"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19" w:type="dxa"/>
            <w:tcBorders>
              <w:top w:val="nil"/>
              <w:left w:val="nil"/>
              <w:bottom w:val="dotted" w:sz="4" w:space="0" w:color="000000"/>
              <w:right w:val="dotted" w:sz="4" w:space="0" w:color="000000"/>
            </w:tcBorders>
            <w:shd w:val="clear" w:color="auto" w:fill="auto"/>
            <w:hideMark/>
          </w:tcPr>
          <w:p w14:paraId="54634513"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77" w:type="dxa"/>
            <w:tcBorders>
              <w:top w:val="nil"/>
              <w:left w:val="nil"/>
              <w:bottom w:val="dotted" w:sz="4" w:space="0" w:color="000000"/>
              <w:right w:val="dotted" w:sz="4" w:space="0" w:color="000000"/>
            </w:tcBorders>
            <w:shd w:val="clear" w:color="auto" w:fill="auto"/>
            <w:hideMark/>
          </w:tcPr>
          <w:p w14:paraId="7F5DDD97"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4F0AD514"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tted" w:sz="4" w:space="0" w:color="000000"/>
            </w:tcBorders>
            <w:shd w:val="clear" w:color="auto" w:fill="auto"/>
            <w:hideMark/>
          </w:tcPr>
          <w:p w14:paraId="6D9D3768"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c>
          <w:tcPr>
            <w:tcW w:w="1396" w:type="dxa"/>
            <w:tcBorders>
              <w:top w:val="nil"/>
              <w:left w:val="nil"/>
              <w:bottom w:val="dotted" w:sz="4" w:space="0" w:color="000000"/>
              <w:right w:val="double" w:sz="6" w:space="0" w:color="000000"/>
            </w:tcBorders>
            <w:shd w:val="clear" w:color="auto" w:fill="auto"/>
            <w:hideMark/>
          </w:tcPr>
          <w:p w14:paraId="43637423" w14:textId="77777777" w:rsidR="00247B57" w:rsidRPr="00247B57" w:rsidRDefault="00247B57" w:rsidP="00247B57">
            <w:pPr>
              <w:spacing w:after="0"/>
              <w:jc w:val="center"/>
              <w:rPr>
                <w:rFonts w:eastAsia="Times New Roman" w:cs="Times New Roman"/>
                <w:sz w:val="20"/>
                <w:szCs w:val="20"/>
              </w:rPr>
            </w:pPr>
            <w:r w:rsidRPr="00247B57">
              <w:rPr>
                <w:rFonts w:eastAsia="Times New Roman" w:cs="Times New Roman"/>
                <w:sz w:val="20"/>
                <w:szCs w:val="20"/>
              </w:rPr>
              <w:t> </w:t>
            </w:r>
          </w:p>
        </w:tc>
      </w:tr>
      <w:tr w:rsidR="00247B57" w:rsidRPr="00247B57" w14:paraId="36604A68"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012FEE93"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Interest expenditure</w:t>
            </w:r>
          </w:p>
        </w:tc>
        <w:tc>
          <w:tcPr>
            <w:tcW w:w="1377" w:type="dxa"/>
            <w:tcBorders>
              <w:top w:val="nil"/>
              <w:left w:val="nil"/>
              <w:bottom w:val="dotted" w:sz="4" w:space="0" w:color="000000"/>
              <w:right w:val="dotted" w:sz="4" w:space="0" w:color="000000"/>
            </w:tcBorders>
            <w:shd w:val="clear" w:color="auto" w:fill="auto"/>
            <w:hideMark/>
          </w:tcPr>
          <w:p w14:paraId="26E0263D"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0027CBC8"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11C15991"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4195B75A"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27A7D394"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6C6C9AE5"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1D7F43FF"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573D62C9"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2713372C"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Total revenues</w:t>
            </w:r>
          </w:p>
        </w:tc>
        <w:tc>
          <w:tcPr>
            <w:tcW w:w="1377" w:type="dxa"/>
            <w:tcBorders>
              <w:top w:val="nil"/>
              <w:left w:val="nil"/>
              <w:bottom w:val="dotted" w:sz="4" w:space="0" w:color="000000"/>
              <w:right w:val="dotted" w:sz="4" w:space="0" w:color="000000"/>
            </w:tcBorders>
            <w:shd w:val="clear" w:color="auto" w:fill="auto"/>
            <w:hideMark/>
          </w:tcPr>
          <w:p w14:paraId="27386016"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38CB024F"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5F247421"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1487F141"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3E3F073B"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13053A41"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4A987E98"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3A0D8A6C"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6903A37E" w14:textId="77777777" w:rsidR="00247B57" w:rsidRPr="00247B57" w:rsidRDefault="00247B57" w:rsidP="00247B57">
            <w:pPr>
              <w:spacing w:after="0"/>
              <w:ind w:firstLineChars="100" w:firstLine="200"/>
              <w:jc w:val="left"/>
              <w:rPr>
                <w:rFonts w:eastAsia="Times New Roman" w:cs="Times New Roman"/>
                <w:i/>
                <w:iCs/>
                <w:color w:val="000000"/>
                <w:sz w:val="20"/>
                <w:szCs w:val="20"/>
              </w:rPr>
            </w:pPr>
            <w:r w:rsidRPr="00247B57">
              <w:rPr>
                <w:rFonts w:eastAsia="Times New Roman" w:cs="Times New Roman"/>
                <w:i/>
                <w:iCs/>
                <w:color w:val="000000"/>
                <w:sz w:val="20"/>
                <w:szCs w:val="20"/>
              </w:rPr>
              <w:t>of which</w:t>
            </w:r>
            <w:r w:rsidRPr="00247B57">
              <w:rPr>
                <w:rFonts w:eastAsia="Times New Roman" w:cs="Times New Roman"/>
                <w:color w:val="000000"/>
                <w:sz w:val="20"/>
                <w:szCs w:val="20"/>
              </w:rPr>
              <w:t>: property income</w:t>
            </w:r>
          </w:p>
        </w:tc>
        <w:tc>
          <w:tcPr>
            <w:tcW w:w="1377" w:type="dxa"/>
            <w:tcBorders>
              <w:top w:val="nil"/>
              <w:left w:val="nil"/>
              <w:bottom w:val="dotted" w:sz="4" w:space="0" w:color="000000"/>
              <w:right w:val="dotted" w:sz="4" w:space="0" w:color="000000"/>
            </w:tcBorders>
            <w:shd w:val="clear" w:color="auto" w:fill="auto"/>
            <w:hideMark/>
          </w:tcPr>
          <w:p w14:paraId="4BA3F6E2"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6C431B55"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657C86E9"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75507C5F"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2BC03FA6"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095695F4"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59C37287"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0B7A7A3E" w14:textId="77777777" w:rsidTr="00247B57">
        <w:trPr>
          <w:trHeight w:val="577"/>
        </w:trPr>
        <w:tc>
          <w:tcPr>
            <w:tcW w:w="5547" w:type="dxa"/>
            <w:tcBorders>
              <w:top w:val="nil"/>
              <w:left w:val="double" w:sz="6" w:space="0" w:color="000000"/>
              <w:bottom w:val="dotted" w:sz="4" w:space="0" w:color="000000"/>
              <w:right w:val="single" w:sz="4" w:space="0" w:color="auto"/>
            </w:tcBorders>
            <w:shd w:val="clear" w:color="auto" w:fill="auto"/>
            <w:hideMark/>
          </w:tcPr>
          <w:p w14:paraId="348421DC" w14:textId="77777777" w:rsidR="00247B57" w:rsidRPr="00247B57" w:rsidRDefault="00247B57" w:rsidP="00247B57">
            <w:pPr>
              <w:spacing w:after="0"/>
              <w:ind w:firstLineChars="200" w:firstLine="400"/>
              <w:jc w:val="left"/>
              <w:rPr>
                <w:rFonts w:eastAsia="Times New Roman" w:cs="Times New Roman"/>
                <w:i/>
                <w:iCs/>
                <w:color w:val="000000"/>
                <w:sz w:val="20"/>
                <w:szCs w:val="20"/>
              </w:rPr>
            </w:pPr>
            <w:r w:rsidRPr="00247B57">
              <w:rPr>
                <w:rFonts w:eastAsia="Times New Roman" w:cs="Times New Roman"/>
                <w:i/>
                <w:iCs/>
                <w:color w:val="000000"/>
                <w:sz w:val="20"/>
                <w:szCs w:val="20"/>
              </w:rPr>
              <w:t>of which</w:t>
            </w:r>
            <w:r w:rsidRPr="00247B57">
              <w:rPr>
                <w:rFonts w:eastAsia="Times New Roman" w:cs="Times New Roman"/>
                <w:color w:val="000000"/>
                <w:sz w:val="20"/>
                <w:szCs w:val="20"/>
              </w:rPr>
              <w:t>: from pensions contributions (or social contributions, if appropriate)</w:t>
            </w:r>
          </w:p>
        </w:tc>
        <w:tc>
          <w:tcPr>
            <w:tcW w:w="1377" w:type="dxa"/>
            <w:tcBorders>
              <w:top w:val="nil"/>
              <w:left w:val="nil"/>
              <w:bottom w:val="dotted" w:sz="4" w:space="0" w:color="000000"/>
              <w:right w:val="dotted" w:sz="4" w:space="0" w:color="000000"/>
            </w:tcBorders>
            <w:shd w:val="clear" w:color="auto" w:fill="auto"/>
            <w:hideMark/>
          </w:tcPr>
          <w:p w14:paraId="4C13B97B"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2BBF853E"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6D676207"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3228A3D3"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5C21A41A"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11A15A1B"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760A7D6B"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6773E014"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74B0667A"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 xml:space="preserve">Pension reserve fund assets </w:t>
            </w:r>
          </w:p>
        </w:tc>
        <w:tc>
          <w:tcPr>
            <w:tcW w:w="1377" w:type="dxa"/>
            <w:tcBorders>
              <w:top w:val="nil"/>
              <w:left w:val="nil"/>
              <w:bottom w:val="dotted" w:sz="4" w:space="0" w:color="000000"/>
              <w:right w:val="dotted" w:sz="4" w:space="0" w:color="000000"/>
            </w:tcBorders>
            <w:shd w:val="clear" w:color="auto" w:fill="auto"/>
            <w:hideMark/>
          </w:tcPr>
          <w:p w14:paraId="2E583AE0"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09D7743A"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2992882C"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757ED52D"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1DC50D58"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2B9DB552"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5C41E826"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48B43B29" w14:textId="77777777" w:rsidTr="00247B57">
        <w:trPr>
          <w:trHeight w:val="577"/>
        </w:trPr>
        <w:tc>
          <w:tcPr>
            <w:tcW w:w="5547" w:type="dxa"/>
            <w:tcBorders>
              <w:top w:val="nil"/>
              <w:left w:val="double" w:sz="6" w:space="0" w:color="000000"/>
              <w:bottom w:val="single" w:sz="4" w:space="0" w:color="auto"/>
              <w:right w:val="single" w:sz="4" w:space="0" w:color="auto"/>
            </w:tcBorders>
            <w:shd w:val="clear" w:color="auto" w:fill="auto"/>
            <w:hideMark/>
          </w:tcPr>
          <w:p w14:paraId="63685D25" w14:textId="77777777" w:rsidR="00247B57" w:rsidRPr="00247B57" w:rsidRDefault="00247B57" w:rsidP="00247B57">
            <w:pPr>
              <w:spacing w:after="0"/>
              <w:ind w:firstLineChars="200" w:firstLine="400"/>
              <w:jc w:val="left"/>
              <w:rPr>
                <w:rFonts w:eastAsia="Times New Roman" w:cs="Times New Roman"/>
                <w:i/>
                <w:iCs/>
                <w:color w:val="000000"/>
                <w:sz w:val="20"/>
                <w:szCs w:val="20"/>
              </w:rPr>
            </w:pPr>
            <w:r w:rsidRPr="00247B57">
              <w:rPr>
                <w:rFonts w:eastAsia="Times New Roman" w:cs="Times New Roman"/>
                <w:i/>
                <w:iCs/>
                <w:color w:val="000000"/>
                <w:sz w:val="20"/>
                <w:szCs w:val="20"/>
              </w:rPr>
              <w:t>of which</w:t>
            </w:r>
            <w:r w:rsidRPr="00247B57">
              <w:rPr>
                <w:rFonts w:eastAsia="Times New Roman" w:cs="Times New Roman"/>
                <w:color w:val="000000"/>
                <w:sz w:val="20"/>
                <w:szCs w:val="20"/>
              </w:rPr>
              <w:t>: consolidated public pension fund assets (assets other than government liabilities)</w:t>
            </w:r>
          </w:p>
        </w:tc>
        <w:tc>
          <w:tcPr>
            <w:tcW w:w="1377" w:type="dxa"/>
            <w:tcBorders>
              <w:top w:val="nil"/>
              <w:left w:val="nil"/>
              <w:bottom w:val="single" w:sz="4" w:space="0" w:color="auto"/>
              <w:right w:val="dotted" w:sz="4" w:space="0" w:color="000000"/>
            </w:tcBorders>
            <w:shd w:val="clear" w:color="auto" w:fill="auto"/>
            <w:hideMark/>
          </w:tcPr>
          <w:p w14:paraId="35CA3447"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single" w:sz="4" w:space="0" w:color="auto"/>
              <w:right w:val="dotted" w:sz="4" w:space="0" w:color="000000"/>
            </w:tcBorders>
            <w:shd w:val="clear" w:color="auto" w:fill="auto"/>
            <w:hideMark/>
          </w:tcPr>
          <w:p w14:paraId="2944477C"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single" w:sz="4" w:space="0" w:color="auto"/>
              <w:right w:val="dotted" w:sz="4" w:space="0" w:color="000000"/>
            </w:tcBorders>
            <w:shd w:val="clear" w:color="auto" w:fill="auto"/>
            <w:hideMark/>
          </w:tcPr>
          <w:p w14:paraId="3B7722A9"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single" w:sz="4" w:space="0" w:color="auto"/>
              <w:right w:val="dotted" w:sz="4" w:space="0" w:color="000000"/>
            </w:tcBorders>
            <w:shd w:val="clear" w:color="auto" w:fill="auto"/>
            <w:hideMark/>
          </w:tcPr>
          <w:p w14:paraId="6479733A"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single" w:sz="4" w:space="0" w:color="auto"/>
              <w:right w:val="dotted" w:sz="4" w:space="0" w:color="000000"/>
            </w:tcBorders>
            <w:shd w:val="clear" w:color="auto" w:fill="auto"/>
            <w:hideMark/>
          </w:tcPr>
          <w:p w14:paraId="22465D00"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single" w:sz="4" w:space="0" w:color="auto"/>
              <w:right w:val="dotted" w:sz="4" w:space="0" w:color="000000"/>
            </w:tcBorders>
            <w:shd w:val="clear" w:color="auto" w:fill="auto"/>
            <w:hideMark/>
          </w:tcPr>
          <w:p w14:paraId="006A962E"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single" w:sz="4" w:space="0" w:color="auto"/>
              <w:right w:val="double" w:sz="6" w:space="0" w:color="000000"/>
            </w:tcBorders>
            <w:shd w:val="clear" w:color="auto" w:fill="auto"/>
            <w:hideMark/>
          </w:tcPr>
          <w:p w14:paraId="141019A3"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2DA7D638" w14:textId="77777777" w:rsidTr="00247B57">
        <w:trPr>
          <w:trHeight w:val="279"/>
        </w:trPr>
        <w:tc>
          <w:tcPr>
            <w:tcW w:w="5547" w:type="dxa"/>
            <w:tcBorders>
              <w:top w:val="nil"/>
              <w:left w:val="double" w:sz="6" w:space="0" w:color="000000"/>
              <w:bottom w:val="single" w:sz="4" w:space="0" w:color="auto"/>
              <w:right w:val="nil"/>
            </w:tcBorders>
            <w:shd w:val="clear" w:color="auto" w:fill="auto"/>
            <w:hideMark/>
          </w:tcPr>
          <w:p w14:paraId="454E7B09" w14:textId="77777777" w:rsidR="00247B57" w:rsidRPr="00247B57" w:rsidRDefault="00247B57" w:rsidP="00247B57">
            <w:pPr>
              <w:spacing w:after="0"/>
              <w:jc w:val="center"/>
              <w:rPr>
                <w:rFonts w:eastAsia="Times New Roman" w:cs="Times New Roman"/>
                <w:b/>
                <w:bCs/>
                <w:color w:val="000000"/>
                <w:sz w:val="20"/>
                <w:szCs w:val="20"/>
              </w:rPr>
            </w:pPr>
            <w:r w:rsidRPr="00247B57">
              <w:rPr>
                <w:rFonts w:eastAsia="Times New Roman" w:cs="Times New Roman"/>
                <w:b/>
                <w:bCs/>
                <w:color w:val="000000"/>
                <w:sz w:val="20"/>
                <w:szCs w:val="20"/>
              </w:rPr>
              <w:t>Assumptions</w:t>
            </w:r>
          </w:p>
        </w:tc>
        <w:tc>
          <w:tcPr>
            <w:tcW w:w="1377" w:type="dxa"/>
            <w:tcBorders>
              <w:top w:val="nil"/>
              <w:left w:val="nil"/>
              <w:bottom w:val="single" w:sz="4" w:space="0" w:color="auto"/>
              <w:right w:val="nil"/>
            </w:tcBorders>
            <w:shd w:val="clear" w:color="auto" w:fill="auto"/>
            <w:hideMark/>
          </w:tcPr>
          <w:p w14:paraId="6ED2D00C" w14:textId="77777777" w:rsidR="00247B57" w:rsidRPr="00247B57" w:rsidRDefault="00247B57" w:rsidP="00247B57">
            <w:pPr>
              <w:spacing w:after="0"/>
              <w:jc w:val="center"/>
              <w:rPr>
                <w:rFonts w:eastAsia="Times New Roman" w:cs="Times New Roman"/>
                <w:b/>
                <w:bCs/>
                <w:color w:val="000000"/>
                <w:sz w:val="20"/>
                <w:szCs w:val="20"/>
              </w:rPr>
            </w:pPr>
            <w:r w:rsidRPr="00247B57">
              <w:rPr>
                <w:rFonts w:eastAsia="Times New Roman" w:cs="Times New Roman"/>
                <w:b/>
                <w:bCs/>
                <w:color w:val="000000"/>
                <w:sz w:val="20"/>
                <w:szCs w:val="20"/>
              </w:rPr>
              <w:t> </w:t>
            </w:r>
          </w:p>
        </w:tc>
        <w:tc>
          <w:tcPr>
            <w:tcW w:w="1434" w:type="dxa"/>
            <w:tcBorders>
              <w:top w:val="nil"/>
              <w:left w:val="nil"/>
              <w:bottom w:val="single" w:sz="4" w:space="0" w:color="auto"/>
              <w:right w:val="nil"/>
            </w:tcBorders>
            <w:shd w:val="clear" w:color="auto" w:fill="auto"/>
            <w:hideMark/>
          </w:tcPr>
          <w:p w14:paraId="28845D03" w14:textId="77777777" w:rsidR="00247B57" w:rsidRPr="00247B57" w:rsidRDefault="00247B57" w:rsidP="00247B57">
            <w:pPr>
              <w:spacing w:after="0"/>
              <w:jc w:val="center"/>
              <w:rPr>
                <w:rFonts w:eastAsia="Times New Roman" w:cs="Times New Roman"/>
                <w:b/>
                <w:bCs/>
                <w:color w:val="000000"/>
                <w:sz w:val="20"/>
                <w:szCs w:val="20"/>
              </w:rPr>
            </w:pPr>
            <w:r w:rsidRPr="00247B57">
              <w:rPr>
                <w:rFonts w:eastAsia="Times New Roman" w:cs="Times New Roman"/>
                <w:b/>
                <w:bCs/>
                <w:color w:val="000000"/>
                <w:sz w:val="20"/>
                <w:szCs w:val="20"/>
              </w:rPr>
              <w:t> </w:t>
            </w:r>
          </w:p>
        </w:tc>
        <w:tc>
          <w:tcPr>
            <w:tcW w:w="1319" w:type="dxa"/>
            <w:tcBorders>
              <w:top w:val="nil"/>
              <w:left w:val="nil"/>
              <w:bottom w:val="single" w:sz="4" w:space="0" w:color="auto"/>
              <w:right w:val="nil"/>
            </w:tcBorders>
            <w:shd w:val="clear" w:color="auto" w:fill="auto"/>
            <w:hideMark/>
          </w:tcPr>
          <w:p w14:paraId="78F11148" w14:textId="77777777" w:rsidR="00247B57" w:rsidRPr="00247B57" w:rsidRDefault="00247B57" w:rsidP="00247B57">
            <w:pPr>
              <w:spacing w:after="0"/>
              <w:jc w:val="center"/>
              <w:rPr>
                <w:rFonts w:eastAsia="Times New Roman" w:cs="Times New Roman"/>
                <w:b/>
                <w:bCs/>
                <w:color w:val="000000"/>
                <w:sz w:val="20"/>
                <w:szCs w:val="20"/>
              </w:rPr>
            </w:pPr>
            <w:r w:rsidRPr="00247B57">
              <w:rPr>
                <w:rFonts w:eastAsia="Times New Roman" w:cs="Times New Roman"/>
                <w:b/>
                <w:bCs/>
                <w:color w:val="000000"/>
                <w:sz w:val="20"/>
                <w:szCs w:val="20"/>
              </w:rPr>
              <w:t> </w:t>
            </w:r>
          </w:p>
        </w:tc>
        <w:tc>
          <w:tcPr>
            <w:tcW w:w="1377" w:type="dxa"/>
            <w:tcBorders>
              <w:top w:val="nil"/>
              <w:left w:val="nil"/>
              <w:bottom w:val="single" w:sz="4" w:space="0" w:color="auto"/>
              <w:right w:val="nil"/>
            </w:tcBorders>
            <w:shd w:val="clear" w:color="auto" w:fill="auto"/>
            <w:hideMark/>
          </w:tcPr>
          <w:p w14:paraId="5330E526" w14:textId="77777777" w:rsidR="00247B57" w:rsidRPr="00247B57" w:rsidRDefault="00247B57" w:rsidP="00247B57">
            <w:pPr>
              <w:spacing w:after="0"/>
              <w:jc w:val="center"/>
              <w:rPr>
                <w:rFonts w:eastAsia="Times New Roman" w:cs="Times New Roman"/>
                <w:b/>
                <w:bCs/>
                <w:color w:val="000000"/>
                <w:sz w:val="20"/>
                <w:szCs w:val="20"/>
              </w:rPr>
            </w:pPr>
            <w:r w:rsidRPr="00247B57">
              <w:rPr>
                <w:rFonts w:eastAsia="Times New Roman" w:cs="Times New Roman"/>
                <w:b/>
                <w:bCs/>
                <w:color w:val="000000"/>
                <w:sz w:val="20"/>
                <w:szCs w:val="20"/>
              </w:rPr>
              <w:t> </w:t>
            </w:r>
          </w:p>
        </w:tc>
        <w:tc>
          <w:tcPr>
            <w:tcW w:w="1396" w:type="dxa"/>
            <w:tcBorders>
              <w:top w:val="nil"/>
              <w:left w:val="nil"/>
              <w:bottom w:val="single" w:sz="4" w:space="0" w:color="auto"/>
              <w:right w:val="nil"/>
            </w:tcBorders>
            <w:shd w:val="clear" w:color="auto" w:fill="auto"/>
            <w:hideMark/>
          </w:tcPr>
          <w:p w14:paraId="15D3D586" w14:textId="77777777" w:rsidR="00247B57" w:rsidRPr="00247B57" w:rsidRDefault="00247B57" w:rsidP="00247B57">
            <w:pPr>
              <w:spacing w:after="0"/>
              <w:jc w:val="center"/>
              <w:rPr>
                <w:rFonts w:eastAsia="Times New Roman" w:cs="Times New Roman"/>
                <w:b/>
                <w:bCs/>
                <w:color w:val="000000"/>
                <w:sz w:val="20"/>
                <w:szCs w:val="20"/>
              </w:rPr>
            </w:pPr>
            <w:r w:rsidRPr="00247B57">
              <w:rPr>
                <w:rFonts w:eastAsia="Times New Roman" w:cs="Times New Roman"/>
                <w:b/>
                <w:bCs/>
                <w:color w:val="000000"/>
                <w:sz w:val="20"/>
                <w:szCs w:val="20"/>
              </w:rPr>
              <w:t> </w:t>
            </w:r>
          </w:p>
        </w:tc>
        <w:tc>
          <w:tcPr>
            <w:tcW w:w="1396" w:type="dxa"/>
            <w:tcBorders>
              <w:top w:val="nil"/>
              <w:left w:val="nil"/>
              <w:bottom w:val="single" w:sz="4" w:space="0" w:color="auto"/>
              <w:right w:val="nil"/>
            </w:tcBorders>
            <w:shd w:val="clear" w:color="auto" w:fill="auto"/>
            <w:hideMark/>
          </w:tcPr>
          <w:p w14:paraId="7AB32CAC" w14:textId="77777777" w:rsidR="00247B57" w:rsidRPr="00247B57" w:rsidRDefault="00247B57" w:rsidP="00247B57">
            <w:pPr>
              <w:spacing w:after="0"/>
              <w:jc w:val="center"/>
              <w:rPr>
                <w:rFonts w:eastAsia="Times New Roman" w:cs="Times New Roman"/>
                <w:b/>
                <w:bCs/>
                <w:color w:val="000000"/>
                <w:sz w:val="20"/>
                <w:szCs w:val="20"/>
              </w:rPr>
            </w:pPr>
            <w:r w:rsidRPr="00247B57">
              <w:rPr>
                <w:rFonts w:eastAsia="Times New Roman" w:cs="Times New Roman"/>
                <w:b/>
                <w:bCs/>
                <w:color w:val="000000"/>
                <w:sz w:val="20"/>
                <w:szCs w:val="20"/>
              </w:rPr>
              <w:t> </w:t>
            </w:r>
          </w:p>
        </w:tc>
        <w:tc>
          <w:tcPr>
            <w:tcW w:w="1396" w:type="dxa"/>
            <w:tcBorders>
              <w:top w:val="nil"/>
              <w:left w:val="nil"/>
              <w:bottom w:val="single" w:sz="4" w:space="0" w:color="auto"/>
              <w:right w:val="double" w:sz="6" w:space="0" w:color="000000"/>
            </w:tcBorders>
            <w:shd w:val="clear" w:color="auto" w:fill="auto"/>
            <w:hideMark/>
          </w:tcPr>
          <w:p w14:paraId="46C5CF20" w14:textId="77777777" w:rsidR="00247B57" w:rsidRPr="00247B57" w:rsidRDefault="00247B57" w:rsidP="00247B57">
            <w:pPr>
              <w:spacing w:after="0"/>
              <w:jc w:val="center"/>
              <w:rPr>
                <w:rFonts w:eastAsia="Times New Roman" w:cs="Times New Roman"/>
                <w:b/>
                <w:bCs/>
                <w:color w:val="000000"/>
                <w:sz w:val="20"/>
                <w:szCs w:val="20"/>
              </w:rPr>
            </w:pPr>
            <w:r w:rsidRPr="00247B57">
              <w:rPr>
                <w:rFonts w:eastAsia="Times New Roman" w:cs="Times New Roman"/>
                <w:b/>
                <w:bCs/>
                <w:color w:val="000000"/>
                <w:sz w:val="20"/>
                <w:szCs w:val="20"/>
              </w:rPr>
              <w:t> </w:t>
            </w:r>
          </w:p>
        </w:tc>
      </w:tr>
      <w:tr w:rsidR="00247B57" w:rsidRPr="00247B57" w14:paraId="16971EB7"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1AD1E2C9"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Labour productivity growth</w:t>
            </w:r>
          </w:p>
        </w:tc>
        <w:tc>
          <w:tcPr>
            <w:tcW w:w="1377" w:type="dxa"/>
            <w:tcBorders>
              <w:top w:val="nil"/>
              <w:left w:val="nil"/>
              <w:bottom w:val="dotted" w:sz="4" w:space="0" w:color="000000"/>
              <w:right w:val="dotted" w:sz="4" w:space="0" w:color="000000"/>
            </w:tcBorders>
            <w:shd w:val="clear" w:color="auto" w:fill="auto"/>
            <w:hideMark/>
          </w:tcPr>
          <w:p w14:paraId="00F5F497"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76B507D7"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19FAABC9"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409CF398"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6039E330"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27CD8187"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11EEF0C3"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6E046FD8"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3E821CF6"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Real GDP growth</w:t>
            </w:r>
          </w:p>
        </w:tc>
        <w:tc>
          <w:tcPr>
            <w:tcW w:w="1377" w:type="dxa"/>
            <w:tcBorders>
              <w:top w:val="nil"/>
              <w:left w:val="nil"/>
              <w:bottom w:val="dotted" w:sz="4" w:space="0" w:color="000000"/>
              <w:right w:val="dotted" w:sz="4" w:space="0" w:color="000000"/>
            </w:tcBorders>
            <w:shd w:val="clear" w:color="auto" w:fill="auto"/>
            <w:hideMark/>
          </w:tcPr>
          <w:p w14:paraId="209DD1FA"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618D17AB"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7CD1EFA2"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1CE30500"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4C43A13F"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598DDC54"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324A78AE"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22B6A668"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3B4399FF"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Participation rate males (aged 20-64)</w:t>
            </w:r>
          </w:p>
        </w:tc>
        <w:tc>
          <w:tcPr>
            <w:tcW w:w="1377" w:type="dxa"/>
            <w:tcBorders>
              <w:top w:val="nil"/>
              <w:left w:val="nil"/>
              <w:bottom w:val="dotted" w:sz="4" w:space="0" w:color="000000"/>
              <w:right w:val="dotted" w:sz="4" w:space="0" w:color="000000"/>
            </w:tcBorders>
            <w:shd w:val="clear" w:color="auto" w:fill="auto"/>
            <w:hideMark/>
          </w:tcPr>
          <w:p w14:paraId="2B778E1A"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24933358"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3E257DC7"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3F5707B8"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08D0022D"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2EF03424"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500D20F8"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677F8402"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541AB53A"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Participation rates females (aged 20-64)</w:t>
            </w:r>
          </w:p>
        </w:tc>
        <w:tc>
          <w:tcPr>
            <w:tcW w:w="1377" w:type="dxa"/>
            <w:tcBorders>
              <w:top w:val="nil"/>
              <w:left w:val="nil"/>
              <w:bottom w:val="dotted" w:sz="4" w:space="0" w:color="000000"/>
              <w:right w:val="dotted" w:sz="4" w:space="0" w:color="000000"/>
            </w:tcBorders>
            <w:shd w:val="clear" w:color="auto" w:fill="auto"/>
            <w:hideMark/>
          </w:tcPr>
          <w:p w14:paraId="1FA75CEC"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72A47DF5"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2B8110FF"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1175DD2F"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71B2FFAE"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7B07AB78"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704A2522"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4460F28C"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21F827E8"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Total participation rates (20-64)</w:t>
            </w:r>
          </w:p>
        </w:tc>
        <w:tc>
          <w:tcPr>
            <w:tcW w:w="1377" w:type="dxa"/>
            <w:tcBorders>
              <w:top w:val="nil"/>
              <w:left w:val="nil"/>
              <w:bottom w:val="dotted" w:sz="4" w:space="0" w:color="000000"/>
              <w:right w:val="dotted" w:sz="4" w:space="0" w:color="000000"/>
            </w:tcBorders>
            <w:shd w:val="clear" w:color="auto" w:fill="auto"/>
            <w:hideMark/>
          </w:tcPr>
          <w:p w14:paraId="481FA754"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01631643"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5159CC86"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7D0815C1"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3A379A0E"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021DD831"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4DFB7FC1"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4E8AC49A" w14:textId="77777777" w:rsidTr="00247B57">
        <w:trPr>
          <w:trHeight w:val="289"/>
        </w:trPr>
        <w:tc>
          <w:tcPr>
            <w:tcW w:w="5547" w:type="dxa"/>
            <w:tcBorders>
              <w:top w:val="nil"/>
              <w:left w:val="double" w:sz="6" w:space="0" w:color="000000"/>
              <w:bottom w:val="dotted" w:sz="4" w:space="0" w:color="000000"/>
              <w:right w:val="single" w:sz="4" w:space="0" w:color="auto"/>
            </w:tcBorders>
            <w:shd w:val="clear" w:color="auto" w:fill="auto"/>
            <w:hideMark/>
          </w:tcPr>
          <w:p w14:paraId="5645B0C3"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Unemployment rate</w:t>
            </w:r>
          </w:p>
        </w:tc>
        <w:tc>
          <w:tcPr>
            <w:tcW w:w="1377" w:type="dxa"/>
            <w:tcBorders>
              <w:top w:val="nil"/>
              <w:left w:val="nil"/>
              <w:bottom w:val="dotted" w:sz="4" w:space="0" w:color="000000"/>
              <w:right w:val="dotted" w:sz="4" w:space="0" w:color="000000"/>
            </w:tcBorders>
            <w:shd w:val="clear" w:color="auto" w:fill="auto"/>
            <w:hideMark/>
          </w:tcPr>
          <w:p w14:paraId="4A9B02C1"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434" w:type="dxa"/>
            <w:tcBorders>
              <w:top w:val="nil"/>
              <w:left w:val="nil"/>
              <w:bottom w:val="dotted" w:sz="4" w:space="0" w:color="000000"/>
              <w:right w:val="dotted" w:sz="4" w:space="0" w:color="000000"/>
            </w:tcBorders>
            <w:shd w:val="clear" w:color="auto" w:fill="auto"/>
            <w:hideMark/>
          </w:tcPr>
          <w:p w14:paraId="37C57EC1"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tted" w:sz="4" w:space="0" w:color="000000"/>
              <w:right w:val="dotted" w:sz="4" w:space="0" w:color="000000"/>
            </w:tcBorders>
            <w:shd w:val="clear" w:color="auto" w:fill="auto"/>
            <w:hideMark/>
          </w:tcPr>
          <w:p w14:paraId="2E9C8762"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tted" w:sz="4" w:space="0" w:color="000000"/>
              <w:right w:val="dotted" w:sz="4" w:space="0" w:color="000000"/>
            </w:tcBorders>
            <w:shd w:val="clear" w:color="auto" w:fill="auto"/>
            <w:hideMark/>
          </w:tcPr>
          <w:p w14:paraId="46028934"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6A56581F"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tted" w:sz="4" w:space="0" w:color="000000"/>
            </w:tcBorders>
            <w:shd w:val="clear" w:color="auto" w:fill="auto"/>
            <w:hideMark/>
          </w:tcPr>
          <w:p w14:paraId="0D7F7B00"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tted" w:sz="4" w:space="0" w:color="000000"/>
              <w:right w:val="double" w:sz="6" w:space="0" w:color="000000"/>
            </w:tcBorders>
            <w:shd w:val="clear" w:color="auto" w:fill="auto"/>
            <w:hideMark/>
          </w:tcPr>
          <w:p w14:paraId="6E9E6B64"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r w:rsidR="00247B57" w:rsidRPr="00247B57" w14:paraId="12BEC28F" w14:textId="77777777" w:rsidTr="00247B57">
        <w:trPr>
          <w:trHeight w:val="298"/>
        </w:trPr>
        <w:tc>
          <w:tcPr>
            <w:tcW w:w="5547" w:type="dxa"/>
            <w:tcBorders>
              <w:top w:val="nil"/>
              <w:left w:val="double" w:sz="6" w:space="0" w:color="000000"/>
              <w:bottom w:val="double" w:sz="6" w:space="0" w:color="000000"/>
              <w:right w:val="single" w:sz="4" w:space="0" w:color="auto"/>
            </w:tcBorders>
            <w:shd w:val="clear" w:color="auto" w:fill="auto"/>
            <w:hideMark/>
          </w:tcPr>
          <w:p w14:paraId="3CA529BA" w14:textId="77777777" w:rsidR="00247B57" w:rsidRPr="00247B57" w:rsidRDefault="00247B57" w:rsidP="00247B57">
            <w:pPr>
              <w:spacing w:after="0"/>
              <w:jc w:val="left"/>
              <w:rPr>
                <w:rFonts w:eastAsia="Times New Roman" w:cs="Times New Roman"/>
                <w:color w:val="000000"/>
                <w:sz w:val="20"/>
                <w:szCs w:val="20"/>
              </w:rPr>
            </w:pPr>
            <w:r w:rsidRPr="00247B57">
              <w:rPr>
                <w:rFonts w:eastAsia="Times New Roman" w:cs="Times New Roman"/>
                <w:color w:val="000000"/>
                <w:sz w:val="20"/>
                <w:szCs w:val="20"/>
              </w:rPr>
              <w:t>Population aged 65+ over total population</w:t>
            </w:r>
          </w:p>
        </w:tc>
        <w:tc>
          <w:tcPr>
            <w:tcW w:w="1377" w:type="dxa"/>
            <w:tcBorders>
              <w:top w:val="nil"/>
              <w:left w:val="nil"/>
              <w:bottom w:val="double" w:sz="6" w:space="0" w:color="000000"/>
              <w:right w:val="dotted" w:sz="4" w:space="0" w:color="000000"/>
            </w:tcBorders>
            <w:shd w:val="clear" w:color="auto" w:fill="auto"/>
            <w:hideMark/>
          </w:tcPr>
          <w:p w14:paraId="273E9FFC" w14:textId="77777777" w:rsidR="00247B57" w:rsidRPr="00247B57" w:rsidRDefault="00247B57" w:rsidP="00247B57">
            <w:pPr>
              <w:spacing w:after="0"/>
              <w:jc w:val="center"/>
              <w:rPr>
                <w:rFonts w:eastAsia="Times New Roman" w:cs="Times New Roman"/>
                <w:b/>
                <w:bCs/>
                <w:color w:val="000000"/>
                <w:sz w:val="20"/>
                <w:szCs w:val="20"/>
              </w:rPr>
            </w:pPr>
            <w:r w:rsidRPr="00247B57">
              <w:rPr>
                <w:rFonts w:eastAsia="Times New Roman" w:cs="Times New Roman"/>
                <w:b/>
                <w:bCs/>
                <w:color w:val="000000"/>
                <w:sz w:val="20"/>
                <w:szCs w:val="20"/>
              </w:rPr>
              <w:t> </w:t>
            </w:r>
          </w:p>
        </w:tc>
        <w:tc>
          <w:tcPr>
            <w:tcW w:w="1434" w:type="dxa"/>
            <w:tcBorders>
              <w:top w:val="nil"/>
              <w:left w:val="nil"/>
              <w:bottom w:val="double" w:sz="6" w:space="0" w:color="000000"/>
              <w:right w:val="dotted" w:sz="4" w:space="0" w:color="000000"/>
            </w:tcBorders>
            <w:shd w:val="clear" w:color="auto" w:fill="auto"/>
            <w:hideMark/>
          </w:tcPr>
          <w:p w14:paraId="288C511A"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19" w:type="dxa"/>
            <w:tcBorders>
              <w:top w:val="nil"/>
              <w:left w:val="nil"/>
              <w:bottom w:val="double" w:sz="6" w:space="0" w:color="000000"/>
              <w:right w:val="dotted" w:sz="4" w:space="0" w:color="000000"/>
            </w:tcBorders>
            <w:shd w:val="clear" w:color="auto" w:fill="auto"/>
            <w:hideMark/>
          </w:tcPr>
          <w:p w14:paraId="2A102205"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77" w:type="dxa"/>
            <w:tcBorders>
              <w:top w:val="nil"/>
              <w:left w:val="nil"/>
              <w:bottom w:val="double" w:sz="6" w:space="0" w:color="000000"/>
              <w:right w:val="dotted" w:sz="4" w:space="0" w:color="000000"/>
            </w:tcBorders>
            <w:shd w:val="clear" w:color="auto" w:fill="auto"/>
            <w:hideMark/>
          </w:tcPr>
          <w:p w14:paraId="47F5EFE9"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uble" w:sz="6" w:space="0" w:color="000000"/>
              <w:right w:val="dotted" w:sz="4" w:space="0" w:color="000000"/>
            </w:tcBorders>
            <w:shd w:val="clear" w:color="auto" w:fill="auto"/>
            <w:hideMark/>
          </w:tcPr>
          <w:p w14:paraId="41018C2B"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uble" w:sz="6" w:space="0" w:color="000000"/>
              <w:right w:val="dotted" w:sz="4" w:space="0" w:color="000000"/>
            </w:tcBorders>
            <w:shd w:val="clear" w:color="auto" w:fill="auto"/>
            <w:hideMark/>
          </w:tcPr>
          <w:p w14:paraId="736B353E"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c>
          <w:tcPr>
            <w:tcW w:w="1396" w:type="dxa"/>
            <w:tcBorders>
              <w:top w:val="nil"/>
              <w:left w:val="nil"/>
              <w:bottom w:val="double" w:sz="6" w:space="0" w:color="000000"/>
              <w:right w:val="double" w:sz="6" w:space="0" w:color="000000"/>
            </w:tcBorders>
            <w:shd w:val="clear" w:color="auto" w:fill="auto"/>
            <w:hideMark/>
          </w:tcPr>
          <w:p w14:paraId="72E693BE" w14:textId="77777777" w:rsidR="00247B57" w:rsidRPr="00247B57" w:rsidRDefault="00247B57" w:rsidP="00247B57">
            <w:pPr>
              <w:spacing w:after="0"/>
              <w:jc w:val="center"/>
              <w:rPr>
                <w:rFonts w:eastAsia="Times New Roman" w:cs="Times New Roman"/>
                <w:color w:val="000000"/>
                <w:sz w:val="20"/>
                <w:szCs w:val="20"/>
              </w:rPr>
            </w:pPr>
            <w:r w:rsidRPr="00247B57">
              <w:rPr>
                <w:rFonts w:eastAsia="Times New Roman" w:cs="Times New Roman"/>
                <w:color w:val="000000"/>
                <w:sz w:val="20"/>
                <w:szCs w:val="20"/>
              </w:rPr>
              <w:t> </w:t>
            </w:r>
          </w:p>
        </w:tc>
      </w:tr>
    </w:tbl>
    <w:p w14:paraId="38DCCF17" w14:textId="2029D4DE" w:rsidR="00247B57" w:rsidRDefault="00247B57" w:rsidP="00247B57">
      <w:pPr>
        <w:rPr>
          <w:szCs w:val="24"/>
        </w:rPr>
      </w:pPr>
      <w:r>
        <w:rPr>
          <w:szCs w:val="24"/>
        </w:rPr>
        <w:fldChar w:fldCharType="end"/>
      </w:r>
    </w:p>
    <w:p w14:paraId="20EF4BE6" w14:textId="790BC3C2" w:rsidR="00247B57" w:rsidRDefault="00247B57" w:rsidP="00247B57">
      <w:pPr>
        <w:rPr>
          <w:szCs w:val="24"/>
        </w:rPr>
      </w:pPr>
    </w:p>
    <w:p w14:paraId="5361D539" w14:textId="06371B22" w:rsidR="00EE57B3" w:rsidRDefault="00644ACF" w:rsidP="00644ACF">
      <w:pPr>
        <w:rPr>
          <w:szCs w:val="24"/>
        </w:rPr>
      </w:pPr>
      <w:r w:rsidRPr="00644ACF">
        <w:rPr>
          <w:szCs w:val="24"/>
        </w:rPr>
        <w:t>Table 7a:  Stock of General Government guarantees adopted/announced according to the Programme</w:t>
      </w:r>
      <w:r w:rsidR="00507140">
        <w:rPr>
          <w:szCs w:val="24"/>
        </w:rPr>
        <w:t xml:space="preserve"> </w:t>
      </w:r>
    </w:p>
    <w:p w14:paraId="663F7843" w14:textId="205012E6" w:rsidR="00507140" w:rsidRDefault="00507140" w:rsidP="00644ACF">
      <w:pPr>
        <w:rPr>
          <w:szCs w:val="24"/>
        </w:rPr>
      </w:pPr>
    </w:p>
    <w:p w14:paraId="3509DA65" w14:textId="77E78FA7" w:rsidR="00507140" w:rsidRDefault="00507140" w:rsidP="00644ACF">
      <w:pPr>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data!R274C2:R293C7 </w:instrText>
      </w:r>
      <w:r>
        <w:instrText xml:space="preserve">\a \f 4 \h  \* MERGEFORMAT </w:instrText>
      </w:r>
      <w:r>
        <w:fldChar w:fldCharType="separate"/>
      </w:r>
    </w:p>
    <w:tbl>
      <w:tblPr>
        <w:tblW w:w="15362" w:type="dxa"/>
        <w:tblLook w:val="04A0" w:firstRow="1" w:lastRow="0" w:firstColumn="1" w:lastColumn="0" w:noHBand="0" w:noVBand="1"/>
      </w:tblPr>
      <w:tblGrid>
        <w:gridCol w:w="6844"/>
        <w:gridCol w:w="1699"/>
        <w:gridCol w:w="1770"/>
        <w:gridCol w:w="1628"/>
        <w:gridCol w:w="1699"/>
        <w:gridCol w:w="1722"/>
      </w:tblGrid>
      <w:tr w:rsidR="00507140" w:rsidRPr="00507140" w14:paraId="6CEEB831" w14:textId="77777777" w:rsidTr="00507140">
        <w:trPr>
          <w:trHeight w:val="328"/>
        </w:trPr>
        <w:tc>
          <w:tcPr>
            <w:tcW w:w="8543" w:type="dxa"/>
            <w:gridSpan w:val="2"/>
            <w:tcBorders>
              <w:top w:val="double" w:sz="6" w:space="0" w:color="auto"/>
              <w:left w:val="double" w:sz="6" w:space="0" w:color="auto"/>
              <w:bottom w:val="double" w:sz="6" w:space="0" w:color="auto"/>
              <w:right w:val="nil"/>
            </w:tcBorders>
            <w:shd w:val="clear" w:color="auto" w:fill="auto"/>
            <w:noWrap/>
            <w:vAlign w:val="center"/>
            <w:hideMark/>
          </w:tcPr>
          <w:p w14:paraId="4FBDFC78" w14:textId="3ECD1EF6" w:rsidR="00507140" w:rsidRPr="00507140" w:rsidRDefault="00507140" w:rsidP="00507140">
            <w:pPr>
              <w:spacing w:after="0"/>
              <w:jc w:val="left"/>
              <w:rPr>
                <w:rFonts w:eastAsia="Times New Roman" w:cs="Times New Roman"/>
                <w:b/>
                <w:bCs/>
                <w:sz w:val="20"/>
                <w:szCs w:val="20"/>
              </w:rPr>
            </w:pPr>
            <w:r w:rsidRPr="00507140">
              <w:rPr>
                <w:rFonts w:eastAsia="Times New Roman" w:cs="Times New Roman"/>
                <w:b/>
                <w:bCs/>
                <w:sz w:val="20"/>
                <w:szCs w:val="20"/>
              </w:rPr>
              <w:t>Stock of General Government g</w:t>
            </w:r>
            <w:r>
              <w:rPr>
                <w:rFonts w:eastAsia="Times New Roman" w:cs="Times New Roman"/>
                <w:b/>
                <w:bCs/>
                <w:sz w:val="20"/>
                <w:szCs w:val="20"/>
              </w:rPr>
              <w:t xml:space="preserve">uarantees adopted/announced </w:t>
            </w:r>
            <w:r w:rsidRPr="00507140">
              <w:rPr>
                <w:rFonts w:eastAsia="Times New Roman" w:cs="Times New Roman"/>
                <w:b/>
                <w:bCs/>
                <w:sz w:val="20"/>
                <w:szCs w:val="20"/>
              </w:rPr>
              <w:t xml:space="preserve">according to the Programme </w:t>
            </w:r>
          </w:p>
        </w:tc>
        <w:tc>
          <w:tcPr>
            <w:tcW w:w="1770"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468B5B24"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 </w:t>
            </w:r>
          </w:p>
        </w:tc>
        <w:tc>
          <w:tcPr>
            <w:tcW w:w="1628" w:type="dxa"/>
            <w:tcBorders>
              <w:top w:val="double" w:sz="6" w:space="0" w:color="auto"/>
              <w:left w:val="nil"/>
              <w:bottom w:val="double" w:sz="6" w:space="0" w:color="auto"/>
              <w:right w:val="dashed" w:sz="4" w:space="0" w:color="auto"/>
            </w:tcBorders>
            <w:shd w:val="clear" w:color="auto" w:fill="auto"/>
            <w:noWrap/>
            <w:vAlign w:val="center"/>
            <w:hideMark/>
          </w:tcPr>
          <w:p w14:paraId="6B343BDB" w14:textId="77777777" w:rsidR="00507140" w:rsidRPr="00507140" w:rsidRDefault="00507140" w:rsidP="00507140">
            <w:pPr>
              <w:spacing w:after="0"/>
              <w:jc w:val="right"/>
              <w:rPr>
                <w:rFonts w:eastAsia="Times New Roman" w:cs="Times New Roman"/>
                <w:b/>
                <w:bCs/>
                <w:sz w:val="20"/>
                <w:szCs w:val="20"/>
              </w:rPr>
            </w:pPr>
            <w:r w:rsidRPr="00507140">
              <w:rPr>
                <w:rFonts w:eastAsia="Times New Roman" w:cs="Times New Roman"/>
                <w:b/>
                <w:bCs/>
                <w:sz w:val="20"/>
                <w:szCs w:val="20"/>
              </w:rPr>
              <w:t> </w:t>
            </w:r>
          </w:p>
        </w:tc>
        <w:tc>
          <w:tcPr>
            <w:tcW w:w="1699" w:type="dxa"/>
            <w:tcBorders>
              <w:top w:val="double" w:sz="6" w:space="0" w:color="auto"/>
              <w:left w:val="nil"/>
              <w:bottom w:val="double" w:sz="6" w:space="0" w:color="auto"/>
              <w:right w:val="nil"/>
            </w:tcBorders>
            <w:shd w:val="clear" w:color="auto" w:fill="auto"/>
            <w:noWrap/>
            <w:vAlign w:val="center"/>
            <w:hideMark/>
          </w:tcPr>
          <w:p w14:paraId="4DE94136" w14:textId="77777777" w:rsidR="00507140" w:rsidRPr="00507140" w:rsidRDefault="00507140" w:rsidP="00507140">
            <w:pPr>
              <w:spacing w:after="0"/>
              <w:jc w:val="right"/>
              <w:rPr>
                <w:rFonts w:eastAsia="Times New Roman" w:cs="Times New Roman"/>
                <w:b/>
                <w:bCs/>
                <w:sz w:val="20"/>
                <w:szCs w:val="20"/>
              </w:rPr>
            </w:pPr>
            <w:r w:rsidRPr="00507140">
              <w:rPr>
                <w:rFonts w:eastAsia="Times New Roman" w:cs="Times New Roman"/>
                <w:b/>
                <w:bCs/>
                <w:sz w:val="20"/>
                <w:szCs w:val="20"/>
              </w:rPr>
              <w:t> </w:t>
            </w:r>
          </w:p>
        </w:tc>
        <w:tc>
          <w:tcPr>
            <w:tcW w:w="1722" w:type="dxa"/>
            <w:tcBorders>
              <w:top w:val="double" w:sz="6" w:space="0" w:color="auto"/>
              <w:left w:val="nil"/>
              <w:bottom w:val="double" w:sz="6" w:space="0" w:color="auto"/>
              <w:right w:val="double" w:sz="6" w:space="0" w:color="auto"/>
            </w:tcBorders>
            <w:shd w:val="clear" w:color="auto" w:fill="auto"/>
            <w:noWrap/>
            <w:vAlign w:val="bottom"/>
            <w:hideMark/>
          </w:tcPr>
          <w:p w14:paraId="087789D0" w14:textId="77777777" w:rsidR="00507140" w:rsidRPr="00507140" w:rsidRDefault="00507140" w:rsidP="00507140">
            <w:pPr>
              <w:spacing w:after="0"/>
              <w:jc w:val="left"/>
              <w:rPr>
                <w:rFonts w:ascii="Calibri" w:eastAsia="Times New Roman" w:hAnsi="Calibri" w:cs="Calibri"/>
                <w:color w:val="000000"/>
                <w:sz w:val="22"/>
              </w:rPr>
            </w:pPr>
            <w:r w:rsidRPr="00507140">
              <w:rPr>
                <w:rFonts w:ascii="Calibri" w:eastAsia="Times New Roman" w:hAnsi="Calibri" w:cs="Calibri"/>
                <w:color w:val="000000"/>
                <w:sz w:val="22"/>
              </w:rPr>
              <w:t> </w:t>
            </w:r>
          </w:p>
        </w:tc>
      </w:tr>
      <w:tr w:rsidR="00507140" w:rsidRPr="00507140" w14:paraId="164DDF4B" w14:textId="77777777" w:rsidTr="00507140">
        <w:trPr>
          <w:trHeight w:val="1656"/>
        </w:trPr>
        <w:tc>
          <w:tcPr>
            <w:tcW w:w="10313" w:type="dxa"/>
            <w:gridSpan w:val="3"/>
            <w:tcBorders>
              <w:top w:val="double" w:sz="6" w:space="0" w:color="auto"/>
              <w:left w:val="double" w:sz="6" w:space="0" w:color="auto"/>
              <w:bottom w:val="single" w:sz="8" w:space="0" w:color="auto"/>
              <w:right w:val="single" w:sz="4" w:space="0" w:color="000000"/>
            </w:tcBorders>
            <w:shd w:val="clear" w:color="auto" w:fill="auto"/>
            <w:noWrap/>
            <w:vAlign w:val="center"/>
            <w:hideMark/>
          </w:tcPr>
          <w:p w14:paraId="1D1D2285" w14:textId="77777777"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Measures</w:t>
            </w:r>
          </w:p>
        </w:tc>
        <w:tc>
          <w:tcPr>
            <w:tcW w:w="1628" w:type="dxa"/>
            <w:tcBorders>
              <w:top w:val="double" w:sz="6" w:space="0" w:color="auto"/>
              <w:left w:val="single" w:sz="4" w:space="0" w:color="auto"/>
              <w:bottom w:val="single" w:sz="8" w:space="0" w:color="auto"/>
              <w:right w:val="single" w:sz="8" w:space="0" w:color="auto"/>
            </w:tcBorders>
            <w:shd w:val="clear" w:color="auto" w:fill="auto"/>
            <w:vAlign w:val="center"/>
            <w:hideMark/>
          </w:tcPr>
          <w:p w14:paraId="01C1FF65" w14:textId="77777777"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Date of adoption</w:t>
            </w:r>
            <w:r w:rsidRPr="00507140">
              <w:rPr>
                <w:rFonts w:eastAsia="Times New Roman" w:cs="Times New Roman"/>
                <w:b/>
                <w:bCs/>
                <w:sz w:val="20"/>
                <w:szCs w:val="20"/>
              </w:rPr>
              <w:br/>
              <w:t>(yyyy-mm)</w:t>
            </w:r>
          </w:p>
        </w:tc>
        <w:tc>
          <w:tcPr>
            <w:tcW w:w="1699" w:type="dxa"/>
            <w:tcBorders>
              <w:top w:val="nil"/>
              <w:left w:val="nil"/>
              <w:bottom w:val="single" w:sz="8" w:space="0" w:color="auto"/>
              <w:right w:val="single" w:sz="4" w:space="0" w:color="auto"/>
            </w:tcBorders>
            <w:shd w:val="clear" w:color="auto" w:fill="auto"/>
            <w:vAlign w:val="center"/>
            <w:hideMark/>
          </w:tcPr>
          <w:p w14:paraId="0A6F6637" w14:textId="59998A22"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Maximum amount of contingent liabilities</w:t>
            </w:r>
            <w:r w:rsidR="001607FC">
              <w:rPr>
                <w:rFonts w:eastAsia="Times New Roman" w:cs="Times New Roman"/>
                <w:b/>
                <w:bCs/>
                <w:sz w:val="20"/>
                <w:szCs w:val="20"/>
              </w:rPr>
              <w:t xml:space="preserve"> (in bln rsd)</w:t>
            </w:r>
          </w:p>
        </w:tc>
        <w:tc>
          <w:tcPr>
            <w:tcW w:w="1722"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6EB0F903" w14:textId="7FA3CB5C"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 xml:space="preserve">Estimated  </w:t>
            </w:r>
            <w:r w:rsidRPr="00507140">
              <w:rPr>
                <w:rFonts w:eastAsia="Times New Roman" w:cs="Times New Roman"/>
                <w:b/>
                <w:bCs/>
                <w:sz w:val="20"/>
                <w:szCs w:val="20"/>
              </w:rPr>
              <w:br/>
              <w:t>take-up</w:t>
            </w:r>
            <w:r w:rsidR="001607FC">
              <w:rPr>
                <w:rFonts w:eastAsia="Times New Roman" w:cs="Times New Roman"/>
                <w:b/>
                <w:bCs/>
                <w:sz w:val="20"/>
                <w:szCs w:val="20"/>
              </w:rPr>
              <w:t xml:space="preserve"> (in bln rsd)</w:t>
            </w:r>
          </w:p>
        </w:tc>
      </w:tr>
      <w:tr w:rsidR="00507140" w:rsidRPr="00507140" w14:paraId="733577E8" w14:textId="77777777" w:rsidTr="00507140">
        <w:trPr>
          <w:trHeight w:val="318"/>
        </w:trPr>
        <w:tc>
          <w:tcPr>
            <w:tcW w:w="10313"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447C0A80" w14:textId="77777777"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In response to COVID-19</w:t>
            </w:r>
          </w:p>
        </w:tc>
        <w:tc>
          <w:tcPr>
            <w:tcW w:w="1628" w:type="dxa"/>
            <w:tcBorders>
              <w:top w:val="nil"/>
              <w:left w:val="nil"/>
              <w:bottom w:val="single" w:sz="8" w:space="0" w:color="auto"/>
              <w:right w:val="single" w:sz="8" w:space="0" w:color="auto"/>
            </w:tcBorders>
            <w:shd w:val="clear" w:color="auto" w:fill="auto"/>
            <w:noWrap/>
            <w:vAlign w:val="bottom"/>
            <w:hideMark/>
          </w:tcPr>
          <w:p w14:paraId="65ABAA90"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single" w:sz="8" w:space="0" w:color="auto"/>
              <w:right w:val="single" w:sz="4" w:space="0" w:color="auto"/>
            </w:tcBorders>
            <w:shd w:val="clear" w:color="auto" w:fill="auto"/>
            <w:noWrap/>
            <w:vAlign w:val="bottom"/>
            <w:hideMark/>
          </w:tcPr>
          <w:p w14:paraId="05BB3CE5" w14:textId="77777777"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2024</w:t>
            </w:r>
          </w:p>
        </w:tc>
        <w:tc>
          <w:tcPr>
            <w:tcW w:w="1722" w:type="dxa"/>
            <w:tcBorders>
              <w:top w:val="nil"/>
              <w:left w:val="nil"/>
              <w:bottom w:val="single" w:sz="8" w:space="0" w:color="auto"/>
              <w:right w:val="double" w:sz="6" w:space="0" w:color="auto"/>
            </w:tcBorders>
            <w:shd w:val="clear" w:color="auto" w:fill="auto"/>
            <w:noWrap/>
            <w:vAlign w:val="bottom"/>
            <w:hideMark/>
          </w:tcPr>
          <w:p w14:paraId="7B1BC3DA" w14:textId="77777777"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2024</w:t>
            </w:r>
          </w:p>
        </w:tc>
      </w:tr>
      <w:tr w:rsidR="00507140" w:rsidRPr="00507140" w14:paraId="1079CB9A" w14:textId="77777777" w:rsidTr="00507140">
        <w:trPr>
          <w:trHeight w:val="334"/>
        </w:trPr>
        <w:tc>
          <w:tcPr>
            <w:tcW w:w="6844" w:type="dxa"/>
            <w:tcBorders>
              <w:top w:val="single" w:sz="8" w:space="0" w:color="auto"/>
              <w:left w:val="double" w:sz="6" w:space="0" w:color="auto"/>
              <w:bottom w:val="single" w:sz="8" w:space="0" w:color="auto"/>
              <w:right w:val="nil"/>
            </w:tcBorders>
            <w:shd w:val="clear" w:color="auto" w:fill="auto"/>
            <w:vAlign w:val="center"/>
            <w:hideMark/>
          </w:tcPr>
          <w:p w14:paraId="6545E6E8"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 </w:t>
            </w:r>
          </w:p>
        </w:tc>
        <w:tc>
          <w:tcPr>
            <w:tcW w:w="1699" w:type="dxa"/>
            <w:tcBorders>
              <w:top w:val="single" w:sz="8" w:space="0" w:color="auto"/>
              <w:left w:val="nil"/>
              <w:bottom w:val="single" w:sz="8" w:space="0" w:color="auto"/>
              <w:right w:val="nil"/>
            </w:tcBorders>
            <w:shd w:val="clear" w:color="auto" w:fill="auto"/>
            <w:vAlign w:val="center"/>
            <w:hideMark/>
          </w:tcPr>
          <w:p w14:paraId="45B83436"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 </w:t>
            </w:r>
          </w:p>
        </w:tc>
        <w:tc>
          <w:tcPr>
            <w:tcW w:w="1770" w:type="dxa"/>
            <w:tcBorders>
              <w:top w:val="nil"/>
              <w:left w:val="single" w:sz="4" w:space="0" w:color="auto"/>
              <w:bottom w:val="single" w:sz="8" w:space="0" w:color="auto"/>
              <w:right w:val="single" w:sz="4" w:space="0" w:color="auto"/>
            </w:tcBorders>
            <w:shd w:val="clear" w:color="auto" w:fill="auto"/>
            <w:vAlign w:val="center"/>
            <w:hideMark/>
          </w:tcPr>
          <w:p w14:paraId="46B7E4F7" w14:textId="77777777"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 xml:space="preserve">Subtotal     </w:t>
            </w:r>
          </w:p>
        </w:tc>
        <w:tc>
          <w:tcPr>
            <w:tcW w:w="1628" w:type="dxa"/>
            <w:tcBorders>
              <w:top w:val="nil"/>
              <w:left w:val="nil"/>
              <w:bottom w:val="single" w:sz="8" w:space="0" w:color="auto"/>
              <w:right w:val="single" w:sz="8" w:space="0" w:color="auto"/>
            </w:tcBorders>
            <w:shd w:val="clear" w:color="auto" w:fill="auto"/>
            <w:noWrap/>
            <w:vAlign w:val="bottom"/>
            <w:hideMark/>
          </w:tcPr>
          <w:p w14:paraId="17D7C068" w14:textId="77777777" w:rsidR="00507140" w:rsidRPr="00507140" w:rsidRDefault="00507140" w:rsidP="00507140">
            <w:pPr>
              <w:spacing w:after="0"/>
              <w:jc w:val="left"/>
              <w:rPr>
                <w:rFonts w:eastAsia="Times New Roman" w:cs="Times New Roman"/>
                <w:b/>
                <w:bCs/>
                <w:sz w:val="20"/>
                <w:szCs w:val="20"/>
              </w:rPr>
            </w:pPr>
            <w:r w:rsidRPr="00507140">
              <w:rPr>
                <w:rFonts w:eastAsia="Times New Roman" w:cs="Times New Roman"/>
                <w:b/>
                <w:bCs/>
                <w:sz w:val="20"/>
                <w:szCs w:val="20"/>
              </w:rPr>
              <w:t> </w:t>
            </w:r>
          </w:p>
        </w:tc>
        <w:tc>
          <w:tcPr>
            <w:tcW w:w="1699" w:type="dxa"/>
            <w:tcBorders>
              <w:top w:val="nil"/>
              <w:left w:val="nil"/>
              <w:bottom w:val="single" w:sz="8" w:space="0" w:color="auto"/>
              <w:right w:val="single" w:sz="4" w:space="0" w:color="auto"/>
            </w:tcBorders>
            <w:shd w:val="clear" w:color="auto" w:fill="auto"/>
            <w:noWrap/>
            <w:vAlign w:val="bottom"/>
            <w:hideMark/>
          </w:tcPr>
          <w:p w14:paraId="4AFD261B" w14:textId="77777777" w:rsidR="00507140" w:rsidRPr="00507140" w:rsidRDefault="00507140" w:rsidP="00507140">
            <w:pPr>
              <w:spacing w:after="0"/>
              <w:jc w:val="right"/>
              <w:rPr>
                <w:rFonts w:eastAsia="Times New Roman" w:cs="Times New Roman"/>
                <w:b/>
                <w:bCs/>
                <w:sz w:val="20"/>
                <w:szCs w:val="20"/>
              </w:rPr>
            </w:pPr>
            <w:r w:rsidRPr="00507140">
              <w:rPr>
                <w:rFonts w:eastAsia="Times New Roman" w:cs="Times New Roman"/>
                <w:b/>
                <w:bCs/>
                <w:sz w:val="20"/>
                <w:szCs w:val="20"/>
              </w:rPr>
              <w:t>0,0</w:t>
            </w:r>
          </w:p>
        </w:tc>
        <w:tc>
          <w:tcPr>
            <w:tcW w:w="1722" w:type="dxa"/>
            <w:tcBorders>
              <w:top w:val="nil"/>
              <w:left w:val="nil"/>
              <w:bottom w:val="single" w:sz="8" w:space="0" w:color="auto"/>
              <w:right w:val="double" w:sz="6" w:space="0" w:color="auto"/>
            </w:tcBorders>
            <w:shd w:val="clear" w:color="auto" w:fill="auto"/>
            <w:noWrap/>
            <w:vAlign w:val="bottom"/>
            <w:hideMark/>
          </w:tcPr>
          <w:p w14:paraId="6CABA8DB" w14:textId="77777777" w:rsidR="00507140" w:rsidRPr="00507140" w:rsidRDefault="00507140" w:rsidP="00507140">
            <w:pPr>
              <w:spacing w:after="0"/>
              <w:jc w:val="right"/>
              <w:rPr>
                <w:rFonts w:eastAsia="Times New Roman" w:cs="Times New Roman"/>
                <w:b/>
                <w:bCs/>
                <w:sz w:val="20"/>
                <w:szCs w:val="20"/>
              </w:rPr>
            </w:pPr>
            <w:r w:rsidRPr="00507140">
              <w:rPr>
                <w:rFonts w:eastAsia="Times New Roman" w:cs="Times New Roman"/>
                <w:b/>
                <w:bCs/>
                <w:sz w:val="20"/>
                <w:szCs w:val="20"/>
              </w:rPr>
              <w:t>0,0</w:t>
            </w:r>
          </w:p>
        </w:tc>
      </w:tr>
      <w:tr w:rsidR="00507140" w:rsidRPr="00507140" w14:paraId="39620BF4" w14:textId="77777777" w:rsidTr="00507140">
        <w:trPr>
          <w:trHeight w:val="318"/>
        </w:trPr>
        <w:tc>
          <w:tcPr>
            <w:tcW w:w="10313"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2B84981B" w14:textId="77777777"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Others</w:t>
            </w:r>
          </w:p>
        </w:tc>
        <w:tc>
          <w:tcPr>
            <w:tcW w:w="1628" w:type="dxa"/>
            <w:tcBorders>
              <w:top w:val="nil"/>
              <w:left w:val="nil"/>
              <w:bottom w:val="single" w:sz="8" w:space="0" w:color="auto"/>
              <w:right w:val="single" w:sz="8" w:space="0" w:color="auto"/>
            </w:tcBorders>
            <w:shd w:val="clear" w:color="auto" w:fill="auto"/>
            <w:noWrap/>
            <w:vAlign w:val="bottom"/>
            <w:hideMark/>
          </w:tcPr>
          <w:p w14:paraId="18CC1063"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single" w:sz="8" w:space="0" w:color="auto"/>
              <w:right w:val="single" w:sz="4" w:space="0" w:color="auto"/>
            </w:tcBorders>
            <w:shd w:val="clear" w:color="auto" w:fill="auto"/>
            <w:noWrap/>
            <w:vAlign w:val="bottom"/>
            <w:hideMark/>
          </w:tcPr>
          <w:p w14:paraId="679D71DD" w14:textId="77777777" w:rsidR="00507140" w:rsidRPr="00507140" w:rsidRDefault="00507140" w:rsidP="00507140">
            <w:pPr>
              <w:spacing w:after="0"/>
              <w:jc w:val="right"/>
              <w:rPr>
                <w:rFonts w:eastAsia="Times New Roman" w:cs="Times New Roman"/>
                <w:b/>
                <w:bCs/>
                <w:sz w:val="20"/>
                <w:szCs w:val="20"/>
              </w:rPr>
            </w:pPr>
            <w:r w:rsidRPr="00507140">
              <w:rPr>
                <w:rFonts w:eastAsia="Times New Roman" w:cs="Times New Roman"/>
                <w:b/>
                <w:bCs/>
                <w:sz w:val="20"/>
                <w:szCs w:val="20"/>
              </w:rPr>
              <w:t>2024</w:t>
            </w:r>
          </w:p>
        </w:tc>
        <w:tc>
          <w:tcPr>
            <w:tcW w:w="1722" w:type="dxa"/>
            <w:tcBorders>
              <w:top w:val="nil"/>
              <w:left w:val="nil"/>
              <w:bottom w:val="single" w:sz="8" w:space="0" w:color="auto"/>
              <w:right w:val="double" w:sz="6" w:space="0" w:color="auto"/>
            </w:tcBorders>
            <w:shd w:val="clear" w:color="auto" w:fill="auto"/>
            <w:noWrap/>
            <w:vAlign w:val="bottom"/>
            <w:hideMark/>
          </w:tcPr>
          <w:p w14:paraId="1E262B91" w14:textId="77777777" w:rsidR="00507140" w:rsidRPr="00507140" w:rsidRDefault="00507140" w:rsidP="00507140">
            <w:pPr>
              <w:spacing w:after="0"/>
              <w:jc w:val="right"/>
              <w:rPr>
                <w:rFonts w:eastAsia="Times New Roman" w:cs="Times New Roman"/>
                <w:b/>
                <w:bCs/>
                <w:sz w:val="20"/>
                <w:szCs w:val="20"/>
              </w:rPr>
            </w:pPr>
            <w:r w:rsidRPr="00507140">
              <w:rPr>
                <w:rFonts w:eastAsia="Times New Roman" w:cs="Times New Roman"/>
                <w:b/>
                <w:bCs/>
                <w:sz w:val="20"/>
                <w:szCs w:val="20"/>
              </w:rPr>
              <w:t>2024</w:t>
            </w:r>
          </w:p>
        </w:tc>
      </w:tr>
      <w:tr w:rsidR="00507140" w:rsidRPr="00507140" w14:paraId="7F68B1BE" w14:textId="77777777" w:rsidTr="00507140">
        <w:trPr>
          <w:trHeight w:val="310"/>
        </w:trPr>
        <w:tc>
          <w:tcPr>
            <w:tcW w:w="8543" w:type="dxa"/>
            <w:gridSpan w:val="2"/>
            <w:tcBorders>
              <w:top w:val="single" w:sz="8" w:space="0" w:color="auto"/>
              <w:left w:val="double" w:sz="6" w:space="0" w:color="auto"/>
              <w:bottom w:val="dotted" w:sz="4" w:space="0" w:color="auto"/>
              <w:right w:val="single" w:sz="4" w:space="0" w:color="000000"/>
            </w:tcBorders>
            <w:shd w:val="clear" w:color="auto" w:fill="auto"/>
            <w:vAlign w:val="center"/>
            <w:hideMark/>
          </w:tcPr>
          <w:p w14:paraId="017164EA"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Srbijagas</w:t>
            </w:r>
          </w:p>
        </w:tc>
        <w:tc>
          <w:tcPr>
            <w:tcW w:w="1770" w:type="dxa"/>
            <w:tcBorders>
              <w:top w:val="single" w:sz="8" w:space="0" w:color="auto"/>
              <w:left w:val="nil"/>
              <w:bottom w:val="dotted" w:sz="4" w:space="0" w:color="auto"/>
              <w:right w:val="single" w:sz="4" w:space="0" w:color="auto"/>
            </w:tcBorders>
            <w:shd w:val="clear" w:color="auto" w:fill="auto"/>
            <w:noWrap/>
            <w:vAlign w:val="bottom"/>
            <w:hideMark/>
          </w:tcPr>
          <w:p w14:paraId="76390D3E"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nil"/>
              <w:bottom w:val="dotted" w:sz="4" w:space="0" w:color="auto"/>
              <w:right w:val="single" w:sz="8" w:space="0" w:color="auto"/>
            </w:tcBorders>
            <w:shd w:val="clear" w:color="auto" w:fill="auto"/>
            <w:noWrap/>
            <w:vAlign w:val="center"/>
            <w:hideMark/>
          </w:tcPr>
          <w:p w14:paraId="05BDF21F"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 </w:t>
            </w:r>
          </w:p>
        </w:tc>
        <w:tc>
          <w:tcPr>
            <w:tcW w:w="1699" w:type="dxa"/>
            <w:tcBorders>
              <w:top w:val="single" w:sz="8" w:space="0" w:color="auto"/>
              <w:left w:val="nil"/>
              <w:bottom w:val="dotted" w:sz="4" w:space="0" w:color="auto"/>
              <w:right w:val="single" w:sz="4" w:space="0" w:color="auto"/>
            </w:tcBorders>
            <w:shd w:val="clear" w:color="auto" w:fill="auto"/>
            <w:noWrap/>
            <w:vAlign w:val="bottom"/>
            <w:hideMark/>
          </w:tcPr>
          <w:p w14:paraId="62FE522C"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64,0</w:t>
            </w:r>
          </w:p>
        </w:tc>
        <w:tc>
          <w:tcPr>
            <w:tcW w:w="1722" w:type="dxa"/>
            <w:tcBorders>
              <w:top w:val="single" w:sz="8" w:space="0" w:color="auto"/>
              <w:left w:val="nil"/>
              <w:bottom w:val="dotted" w:sz="4" w:space="0" w:color="auto"/>
              <w:right w:val="double" w:sz="6" w:space="0" w:color="auto"/>
            </w:tcBorders>
            <w:shd w:val="clear" w:color="auto" w:fill="auto"/>
            <w:noWrap/>
            <w:vAlign w:val="bottom"/>
            <w:hideMark/>
          </w:tcPr>
          <w:p w14:paraId="51A343B1"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64,0</w:t>
            </w:r>
          </w:p>
        </w:tc>
      </w:tr>
      <w:tr w:rsidR="00507140" w:rsidRPr="00507140" w14:paraId="7DB896E0" w14:textId="77777777" w:rsidTr="00507140">
        <w:trPr>
          <w:trHeight w:val="310"/>
        </w:trPr>
        <w:tc>
          <w:tcPr>
            <w:tcW w:w="8543"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6E77BB0F"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Elektroprivreda Srbije</w:t>
            </w:r>
          </w:p>
        </w:tc>
        <w:tc>
          <w:tcPr>
            <w:tcW w:w="1770" w:type="dxa"/>
            <w:tcBorders>
              <w:top w:val="dotted" w:sz="4" w:space="0" w:color="auto"/>
              <w:left w:val="nil"/>
              <w:bottom w:val="dotted" w:sz="4" w:space="0" w:color="auto"/>
              <w:right w:val="single" w:sz="4" w:space="0" w:color="auto"/>
            </w:tcBorders>
            <w:shd w:val="clear" w:color="auto" w:fill="auto"/>
            <w:noWrap/>
            <w:vAlign w:val="bottom"/>
            <w:hideMark/>
          </w:tcPr>
          <w:p w14:paraId="0250242A"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57882085"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 </w:t>
            </w:r>
          </w:p>
        </w:tc>
        <w:tc>
          <w:tcPr>
            <w:tcW w:w="1699" w:type="dxa"/>
            <w:tcBorders>
              <w:top w:val="dotted" w:sz="4" w:space="0" w:color="auto"/>
              <w:left w:val="nil"/>
              <w:bottom w:val="dotted" w:sz="4" w:space="0" w:color="auto"/>
              <w:right w:val="single" w:sz="4" w:space="0" w:color="auto"/>
            </w:tcBorders>
            <w:shd w:val="clear" w:color="auto" w:fill="auto"/>
            <w:noWrap/>
            <w:vAlign w:val="bottom"/>
            <w:hideMark/>
          </w:tcPr>
          <w:p w14:paraId="1C54702D"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87,0</w:t>
            </w:r>
          </w:p>
        </w:tc>
        <w:tc>
          <w:tcPr>
            <w:tcW w:w="1722" w:type="dxa"/>
            <w:tcBorders>
              <w:top w:val="nil"/>
              <w:left w:val="nil"/>
              <w:bottom w:val="dotted" w:sz="4" w:space="0" w:color="auto"/>
              <w:right w:val="double" w:sz="6" w:space="0" w:color="auto"/>
            </w:tcBorders>
            <w:shd w:val="clear" w:color="auto" w:fill="auto"/>
            <w:noWrap/>
            <w:vAlign w:val="bottom"/>
            <w:hideMark/>
          </w:tcPr>
          <w:p w14:paraId="6E60415E"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73,4</w:t>
            </w:r>
          </w:p>
        </w:tc>
      </w:tr>
      <w:tr w:rsidR="00507140" w:rsidRPr="00507140" w14:paraId="06918B9F" w14:textId="77777777" w:rsidTr="00507140">
        <w:trPr>
          <w:trHeight w:val="310"/>
        </w:trPr>
        <w:tc>
          <w:tcPr>
            <w:tcW w:w="8543"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2D810696"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Putevi Srbije</w:t>
            </w:r>
          </w:p>
        </w:tc>
        <w:tc>
          <w:tcPr>
            <w:tcW w:w="1770" w:type="dxa"/>
            <w:tcBorders>
              <w:top w:val="nil"/>
              <w:left w:val="nil"/>
              <w:bottom w:val="dotted" w:sz="4" w:space="0" w:color="auto"/>
              <w:right w:val="single" w:sz="4" w:space="0" w:color="auto"/>
            </w:tcBorders>
            <w:shd w:val="clear" w:color="auto" w:fill="auto"/>
            <w:noWrap/>
            <w:vAlign w:val="bottom"/>
            <w:hideMark/>
          </w:tcPr>
          <w:p w14:paraId="49E68208"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2B174912"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dotted" w:sz="4" w:space="0" w:color="auto"/>
              <w:right w:val="single" w:sz="4" w:space="0" w:color="auto"/>
            </w:tcBorders>
            <w:shd w:val="clear" w:color="auto" w:fill="auto"/>
            <w:noWrap/>
            <w:vAlign w:val="bottom"/>
            <w:hideMark/>
          </w:tcPr>
          <w:p w14:paraId="375AFB0D"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20,5</w:t>
            </w:r>
          </w:p>
        </w:tc>
        <w:tc>
          <w:tcPr>
            <w:tcW w:w="1722" w:type="dxa"/>
            <w:tcBorders>
              <w:top w:val="nil"/>
              <w:left w:val="nil"/>
              <w:bottom w:val="dotted" w:sz="4" w:space="0" w:color="auto"/>
              <w:right w:val="double" w:sz="6" w:space="0" w:color="auto"/>
            </w:tcBorders>
            <w:shd w:val="clear" w:color="auto" w:fill="auto"/>
            <w:noWrap/>
            <w:vAlign w:val="bottom"/>
            <w:hideMark/>
          </w:tcPr>
          <w:p w14:paraId="385DEE73"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20,5</w:t>
            </w:r>
          </w:p>
        </w:tc>
      </w:tr>
      <w:tr w:rsidR="00507140" w:rsidRPr="00507140" w14:paraId="02900AAE" w14:textId="77777777" w:rsidTr="00507140">
        <w:trPr>
          <w:trHeight w:val="310"/>
        </w:trPr>
        <w:tc>
          <w:tcPr>
            <w:tcW w:w="8543"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18A5FE13"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Local government</w:t>
            </w:r>
          </w:p>
        </w:tc>
        <w:tc>
          <w:tcPr>
            <w:tcW w:w="1770" w:type="dxa"/>
            <w:tcBorders>
              <w:top w:val="nil"/>
              <w:left w:val="nil"/>
              <w:bottom w:val="dotted" w:sz="4" w:space="0" w:color="auto"/>
              <w:right w:val="single" w:sz="4" w:space="0" w:color="auto"/>
            </w:tcBorders>
            <w:shd w:val="clear" w:color="auto" w:fill="auto"/>
            <w:noWrap/>
            <w:vAlign w:val="bottom"/>
            <w:hideMark/>
          </w:tcPr>
          <w:p w14:paraId="3310D1EE"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275265B0"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dotted" w:sz="4" w:space="0" w:color="auto"/>
              <w:right w:val="single" w:sz="4" w:space="0" w:color="auto"/>
            </w:tcBorders>
            <w:shd w:val="clear" w:color="auto" w:fill="auto"/>
            <w:noWrap/>
            <w:vAlign w:val="bottom"/>
            <w:hideMark/>
          </w:tcPr>
          <w:p w14:paraId="1F13DCB1"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16,0</w:t>
            </w:r>
          </w:p>
        </w:tc>
        <w:tc>
          <w:tcPr>
            <w:tcW w:w="1722" w:type="dxa"/>
            <w:tcBorders>
              <w:top w:val="nil"/>
              <w:left w:val="nil"/>
              <w:bottom w:val="dotted" w:sz="4" w:space="0" w:color="auto"/>
              <w:right w:val="double" w:sz="6" w:space="0" w:color="auto"/>
            </w:tcBorders>
            <w:shd w:val="clear" w:color="auto" w:fill="auto"/>
            <w:noWrap/>
            <w:vAlign w:val="bottom"/>
            <w:hideMark/>
          </w:tcPr>
          <w:p w14:paraId="58063E47"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16,0</w:t>
            </w:r>
          </w:p>
        </w:tc>
      </w:tr>
      <w:tr w:rsidR="00507140" w:rsidRPr="00507140" w14:paraId="1023BFD6" w14:textId="77777777" w:rsidTr="00507140">
        <w:trPr>
          <w:trHeight w:val="310"/>
        </w:trPr>
        <w:tc>
          <w:tcPr>
            <w:tcW w:w="8543"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6AF6635D"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Srbija Voz</w:t>
            </w:r>
          </w:p>
        </w:tc>
        <w:tc>
          <w:tcPr>
            <w:tcW w:w="1770" w:type="dxa"/>
            <w:tcBorders>
              <w:top w:val="nil"/>
              <w:left w:val="nil"/>
              <w:bottom w:val="dotted" w:sz="4" w:space="0" w:color="auto"/>
              <w:right w:val="single" w:sz="4" w:space="0" w:color="auto"/>
            </w:tcBorders>
            <w:shd w:val="clear" w:color="auto" w:fill="auto"/>
            <w:noWrap/>
            <w:vAlign w:val="bottom"/>
            <w:hideMark/>
          </w:tcPr>
          <w:p w14:paraId="094EE2CC"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325F67D4"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dotted" w:sz="4" w:space="0" w:color="auto"/>
              <w:right w:val="single" w:sz="4" w:space="0" w:color="auto"/>
            </w:tcBorders>
            <w:shd w:val="clear" w:color="auto" w:fill="auto"/>
            <w:noWrap/>
            <w:vAlign w:val="bottom"/>
            <w:hideMark/>
          </w:tcPr>
          <w:p w14:paraId="111F00F1"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18,8</w:t>
            </w:r>
          </w:p>
        </w:tc>
        <w:tc>
          <w:tcPr>
            <w:tcW w:w="1722" w:type="dxa"/>
            <w:tcBorders>
              <w:top w:val="nil"/>
              <w:left w:val="nil"/>
              <w:bottom w:val="dotted" w:sz="4" w:space="0" w:color="auto"/>
              <w:right w:val="double" w:sz="6" w:space="0" w:color="auto"/>
            </w:tcBorders>
            <w:shd w:val="clear" w:color="auto" w:fill="auto"/>
            <w:noWrap/>
            <w:vAlign w:val="bottom"/>
            <w:hideMark/>
          </w:tcPr>
          <w:p w14:paraId="6D73D79E"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13,0</w:t>
            </w:r>
          </w:p>
        </w:tc>
      </w:tr>
      <w:tr w:rsidR="00507140" w:rsidRPr="00507140" w14:paraId="12A17308" w14:textId="77777777" w:rsidTr="00507140">
        <w:trPr>
          <w:trHeight w:val="310"/>
        </w:trPr>
        <w:tc>
          <w:tcPr>
            <w:tcW w:w="8543"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46833CE6"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Železnice Srbije</w:t>
            </w:r>
          </w:p>
        </w:tc>
        <w:tc>
          <w:tcPr>
            <w:tcW w:w="1770" w:type="dxa"/>
            <w:tcBorders>
              <w:top w:val="nil"/>
              <w:left w:val="nil"/>
              <w:bottom w:val="dotted" w:sz="4" w:space="0" w:color="auto"/>
              <w:right w:val="single" w:sz="4" w:space="0" w:color="auto"/>
            </w:tcBorders>
            <w:shd w:val="clear" w:color="auto" w:fill="auto"/>
            <w:noWrap/>
            <w:vAlign w:val="bottom"/>
            <w:hideMark/>
          </w:tcPr>
          <w:p w14:paraId="33C41A53"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0532A2AB"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dotted" w:sz="4" w:space="0" w:color="auto"/>
              <w:right w:val="single" w:sz="4" w:space="0" w:color="auto"/>
            </w:tcBorders>
            <w:shd w:val="clear" w:color="auto" w:fill="auto"/>
            <w:noWrap/>
            <w:vAlign w:val="bottom"/>
            <w:hideMark/>
          </w:tcPr>
          <w:p w14:paraId="02973CA9"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6,2</w:t>
            </w:r>
          </w:p>
        </w:tc>
        <w:tc>
          <w:tcPr>
            <w:tcW w:w="1722" w:type="dxa"/>
            <w:tcBorders>
              <w:top w:val="nil"/>
              <w:left w:val="nil"/>
              <w:bottom w:val="dotted" w:sz="4" w:space="0" w:color="auto"/>
              <w:right w:val="double" w:sz="6" w:space="0" w:color="auto"/>
            </w:tcBorders>
            <w:shd w:val="clear" w:color="auto" w:fill="auto"/>
            <w:noWrap/>
            <w:vAlign w:val="bottom"/>
            <w:hideMark/>
          </w:tcPr>
          <w:p w14:paraId="7EFEDE41"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6,2</w:t>
            </w:r>
          </w:p>
        </w:tc>
      </w:tr>
      <w:tr w:rsidR="00507140" w:rsidRPr="00507140" w14:paraId="3AC17645" w14:textId="77777777" w:rsidTr="00507140">
        <w:trPr>
          <w:trHeight w:val="310"/>
        </w:trPr>
        <w:tc>
          <w:tcPr>
            <w:tcW w:w="8543"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56C6B76C"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Infrastruktura železnice Srbije</w:t>
            </w:r>
          </w:p>
        </w:tc>
        <w:tc>
          <w:tcPr>
            <w:tcW w:w="1770" w:type="dxa"/>
            <w:tcBorders>
              <w:top w:val="nil"/>
              <w:left w:val="nil"/>
              <w:bottom w:val="dotted" w:sz="4" w:space="0" w:color="auto"/>
              <w:right w:val="single" w:sz="4" w:space="0" w:color="auto"/>
            </w:tcBorders>
            <w:shd w:val="clear" w:color="auto" w:fill="auto"/>
            <w:noWrap/>
            <w:vAlign w:val="bottom"/>
            <w:hideMark/>
          </w:tcPr>
          <w:p w14:paraId="207788F2"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24CD762C" w14:textId="77777777" w:rsidR="00507140" w:rsidRPr="00507140" w:rsidRDefault="00507140" w:rsidP="00507140">
            <w:pPr>
              <w:spacing w:after="0"/>
              <w:jc w:val="center"/>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dotted" w:sz="4" w:space="0" w:color="auto"/>
              <w:right w:val="single" w:sz="4" w:space="0" w:color="auto"/>
            </w:tcBorders>
            <w:shd w:val="clear" w:color="auto" w:fill="auto"/>
            <w:noWrap/>
            <w:vAlign w:val="bottom"/>
            <w:hideMark/>
          </w:tcPr>
          <w:p w14:paraId="793B29AF"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4,4</w:t>
            </w:r>
          </w:p>
        </w:tc>
        <w:tc>
          <w:tcPr>
            <w:tcW w:w="1722" w:type="dxa"/>
            <w:tcBorders>
              <w:top w:val="nil"/>
              <w:left w:val="nil"/>
              <w:bottom w:val="dotted" w:sz="4" w:space="0" w:color="auto"/>
              <w:right w:val="double" w:sz="6" w:space="0" w:color="auto"/>
            </w:tcBorders>
            <w:shd w:val="clear" w:color="auto" w:fill="auto"/>
            <w:noWrap/>
            <w:vAlign w:val="bottom"/>
            <w:hideMark/>
          </w:tcPr>
          <w:p w14:paraId="6DBB0526" w14:textId="77777777" w:rsidR="00507140" w:rsidRPr="00507140" w:rsidRDefault="00507140" w:rsidP="00507140">
            <w:pPr>
              <w:spacing w:after="0"/>
              <w:jc w:val="right"/>
              <w:rPr>
                <w:rFonts w:eastAsia="Times New Roman" w:cs="Times New Roman"/>
                <w:sz w:val="20"/>
                <w:szCs w:val="20"/>
              </w:rPr>
            </w:pPr>
            <w:r w:rsidRPr="00507140">
              <w:rPr>
                <w:rFonts w:eastAsia="Times New Roman" w:cs="Times New Roman"/>
                <w:sz w:val="20"/>
                <w:szCs w:val="20"/>
              </w:rPr>
              <w:t>3,7</w:t>
            </w:r>
          </w:p>
        </w:tc>
      </w:tr>
      <w:tr w:rsidR="00507140" w:rsidRPr="00507140" w14:paraId="57D8DBD4" w14:textId="77777777" w:rsidTr="00507140">
        <w:trPr>
          <w:trHeight w:val="318"/>
        </w:trPr>
        <w:tc>
          <w:tcPr>
            <w:tcW w:w="8543"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2AE30B76" w14:textId="77777777" w:rsidR="00507140" w:rsidRPr="00507140" w:rsidRDefault="00507140" w:rsidP="00507140">
            <w:pPr>
              <w:spacing w:after="0"/>
              <w:jc w:val="left"/>
              <w:outlineLvl w:val="0"/>
              <w:rPr>
                <w:rFonts w:eastAsia="Times New Roman" w:cs="Times New Roman"/>
                <w:sz w:val="20"/>
                <w:szCs w:val="20"/>
              </w:rPr>
            </w:pPr>
            <w:r w:rsidRPr="00507140">
              <w:rPr>
                <w:rFonts w:eastAsia="Times New Roman" w:cs="Times New Roman"/>
                <w:sz w:val="20"/>
                <w:szCs w:val="20"/>
              </w:rPr>
              <w:t>Elektromreža Srbije</w:t>
            </w:r>
          </w:p>
        </w:tc>
        <w:tc>
          <w:tcPr>
            <w:tcW w:w="1770" w:type="dxa"/>
            <w:tcBorders>
              <w:top w:val="nil"/>
              <w:left w:val="nil"/>
              <w:bottom w:val="dotted" w:sz="4" w:space="0" w:color="auto"/>
              <w:right w:val="single" w:sz="4" w:space="0" w:color="auto"/>
            </w:tcBorders>
            <w:shd w:val="clear" w:color="auto" w:fill="auto"/>
            <w:noWrap/>
            <w:vAlign w:val="bottom"/>
            <w:hideMark/>
          </w:tcPr>
          <w:p w14:paraId="633B71E6"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7A8D820E"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dotted" w:sz="4" w:space="0" w:color="auto"/>
              <w:right w:val="single" w:sz="4" w:space="0" w:color="auto"/>
            </w:tcBorders>
            <w:shd w:val="clear" w:color="auto" w:fill="auto"/>
            <w:noWrap/>
            <w:vAlign w:val="bottom"/>
            <w:hideMark/>
          </w:tcPr>
          <w:p w14:paraId="21C35CCE"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11,4</w:t>
            </w:r>
          </w:p>
        </w:tc>
        <w:tc>
          <w:tcPr>
            <w:tcW w:w="1722" w:type="dxa"/>
            <w:tcBorders>
              <w:top w:val="nil"/>
              <w:left w:val="nil"/>
              <w:bottom w:val="dotted" w:sz="4" w:space="0" w:color="auto"/>
              <w:right w:val="double" w:sz="6" w:space="0" w:color="auto"/>
            </w:tcBorders>
            <w:shd w:val="clear" w:color="auto" w:fill="auto"/>
            <w:noWrap/>
            <w:vAlign w:val="bottom"/>
            <w:hideMark/>
          </w:tcPr>
          <w:p w14:paraId="5ECC1F47"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3,2</w:t>
            </w:r>
          </w:p>
        </w:tc>
      </w:tr>
      <w:tr w:rsidR="00507140" w:rsidRPr="00507140" w14:paraId="0F1DAFE1" w14:textId="77777777" w:rsidTr="00507140">
        <w:trPr>
          <w:trHeight w:val="310"/>
        </w:trPr>
        <w:tc>
          <w:tcPr>
            <w:tcW w:w="8543"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35764994" w14:textId="77777777" w:rsidR="00507140" w:rsidRPr="00507140" w:rsidRDefault="00507140" w:rsidP="00507140">
            <w:pPr>
              <w:spacing w:after="0"/>
              <w:jc w:val="left"/>
              <w:outlineLvl w:val="0"/>
              <w:rPr>
                <w:rFonts w:eastAsia="Times New Roman" w:cs="Times New Roman"/>
                <w:sz w:val="20"/>
                <w:szCs w:val="20"/>
              </w:rPr>
            </w:pPr>
            <w:r w:rsidRPr="00507140">
              <w:rPr>
                <w:rFonts w:eastAsia="Times New Roman" w:cs="Times New Roman"/>
                <w:sz w:val="20"/>
                <w:szCs w:val="20"/>
              </w:rPr>
              <w:t>Srbija Kargo</w:t>
            </w:r>
          </w:p>
        </w:tc>
        <w:tc>
          <w:tcPr>
            <w:tcW w:w="1770" w:type="dxa"/>
            <w:tcBorders>
              <w:top w:val="nil"/>
              <w:left w:val="nil"/>
              <w:bottom w:val="dotted" w:sz="4" w:space="0" w:color="auto"/>
              <w:right w:val="single" w:sz="4" w:space="0" w:color="auto"/>
            </w:tcBorders>
            <w:shd w:val="clear" w:color="auto" w:fill="auto"/>
            <w:noWrap/>
            <w:vAlign w:val="bottom"/>
            <w:hideMark/>
          </w:tcPr>
          <w:p w14:paraId="15F18C62"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6EA3485E"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dotted" w:sz="4" w:space="0" w:color="auto"/>
              <w:right w:val="single" w:sz="4" w:space="0" w:color="auto"/>
            </w:tcBorders>
            <w:shd w:val="clear" w:color="auto" w:fill="auto"/>
            <w:noWrap/>
            <w:vAlign w:val="bottom"/>
            <w:hideMark/>
          </w:tcPr>
          <w:p w14:paraId="091C23E8"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8,0</w:t>
            </w:r>
          </w:p>
        </w:tc>
        <w:tc>
          <w:tcPr>
            <w:tcW w:w="1722" w:type="dxa"/>
            <w:tcBorders>
              <w:top w:val="nil"/>
              <w:left w:val="nil"/>
              <w:bottom w:val="dotted" w:sz="4" w:space="0" w:color="auto"/>
              <w:right w:val="double" w:sz="6" w:space="0" w:color="auto"/>
            </w:tcBorders>
            <w:shd w:val="clear" w:color="auto" w:fill="auto"/>
            <w:noWrap/>
            <w:vAlign w:val="bottom"/>
            <w:hideMark/>
          </w:tcPr>
          <w:p w14:paraId="179A222C"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1,3</w:t>
            </w:r>
          </w:p>
        </w:tc>
      </w:tr>
      <w:tr w:rsidR="00507140" w:rsidRPr="00507140" w14:paraId="76D28F74" w14:textId="77777777" w:rsidTr="00507140">
        <w:trPr>
          <w:trHeight w:val="310"/>
        </w:trPr>
        <w:tc>
          <w:tcPr>
            <w:tcW w:w="8543"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00F0FF91" w14:textId="77777777" w:rsidR="00507140" w:rsidRPr="00507140" w:rsidRDefault="00507140" w:rsidP="00507140">
            <w:pPr>
              <w:spacing w:after="0"/>
              <w:jc w:val="left"/>
              <w:outlineLvl w:val="0"/>
              <w:rPr>
                <w:rFonts w:eastAsia="Times New Roman" w:cs="Times New Roman"/>
                <w:sz w:val="20"/>
                <w:szCs w:val="20"/>
              </w:rPr>
            </w:pPr>
            <w:r w:rsidRPr="00507140">
              <w:rPr>
                <w:rFonts w:eastAsia="Times New Roman" w:cs="Times New Roman"/>
                <w:sz w:val="20"/>
                <w:szCs w:val="20"/>
              </w:rPr>
              <w:t xml:space="preserve">Skijališta Srbije </w:t>
            </w:r>
          </w:p>
        </w:tc>
        <w:tc>
          <w:tcPr>
            <w:tcW w:w="1770" w:type="dxa"/>
            <w:tcBorders>
              <w:top w:val="nil"/>
              <w:left w:val="nil"/>
              <w:bottom w:val="dotted" w:sz="4" w:space="0" w:color="auto"/>
              <w:right w:val="single" w:sz="4" w:space="0" w:color="auto"/>
            </w:tcBorders>
            <w:shd w:val="clear" w:color="auto" w:fill="auto"/>
            <w:noWrap/>
            <w:vAlign w:val="bottom"/>
            <w:hideMark/>
          </w:tcPr>
          <w:p w14:paraId="38891353"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7DB73316"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dotted" w:sz="4" w:space="0" w:color="auto"/>
              <w:right w:val="single" w:sz="4" w:space="0" w:color="auto"/>
            </w:tcBorders>
            <w:shd w:val="clear" w:color="auto" w:fill="auto"/>
            <w:noWrap/>
            <w:vAlign w:val="bottom"/>
            <w:hideMark/>
          </w:tcPr>
          <w:p w14:paraId="782FD9C9"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1,6</w:t>
            </w:r>
          </w:p>
        </w:tc>
        <w:tc>
          <w:tcPr>
            <w:tcW w:w="1722" w:type="dxa"/>
            <w:tcBorders>
              <w:top w:val="nil"/>
              <w:left w:val="nil"/>
              <w:bottom w:val="dotted" w:sz="4" w:space="0" w:color="auto"/>
              <w:right w:val="double" w:sz="6" w:space="0" w:color="auto"/>
            </w:tcBorders>
            <w:shd w:val="clear" w:color="auto" w:fill="auto"/>
            <w:noWrap/>
            <w:vAlign w:val="bottom"/>
            <w:hideMark/>
          </w:tcPr>
          <w:p w14:paraId="5EC2EB87"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1,6</w:t>
            </w:r>
          </w:p>
        </w:tc>
      </w:tr>
      <w:tr w:rsidR="00507140" w:rsidRPr="00507140" w14:paraId="0C0AC0C5" w14:textId="77777777" w:rsidTr="00507140">
        <w:trPr>
          <w:trHeight w:val="310"/>
        </w:trPr>
        <w:tc>
          <w:tcPr>
            <w:tcW w:w="8543"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06D6472F" w14:textId="77777777" w:rsidR="00507140" w:rsidRPr="00507140" w:rsidRDefault="00507140" w:rsidP="00507140">
            <w:pPr>
              <w:spacing w:after="0"/>
              <w:jc w:val="left"/>
              <w:outlineLvl w:val="0"/>
              <w:rPr>
                <w:rFonts w:eastAsia="Times New Roman" w:cs="Times New Roman"/>
                <w:sz w:val="20"/>
                <w:szCs w:val="20"/>
              </w:rPr>
            </w:pPr>
            <w:r w:rsidRPr="00507140">
              <w:rPr>
                <w:rFonts w:eastAsia="Times New Roman" w:cs="Times New Roman"/>
                <w:sz w:val="20"/>
                <w:szCs w:val="20"/>
              </w:rPr>
              <w:t xml:space="preserve">Jugoimport - SDPR </w:t>
            </w:r>
          </w:p>
        </w:tc>
        <w:tc>
          <w:tcPr>
            <w:tcW w:w="1770" w:type="dxa"/>
            <w:tcBorders>
              <w:top w:val="nil"/>
              <w:left w:val="nil"/>
              <w:bottom w:val="dotted" w:sz="4" w:space="0" w:color="auto"/>
              <w:right w:val="single" w:sz="4" w:space="0" w:color="auto"/>
            </w:tcBorders>
            <w:shd w:val="clear" w:color="auto" w:fill="auto"/>
            <w:noWrap/>
            <w:vAlign w:val="bottom"/>
            <w:hideMark/>
          </w:tcPr>
          <w:p w14:paraId="65759B3B"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6BD1195F"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dotted" w:sz="4" w:space="0" w:color="auto"/>
              <w:right w:val="single" w:sz="4" w:space="0" w:color="auto"/>
            </w:tcBorders>
            <w:shd w:val="clear" w:color="auto" w:fill="auto"/>
            <w:noWrap/>
            <w:vAlign w:val="bottom"/>
            <w:hideMark/>
          </w:tcPr>
          <w:p w14:paraId="4FC743C7"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0,9</w:t>
            </w:r>
          </w:p>
        </w:tc>
        <w:tc>
          <w:tcPr>
            <w:tcW w:w="1722" w:type="dxa"/>
            <w:tcBorders>
              <w:top w:val="nil"/>
              <w:left w:val="nil"/>
              <w:bottom w:val="dotted" w:sz="4" w:space="0" w:color="auto"/>
              <w:right w:val="double" w:sz="6" w:space="0" w:color="auto"/>
            </w:tcBorders>
            <w:shd w:val="clear" w:color="auto" w:fill="auto"/>
            <w:noWrap/>
            <w:vAlign w:val="bottom"/>
            <w:hideMark/>
          </w:tcPr>
          <w:p w14:paraId="2A800349"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0,9</w:t>
            </w:r>
          </w:p>
        </w:tc>
      </w:tr>
      <w:tr w:rsidR="00507140" w:rsidRPr="00507140" w14:paraId="7087470A" w14:textId="77777777" w:rsidTr="00507140">
        <w:trPr>
          <w:trHeight w:val="310"/>
        </w:trPr>
        <w:tc>
          <w:tcPr>
            <w:tcW w:w="8543"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1391F05A" w14:textId="77777777" w:rsidR="00507140" w:rsidRPr="00507140" w:rsidRDefault="00507140" w:rsidP="00507140">
            <w:pPr>
              <w:spacing w:after="0"/>
              <w:jc w:val="left"/>
              <w:outlineLvl w:val="0"/>
              <w:rPr>
                <w:rFonts w:eastAsia="Times New Roman" w:cs="Times New Roman"/>
                <w:sz w:val="20"/>
                <w:szCs w:val="20"/>
              </w:rPr>
            </w:pPr>
            <w:r w:rsidRPr="00507140">
              <w:rPr>
                <w:rFonts w:eastAsia="Times New Roman" w:cs="Times New Roman"/>
                <w:sz w:val="20"/>
                <w:szCs w:val="20"/>
              </w:rPr>
              <w:t xml:space="preserve">Elektrodistribucija Srbije </w:t>
            </w:r>
          </w:p>
        </w:tc>
        <w:tc>
          <w:tcPr>
            <w:tcW w:w="1770" w:type="dxa"/>
            <w:tcBorders>
              <w:top w:val="nil"/>
              <w:left w:val="nil"/>
              <w:bottom w:val="dotted" w:sz="4" w:space="0" w:color="auto"/>
              <w:right w:val="single" w:sz="4" w:space="0" w:color="auto"/>
            </w:tcBorders>
            <w:shd w:val="clear" w:color="auto" w:fill="auto"/>
            <w:noWrap/>
            <w:vAlign w:val="bottom"/>
            <w:hideMark/>
          </w:tcPr>
          <w:p w14:paraId="60BE7BAB"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069B3A33"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dotted" w:sz="4" w:space="0" w:color="auto"/>
              <w:right w:val="single" w:sz="4" w:space="0" w:color="auto"/>
            </w:tcBorders>
            <w:shd w:val="clear" w:color="auto" w:fill="auto"/>
            <w:noWrap/>
            <w:vAlign w:val="bottom"/>
            <w:hideMark/>
          </w:tcPr>
          <w:p w14:paraId="0C14594C"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31,3</w:t>
            </w:r>
          </w:p>
        </w:tc>
        <w:tc>
          <w:tcPr>
            <w:tcW w:w="1722" w:type="dxa"/>
            <w:tcBorders>
              <w:top w:val="nil"/>
              <w:left w:val="nil"/>
              <w:bottom w:val="dotted" w:sz="4" w:space="0" w:color="auto"/>
              <w:right w:val="double" w:sz="6" w:space="0" w:color="auto"/>
            </w:tcBorders>
            <w:shd w:val="clear" w:color="auto" w:fill="auto"/>
            <w:noWrap/>
            <w:vAlign w:val="bottom"/>
            <w:hideMark/>
          </w:tcPr>
          <w:p w14:paraId="03B276E1"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6,3</w:t>
            </w:r>
          </w:p>
        </w:tc>
      </w:tr>
      <w:tr w:rsidR="00507140" w:rsidRPr="00507140" w14:paraId="075FF183" w14:textId="77777777" w:rsidTr="00507140">
        <w:trPr>
          <w:trHeight w:val="334"/>
        </w:trPr>
        <w:tc>
          <w:tcPr>
            <w:tcW w:w="8543" w:type="dxa"/>
            <w:gridSpan w:val="2"/>
            <w:tcBorders>
              <w:top w:val="dotted" w:sz="4" w:space="0" w:color="auto"/>
              <w:left w:val="double" w:sz="6" w:space="0" w:color="auto"/>
              <w:bottom w:val="single" w:sz="8" w:space="0" w:color="auto"/>
              <w:right w:val="single" w:sz="4" w:space="0" w:color="000000"/>
            </w:tcBorders>
            <w:shd w:val="clear" w:color="auto" w:fill="auto"/>
            <w:vAlign w:val="center"/>
            <w:hideMark/>
          </w:tcPr>
          <w:p w14:paraId="10BD3868" w14:textId="77777777" w:rsidR="00507140" w:rsidRPr="00507140" w:rsidRDefault="00507140" w:rsidP="00507140">
            <w:pPr>
              <w:spacing w:after="0"/>
              <w:jc w:val="left"/>
              <w:outlineLvl w:val="0"/>
              <w:rPr>
                <w:rFonts w:eastAsia="Times New Roman" w:cs="Times New Roman"/>
                <w:sz w:val="20"/>
                <w:szCs w:val="20"/>
              </w:rPr>
            </w:pPr>
            <w:r w:rsidRPr="00507140">
              <w:rPr>
                <w:rFonts w:eastAsia="Times New Roman" w:cs="Times New Roman"/>
                <w:sz w:val="20"/>
                <w:szCs w:val="20"/>
              </w:rPr>
              <w:t>Emisiona tehnika i veze</w:t>
            </w:r>
          </w:p>
        </w:tc>
        <w:tc>
          <w:tcPr>
            <w:tcW w:w="1770" w:type="dxa"/>
            <w:tcBorders>
              <w:top w:val="nil"/>
              <w:left w:val="nil"/>
              <w:bottom w:val="dotted" w:sz="4" w:space="0" w:color="auto"/>
              <w:right w:val="single" w:sz="4" w:space="0" w:color="auto"/>
            </w:tcBorders>
            <w:shd w:val="clear" w:color="auto" w:fill="auto"/>
            <w:noWrap/>
            <w:vAlign w:val="bottom"/>
            <w:hideMark/>
          </w:tcPr>
          <w:p w14:paraId="4629A54E"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bn NCU</w:t>
            </w:r>
          </w:p>
        </w:tc>
        <w:tc>
          <w:tcPr>
            <w:tcW w:w="1628" w:type="dxa"/>
            <w:tcBorders>
              <w:top w:val="nil"/>
              <w:left w:val="single" w:sz="4" w:space="0" w:color="auto"/>
              <w:bottom w:val="dotted" w:sz="4" w:space="0" w:color="auto"/>
              <w:right w:val="single" w:sz="8" w:space="0" w:color="auto"/>
            </w:tcBorders>
            <w:shd w:val="clear" w:color="auto" w:fill="auto"/>
            <w:noWrap/>
            <w:vAlign w:val="center"/>
            <w:hideMark/>
          </w:tcPr>
          <w:p w14:paraId="46B76BAA" w14:textId="77777777" w:rsidR="00507140" w:rsidRPr="00507140" w:rsidRDefault="00507140" w:rsidP="00507140">
            <w:pPr>
              <w:spacing w:after="0"/>
              <w:jc w:val="center"/>
              <w:outlineLvl w:val="0"/>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dotted" w:sz="4" w:space="0" w:color="auto"/>
              <w:right w:val="single" w:sz="4" w:space="0" w:color="auto"/>
            </w:tcBorders>
            <w:shd w:val="clear" w:color="auto" w:fill="auto"/>
            <w:noWrap/>
            <w:vAlign w:val="bottom"/>
            <w:hideMark/>
          </w:tcPr>
          <w:p w14:paraId="05AA39CB"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0,0</w:t>
            </w:r>
          </w:p>
        </w:tc>
        <w:tc>
          <w:tcPr>
            <w:tcW w:w="1722" w:type="dxa"/>
            <w:tcBorders>
              <w:top w:val="nil"/>
              <w:left w:val="nil"/>
              <w:bottom w:val="dotted" w:sz="4" w:space="0" w:color="auto"/>
              <w:right w:val="double" w:sz="6" w:space="0" w:color="auto"/>
            </w:tcBorders>
            <w:shd w:val="clear" w:color="auto" w:fill="auto"/>
            <w:noWrap/>
            <w:vAlign w:val="bottom"/>
            <w:hideMark/>
          </w:tcPr>
          <w:p w14:paraId="6E77DCD6" w14:textId="77777777" w:rsidR="00507140" w:rsidRPr="00507140" w:rsidRDefault="00507140" w:rsidP="00507140">
            <w:pPr>
              <w:spacing w:after="0"/>
              <w:jc w:val="right"/>
              <w:outlineLvl w:val="0"/>
              <w:rPr>
                <w:rFonts w:eastAsia="Times New Roman" w:cs="Times New Roman"/>
                <w:sz w:val="20"/>
                <w:szCs w:val="20"/>
              </w:rPr>
            </w:pPr>
            <w:r w:rsidRPr="00507140">
              <w:rPr>
                <w:rFonts w:eastAsia="Times New Roman" w:cs="Times New Roman"/>
                <w:sz w:val="20"/>
                <w:szCs w:val="20"/>
              </w:rPr>
              <w:t>0,0</w:t>
            </w:r>
          </w:p>
        </w:tc>
      </w:tr>
      <w:tr w:rsidR="00507140" w:rsidRPr="00507140" w14:paraId="1E184F2E" w14:textId="77777777" w:rsidTr="00507140">
        <w:trPr>
          <w:trHeight w:val="350"/>
        </w:trPr>
        <w:tc>
          <w:tcPr>
            <w:tcW w:w="6844" w:type="dxa"/>
            <w:tcBorders>
              <w:top w:val="nil"/>
              <w:left w:val="double" w:sz="6" w:space="0" w:color="auto"/>
              <w:bottom w:val="single" w:sz="8" w:space="0" w:color="auto"/>
              <w:right w:val="nil"/>
            </w:tcBorders>
            <w:shd w:val="clear" w:color="auto" w:fill="auto"/>
            <w:vAlign w:val="center"/>
            <w:hideMark/>
          </w:tcPr>
          <w:p w14:paraId="06C0D422"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 </w:t>
            </w:r>
          </w:p>
        </w:tc>
        <w:tc>
          <w:tcPr>
            <w:tcW w:w="1699" w:type="dxa"/>
            <w:tcBorders>
              <w:top w:val="nil"/>
              <w:left w:val="nil"/>
              <w:bottom w:val="single" w:sz="8" w:space="0" w:color="auto"/>
              <w:right w:val="nil"/>
            </w:tcBorders>
            <w:shd w:val="clear" w:color="auto" w:fill="auto"/>
            <w:vAlign w:val="center"/>
            <w:hideMark/>
          </w:tcPr>
          <w:p w14:paraId="2E96CFE7" w14:textId="77777777" w:rsidR="00507140" w:rsidRPr="00507140" w:rsidRDefault="00507140" w:rsidP="00507140">
            <w:pPr>
              <w:spacing w:after="0"/>
              <w:jc w:val="left"/>
              <w:rPr>
                <w:rFonts w:eastAsia="Times New Roman" w:cs="Times New Roman"/>
                <w:sz w:val="20"/>
                <w:szCs w:val="20"/>
              </w:rPr>
            </w:pPr>
            <w:r w:rsidRPr="00507140">
              <w:rPr>
                <w:rFonts w:eastAsia="Times New Roman" w:cs="Times New Roman"/>
                <w:sz w:val="20"/>
                <w:szCs w:val="20"/>
              </w:rPr>
              <w:t> </w:t>
            </w:r>
          </w:p>
        </w:tc>
        <w:tc>
          <w:tcPr>
            <w:tcW w:w="177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AB2A98E" w14:textId="77777777"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 xml:space="preserve">Subtotal     </w:t>
            </w:r>
          </w:p>
        </w:tc>
        <w:tc>
          <w:tcPr>
            <w:tcW w:w="1628" w:type="dxa"/>
            <w:tcBorders>
              <w:top w:val="single" w:sz="8" w:space="0" w:color="auto"/>
              <w:left w:val="nil"/>
              <w:bottom w:val="single" w:sz="8" w:space="0" w:color="auto"/>
              <w:right w:val="single" w:sz="8" w:space="0" w:color="auto"/>
            </w:tcBorders>
            <w:shd w:val="clear" w:color="auto" w:fill="auto"/>
            <w:noWrap/>
            <w:vAlign w:val="bottom"/>
            <w:hideMark/>
          </w:tcPr>
          <w:p w14:paraId="631FA837" w14:textId="77777777" w:rsidR="00507140" w:rsidRPr="00507140" w:rsidRDefault="00507140" w:rsidP="00507140">
            <w:pPr>
              <w:spacing w:after="0"/>
              <w:jc w:val="left"/>
              <w:rPr>
                <w:rFonts w:eastAsia="Times New Roman" w:cs="Times New Roman"/>
                <w:b/>
                <w:bCs/>
                <w:sz w:val="20"/>
                <w:szCs w:val="20"/>
              </w:rPr>
            </w:pPr>
            <w:r w:rsidRPr="00507140">
              <w:rPr>
                <w:rFonts w:eastAsia="Times New Roman" w:cs="Times New Roman"/>
                <w:b/>
                <w:bCs/>
                <w:sz w:val="20"/>
                <w:szCs w:val="20"/>
              </w:rPr>
              <w:t> </w:t>
            </w:r>
          </w:p>
        </w:tc>
        <w:tc>
          <w:tcPr>
            <w:tcW w:w="1699" w:type="dxa"/>
            <w:tcBorders>
              <w:top w:val="single" w:sz="8" w:space="0" w:color="auto"/>
              <w:left w:val="nil"/>
              <w:bottom w:val="single" w:sz="8" w:space="0" w:color="auto"/>
              <w:right w:val="single" w:sz="4" w:space="0" w:color="auto"/>
            </w:tcBorders>
            <w:shd w:val="clear" w:color="auto" w:fill="auto"/>
            <w:noWrap/>
            <w:vAlign w:val="bottom"/>
            <w:hideMark/>
          </w:tcPr>
          <w:p w14:paraId="50853AF1" w14:textId="77777777" w:rsidR="00507140" w:rsidRPr="00507140" w:rsidRDefault="00507140" w:rsidP="00507140">
            <w:pPr>
              <w:spacing w:after="0"/>
              <w:jc w:val="right"/>
              <w:rPr>
                <w:rFonts w:eastAsia="Times New Roman" w:cs="Times New Roman"/>
                <w:b/>
                <w:bCs/>
                <w:sz w:val="20"/>
                <w:szCs w:val="20"/>
              </w:rPr>
            </w:pPr>
            <w:r w:rsidRPr="00507140">
              <w:rPr>
                <w:rFonts w:eastAsia="Times New Roman" w:cs="Times New Roman"/>
                <w:b/>
                <w:bCs/>
                <w:sz w:val="20"/>
                <w:szCs w:val="20"/>
              </w:rPr>
              <w:t>270,3</w:t>
            </w:r>
          </w:p>
        </w:tc>
        <w:tc>
          <w:tcPr>
            <w:tcW w:w="1722" w:type="dxa"/>
            <w:tcBorders>
              <w:top w:val="single" w:sz="8" w:space="0" w:color="auto"/>
              <w:left w:val="nil"/>
              <w:bottom w:val="single" w:sz="8" w:space="0" w:color="auto"/>
              <w:right w:val="double" w:sz="6" w:space="0" w:color="auto"/>
            </w:tcBorders>
            <w:shd w:val="clear" w:color="auto" w:fill="auto"/>
            <w:noWrap/>
            <w:vAlign w:val="bottom"/>
            <w:hideMark/>
          </w:tcPr>
          <w:p w14:paraId="22331E26" w14:textId="77777777" w:rsidR="00507140" w:rsidRPr="00507140" w:rsidRDefault="00507140" w:rsidP="00507140">
            <w:pPr>
              <w:spacing w:after="0"/>
              <w:jc w:val="right"/>
              <w:rPr>
                <w:rFonts w:eastAsia="Times New Roman" w:cs="Times New Roman"/>
                <w:b/>
                <w:bCs/>
                <w:sz w:val="20"/>
                <w:szCs w:val="20"/>
              </w:rPr>
            </w:pPr>
            <w:r w:rsidRPr="00507140">
              <w:rPr>
                <w:rFonts w:eastAsia="Times New Roman" w:cs="Times New Roman"/>
                <w:b/>
                <w:bCs/>
                <w:sz w:val="20"/>
                <w:szCs w:val="20"/>
              </w:rPr>
              <w:t>210,3</w:t>
            </w:r>
          </w:p>
        </w:tc>
      </w:tr>
      <w:tr w:rsidR="00507140" w:rsidRPr="00507140" w14:paraId="55FECA2E" w14:textId="77777777" w:rsidTr="00507140">
        <w:trPr>
          <w:trHeight w:val="318"/>
        </w:trPr>
        <w:tc>
          <w:tcPr>
            <w:tcW w:w="8543" w:type="dxa"/>
            <w:gridSpan w:val="2"/>
            <w:tcBorders>
              <w:top w:val="single" w:sz="8" w:space="0" w:color="auto"/>
              <w:left w:val="double" w:sz="6" w:space="0" w:color="auto"/>
              <w:bottom w:val="double" w:sz="6" w:space="0" w:color="auto"/>
              <w:right w:val="single" w:sz="4" w:space="0" w:color="000000"/>
            </w:tcBorders>
            <w:shd w:val="clear" w:color="auto" w:fill="auto"/>
            <w:noWrap/>
            <w:vAlign w:val="center"/>
            <w:hideMark/>
          </w:tcPr>
          <w:p w14:paraId="25A2541B" w14:textId="77777777"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 </w:t>
            </w:r>
          </w:p>
        </w:tc>
        <w:tc>
          <w:tcPr>
            <w:tcW w:w="1770" w:type="dxa"/>
            <w:tcBorders>
              <w:top w:val="nil"/>
              <w:left w:val="single" w:sz="4" w:space="0" w:color="auto"/>
              <w:bottom w:val="double" w:sz="6" w:space="0" w:color="auto"/>
              <w:right w:val="single" w:sz="4" w:space="0" w:color="auto"/>
            </w:tcBorders>
            <w:shd w:val="clear" w:color="auto" w:fill="auto"/>
            <w:noWrap/>
            <w:vAlign w:val="center"/>
            <w:hideMark/>
          </w:tcPr>
          <w:p w14:paraId="5F8152B8" w14:textId="77777777" w:rsidR="00507140" w:rsidRPr="00507140" w:rsidRDefault="00507140" w:rsidP="00507140">
            <w:pPr>
              <w:spacing w:after="0"/>
              <w:jc w:val="center"/>
              <w:rPr>
                <w:rFonts w:eastAsia="Times New Roman" w:cs="Times New Roman"/>
                <w:b/>
                <w:bCs/>
                <w:sz w:val="20"/>
                <w:szCs w:val="20"/>
              </w:rPr>
            </w:pPr>
            <w:r w:rsidRPr="00507140">
              <w:rPr>
                <w:rFonts w:eastAsia="Times New Roman" w:cs="Times New Roman"/>
                <w:b/>
                <w:bCs/>
                <w:sz w:val="20"/>
                <w:szCs w:val="20"/>
              </w:rPr>
              <w:t>Total</w:t>
            </w:r>
          </w:p>
        </w:tc>
        <w:tc>
          <w:tcPr>
            <w:tcW w:w="1628" w:type="dxa"/>
            <w:tcBorders>
              <w:top w:val="nil"/>
              <w:left w:val="nil"/>
              <w:bottom w:val="double" w:sz="6" w:space="0" w:color="auto"/>
              <w:right w:val="single" w:sz="8" w:space="0" w:color="auto"/>
            </w:tcBorders>
            <w:shd w:val="clear" w:color="auto" w:fill="auto"/>
            <w:noWrap/>
            <w:vAlign w:val="center"/>
            <w:hideMark/>
          </w:tcPr>
          <w:p w14:paraId="7F4F3E8C" w14:textId="77777777" w:rsidR="00507140" w:rsidRPr="00507140" w:rsidRDefault="00507140" w:rsidP="00507140">
            <w:pPr>
              <w:spacing w:after="0"/>
              <w:jc w:val="left"/>
              <w:rPr>
                <w:rFonts w:eastAsia="Times New Roman" w:cs="Times New Roman"/>
                <w:b/>
                <w:bCs/>
                <w:sz w:val="20"/>
                <w:szCs w:val="20"/>
              </w:rPr>
            </w:pPr>
            <w:r w:rsidRPr="00507140">
              <w:rPr>
                <w:rFonts w:eastAsia="Times New Roman" w:cs="Times New Roman"/>
                <w:b/>
                <w:bCs/>
                <w:sz w:val="20"/>
                <w:szCs w:val="20"/>
              </w:rPr>
              <w:t> </w:t>
            </w:r>
          </w:p>
        </w:tc>
        <w:tc>
          <w:tcPr>
            <w:tcW w:w="1699" w:type="dxa"/>
            <w:tcBorders>
              <w:top w:val="nil"/>
              <w:left w:val="nil"/>
              <w:bottom w:val="double" w:sz="6" w:space="0" w:color="auto"/>
              <w:right w:val="single" w:sz="4" w:space="0" w:color="auto"/>
            </w:tcBorders>
            <w:shd w:val="clear" w:color="auto" w:fill="auto"/>
            <w:noWrap/>
            <w:vAlign w:val="center"/>
            <w:hideMark/>
          </w:tcPr>
          <w:p w14:paraId="1E1F7BAB" w14:textId="77777777" w:rsidR="00507140" w:rsidRPr="00507140" w:rsidRDefault="00507140" w:rsidP="00507140">
            <w:pPr>
              <w:spacing w:after="0"/>
              <w:jc w:val="right"/>
              <w:rPr>
                <w:rFonts w:eastAsia="Times New Roman" w:cs="Times New Roman"/>
                <w:b/>
                <w:bCs/>
                <w:sz w:val="20"/>
                <w:szCs w:val="20"/>
              </w:rPr>
            </w:pPr>
            <w:r w:rsidRPr="00507140">
              <w:rPr>
                <w:rFonts w:eastAsia="Times New Roman" w:cs="Times New Roman"/>
                <w:b/>
                <w:bCs/>
                <w:sz w:val="20"/>
                <w:szCs w:val="20"/>
              </w:rPr>
              <w:t>270,3</w:t>
            </w:r>
          </w:p>
        </w:tc>
        <w:tc>
          <w:tcPr>
            <w:tcW w:w="1722" w:type="dxa"/>
            <w:tcBorders>
              <w:top w:val="nil"/>
              <w:left w:val="nil"/>
              <w:bottom w:val="double" w:sz="6" w:space="0" w:color="auto"/>
              <w:right w:val="double" w:sz="6" w:space="0" w:color="auto"/>
            </w:tcBorders>
            <w:shd w:val="clear" w:color="auto" w:fill="auto"/>
            <w:noWrap/>
            <w:vAlign w:val="center"/>
            <w:hideMark/>
          </w:tcPr>
          <w:p w14:paraId="38D81DDF" w14:textId="77777777" w:rsidR="00507140" w:rsidRPr="00507140" w:rsidRDefault="00507140" w:rsidP="00507140">
            <w:pPr>
              <w:spacing w:after="0"/>
              <w:jc w:val="right"/>
              <w:rPr>
                <w:rFonts w:eastAsia="Times New Roman" w:cs="Times New Roman"/>
                <w:b/>
                <w:bCs/>
                <w:sz w:val="20"/>
                <w:szCs w:val="20"/>
              </w:rPr>
            </w:pPr>
            <w:r w:rsidRPr="00507140">
              <w:rPr>
                <w:rFonts w:eastAsia="Times New Roman" w:cs="Times New Roman"/>
                <w:b/>
                <w:bCs/>
                <w:sz w:val="20"/>
                <w:szCs w:val="20"/>
              </w:rPr>
              <w:t>210,3</w:t>
            </w:r>
          </w:p>
        </w:tc>
      </w:tr>
    </w:tbl>
    <w:p w14:paraId="3AF1C092" w14:textId="6C4E9FFC" w:rsidR="001607FC" w:rsidRDefault="00507140" w:rsidP="00644ACF">
      <w:pPr>
        <w:rPr>
          <w:szCs w:val="24"/>
        </w:rPr>
      </w:pPr>
      <w:r>
        <w:rPr>
          <w:szCs w:val="24"/>
        </w:rPr>
        <w:fldChar w:fldCharType="end"/>
      </w:r>
    </w:p>
    <w:p w14:paraId="1901E4AD" w14:textId="1A2E306F" w:rsidR="001607FC" w:rsidRDefault="001607FC" w:rsidP="006D0C7D">
      <w:pPr>
        <w:tabs>
          <w:tab w:val="center" w:pos="7699"/>
        </w:tabs>
        <w:spacing w:after="160" w:line="259" w:lineRule="auto"/>
        <w:jc w:val="left"/>
        <w:rPr>
          <w:rFonts w:asciiTheme="minorHAnsi" w:hAnsiTheme="minorHAnsi"/>
          <w:sz w:val="22"/>
        </w:rPr>
      </w:pPr>
      <w:r>
        <w:lastRenderedPageBreak/>
        <w:fldChar w:fldCharType="begin"/>
      </w:r>
      <w:r>
        <w:instrText xml:space="preserve"> LINK </w:instrText>
      </w:r>
      <w:r w:rsidR="002E5F43">
        <w:instrText xml:space="preserve">Excel.Sheet.12 "C:\\Users\\ognjen.jancic\\Documents\\kopija\\Ognjen\\memorandum\\ERP 2025-2027\\engleska verzija-ubacivanje tabela\\2025_ERP_Annex_tables_RS.xlsx" "Tab7a-GG guarantees!R4C2:R25C6" </w:instrText>
      </w:r>
      <w:r>
        <w:instrText xml:space="preserve">\a \f 4 \h  \* MERGEFORMAT </w:instrText>
      </w:r>
      <w:r>
        <w:fldChar w:fldCharType="separate"/>
      </w:r>
      <w:r w:rsidR="006D0C7D">
        <w:tab/>
      </w:r>
    </w:p>
    <w:tbl>
      <w:tblPr>
        <w:tblW w:w="15318" w:type="dxa"/>
        <w:tblLook w:val="04A0" w:firstRow="1" w:lastRow="0" w:firstColumn="1" w:lastColumn="0" w:noHBand="0" w:noVBand="1"/>
      </w:tblPr>
      <w:tblGrid>
        <w:gridCol w:w="1212"/>
        <w:gridCol w:w="9453"/>
        <w:gridCol w:w="1551"/>
        <w:gridCol w:w="1551"/>
        <w:gridCol w:w="1551"/>
      </w:tblGrid>
      <w:tr w:rsidR="001607FC" w:rsidRPr="001607FC" w14:paraId="51F2A315" w14:textId="77777777" w:rsidTr="001607FC">
        <w:trPr>
          <w:trHeight w:val="1597"/>
        </w:trPr>
        <w:tc>
          <w:tcPr>
            <w:tcW w:w="1212" w:type="dxa"/>
            <w:tcBorders>
              <w:top w:val="double" w:sz="6" w:space="0" w:color="auto"/>
              <w:left w:val="double" w:sz="6" w:space="0" w:color="auto"/>
              <w:bottom w:val="single" w:sz="8" w:space="0" w:color="auto"/>
              <w:right w:val="nil"/>
            </w:tcBorders>
            <w:shd w:val="clear" w:color="000000" w:fill="FFFFFF"/>
            <w:noWrap/>
            <w:vAlign w:val="bottom"/>
            <w:hideMark/>
          </w:tcPr>
          <w:p w14:paraId="64A43C4B" w14:textId="7E3A2DF4"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 </w:t>
            </w:r>
          </w:p>
        </w:tc>
        <w:tc>
          <w:tcPr>
            <w:tcW w:w="9453" w:type="dxa"/>
            <w:tcBorders>
              <w:top w:val="double" w:sz="6" w:space="0" w:color="auto"/>
              <w:left w:val="nil"/>
              <w:bottom w:val="single" w:sz="8" w:space="0" w:color="auto"/>
              <w:right w:val="single" w:sz="4" w:space="0" w:color="auto"/>
            </w:tcBorders>
            <w:shd w:val="clear" w:color="auto" w:fill="auto"/>
            <w:noWrap/>
            <w:vAlign w:val="center"/>
            <w:hideMark/>
          </w:tcPr>
          <w:p w14:paraId="0BA9F84B"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Measures</w:t>
            </w:r>
          </w:p>
        </w:tc>
        <w:tc>
          <w:tcPr>
            <w:tcW w:w="1551" w:type="dxa"/>
            <w:tcBorders>
              <w:top w:val="double" w:sz="6" w:space="0" w:color="auto"/>
              <w:left w:val="single" w:sz="4" w:space="0" w:color="auto"/>
              <w:bottom w:val="single" w:sz="8" w:space="0" w:color="auto"/>
              <w:right w:val="single" w:sz="8" w:space="0" w:color="auto"/>
            </w:tcBorders>
            <w:shd w:val="clear" w:color="auto" w:fill="auto"/>
            <w:vAlign w:val="center"/>
            <w:hideMark/>
          </w:tcPr>
          <w:p w14:paraId="12A71011"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 xml:space="preserve">Date of adoption </w:t>
            </w:r>
          </w:p>
        </w:tc>
        <w:tc>
          <w:tcPr>
            <w:tcW w:w="1551" w:type="dxa"/>
            <w:tcBorders>
              <w:top w:val="double" w:sz="6" w:space="0" w:color="auto"/>
              <w:left w:val="nil"/>
              <w:bottom w:val="single" w:sz="8" w:space="0" w:color="auto"/>
              <w:right w:val="single" w:sz="4" w:space="0" w:color="auto"/>
            </w:tcBorders>
            <w:shd w:val="clear" w:color="auto" w:fill="auto"/>
            <w:vAlign w:val="center"/>
            <w:hideMark/>
          </w:tcPr>
          <w:p w14:paraId="2E202635"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Maximum amount of contingent liabilities</w:t>
            </w:r>
            <w:r w:rsidRPr="001607FC">
              <w:rPr>
                <w:rFonts w:eastAsia="Times New Roman" w:cs="Times New Roman"/>
                <w:b/>
                <w:bCs/>
                <w:szCs w:val="24"/>
                <w:vertAlign w:val="superscript"/>
              </w:rPr>
              <w:t xml:space="preserve">1 </w:t>
            </w:r>
            <w:r w:rsidRPr="001607FC">
              <w:rPr>
                <w:rFonts w:eastAsia="Times New Roman" w:cs="Times New Roman"/>
                <w:b/>
                <w:bCs/>
                <w:szCs w:val="24"/>
              </w:rPr>
              <w:t xml:space="preserve">                    </w:t>
            </w:r>
            <w:r w:rsidRPr="001607FC">
              <w:rPr>
                <w:rFonts w:eastAsia="Times New Roman" w:cs="Times New Roman"/>
                <w:szCs w:val="24"/>
              </w:rPr>
              <w:t>(% of GDP)</w:t>
            </w:r>
          </w:p>
        </w:tc>
        <w:tc>
          <w:tcPr>
            <w:tcW w:w="1551"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2266846A"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 xml:space="preserve">Estimated  take-up          </w:t>
            </w:r>
            <w:r w:rsidRPr="001607FC">
              <w:rPr>
                <w:rFonts w:eastAsia="Times New Roman" w:cs="Times New Roman"/>
                <w:szCs w:val="24"/>
              </w:rPr>
              <w:t>(% of GDP)</w:t>
            </w:r>
          </w:p>
        </w:tc>
      </w:tr>
      <w:tr w:rsidR="001607FC" w:rsidRPr="001607FC" w14:paraId="4CB2B599" w14:textId="77777777" w:rsidTr="001607FC">
        <w:trPr>
          <w:trHeight w:val="302"/>
        </w:trPr>
        <w:tc>
          <w:tcPr>
            <w:tcW w:w="1212" w:type="dxa"/>
            <w:tcBorders>
              <w:top w:val="single" w:sz="8" w:space="0" w:color="auto"/>
              <w:left w:val="double" w:sz="6" w:space="0" w:color="auto"/>
              <w:bottom w:val="single" w:sz="8" w:space="0" w:color="auto"/>
              <w:right w:val="nil"/>
            </w:tcBorders>
            <w:shd w:val="clear" w:color="000000" w:fill="FFFFFF"/>
            <w:noWrap/>
            <w:vAlign w:val="bottom"/>
            <w:hideMark/>
          </w:tcPr>
          <w:p w14:paraId="64674EE5"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 </w:t>
            </w:r>
          </w:p>
        </w:tc>
        <w:tc>
          <w:tcPr>
            <w:tcW w:w="9453" w:type="dxa"/>
            <w:tcBorders>
              <w:top w:val="nil"/>
              <w:left w:val="nil"/>
              <w:bottom w:val="single" w:sz="8" w:space="0" w:color="auto"/>
              <w:right w:val="single" w:sz="4" w:space="0" w:color="auto"/>
            </w:tcBorders>
            <w:shd w:val="clear" w:color="auto" w:fill="auto"/>
            <w:noWrap/>
            <w:vAlign w:val="center"/>
            <w:hideMark/>
          </w:tcPr>
          <w:p w14:paraId="6A4A811A"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 </w:t>
            </w:r>
          </w:p>
        </w:tc>
        <w:tc>
          <w:tcPr>
            <w:tcW w:w="1551" w:type="dxa"/>
            <w:tcBorders>
              <w:top w:val="nil"/>
              <w:left w:val="nil"/>
              <w:bottom w:val="single" w:sz="8" w:space="0" w:color="auto"/>
              <w:right w:val="single" w:sz="8" w:space="0" w:color="auto"/>
            </w:tcBorders>
            <w:shd w:val="clear" w:color="auto" w:fill="auto"/>
            <w:vAlign w:val="center"/>
            <w:hideMark/>
          </w:tcPr>
          <w:p w14:paraId="4747C173"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 </w:t>
            </w:r>
          </w:p>
        </w:tc>
        <w:tc>
          <w:tcPr>
            <w:tcW w:w="1551" w:type="dxa"/>
            <w:tcBorders>
              <w:top w:val="nil"/>
              <w:left w:val="nil"/>
              <w:bottom w:val="single" w:sz="8" w:space="0" w:color="auto"/>
              <w:right w:val="single" w:sz="4" w:space="0" w:color="auto"/>
            </w:tcBorders>
            <w:shd w:val="clear" w:color="auto" w:fill="auto"/>
            <w:vAlign w:val="center"/>
            <w:hideMark/>
          </w:tcPr>
          <w:p w14:paraId="26D52E0C"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2024</w:t>
            </w:r>
          </w:p>
        </w:tc>
        <w:tc>
          <w:tcPr>
            <w:tcW w:w="1551" w:type="dxa"/>
            <w:tcBorders>
              <w:top w:val="nil"/>
              <w:left w:val="nil"/>
              <w:bottom w:val="single" w:sz="8" w:space="0" w:color="auto"/>
              <w:right w:val="double" w:sz="6" w:space="0" w:color="auto"/>
            </w:tcBorders>
            <w:shd w:val="clear" w:color="auto" w:fill="auto"/>
            <w:vAlign w:val="center"/>
            <w:hideMark/>
          </w:tcPr>
          <w:p w14:paraId="5B5450F5"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2024</w:t>
            </w:r>
          </w:p>
        </w:tc>
      </w:tr>
      <w:tr w:rsidR="001607FC" w:rsidRPr="001607FC" w14:paraId="1E7F326C" w14:textId="77777777" w:rsidTr="001607FC">
        <w:trPr>
          <w:trHeight w:val="302"/>
        </w:trPr>
        <w:tc>
          <w:tcPr>
            <w:tcW w:w="1212" w:type="dxa"/>
            <w:tcBorders>
              <w:top w:val="nil"/>
              <w:left w:val="double" w:sz="6" w:space="0" w:color="auto"/>
              <w:bottom w:val="single" w:sz="8" w:space="0" w:color="auto"/>
              <w:right w:val="single" w:sz="4" w:space="0" w:color="auto"/>
            </w:tcBorders>
            <w:shd w:val="clear" w:color="000000" w:fill="FFFFFF"/>
            <w:vAlign w:val="center"/>
            <w:hideMark/>
          </w:tcPr>
          <w:p w14:paraId="7EED8C50" w14:textId="64139E8E"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 </w:t>
            </w:r>
            <w:r w:rsidR="000459FA">
              <w:rPr>
                <w:rFonts w:eastAsia="Times New Roman" w:cs="Times New Roman"/>
                <w:szCs w:val="24"/>
              </w:rPr>
              <w:t>COVID</w:t>
            </w:r>
          </w:p>
        </w:tc>
        <w:tc>
          <w:tcPr>
            <w:tcW w:w="9453" w:type="dxa"/>
            <w:tcBorders>
              <w:top w:val="single" w:sz="8" w:space="0" w:color="auto"/>
              <w:left w:val="nil"/>
              <w:bottom w:val="single" w:sz="8" w:space="0" w:color="auto"/>
              <w:right w:val="nil"/>
            </w:tcBorders>
            <w:shd w:val="clear" w:color="auto" w:fill="auto"/>
            <w:vAlign w:val="center"/>
            <w:hideMark/>
          </w:tcPr>
          <w:p w14:paraId="7A2CE22E"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 xml:space="preserve">Subtotal     </w:t>
            </w:r>
          </w:p>
        </w:tc>
        <w:tc>
          <w:tcPr>
            <w:tcW w:w="1551"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6EDE823"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 of GDP</w:t>
            </w:r>
          </w:p>
        </w:tc>
        <w:tc>
          <w:tcPr>
            <w:tcW w:w="1551" w:type="dxa"/>
            <w:tcBorders>
              <w:top w:val="single" w:sz="8" w:space="0" w:color="auto"/>
              <w:left w:val="nil"/>
              <w:bottom w:val="single" w:sz="8" w:space="0" w:color="auto"/>
              <w:right w:val="single" w:sz="4" w:space="0" w:color="auto"/>
            </w:tcBorders>
            <w:shd w:val="clear" w:color="auto" w:fill="auto"/>
            <w:noWrap/>
            <w:vAlign w:val="bottom"/>
            <w:hideMark/>
          </w:tcPr>
          <w:p w14:paraId="0FEF5013"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0,0</w:t>
            </w:r>
          </w:p>
        </w:tc>
        <w:tc>
          <w:tcPr>
            <w:tcW w:w="1551" w:type="dxa"/>
            <w:tcBorders>
              <w:top w:val="single" w:sz="8" w:space="0" w:color="auto"/>
              <w:left w:val="nil"/>
              <w:bottom w:val="single" w:sz="8" w:space="0" w:color="auto"/>
              <w:right w:val="double" w:sz="6" w:space="0" w:color="auto"/>
            </w:tcBorders>
            <w:shd w:val="clear" w:color="auto" w:fill="auto"/>
            <w:noWrap/>
            <w:vAlign w:val="bottom"/>
            <w:hideMark/>
          </w:tcPr>
          <w:p w14:paraId="6ADF95B5"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0,0</w:t>
            </w:r>
          </w:p>
        </w:tc>
      </w:tr>
      <w:tr w:rsidR="001607FC" w:rsidRPr="001607FC" w14:paraId="08FD151E" w14:textId="77777777" w:rsidTr="001607FC">
        <w:trPr>
          <w:trHeight w:val="287"/>
        </w:trPr>
        <w:tc>
          <w:tcPr>
            <w:tcW w:w="1212" w:type="dxa"/>
            <w:tcBorders>
              <w:top w:val="nil"/>
              <w:left w:val="double" w:sz="6" w:space="0" w:color="auto"/>
              <w:bottom w:val="nil"/>
              <w:right w:val="single" w:sz="4" w:space="0" w:color="auto"/>
            </w:tcBorders>
            <w:shd w:val="clear" w:color="000000" w:fill="FFFFFF"/>
            <w:vAlign w:val="center"/>
            <w:hideMark/>
          </w:tcPr>
          <w:p w14:paraId="10BE21D8"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Others</w:t>
            </w:r>
          </w:p>
        </w:tc>
        <w:tc>
          <w:tcPr>
            <w:tcW w:w="945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9250F51"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Srbijagas</w:t>
            </w:r>
          </w:p>
        </w:tc>
        <w:tc>
          <w:tcPr>
            <w:tcW w:w="155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4DC98AF0"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w:t>
            </w:r>
          </w:p>
        </w:tc>
        <w:tc>
          <w:tcPr>
            <w:tcW w:w="1551" w:type="dxa"/>
            <w:tcBorders>
              <w:top w:val="dotted" w:sz="4" w:space="0" w:color="auto"/>
              <w:left w:val="nil"/>
              <w:bottom w:val="dotted" w:sz="4" w:space="0" w:color="auto"/>
              <w:right w:val="single" w:sz="4" w:space="0" w:color="auto"/>
            </w:tcBorders>
            <w:shd w:val="clear" w:color="auto" w:fill="auto"/>
            <w:noWrap/>
            <w:vAlign w:val="center"/>
            <w:hideMark/>
          </w:tcPr>
          <w:p w14:paraId="47E40456"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0,7</w:t>
            </w:r>
          </w:p>
        </w:tc>
        <w:tc>
          <w:tcPr>
            <w:tcW w:w="1551" w:type="dxa"/>
            <w:tcBorders>
              <w:top w:val="dotted" w:sz="4" w:space="0" w:color="auto"/>
              <w:left w:val="nil"/>
              <w:bottom w:val="dotted" w:sz="4" w:space="0" w:color="auto"/>
              <w:right w:val="double" w:sz="6" w:space="0" w:color="auto"/>
            </w:tcBorders>
            <w:shd w:val="clear" w:color="auto" w:fill="auto"/>
            <w:noWrap/>
            <w:vAlign w:val="bottom"/>
            <w:hideMark/>
          </w:tcPr>
          <w:p w14:paraId="11872758"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0,7</w:t>
            </w:r>
          </w:p>
        </w:tc>
      </w:tr>
      <w:tr w:rsidR="001607FC" w:rsidRPr="001607FC" w14:paraId="524F7F88" w14:textId="77777777" w:rsidTr="001607FC">
        <w:trPr>
          <w:trHeight w:val="296"/>
        </w:trPr>
        <w:tc>
          <w:tcPr>
            <w:tcW w:w="1212" w:type="dxa"/>
            <w:tcBorders>
              <w:top w:val="nil"/>
              <w:left w:val="double" w:sz="6" w:space="0" w:color="auto"/>
              <w:bottom w:val="nil"/>
              <w:right w:val="single" w:sz="4" w:space="0" w:color="auto"/>
            </w:tcBorders>
            <w:shd w:val="clear" w:color="000000" w:fill="FFFFFF"/>
            <w:vAlign w:val="center"/>
            <w:hideMark/>
          </w:tcPr>
          <w:p w14:paraId="701FD193"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 </w:t>
            </w:r>
          </w:p>
        </w:tc>
        <w:tc>
          <w:tcPr>
            <w:tcW w:w="9453" w:type="dxa"/>
            <w:tcBorders>
              <w:top w:val="nil"/>
              <w:left w:val="nil"/>
              <w:bottom w:val="dotted" w:sz="4" w:space="0" w:color="auto"/>
              <w:right w:val="single" w:sz="4" w:space="0" w:color="auto"/>
            </w:tcBorders>
            <w:shd w:val="clear" w:color="auto" w:fill="auto"/>
            <w:noWrap/>
            <w:vAlign w:val="bottom"/>
            <w:hideMark/>
          </w:tcPr>
          <w:p w14:paraId="0FB7DEA7"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Elektroprivreda Srbije</w:t>
            </w:r>
          </w:p>
        </w:tc>
        <w:tc>
          <w:tcPr>
            <w:tcW w:w="1551" w:type="dxa"/>
            <w:tcBorders>
              <w:top w:val="nil"/>
              <w:left w:val="single" w:sz="4" w:space="0" w:color="auto"/>
              <w:bottom w:val="dotted" w:sz="4" w:space="0" w:color="auto"/>
              <w:right w:val="single" w:sz="8" w:space="0" w:color="auto"/>
            </w:tcBorders>
            <w:shd w:val="clear" w:color="auto" w:fill="auto"/>
            <w:noWrap/>
            <w:vAlign w:val="center"/>
            <w:hideMark/>
          </w:tcPr>
          <w:p w14:paraId="1BE57606"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w:t>
            </w:r>
          </w:p>
        </w:tc>
        <w:tc>
          <w:tcPr>
            <w:tcW w:w="1551" w:type="dxa"/>
            <w:tcBorders>
              <w:top w:val="nil"/>
              <w:left w:val="nil"/>
              <w:bottom w:val="dotted" w:sz="4" w:space="0" w:color="auto"/>
              <w:right w:val="single" w:sz="4" w:space="0" w:color="auto"/>
            </w:tcBorders>
            <w:shd w:val="clear" w:color="auto" w:fill="auto"/>
            <w:noWrap/>
            <w:vAlign w:val="center"/>
            <w:hideMark/>
          </w:tcPr>
          <w:p w14:paraId="4CED975A"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0,9</w:t>
            </w:r>
          </w:p>
        </w:tc>
        <w:tc>
          <w:tcPr>
            <w:tcW w:w="1551" w:type="dxa"/>
            <w:tcBorders>
              <w:top w:val="nil"/>
              <w:left w:val="nil"/>
              <w:bottom w:val="dotted" w:sz="4" w:space="0" w:color="auto"/>
              <w:right w:val="double" w:sz="6" w:space="0" w:color="auto"/>
            </w:tcBorders>
            <w:shd w:val="clear" w:color="auto" w:fill="auto"/>
            <w:noWrap/>
            <w:vAlign w:val="bottom"/>
            <w:hideMark/>
          </w:tcPr>
          <w:p w14:paraId="51D422FF"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0,8</w:t>
            </w:r>
          </w:p>
        </w:tc>
      </w:tr>
      <w:tr w:rsidR="001607FC" w:rsidRPr="001607FC" w14:paraId="4D86E374" w14:textId="77777777" w:rsidTr="001607FC">
        <w:trPr>
          <w:trHeight w:val="296"/>
        </w:trPr>
        <w:tc>
          <w:tcPr>
            <w:tcW w:w="1212" w:type="dxa"/>
            <w:tcBorders>
              <w:top w:val="nil"/>
              <w:left w:val="double" w:sz="6" w:space="0" w:color="auto"/>
              <w:bottom w:val="nil"/>
              <w:right w:val="single" w:sz="4" w:space="0" w:color="auto"/>
            </w:tcBorders>
            <w:shd w:val="clear" w:color="000000" w:fill="FFFFFF"/>
            <w:vAlign w:val="center"/>
            <w:hideMark/>
          </w:tcPr>
          <w:p w14:paraId="4EDC57A7"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 </w:t>
            </w:r>
          </w:p>
        </w:tc>
        <w:tc>
          <w:tcPr>
            <w:tcW w:w="9453" w:type="dxa"/>
            <w:tcBorders>
              <w:top w:val="nil"/>
              <w:left w:val="nil"/>
              <w:bottom w:val="dotted" w:sz="4" w:space="0" w:color="auto"/>
              <w:right w:val="single" w:sz="4" w:space="0" w:color="auto"/>
            </w:tcBorders>
            <w:shd w:val="clear" w:color="auto" w:fill="auto"/>
            <w:noWrap/>
            <w:vAlign w:val="bottom"/>
            <w:hideMark/>
          </w:tcPr>
          <w:p w14:paraId="761B73F0"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Putevi Srbije</w:t>
            </w:r>
          </w:p>
        </w:tc>
        <w:tc>
          <w:tcPr>
            <w:tcW w:w="1551" w:type="dxa"/>
            <w:tcBorders>
              <w:top w:val="nil"/>
              <w:left w:val="single" w:sz="4" w:space="0" w:color="auto"/>
              <w:bottom w:val="dotted" w:sz="4" w:space="0" w:color="auto"/>
              <w:right w:val="single" w:sz="8" w:space="0" w:color="auto"/>
            </w:tcBorders>
            <w:shd w:val="clear" w:color="auto" w:fill="auto"/>
            <w:noWrap/>
            <w:vAlign w:val="center"/>
            <w:hideMark/>
          </w:tcPr>
          <w:p w14:paraId="163BA8F7"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w:t>
            </w:r>
          </w:p>
        </w:tc>
        <w:tc>
          <w:tcPr>
            <w:tcW w:w="1551" w:type="dxa"/>
            <w:tcBorders>
              <w:top w:val="nil"/>
              <w:left w:val="nil"/>
              <w:bottom w:val="dotted" w:sz="4" w:space="0" w:color="auto"/>
              <w:right w:val="single" w:sz="4" w:space="0" w:color="auto"/>
            </w:tcBorders>
            <w:shd w:val="clear" w:color="auto" w:fill="auto"/>
            <w:noWrap/>
            <w:vAlign w:val="center"/>
            <w:hideMark/>
          </w:tcPr>
          <w:p w14:paraId="09CDB911"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0,2</w:t>
            </w:r>
          </w:p>
        </w:tc>
        <w:tc>
          <w:tcPr>
            <w:tcW w:w="1551" w:type="dxa"/>
            <w:tcBorders>
              <w:top w:val="nil"/>
              <w:left w:val="nil"/>
              <w:bottom w:val="dotted" w:sz="4" w:space="0" w:color="auto"/>
              <w:right w:val="double" w:sz="6" w:space="0" w:color="auto"/>
            </w:tcBorders>
            <w:shd w:val="clear" w:color="auto" w:fill="auto"/>
            <w:noWrap/>
            <w:vAlign w:val="bottom"/>
            <w:hideMark/>
          </w:tcPr>
          <w:p w14:paraId="34417088"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0,2</w:t>
            </w:r>
          </w:p>
        </w:tc>
      </w:tr>
      <w:tr w:rsidR="001607FC" w:rsidRPr="001607FC" w14:paraId="4870217C" w14:textId="77777777" w:rsidTr="001607FC">
        <w:trPr>
          <w:trHeight w:val="296"/>
        </w:trPr>
        <w:tc>
          <w:tcPr>
            <w:tcW w:w="1212" w:type="dxa"/>
            <w:tcBorders>
              <w:top w:val="nil"/>
              <w:left w:val="double" w:sz="6" w:space="0" w:color="auto"/>
              <w:bottom w:val="nil"/>
              <w:right w:val="single" w:sz="4" w:space="0" w:color="auto"/>
            </w:tcBorders>
            <w:shd w:val="clear" w:color="000000" w:fill="FFFFFF"/>
            <w:vAlign w:val="center"/>
            <w:hideMark/>
          </w:tcPr>
          <w:p w14:paraId="4AD0AF02"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 </w:t>
            </w:r>
          </w:p>
        </w:tc>
        <w:tc>
          <w:tcPr>
            <w:tcW w:w="9453" w:type="dxa"/>
            <w:tcBorders>
              <w:top w:val="nil"/>
              <w:left w:val="nil"/>
              <w:bottom w:val="dotted" w:sz="4" w:space="0" w:color="auto"/>
              <w:right w:val="single" w:sz="4" w:space="0" w:color="auto"/>
            </w:tcBorders>
            <w:shd w:val="clear" w:color="auto" w:fill="auto"/>
            <w:noWrap/>
            <w:vAlign w:val="bottom"/>
            <w:hideMark/>
          </w:tcPr>
          <w:p w14:paraId="42D6BFB6"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Local government</w:t>
            </w:r>
          </w:p>
        </w:tc>
        <w:tc>
          <w:tcPr>
            <w:tcW w:w="1551" w:type="dxa"/>
            <w:tcBorders>
              <w:top w:val="nil"/>
              <w:left w:val="single" w:sz="4" w:space="0" w:color="auto"/>
              <w:bottom w:val="dotted" w:sz="4" w:space="0" w:color="auto"/>
              <w:right w:val="single" w:sz="8" w:space="0" w:color="auto"/>
            </w:tcBorders>
            <w:shd w:val="clear" w:color="auto" w:fill="auto"/>
            <w:noWrap/>
            <w:vAlign w:val="center"/>
            <w:hideMark/>
          </w:tcPr>
          <w:p w14:paraId="438576BE"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w:t>
            </w:r>
          </w:p>
        </w:tc>
        <w:tc>
          <w:tcPr>
            <w:tcW w:w="1551" w:type="dxa"/>
            <w:tcBorders>
              <w:top w:val="nil"/>
              <w:left w:val="nil"/>
              <w:bottom w:val="dotted" w:sz="4" w:space="0" w:color="auto"/>
              <w:right w:val="single" w:sz="4" w:space="0" w:color="auto"/>
            </w:tcBorders>
            <w:shd w:val="clear" w:color="auto" w:fill="auto"/>
            <w:noWrap/>
            <w:vAlign w:val="center"/>
            <w:hideMark/>
          </w:tcPr>
          <w:p w14:paraId="722937C1"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0,2</w:t>
            </w:r>
          </w:p>
        </w:tc>
        <w:tc>
          <w:tcPr>
            <w:tcW w:w="1551" w:type="dxa"/>
            <w:tcBorders>
              <w:top w:val="nil"/>
              <w:left w:val="nil"/>
              <w:bottom w:val="dotted" w:sz="4" w:space="0" w:color="auto"/>
              <w:right w:val="double" w:sz="6" w:space="0" w:color="auto"/>
            </w:tcBorders>
            <w:shd w:val="clear" w:color="auto" w:fill="auto"/>
            <w:noWrap/>
            <w:vAlign w:val="bottom"/>
            <w:hideMark/>
          </w:tcPr>
          <w:p w14:paraId="324CD40F"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0,2</w:t>
            </w:r>
          </w:p>
        </w:tc>
      </w:tr>
      <w:tr w:rsidR="001607FC" w:rsidRPr="001607FC" w14:paraId="728E0D1E" w14:textId="77777777" w:rsidTr="001607FC">
        <w:trPr>
          <w:trHeight w:val="296"/>
        </w:trPr>
        <w:tc>
          <w:tcPr>
            <w:tcW w:w="1212" w:type="dxa"/>
            <w:tcBorders>
              <w:top w:val="nil"/>
              <w:left w:val="double" w:sz="6" w:space="0" w:color="auto"/>
              <w:bottom w:val="nil"/>
              <w:right w:val="single" w:sz="4" w:space="0" w:color="auto"/>
            </w:tcBorders>
            <w:shd w:val="clear" w:color="000000" w:fill="FFFFFF"/>
            <w:vAlign w:val="center"/>
            <w:hideMark/>
          </w:tcPr>
          <w:p w14:paraId="10C16A51"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 </w:t>
            </w:r>
          </w:p>
        </w:tc>
        <w:tc>
          <w:tcPr>
            <w:tcW w:w="9453" w:type="dxa"/>
            <w:tcBorders>
              <w:top w:val="nil"/>
              <w:left w:val="nil"/>
              <w:bottom w:val="dotted" w:sz="4" w:space="0" w:color="auto"/>
              <w:right w:val="single" w:sz="4" w:space="0" w:color="auto"/>
            </w:tcBorders>
            <w:shd w:val="clear" w:color="auto" w:fill="auto"/>
            <w:noWrap/>
            <w:vAlign w:val="bottom"/>
            <w:hideMark/>
          </w:tcPr>
          <w:p w14:paraId="671857DA"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Srbija Voz</w:t>
            </w:r>
          </w:p>
        </w:tc>
        <w:tc>
          <w:tcPr>
            <w:tcW w:w="1551" w:type="dxa"/>
            <w:tcBorders>
              <w:top w:val="nil"/>
              <w:left w:val="single" w:sz="4" w:space="0" w:color="auto"/>
              <w:bottom w:val="dotted" w:sz="4" w:space="0" w:color="auto"/>
              <w:right w:val="single" w:sz="8" w:space="0" w:color="auto"/>
            </w:tcBorders>
            <w:shd w:val="clear" w:color="auto" w:fill="auto"/>
            <w:noWrap/>
            <w:vAlign w:val="center"/>
            <w:hideMark/>
          </w:tcPr>
          <w:p w14:paraId="2BEF2967"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w:t>
            </w:r>
          </w:p>
        </w:tc>
        <w:tc>
          <w:tcPr>
            <w:tcW w:w="1551" w:type="dxa"/>
            <w:tcBorders>
              <w:top w:val="nil"/>
              <w:left w:val="nil"/>
              <w:bottom w:val="dotted" w:sz="4" w:space="0" w:color="auto"/>
              <w:right w:val="single" w:sz="4" w:space="0" w:color="auto"/>
            </w:tcBorders>
            <w:shd w:val="clear" w:color="auto" w:fill="auto"/>
            <w:noWrap/>
            <w:vAlign w:val="center"/>
            <w:hideMark/>
          </w:tcPr>
          <w:p w14:paraId="11141AC7"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0,2</w:t>
            </w:r>
          </w:p>
        </w:tc>
        <w:tc>
          <w:tcPr>
            <w:tcW w:w="1551" w:type="dxa"/>
            <w:tcBorders>
              <w:top w:val="nil"/>
              <w:left w:val="nil"/>
              <w:bottom w:val="dotted" w:sz="4" w:space="0" w:color="auto"/>
              <w:right w:val="double" w:sz="6" w:space="0" w:color="auto"/>
            </w:tcBorders>
            <w:shd w:val="clear" w:color="auto" w:fill="auto"/>
            <w:noWrap/>
            <w:vAlign w:val="bottom"/>
            <w:hideMark/>
          </w:tcPr>
          <w:p w14:paraId="4B540D46"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0,1</w:t>
            </w:r>
          </w:p>
        </w:tc>
      </w:tr>
      <w:tr w:rsidR="001607FC" w:rsidRPr="001607FC" w14:paraId="075C2880" w14:textId="77777777" w:rsidTr="006D0C7D">
        <w:trPr>
          <w:trHeight w:val="296"/>
        </w:trPr>
        <w:tc>
          <w:tcPr>
            <w:tcW w:w="1212" w:type="dxa"/>
            <w:tcBorders>
              <w:top w:val="nil"/>
              <w:left w:val="double" w:sz="6" w:space="0" w:color="auto"/>
              <w:bottom w:val="nil"/>
              <w:right w:val="single" w:sz="4" w:space="0" w:color="auto"/>
            </w:tcBorders>
            <w:shd w:val="clear" w:color="000000" w:fill="FFFFFF"/>
            <w:vAlign w:val="center"/>
            <w:hideMark/>
          </w:tcPr>
          <w:p w14:paraId="4E9A3E2B"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 </w:t>
            </w:r>
          </w:p>
        </w:tc>
        <w:tc>
          <w:tcPr>
            <w:tcW w:w="9453" w:type="dxa"/>
            <w:tcBorders>
              <w:top w:val="nil"/>
              <w:left w:val="nil"/>
              <w:bottom w:val="dotted" w:sz="4" w:space="0" w:color="auto"/>
              <w:right w:val="single" w:sz="4" w:space="0" w:color="auto"/>
            </w:tcBorders>
            <w:shd w:val="clear" w:color="auto" w:fill="auto"/>
            <w:noWrap/>
            <w:vAlign w:val="bottom"/>
            <w:hideMark/>
          </w:tcPr>
          <w:p w14:paraId="0E4FE4A5"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Železnice Srbije</w:t>
            </w:r>
          </w:p>
        </w:tc>
        <w:tc>
          <w:tcPr>
            <w:tcW w:w="1551" w:type="dxa"/>
            <w:tcBorders>
              <w:top w:val="nil"/>
              <w:left w:val="single" w:sz="4" w:space="0" w:color="auto"/>
              <w:bottom w:val="dotted" w:sz="4" w:space="0" w:color="auto"/>
              <w:right w:val="single" w:sz="8" w:space="0" w:color="auto"/>
            </w:tcBorders>
            <w:shd w:val="clear" w:color="auto" w:fill="auto"/>
            <w:noWrap/>
            <w:vAlign w:val="center"/>
            <w:hideMark/>
          </w:tcPr>
          <w:p w14:paraId="2A034C6F"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w:t>
            </w:r>
          </w:p>
        </w:tc>
        <w:tc>
          <w:tcPr>
            <w:tcW w:w="1551" w:type="dxa"/>
            <w:tcBorders>
              <w:top w:val="nil"/>
              <w:left w:val="nil"/>
              <w:bottom w:val="dotted" w:sz="4" w:space="0" w:color="auto"/>
              <w:right w:val="single" w:sz="4" w:space="0" w:color="auto"/>
            </w:tcBorders>
            <w:shd w:val="clear" w:color="auto" w:fill="auto"/>
            <w:noWrap/>
            <w:vAlign w:val="center"/>
            <w:hideMark/>
          </w:tcPr>
          <w:p w14:paraId="5B980488"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0,1</w:t>
            </w:r>
          </w:p>
        </w:tc>
        <w:tc>
          <w:tcPr>
            <w:tcW w:w="1551" w:type="dxa"/>
            <w:tcBorders>
              <w:top w:val="nil"/>
              <w:left w:val="nil"/>
              <w:bottom w:val="dotted" w:sz="4" w:space="0" w:color="auto"/>
              <w:right w:val="double" w:sz="6" w:space="0" w:color="auto"/>
            </w:tcBorders>
            <w:shd w:val="clear" w:color="auto" w:fill="auto"/>
            <w:noWrap/>
            <w:vAlign w:val="bottom"/>
            <w:hideMark/>
          </w:tcPr>
          <w:p w14:paraId="71F2B6CF"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0,1</w:t>
            </w:r>
          </w:p>
        </w:tc>
      </w:tr>
      <w:tr w:rsidR="001607FC" w:rsidRPr="001607FC" w14:paraId="399B1B1F" w14:textId="77777777" w:rsidTr="006D0C7D">
        <w:trPr>
          <w:trHeight w:val="305"/>
        </w:trPr>
        <w:tc>
          <w:tcPr>
            <w:tcW w:w="1212" w:type="dxa"/>
            <w:tcBorders>
              <w:top w:val="nil"/>
              <w:left w:val="double" w:sz="6" w:space="0" w:color="auto"/>
              <w:bottom w:val="nil"/>
              <w:right w:val="single" w:sz="4" w:space="0" w:color="auto"/>
            </w:tcBorders>
            <w:shd w:val="clear" w:color="000000" w:fill="FFFFFF"/>
            <w:vAlign w:val="center"/>
            <w:hideMark/>
          </w:tcPr>
          <w:p w14:paraId="758A6F5E"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 </w:t>
            </w:r>
          </w:p>
        </w:tc>
        <w:tc>
          <w:tcPr>
            <w:tcW w:w="9453" w:type="dxa"/>
            <w:tcBorders>
              <w:top w:val="nil"/>
              <w:left w:val="nil"/>
              <w:bottom w:val="dotted" w:sz="4" w:space="0" w:color="auto"/>
              <w:right w:val="single" w:sz="4" w:space="0" w:color="auto"/>
            </w:tcBorders>
            <w:shd w:val="clear" w:color="auto" w:fill="auto"/>
            <w:noWrap/>
            <w:vAlign w:val="bottom"/>
            <w:hideMark/>
          </w:tcPr>
          <w:p w14:paraId="5ADF642E"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Infrastruktura železnice Srbije</w:t>
            </w:r>
          </w:p>
        </w:tc>
        <w:tc>
          <w:tcPr>
            <w:tcW w:w="155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47131C71"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w:t>
            </w:r>
          </w:p>
        </w:tc>
        <w:tc>
          <w:tcPr>
            <w:tcW w:w="1551" w:type="dxa"/>
            <w:tcBorders>
              <w:top w:val="nil"/>
              <w:left w:val="nil"/>
              <w:bottom w:val="dotted" w:sz="4" w:space="0" w:color="auto"/>
              <w:right w:val="single" w:sz="4" w:space="0" w:color="auto"/>
            </w:tcBorders>
            <w:shd w:val="clear" w:color="auto" w:fill="auto"/>
            <w:noWrap/>
            <w:vAlign w:val="center"/>
            <w:hideMark/>
          </w:tcPr>
          <w:p w14:paraId="4336EBD3"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0,0</w:t>
            </w:r>
          </w:p>
        </w:tc>
        <w:tc>
          <w:tcPr>
            <w:tcW w:w="1551" w:type="dxa"/>
            <w:tcBorders>
              <w:top w:val="nil"/>
              <w:left w:val="nil"/>
              <w:bottom w:val="dotted" w:sz="4" w:space="0" w:color="auto"/>
              <w:right w:val="double" w:sz="6" w:space="0" w:color="auto"/>
            </w:tcBorders>
            <w:shd w:val="clear" w:color="auto" w:fill="auto"/>
            <w:noWrap/>
            <w:vAlign w:val="bottom"/>
            <w:hideMark/>
          </w:tcPr>
          <w:p w14:paraId="2D01D026" w14:textId="77777777" w:rsidR="001607FC" w:rsidRPr="001607FC" w:rsidRDefault="001607FC" w:rsidP="001607FC">
            <w:pPr>
              <w:spacing w:after="0"/>
              <w:jc w:val="center"/>
              <w:rPr>
                <w:rFonts w:eastAsia="Times New Roman" w:cs="Times New Roman"/>
                <w:szCs w:val="24"/>
              </w:rPr>
            </w:pPr>
            <w:r w:rsidRPr="001607FC">
              <w:rPr>
                <w:rFonts w:eastAsia="Times New Roman" w:cs="Times New Roman"/>
                <w:szCs w:val="24"/>
              </w:rPr>
              <w:t>0,0</w:t>
            </w:r>
          </w:p>
        </w:tc>
      </w:tr>
      <w:tr w:rsidR="001607FC" w:rsidRPr="001607FC" w14:paraId="4D968A47" w14:textId="77777777" w:rsidTr="006D0C7D">
        <w:trPr>
          <w:trHeight w:val="296"/>
        </w:trPr>
        <w:tc>
          <w:tcPr>
            <w:tcW w:w="1212" w:type="dxa"/>
            <w:tcBorders>
              <w:top w:val="nil"/>
              <w:left w:val="double" w:sz="6" w:space="0" w:color="auto"/>
              <w:bottom w:val="nil"/>
              <w:right w:val="single" w:sz="4" w:space="0" w:color="auto"/>
            </w:tcBorders>
            <w:shd w:val="clear" w:color="000000" w:fill="FFFFFF"/>
            <w:vAlign w:val="center"/>
            <w:hideMark/>
          </w:tcPr>
          <w:p w14:paraId="0E6C3B86" w14:textId="77777777" w:rsidR="001607FC" w:rsidRPr="001607FC" w:rsidRDefault="001607FC" w:rsidP="001607FC">
            <w:pPr>
              <w:spacing w:after="0"/>
              <w:jc w:val="left"/>
              <w:outlineLvl w:val="0"/>
              <w:rPr>
                <w:rFonts w:eastAsia="Times New Roman" w:cs="Times New Roman"/>
                <w:szCs w:val="24"/>
              </w:rPr>
            </w:pPr>
            <w:r w:rsidRPr="001607FC">
              <w:rPr>
                <w:rFonts w:eastAsia="Times New Roman" w:cs="Times New Roman"/>
                <w:szCs w:val="24"/>
              </w:rPr>
              <w:t> </w:t>
            </w:r>
          </w:p>
        </w:tc>
        <w:tc>
          <w:tcPr>
            <w:tcW w:w="9453" w:type="dxa"/>
            <w:tcBorders>
              <w:top w:val="nil"/>
              <w:left w:val="nil"/>
              <w:bottom w:val="dotted" w:sz="4" w:space="0" w:color="auto"/>
              <w:right w:val="single" w:sz="4" w:space="0" w:color="auto"/>
            </w:tcBorders>
            <w:shd w:val="clear" w:color="auto" w:fill="auto"/>
            <w:noWrap/>
            <w:vAlign w:val="bottom"/>
            <w:hideMark/>
          </w:tcPr>
          <w:p w14:paraId="69342D30" w14:textId="77777777" w:rsidR="001607FC" w:rsidRPr="001607FC" w:rsidRDefault="001607FC" w:rsidP="001607FC">
            <w:pPr>
              <w:spacing w:after="0"/>
              <w:jc w:val="left"/>
              <w:outlineLvl w:val="0"/>
              <w:rPr>
                <w:rFonts w:eastAsia="Times New Roman" w:cs="Times New Roman"/>
                <w:szCs w:val="24"/>
              </w:rPr>
            </w:pPr>
            <w:r w:rsidRPr="001607FC">
              <w:rPr>
                <w:rFonts w:eastAsia="Times New Roman" w:cs="Times New Roman"/>
                <w:szCs w:val="24"/>
              </w:rPr>
              <w:t>Elektromreža Srbije</w:t>
            </w:r>
          </w:p>
        </w:tc>
        <w:tc>
          <w:tcPr>
            <w:tcW w:w="155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11B67C68"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w:t>
            </w:r>
          </w:p>
        </w:tc>
        <w:tc>
          <w:tcPr>
            <w:tcW w:w="1551" w:type="dxa"/>
            <w:tcBorders>
              <w:top w:val="nil"/>
              <w:left w:val="nil"/>
              <w:bottom w:val="dotted" w:sz="4" w:space="0" w:color="auto"/>
              <w:right w:val="single" w:sz="4" w:space="0" w:color="auto"/>
            </w:tcBorders>
            <w:shd w:val="clear" w:color="auto" w:fill="auto"/>
            <w:noWrap/>
            <w:vAlign w:val="center"/>
            <w:hideMark/>
          </w:tcPr>
          <w:p w14:paraId="20CF5FD3"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0,1</w:t>
            </w:r>
          </w:p>
        </w:tc>
        <w:tc>
          <w:tcPr>
            <w:tcW w:w="1551" w:type="dxa"/>
            <w:tcBorders>
              <w:top w:val="nil"/>
              <w:left w:val="nil"/>
              <w:bottom w:val="dotted" w:sz="4" w:space="0" w:color="auto"/>
              <w:right w:val="double" w:sz="6" w:space="0" w:color="auto"/>
            </w:tcBorders>
            <w:shd w:val="clear" w:color="auto" w:fill="auto"/>
            <w:noWrap/>
            <w:vAlign w:val="bottom"/>
            <w:hideMark/>
          </w:tcPr>
          <w:p w14:paraId="4E9BE46A"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0,0</w:t>
            </w:r>
          </w:p>
        </w:tc>
      </w:tr>
      <w:tr w:rsidR="001607FC" w:rsidRPr="001607FC" w14:paraId="7BC20E51" w14:textId="77777777" w:rsidTr="001607FC">
        <w:trPr>
          <w:trHeight w:val="296"/>
        </w:trPr>
        <w:tc>
          <w:tcPr>
            <w:tcW w:w="1212" w:type="dxa"/>
            <w:tcBorders>
              <w:top w:val="nil"/>
              <w:left w:val="double" w:sz="6" w:space="0" w:color="auto"/>
              <w:bottom w:val="nil"/>
              <w:right w:val="single" w:sz="4" w:space="0" w:color="auto"/>
            </w:tcBorders>
            <w:shd w:val="clear" w:color="000000" w:fill="FFFFFF"/>
            <w:vAlign w:val="center"/>
            <w:hideMark/>
          </w:tcPr>
          <w:p w14:paraId="2343A27B" w14:textId="77777777" w:rsidR="001607FC" w:rsidRPr="001607FC" w:rsidRDefault="001607FC" w:rsidP="001607FC">
            <w:pPr>
              <w:spacing w:after="0"/>
              <w:jc w:val="left"/>
              <w:outlineLvl w:val="0"/>
              <w:rPr>
                <w:rFonts w:eastAsia="Times New Roman" w:cs="Times New Roman"/>
                <w:szCs w:val="24"/>
              </w:rPr>
            </w:pPr>
            <w:r w:rsidRPr="001607FC">
              <w:rPr>
                <w:rFonts w:eastAsia="Times New Roman" w:cs="Times New Roman"/>
                <w:szCs w:val="24"/>
              </w:rPr>
              <w:t> </w:t>
            </w:r>
          </w:p>
        </w:tc>
        <w:tc>
          <w:tcPr>
            <w:tcW w:w="9453" w:type="dxa"/>
            <w:tcBorders>
              <w:top w:val="nil"/>
              <w:left w:val="nil"/>
              <w:bottom w:val="dotted" w:sz="4" w:space="0" w:color="auto"/>
              <w:right w:val="single" w:sz="4" w:space="0" w:color="auto"/>
            </w:tcBorders>
            <w:shd w:val="clear" w:color="auto" w:fill="auto"/>
            <w:noWrap/>
            <w:vAlign w:val="bottom"/>
            <w:hideMark/>
          </w:tcPr>
          <w:p w14:paraId="74BD169B" w14:textId="77777777" w:rsidR="001607FC" w:rsidRPr="001607FC" w:rsidRDefault="001607FC" w:rsidP="001607FC">
            <w:pPr>
              <w:spacing w:after="0"/>
              <w:jc w:val="left"/>
              <w:outlineLvl w:val="0"/>
              <w:rPr>
                <w:rFonts w:eastAsia="Times New Roman" w:cs="Times New Roman"/>
                <w:szCs w:val="24"/>
              </w:rPr>
            </w:pPr>
            <w:r w:rsidRPr="001607FC">
              <w:rPr>
                <w:rFonts w:eastAsia="Times New Roman" w:cs="Times New Roman"/>
                <w:szCs w:val="24"/>
              </w:rPr>
              <w:t>Srbija Kargo</w:t>
            </w:r>
          </w:p>
        </w:tc>
        <w:tc>
          <w:tcPr>
            <w:tcW w:w="1551" w:type="dxa"/>
            <w:tcBorders>
              <w:top w:val="nil"/>
              <w:left w:val="single" w:sz="4" w:space="0" w:color="auto"/>
              <w:bottom w:val="dotted" w:sz="4" w:space="0" w:color="auto"/>
              <w:right w:val="single" w:sz="8" w:space="0" w:color="auto"/>
            </w:tcBorders>
            <w:shd w:val="clear" w:color="auto" w:fill="auto"/>
            <w:noWrap/>
            <w:vAlign w:val="center"/>
            <w:hideMark/>
          </w:tcPr>
          <w:p w14:paraId="151934EB"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w:t>
            </w:r>
          </w:p>
        </w:tc>
        <w:tc>
          <w:tcPr>
            <w:tcW w:w="1551" w:type="dxa"/>
            <w:tcBorders>
              <w:top w:val="nil"/>
              <w:left w:val="nil"/>
              <w:bottom w:val="dotted" w:sz="4" w:space="0" w:color="auto"/>
              <w:right w:val="single" w:sz="4" w:space="0" w:color="auto"/>
            </w:tcBorders>
            <w:shd w:val="clear" w:color="auto" w:fill="auto"/>
            <w:noWrap/>
            <w:vAlign w:val="center"/>
            <w:hideMark/>
          </w:tcPr>
          <w:p w14:paraId="030FD18C"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0,1</w:t>
            </w:r>
          </w:p>
        </w:tc>
        <w:tc>
          <w:tcPr>
            <w:tcW w:w="1551" w:type="dxa"/>
            <w:tcBorders>
              <w:top w:val="nil"/>
              <w:left w:val="nil"/>
              <w:bottom w:val="dotted" w:sz="4" w:space="0" w:color="auto"/>
              <w:right w:val="double" w:sz="6" w:space="0" w:color="auto"/>
            </w:tcBorders>
            <w:shd w:val="clear" w:color="auto" w:fill="auto"/>
            <w:noWrap/>
            <w:vAlign w:val="bottom"/>
            <w:hideMark/>
          </w:tcPr>
          <w:p w14:paraId="10E6A7DA"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0,0</w:t>
            </w:r>
          </w:p>
        </w:tc>
      </w:tr>
      <w:tr w:rsidR="001607FC" w:rsidRPr="001607FC" w14:paraId="284A3723" w14:textId="77777777" w:rsidTr="001607FC">
        <w:trPr>
          <w:trHeight w:val="296"/>
        </w:trPr>
        <w:tc>
          <w:tcPr>
            <w:tcW w:w="1212" w:type="dxa"/>
            <w:tcBorders>
              <w:top w:val="nil"/>
              <w:left w:val="double" w:sz="6" w:space="0" w:color="auto"/>
              <w:bottom w:val="nil"/>
              <w:right w:val="single" w:sz="4" w:space="0" w:color="auto"/>
            </w:tcBorders>
            <w:shd w:val="clear" w:color="000000" w:fill="FFFFFF"/>
            <w:vAlign w:val="center"/>
            <w:hideMark/>
          </w:tcPr>
          <w:p w14:paraId="5EAC2C24" w14:textId="77777777" w:rsidR="001607FC" w:rsidRPr="001607FC" w:rsidRDefault="001607FC" w:rsidP="001607FC">
            <w:pPr>
              <w:spacing w:after="0"/>
              <w:jc w:val="left"/>
              <w:outlineLvl w:val="0"/>
              <w:rPr>
                <w:rFonts w:eastAsia="Times New Roman" w:cs="Times New Roman"/>
                <w:szCs w:val="24"/>
              </w:rPr>
            </w:pPr>
            <w:r w:rsidRPr="001607FC">
              <w:rPr>
                <w:rFonts w:eastAsia="Times New Roman" w:cs="Times New Roman"/>
                <w:szCs w:val="24"/>
              </w:rPr>
              <w:t> </w:t>
            </w:r>
          </w:p>
        </w:tc>
        <w:tc>
          <w:tcPr>
            <w:tcW w:w="9453" w:type="dxa"/>
            <w:tcBorders>
              <w:top w:val="nil"/>
              <w:left w:val="nil"/>
              <w:bottom w:val="dotted" w:sz="4" w:space="0" w:color="auto"/>
              <w:right w:val="single" w:sz="4" w:space="0" w:color="auto"/>
            </w:tcBorders>
            <w:shd w:val="clear" w:color="auto" w:fill="auto"/>
            <w:noWrap/>
            <w:vAlign w:val="bottom"/>
            <w:hideMark/>
          </w:tcPr>
          <w:p w14:paraId="0E263E84" w14:textId="77777777" w:rsidR="001607FC" w:rsidRPr="001607FC" w:rsidRDefault="001607FC" w:rsidP="001607FC">
            <w:pPr>
              <w:spacing w:after="0"/>
              <w:jc w:val="left"/>
              <w:outlineLvl w:val="0"/>
              <w:rPr>
                <w:rFonts w:eastAsia="Times New Roman" w:cs="Times New Roman"/>
                <w:szCs w:val="24"/>
              </w:rPr>
            </w:pPr>
            <w:r w:rsidRPr="001607FC">
              <w:rPr>
                <w:rFonts w:eastAsia="Times New Roman" w:cs="Times New Roman"/>
                <w:szCs w:val="24"/>
              </w:rPr>
              <w:t xml:space="preserve">Skijališta Srbije </w:t>
            </w:r>
          </w:p>
        </w:tc>
        <w:tc>
          <w:tcPr>
            <w:tcW w:w="1551" w:type="dxa"/>
            <w:tcBorders>
              <w:top w:val="nil"/>
              <w:left w:val="single" w:sz="4" w:space="0" w:color="auto"/>
              <w:bottom w:val="dotted" w:sz="4" w:space="0" w:color="auto"/>
              <w:right w:val="single" w:sz="8" w:space="0" w:color="auto"/>
            </w:tcBorders>
            <w:shd w:val="clear" w:color="auto" w:fill="auto"/>
            <w:noWrap/>
            <w:vAlign w:val="center"/>
            <w:hideMark/>
          </w:tcPr>
          <w:p w14:paraId="6C3914D5"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w:t>
            </w:r>
          </w:p>
        </w:tc>
        <w:tc>
          <w:tcPr>
            <w:tcW w:w="1551" w:type="dxa"/>
            <w:tcBorders>
              <w:top w:val="nil"/>
              <w:left w:val="nil"/>
              <w:bottom w:val="dotted" w:sz="4" w:space="0" w:color="auto"/>
              <w:right w:val="single" w:sz="4" w:space="0" w:color="auto"/>
            </w:tcBorders>
            <w:shd w:val="clear" w:color="auto" w:fill="auto"/>
            <w:noWrap/>
            <w:vAlign w:val="center"/>
            <w:hideMark/>
          </w:tcPr>
          <w:p w14:paraId="64E12923"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0,0</w:t>
            </w:r>
          </w:p>
        </w:tc>
        <w:tc>
          <w:tcPr>
            <w:tcW w:w="1551" w:type="dxa"/>
            <w:tcBorders>
              <w:top w:val="nil"/>
              <w:left w:val="nil"/>
              <w:bottom w:val="dotted" w:sz="4" w:space="0" w:color="auto"/>
              <w:right w:val="double" w:sz="6" w:space="0" w:color="auto"/>
            </w:tcBorders>
            <w:shd w:val="clear" w:color="auto" w:fill="auto"/>
            <w:noWrap/>
            <w:vAlign w:val="bottom"/>
            <w:hideMark/>
          </w:tcPr>
          <w:p w14:paraId="2CF40400"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0,0</w:t>
            </w:r>
          </w:p>
        </w:tc>
      </w:tr>
      <w:tr w:rsidR="001607FC" w:rsidRPr="001607FC" w14:paraId="1176EEE9" w14:textId="77777777" w:rsidTr="001607FC">
        <w:trPr>
          <w:trHeight w:val="296"/>
        </w:trPr>
        <w:tc>
          <w:tcPr>
            <w:tcW w:w="1212" w:type="dxa"/>
            <w:tcBorders>
              <w:top w:val="nil"/>
              <w:left w:val="double" w:sz="6" w:space="0" w:color="auto"/>
              <w:bottom w:val="nil"/>
              <w:right w:val="single" w:sz="4" w:space="0" w:color="auto"/>
            </w:tcBorders>
            <w:shd w:val="clear" w:color="000000" w:fill="FFFFFF"/>
            <w:vAlign w:val="center"/>
            <w:hideMark/>
          </w:tcPr>
          <w:p w14:paraId="423209F7" w14:textId="77777777" w:rsidR="001607FC" w:rsidRPr="001607FC" w:rsidRDefault="001607FC" w:rsidP="001607FC">
            <w:pPr>
              <w:spacing w:after="0"/>
              <w:jc w:val="left"/>
              <w:outlineLvl w:val="0"/>
              <w:rPr>
                <w:rFonts w:eastAsia="Times New Roman" w:cs="Times New Roman"/>
                <w:szCs w:val="24"/>
              </w:rPr>
            </w:pPr>
            <w:r w:rsidRPr="001607FC">
              <w:rPr>
                <w:rFonts w:eastAsia="Times New Roman" w:cs="Times New Roman"/>
                <w:szCs w:val="24"/>
              </w:rPr>
              <w:t> </w:t>
            </w:r>
          </w:p>
        </w:tc>
        <w:tc>
          <w:tcPr>
            <w:tcW w:w="9453" w:type="dxa"/>
            <w:tcBorders>
              <w:top w:val="nil"/>
              <w:left w:val="nil"/>
              <w:bottom w:val="dotted" w:sz="4" w:space="0" w:color="auto"/>
              <w:right w:val="single" w:sz="4" w:space="0" w:color="auto"/>
            </w:tcBorders>
            <w:shd w:val="clear" w:color="auto" w:fill="auto"/>
            <w:noWrap/>
            <w:vAlign w:val="bottom"/>
            <w:hideMark/>
          </w:tcPr>
          <w:p w14:paraId="14B510D1" w14:textId="77777777" w:rsidR="001607FC" w:rsidRPr="001607FC" w:rsidRDefault="001607FC" w:rsidP="001607FC">
            <w:pPr>
              <w:spacing w:after="0"/>
              <w:jc w:val="left"/>
              <w:outlineLvl w:val="0"/>
              <w:rPr>
                <w:rFonts w:eastAsia="Times New Roman" w:cs="Times New Roman"/>
                <w:szCs w:val="24"/>
              </w:rPr>
            </w:pPr>
            <w:r w:rsidRPr="001607FC">
              <w:rPr>
                <w:rFonts w:eastAsia="Times New Roman" w:cs="Times New Roman"/>
                <w:szCs w:val="24"/>
              </w:rPr>
              <w:t xml:space="preserve">Jugoimport - SDPR </w:t>
            </w:r>
          </w:p>
        </w:tc>
        <w:tc>
          <w:tcPr>
            <w:tcW w:w="1551" w:type="dxa"/>
            <w:tcBorders>
              <w:top w:val="nil"/>
              <w:left w:val="single" w:sz="4" w:space="0" w:color="auto"/>
              <w:bottom w:val="dotted" w:sz="4" w:space="0" w:color="auto"/>
              <w:right w:val="single" w:sz="8" w:space="0" w:color="auto"/>
            </w:tcBorders>
            <w:shd w:val="clear" w:color="auto" w:fill="auto"/>
            <w:noWrap/>
            <w:vAlign w:val="center"/>
            <w:hideMark/>
          </w:tcPr>
          <w:p w14:paraId="0152CB5E"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w:t>
            </w:r>
          </w:p>
        </w:tc>
        <w:tc>
          <w:tcPr>
            <w:tcW w:w="1551" w:type="dxa"/>
            <w:tcBorders>
              <w:top w:val="nil"/>
              <w:left w:val="nil"/>
              <w:bottom w:val="dotted" w:sz="4" w:space="0" w:color="auto"/>
              <w:right w:val="single" w:sz="4" w:space="0" w:color="auto"/>
            </w:tcBorders>
            <w:shd w:val="clear" w:color="auto" w:fill="auto"/>
            <w:noWrap/>
            <w:vAlign w:val="center"/>
            <w:hideMark/>
          </w:tcPr>
          <w:p w14:paraId="6050736B"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0,0</w:t>
            </w:r>
          </w:p>
        </w:tc>
        <w:tc>
          <w:tcPr>
            <w:tcW w:w="1551" w:type="dxa"/>
            <w:tcBorders>
              <w:top w:val="nil"/>
              <w:left w:val="nil"/>
              <w:bottom w:val="dotted" w:sz="4" w:space="0" w:color="auto"/>
              <w:right w:val="double" w:sz="6" w:space="0" w:color="auto"/>
            </w:tcBorders>
            <w:shd w:val="clear" w:color="auto" w:fill="auto"/>
            <w:noWrap/>
            <w:vAlign w:val="bottom"/>
            <w:hideMark/>
          </w:tcPr>
          <w:p w14:paraId="0968B867"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0,0</w:t>
            </w:r>
          </w:p>
        </w:tc>
      </w:tr>
      <w:tr w:rsidR="001607FC" w:rsidRPr="001607FC" w14:paraId="744C7FE5" w14:textId="77777777" w:rsidTr="001607FC">
        <w:trPr>
          <w:trHeight w:val="302"/>
        </w:trPr>
        <w:tc>
          <w:tcPr>
            <w:tcW w:w="1212" w:type="dxa"/>
            <w:tcBorders>
              <w:top w:val="nil"/>
              <w:left w:val="double" w:sz="6" w:space="0" w:color="auto"/>
              <w:bottom w:val="nil"/>
              <w:right w:val="single" w:sz="4" w:space="0" w:color="auto"/>
            </w:tcBorders>
            <w:shd w:val="clear" w:color="000000" w:fill="FFFFFF"/>
            <w:vAlign w:val="center"/>
            <w:hideMark/>
          </w:tcPr>
          <w:p w14:paraId="1AB8098F" w14:textId="77777777" w:rsidR="001607FC" w:rsidRPr="001607FC" w:rsidRDefault="001607FC" w:rsidP="001607FC">
            <w:pPr>
              <w:spacing w:after="0"/>
              <w:jc w:val="left"/>
              <w:outlineLvl w:val="0"/>
              <w:rPr>
                <w:rFonts w:eastAsia="Times New Roman" w:cs="Times New Roman"/>
                <w:szCs w:val="24"/>
              </w:rPr>
            </w:pPr>
            <w:r w:rsidRPr="001607FC">
              <w:rPr>
                <w:rFonts w:eastAsia="Times New Roman" w:cs="Times New Roman"/>
                <w:szCs w:val="24"/>
              </w:rPr>
              <w:t> </w:t>
            </w:r>
          </w:p>
        </w:tc>
        <w:tc>
          <w:tcPr>
            <w:tcW w:w="9453" w:type="dxa"/>
            <w:tcBorders>
              <w:top w:val="nil"/>
              <w:left w:val="nil"/>
              <w:bottom w:val="dotted" w:sz="4" w:space="0" w:color="auto"/>
              <w:right w:val="single" w:sz="4" w:space="0" w:color="auto"/>
            </w:tcBorders>
            <w:shd w:val="clear" w:color="auto" w:fill="auto"/>
            <w:noWrap/>
            <w:vAlign w:val="bottom"/>
            <w:hideMark/>
          </w:tcPr>
          <w:p w14:paraId="21536D2C" w14:textId="77777777" w:rsidR="001607FC" w:rsidRPr="001607FC" w:rsidRDefault="001607FC" w:rsidP="001607FC">
            <w:pPr>
              <w:spacing w:after="0"/>
              <w:jc w:val="left"/>
              <w:outlineLvl w:val="0"/>
              <w:rPr>
                <w:rFonts w:eastAsia="Times New Roman" w:cs="Times New Roman"/>
                <w:szCs w:val="24"/>
              </w:rPr>
            </w:pPr>
            <w:r w:rsidRPr="001607FC">
              <w:rPr>
                <w:rFonts w:eastAsia="Times New Roman" w:cs="Times New Roman"/>
                <w:szCs w:val="24"/>
              </w:rPr>
              <w:t>Emisiona tehnika i veze</w:t>
            </w:r>
          </w:p>
        </w:tc>
        <w:tc>
          <w:tcPr>
            <w:tcW w:w="1551"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14:paraId="188FE9A2"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w:t>
            </w:r>
          </w:p>
        </w:tc>
        <w:tc>
          <w:tcPr>
            <w:tcW w:w="1551" w:type="dxa"/>
            <w:tcBorders>
              <w:top w:val="nil"/>
              <w:left w:val="nil"/>
              <w:bottom w:val="dotted" w:sz="4" w:space="0" w:color="auto"/>
              <w:right w:val="single" w:sz="4" w:space="0" w:color="auto"/>
            </w:tcBorders>
            <w:shd w:val="clear" w:color="auto" w:fill="auto"/>
            <w:noWrap/>
            <w:vAlign w:val="center"/>
            <w:hideMark/>
          </w:tcPr>
          <w:p w14:paraId="6402AB9D"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0,0</w:t>
            </w:r>
          </w:p>
        </w:tc>
        <w:tc>
          <w:tcPr>
            <w:tcW w:w="1551" w:type="dxa"/>
            <w:tcBorders>
              <w:top w:val="nil"/>
              <w:left w:val="nil"/>
              <w:bottom w:val="dotted" w:sz="4" w:space="0" w:color="auto"/>
              <w:right w:val="double" w:sz="6" w:space="0" w:color="auto"/>
            </w:tcBorders>
            <w:shd w:val="clear" w:color="auto" w:fill="auto"/>
            <w:noWrap/>
            <w:vAlign w:val="bottom"/>
            <w:hideMark/>
          </w:tcPr>
          <w:p w14:paraId="557E95FA" w14:textId="77777777" w:rsidR="001607FC" w:rsidRPr="001607FC" w:rsidRDefault="001607FC" w:rsidP="001607FC">
            <w:pPr>
              <w:spacing w:after="0"/>
              <w:jc w:val="center"/>
              <w:outlineLvl w:val="0"/>
              <w:rPr>
                <w:rFonts w:eastAsia="Times New Roman" w:cs="Times New Roman"/>
                <w:szCs w:val="24"/>
              </w:rPr>
            </w:pPr>
            <w:r w:rsidRPr="001607FC">
              <w:rPr>
                <w:rFonts w:eastAsia="Times New Roman" w:cs="Times New Roman"/>
                <w:szCs w:val="24"/>
              </w:rPr>
              <w:t>0,0</w:t>
            </w:r>
          </w:p>
        </w:tc>
      </w:tr>
      <w:tr w:rsidR="001607FC" w:rsidRPr="001607FC" w14:paraId="35D70F19" w14:textId="77777777" w:rsidTr="002B732A">
        <w:trPr>
          <w:trHeight w:val="316"/>
        </w:trPr>
        <w:tc>
          <w:tcPr>
            <w:tcW w:w="1212" w:type="dxa"/>
            <w:tcBorders>
              <w:top w:val="nil"/>
              <w:left w:val="double" w:sz="6" w:space="0" w:color="auto"/>
              <w:bottom w:val="double" w:sz="6" w:space="0" w:color="auto"/>
              <w:right w:val="single" w:sz="4" w:space="0" w:color="auto"/>
            </w:tcBorders>
            <w:shd w:val="clear" w:color="000000" w:fill="FFFFFF"/>
            <w:vAlign w:val="center"/>
            <w:hideMark/>
          </w:tcPr>
          <w:p w14:paraId="35D3597F"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 </w:t>
            </w:r>
          </w:p>
        </w:tc>
        <w:tc>
          <w:tcPr>
            <w:tcW w:w="9453" w:type="dxa"/>
            <w:tcBorders>
              <w:top w:val="single" w:sz="8" w:space="0" w:color="auto"/>
              <w:left w:val="nil"/>
              <w:bottom w:val="double" w:sz="6" w:space="0" w:color="auto"/>
              <w:right w:val="nil"/>
            </w:tcBorders>
            <w:shd w:val="clear" w:color="auto" w:fill="auto"/>
            <w:vAlign w:val="center"/>
            <w:hideMark/>
          </w:tcPr>
          <w:p w14:paraId="081D26CC"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 xml:space="preserve">Subtotal </w:t>
            </w:r>
          </w:p>
        </w:tc>
        <w:tc>
          <w:tcPr>
            <w:tcW w:w="1551" w:type="dxa"/>
            <w:tcBorders>
              <w:top w:val="nil"/>
              <w:left w:val="single" w:sz="4" w:space="0" w:color="auto"/>
              <w:bottom w:val="double" w:sz="6" w:space="0" w:color="auto"/>
              <w:right w:val="single" w:sz="8" w:space="0" w:color="auto"/>
            </w:tcBorders>
            <w:shd w:val="clear" w:color="auto" w:fill="auto"/>
            <w:noWrap/>
            <w:vAlign w:val="bottom"/>
            <w:hideMark/>
          </w:tcPr>
          <w:p w14:paraId="6166026D"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 of GDP</w:t>
            </w:r>
          </w:p>
        </w:tc>
        <w:tc>
          <w:tcPr>
            <w:tcW w:w="1551"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14:paraId="2177F0C8"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2,3</w:t>
            </w:r>
          </w:p>
        </w:tc>
        <w:tc>
          <w:tcPr>
            <w:tcW w:w="1551" w:type="dxa"/>
            <w:tcBorders>
              <w:top w:val="single" w:sz="8" w:space="0" w:color="auto"/>
              <w:left w:val="single" w:sz="4" w:space="0" w:color="auto"/>
              <w:bottom w:val="double" w:sz="6" w:space="0" w:color="auto"/>
              <w:right w:val="double" w:sz="6" w:space="0" w:color="auto"/>
            </w:tcBorders>
            <w:shd w:val="clear" w:color="auto" w:fill="auto"/>
            <w:noWrap/>
            <w:vAlign w:val="bottom"/>
            <w:hideMark/>
          </w:tcPr>
          <w:p w14:paraId="115CF2B0"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2,1</w:t>
            </w:r>
          </w:p>
        </w:tc>
      </w:tr>
      <w:tr w:rsidR="001607FC" w:rsidRPr="001607FC" w14:paraId="32EB0C0D" w14:textId="77777777" w:rsidTr="001607FC">
        <w:trPr>
          <w:trHeight w:val="479"/>
        </w:trPr>
        <w:tc>
          <w:tcPr>
            <w:tcW w:w="1212" w:type="dxa"/>
            <w:tcBorders>
              <w:top w:val="nil"/>
              <w:left w:val="double" w:sz="6" w:space="0" w:color="auto"/>
              <w:bottom w:val="double" w:sz="6" w:space="0" w:color="auto"/>
              <w:right w:val="nil"/>
            </w:tcBorders>
            <w:shd w:val="clear" w:color="000000" w:fill="FFFFFF"/>
            <w:noWrap/>
            <w:vAlign w:val="center"/>
            <w:hideMark/>
          </w:tcPr>
          <w:p w14:paraId="166AFEA9" w14:textId="77777777" w:rsidR="001607FC" w:rsidRPr="001607FC" w:rsidRDefault="001607FC" w:rsidP="001607FC">
            <w:pPr>
              <w:spacing w:after="0"/>
              <w:jc w:val="left"/>
              <w:rPr>
                <w:rFonts w:eastAsia="Times New Roman" w:cs="Times New Roman"/>
                <w:szCs w:val="24"/>
              </w:rPr>
            </w:pPr>
            <w:r w:rsidRPr="001607FC">
              <w:rPr>
                <w:rFonts w:eastAsia="Times New Roman" w:cs="Times New Roman"/>
                <w:szCs w:val="24"/>
              </w:rPr>
              <w:t> </w:t>
            </w:r>
          </w:p>
        </w:tc>
        <w:tc>
          <w:tcPr>
            <w:tcW w:w="9453" w:type="dxa"/>
            <w:tcBorders>
              <w:top w:val="nil"/>
              <w:left w:val="nil"/>
              <w:bottom w:val="double" w:sz="6" w:space="0" w:color="auto"/>
              <w:right w:val="single" w:sz="4" w:space="0" w:color="auto"/>
            </w:tcBorders>
            <w:shd w:val="clear" w:color="auto" w:fill="auto"/>
            <w:noWrap/>
            <w:vAlign w:val="center"/>
            <w:hideMark/>
          </w:tcPr>
          <w:p w14:paraId="21B8654D"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Total</w:t>
            </w:r>
          </w:p>
        </w:tc>
        <w:tc>
          <w:tcPr>
            <w:tcW w:w="1551" w:type="dxa"/>
            <w:tcBorders>
              <w:top w:val="nil"/>
              <w:left w:val="nil"/>
              <w:bottom w:val="double" w:sz="6" w:space="0" w:color="auto"/>
              <w:right w:val="single" w:sz="8" w:space="0" w:color="auto"/>
            </w:tcBorders>
            <w:shd w:val="clear" w:color="auto" w:fill="auto"/>
            <w:noWrap/>
            <w:vAlign w:val="center"/>
            <w:hideMark/>
          </w:tcPr>
          <w:p w14:paraId="3A12EE86"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 of GDP</w:t>
            </w:r>
          </w:p>
        </w:tc>
        <w:tc>
          <w:tcPr>
            <w:tcW w:w="1551" w:type="dxa"/>
            <w:tcBorders>
              <w:top w:val="nil"/>
              <w:left w:val="nil"/>
              <w:bottom w:val="double" w:sz="6" w:space="0" w:color="auto"/>
              <w:right w:val="single" w:sz="4" w:space="0" w:color="auto"/>
            </w:tcBorders>
            <w:shd w:val="clear" w:color="auto" w:fill="auto"/>
            <w:noWrap/>
            <w:vAlign w:val="center"/>
            <w:hideMark/>
          </w:tcPr>
          <w:p w14:paraId="03556353"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2,3</w:t>
            </w:r>
          </w:p>
        </w:tc>
        <w:tc>
          <w:tcPr>
            <w:tcW w:w="1551" w:type="dxa"/>
            <w:tcBorders>
              <w:top w:val="nil"/>
              <w:left w:val="nil"/>
              <w:bottom w:val="double" w:sz="6" w:space="0" w:color="auto"/>
              <w:right w:val="double" w:sz="6" w:space="0" w:color="auto"/>
            </w:tcBorders>
            <w:shd w:val="clear" w:color="auto" w:fill="auto"/>
            <w:noWrap/>
            <w:vAlign w:val="center"/>
            <w:hideMark/>
          </w:tcPr>
          <w:p w14:paraId="7DD0160E" w14:textId="77777777" w:rsidR="001607FC" w:rsidRPr="001607FC" w:rsidRDefault="001607FC" w:rsidP="001607FC">
            <w:pPr>
              <w:spacing w:after="0"/>
              <w:jc w:val="center"/>
              <w:rPr>
                <w:rFonts w:eastAsia="Times New Roman" w:cs="Times New Roman"/>
                <w:b/>
                <w:bCs/>
                <w:szCs w:val="24"/>
              </w:rPr>
            </w:pPr>
            <w:r w:rsidRPr="001607FC">
              <w:rPr>
                <w:rFonts w:eastAsia="Times New Roman" w:cs="Times New Roman"/>
                <w:b/>
                <w:bCs/>
                <w:szCs w:val="24"/>
              </w:rPr>
              <w:t>2,1</w:t>
            </w:r>
          </w:p>
        </w:tc>
      </w:tr>
    </w:tbl>
    <w:p w14:paraId="7ED76F89" w14:textId="77777777" w:rsidR="001607FC" w:rsidRDefault="001607FC" w:rsidP="001607FC">
      <w:pPr>
        <w:spacing w:after="160" w:line="259" w:lineRule="auto"/>
        <w:jc w:val="left"/>
        <w:rPr>
          <w:szCs w:val="24"/>
        </w:rPr>
      </w:pPr>
      <w:r>
        <w:rPr>
          <w:szCs w:val="24"/>
        </w:rPr>
        <w:fldChar w:fldCharType="end"/>
      </w:r>
    </w:p>
    <w:p w14:paraId="630E48B5" w14:textId="54F2BA07" w:rsidR="001607FC" w:rsidRPr="001607FC" w:rsidRDefault="001607FC" w:rsidP="001607FC">
      <w:pPr>
        <w:spacing w:after="160" w:line="259" w:lineRule="auto"/>
        <w:jc w:val="left"/>
        <w:rPr>
          <w:sz w:val="20"/>
          <w:szCs w:val="20"/>
        </w:rPr>
      </w:pPr>
      <w:r w:rsidRPr="001607FC">
        <w:rPr>
          <w:sz w:val="20"/>
          <w:szCs w:val="20"/>
        </w:rPr>
        <w:t>The definition and issuance of guaranteed debt are regulated by the Public Debt Law. The maximum amount of guaranteed debt that can be issued in a year is defined by the Budget Law for the current year.</w:t>
      </w:r>
    </w:p>
    <w:p w14:paraId="36084004" w14:textId="77777777" w:rsidR="001607FC" w:rsidRPr="001607FC" w:rsidRDefault="001607FC" w:rsidP="001607FC">
      <w:pPr>
        <w:spacing w:after="160" w:line="259" w:lineRule="auto"/>
        <w:jc w:val="left"/>
        <w:rPr>
          <w:sz w:val="20"/>
          <w:szCs w:val="20"/>
        </w:rPr>
      </w:pPr>
      <w:r w:rsidRPr="001607FC">
        <w:rPr>
          <w:sz w:val="20"/>
          <w:szCs w:val="20"/>
        </w:rPr>
        <w:t xml:space="preserve">As of the cut-off date (30.09.2024): </w:t>
      </w:r>
    </w:p>
    <w:p w14:paraId="10C259E8" w14:textId="77777777" w:rsidR="00982430" w:rsidRDefault="001607FC" w:rsidP="001607FC">
      <w:pPr>
        <w:spacing w:after="160" w:line="259" w:lineRule="auto"/>
        <w:jc w:val="left"/>
        <w:rPr>
          <w:sz w:val="20"/>
          <w:szCs w:val="20"/>
        </w:rPr>
      </w:pPr>
      <w:r w:rsidRPr="001607FC">
        <w:rPr>
          <w:sz w:val="20"/>
          <w:szCs w:val="20"/>
        </w:rPr>
        <w:t>The "Maximum Amount of Contingent Liabilities" column shows the sum of the guaranteed debt stock and the amount of guaranteed debt available for withdrawal.</w:t>
      </w:r>
    </w:p>
    <w:p w14:paraId="366934A4" w14:textId="77777777" w:rsidR="00982430" w:rsidRDefault="00982430" w:rsidP="001607FC">
      <w:pPr>
        <w:spacing w:after="160" w:line="259" w:lineRule="auto"/>
        <w:jc w:val="left"/>
        <w:rPr>
          <w:sz w:val="20"/>
          <w:szCs w:val="20"/>
        </w:rPr>
      </w:pPr>
    </w:p>
    <w:p w14:paraId="62526A4D" w14:textId="669EBD4E" w:rsidR="00982430" w:rsidRDefault="000459FA" w:rsidP="000459FA">
      <w:pPr>
        <w:tabs>
          <w:tab w:val="left" w:pos="6600"/>
        </w:tabs>
        <w:spacing w:after="160" w:line="259" w:lineRule="auto"/>
        <w:jc w:val="left"/>
        <w:rPr>
          <w:sz w:val="20"/>
          <w:szCs w:val="20"/>
        </w:rPr>
      </w:pPr>
      <w:r>
        <w:rPr>
          <w:sz w:val="20"/>
          <w:szCs w:val="20"/>
        </w:rPr>
        <w:tab/>
      </w:r>
    </w:p>
    <w:p w14:paraId="1B050A43" w14:textId="77777777" w:rsidR="00982430" w:rsidRDefault="00982430" w:rsidP="001607FC">
      <w:pPr>
        <w:spacing w:after="160" w:line="259" w:lineRule="auto"/>
        <w:jc w:val="left"/>
        <w:rPr>
          <w:szCs w:val="24"/>
        </w:rPr>
      </w:pPr>
      <w:r w:rsidRPr="00982430">
        <w:rPr>
          <w:szCs w:val="24"/>
        </w:rPr>
        <w:lastRenderedPageBreak/>
        <w:t xml:space="preserve">Table 8:  Basic assumptions on external economic environment </w:t>
      </w:r>
    </w:p>
    <w:p w14:paraId="45C6E29E" w14:textId="3BA3B457" w:rsidR="00982430" w:rsidRDefault="00982430" w:rsidP="001607FC">
      <w:pPr>
        <w:spacing w:after="160" w:line="259" w:lineRule="auto"/>
        <w:jc w:val="left"/>
        <w:rPr>
          <w:rFonts w:asciiTheme="minorHAnsi" w:hAnsiTheme="minorHAnsi"/>
          <w:sz w:val="22"/>
        </w:rPr>
      </w:pPr>
      <w:r>
        <w:fldChar w:fldCharType="begin"/>
      </w:r>
      <w:r>
        <w:instrText xml:space="preserve"> LINK </w:instrText>
      </w:r>
      <w:r w:rsidR="002E5F43">
        <w:instrText xml:space="preserve">Excel.Sheet.12 "C:\\Users\\ognjen.jancic\\Documents\\kopija\\Ognjen\\memorandum\\ERP 2025-2027\\engleska verzija-ubacivanje tabela\\2025_ERP_Annex_tables_RS.xlsx" data!R298C2:R308C9 </w:instrText>
      </w:r>
      <w:r>
        <w:instrText xml:space="preserve">\a \f 4 \h  \* MERGEFORMAT </w:instrText>
      </w:r>
      <w:r>
        <w:fldChar w:fldCharType="separate"/>
      </w:r>
    </w:p>
    <w:tbl>
      <w:tblPr>
        <w:tblW w:w="15345" w:type="dxa"/>
        <w:tblLook w:val="04A0" w:firstRow="1" w:lastRow="0" w:firstColumn="1" w:lastColumn="0" w:noHBand="0" w:noVBand="1"/>
      </w:tblPr>
      <w:tblGrid>
        <w:gridCol w:w="5585"/>
        <w:gridCol w:w="2831"/>
        <w:gridCol w:w="1328"/>
        <w:gridCol w:w="1386"/>
        <w:gridCol w:w="1405"/>
        <w:gridCol w:w="1405"/>
        <w:gridCol w:w="1405"/>
      </w:tblGrid>
      <w:tr w:rsidR="00982430" w:rsidRPr="00982430" w14:paraId="08DD086A" w14:textId="77777777" w:rsidTr="00982430">
        <w:trPr>
          <w:trHeight w:val="321"/>
        </w:trPr>
        <w:tc>
          <w:tcPr>
            <w:tcW w:w="5585" w:type="dxa"/>
            <w:tcBorders>
              <w:top w:val="double" w:sz="6" w:space="0" w:color="auto"/>
              <w:left w:val="double" w:sz="6" w:space="0" w:color="auto"/>
              <w:bottom w:val="double" w:sz="6" w:space="0" w:color="auto"/>
              <w:right w:val="nil"/>
            </w:tcBorders>
            <w:shd w:val="clear" w:color="auto" w:fill="auto"/>
            <w:noWrap/>
            <w:vAlign w:val="center"/>
            <w:hideMark/>
          </w:tcPr>
          <w:p w14:paraId="5A3BA5F5" w14:textId="2089F0D2" w:rsidR="00982430" w:rsidRPr="00982430" w:rsidRDefault="00982430" w:rsidP="00982430">
            <w:pPr>
              <w:spacing w:after="0"/>
              <w:jc w:val="left"/>
              <w:rPr>
                <w:rFonts w:eastAsia="Times New Roman" w:cs="Times New Roman"/>
                <w:b/>
                <w:bCs/>
                <w:sz w:val="20"/>
                <w:szCs w:val="20"/>
              </w:rPr>
            </w:pPr>
            <w:r w:rsidRPr="00982430">
              <w:rPr>
                <w:rFonts w:eastAsia="Times New Roman" w:cs="Times New Roman"/>
                <w:b/>
                <w:bCs/>
                <w:sz w:val="20"/>
                <w:szCs w:val="20"/>
              </w:rPr>
              <w:t>Table 8:  Basic assumptions on external economic e</w:t>
            </w:r>
            <w:r>
              <w:rPr>
                <w:rFonts w:eastAsia="Times New Roman" w:cs="Times New Roman"/>
                <w:b/>
                <w:bCs/>
                <w:sz w:val="20"/>
                <w:szCs w:val="20"/>
              </w:rPr>
              <w:t xml:space="preserve">nvironment </w:t>
            </w:r>
          </w:p>
        </w:tc>
        <w:tc>
          <w:tcPr>
            <w:tcW w:w="2831" w:type="dxa"/>
            <w:tcBorders>
              <w:top w:val="double" w:sz="6" w:space="0" w:color="auto"/>
              <w:left w:val="single" w:sz="8" w:space="0" w:color="auto"/>
              <w:bottom w:val="double" w:sz="6" w:space="0" w:color="auto"/>
              <w:right w:val="single" w:sz="8" w:space="0" w:color="000000"/>
            </w:tcBorders>
            <w:shd w:val="clear" w:color="auto" w:fill="auto"/>
            <w:vAlign w:val="center"/>
            <w:hideMark/>
          </w:tcPr>
          <w:p w14:paraId="3D5A8A9C" w14:textId="77777777" w:rsidR="00982430" w:rsidRPr="00982430" w:rsidRDefault="00982430" w:rsidP="00982430">
            <w:pPr>
              <w:spacing w:after="0"/>
              <w:jc w:val="center"/>
              <w:rPr>
                <w:rFonts w:eastAsia="Times New Roman" w:cs="Times New Roman"/>
                <w:b/>
                <w:bCs/>
                <w:sz w:val="20"/>
                <w:szCs w:val="20"/>
              </w:rPr>
            </w:pPr>
            <w:r w:rsidRPr="00982430">
              <w:rPr>
                <w:rFonts w:eastAsia="Times New Roman" w:cs="Times New Roman"/>
                <w:b/>
                <w:bCs/>
                <w:sz w:val="20"/>
                <w:szCs w:val="20"/>
              </w:rPr>
              <w:t>Dimension</w:t>
            </w:r>
          </w:p>
        </w:tc>
        <w:tc>
          <w:tcPr>
            <w:tcW w:w="1328" w:type="dxa"/>
            <w:tcBorders>
              <w:top w:val="double" w:sz="6" w:space="0" w:color="auto"/>
              <w:left w:val="nil"/>
              <w:bottom w:val="double" w:sz="6" w:space="0" w:color="auto"/>
              <w:right w:val="dashed" w:sz="4" w:space="0" w:color="auto"/>
            </w:tcBorders>
            <w:shd w:val="clear" w:color="auto" w:fill="auto"/>
            <w:noWrap/>
            <w:vAlign w:val="center"/>
            <w:hideMark/>
          </w:tcPr>
          <w:p w14:paraId="55845E02" w14:textId="77777777" w:rsidR="00982430" w:rsidRPr="00982430" w:rsidRDefault="00982430" w:rsidP="00982430">
            <w:pPr>
              <w:spacing w:after="0"/>
              <w:jc w:val="right"/>
              <w:rPr>
                <w:rFonts w:eastAsia="Times New Roman" w:cs="Times New Roman"/>
                <w:b/>
                <w:bCs/>
                <w:sz w:val="20"/>
                <w:szCs w:val="20"/>
              </w:rPr>
            </w:pPr>
            <w:r w:rsidRPr="00982430">
              <w:rPr>
                <w:rFonts w:eastAsia="Times New Roman" w:cs="Times New Roman"/>
                <w:b/>
                <w:bCs/>
                <w:sz w:val="20"/>
                <w:szCs w:val="20"/>
              </w:rPr>
              <w:t>2023</w:t>
            </w:r>
          </w:p>
        </w:tc>
        <w:tc>
          <w:tcPr>
            <w:tcW w:w="1386" w:type="dxa"/>
            <w:tcBorders>
              <w:top w:val="double" w:sz="6" w:space="0" w:color="auto"/>
              <w:left w:val="nil"/>
              <w:bottom w:val="double" w:sz="6" w:space="0" w:color="auto"/>
              <w:right w:val="dashed" w:sz="4" w:space="0" w:color="auto"/>
            </w:tcBorders>
            <w:shd w:val="clear" w:color="auto" w:fill="auto"/>
            <w:noWrap/>
            <w:vAlign w:val="center"/>
            <w:hideMark/>
          </w:tcPr>
          <w:p w14:paraId="52175CAD" w14:textId="77777777" w:rsidR="00982430" w:rsidRPr="00982430" w:rsidRDefault="00982430" w:rsidP="00982430">
            <w:pPr>
              <w:spacing w:after="0"/>
              <w:jc w:val="right"/>
              <w:rPr>
                <w:rFonts w:eastAsia="Times New Roman" w:cs="Times New Roman"/>
                <w:b/>
                <w:bCs/>
                <w:sz w:val="20"/>
                <w:szCs w:val="20"/>
              </w:rPr>
            </w:pPr>
            <w:r w:rsidRPr="00982430">
              <w:rPr>
                <w:rFonts w:eastAsia="Times New Roman" w:cs="Times New Roman"/>
                <w:b/>
                <w:bCs/>
                <w:sz w:val="20"/>
                <w:szCs w:val="20"/>
              </w:rPr>
              <w:t>2024</w:t>
            </w:r>
          </w:p>
        </w:tc>
        <w:tc>
          <w:tcPr>
            <w:tcW w:w="1405" w:type="dxa"/>
            <w:tcBorders>
              <w:top w:val="double" w:sz="6" w:space="0" w:color="auto"/>
              <w:left w:val="nil"/>
              <w:bottom w:val="double" w:sz="6" w:space="0" w:color="auto"/>
              <w:right w:val="dashed" w:sz="4" w:space="0" w:color="auto"/>
            </w:tcBorders>
            <w:shd w:val="clear" w:color="auto" w:fill="auto"/>
            <w:noWrap/>
            <w:vAlign w:val="center"/>
            <w:hideMark/>
          </w:tcPr>
          <w:p w14:paraId="654B2C8A" w14:textId="77777777" w:rsidR="00982430" w:rsidRPr="00982430" w:rsidRDefault="00982430" w:rsidP="00982430">
            <w:pPr>
              <w:spacing w:after="0"/>
              <w:jc w:val="right"/>
              <w:rPr>
                <w:rFonts w:eastAsia="Times New Roman" w:cs="Times New Roman"/>
                <w:b/>
                <w:bCs/>
                <w:sz w:val="20"/>
                <w:szCs w:val="20"/>
              </w:rPr>
            </w:pPr>
            <w:r w:rsidRPr="00982430">
              <w:rPr>
                <w:rFonts w:eastAsia="Times New Roman" w:cs="Times New Roman"/>
                <w:b/>
                <w:bCs/>
                <w:sz w:val="20"/>
                <w:szCs w:val="20"/>
              </w:rPr>
              <w:t>2025</w:t>
            </w:r>
          </w:p>
        </w:tc>
        <w:tc>
          <w:tcPr>
            <w:tcW w:w="1405" w:type="dxa"/>
            <w:tcBorders>
              <w:top w:val="double" w:sz="6" w:space="0" w:color="auto"/>
              <w:left w:val="nil"/>
              <w:bottom w:val="double" w:sz="6" w:space="0" w:color="auto"/>
              <w:right w:val="dashed" w:sz="4" w:space="0" w:color="auto"/>
            </w:tcBorders>
            <w:shd w:val="clear" w:color="auto" w:fill="auto"/>
            <w:noWrap/>
            <w:vAlign w:val="center"/>
            <w:hideMark/>
          </w:tcPr>
          <w:p w14:paraId="0FF8A638" w14:textId="77777777" w:rsidR="00982430" w:rsidRPr="00982430" w:rsidRDefault="00982430" w:rsidP="00982430">
            <w:pPr>
              <w:spacing w:after="0"/>
              <w:jc w:val="right"/>
              <w:rPr>
                <w:rFonts w:eastAsia="Times New Roman" w:cs="Times New Roman"/>
                <w:b/>
                <w:bCs/>
                <w:sz w:val="20"/>
                <w:szCs w:val="20"/>
              </w:rPr>
            </w:pPr>
            <w:r w:rsidRPr="00982430">
              <w:rPr>
                <w:rFonts w:eastAsia="Times New Roman" w:cs="Times New Roman"/>
                <w:b/>
                <w:bCs/>
                <w:sz w:val="20"/>
                <w:szCs w:val="20"/>
              </w:rPr>
              <w:t>2026</w:t>
            </w:r>
          </w:p>
        </w:tc>
        <w:tc>
          <w:tcPr>
            <w:tcW w:w="1405" w:type="dxa"/>
            <w:tcBorders>
              <w:top w:val="double" w:sz="6" w:space="0" w:color="auto"/>
              <w:left w:val="nil"/>
              <w:bottom w:val="double" w:sz="6" w:space="0" w:color="auto"/>
              <w:right w:val="double" w:sz="6" w:space="0" w:color="auto"/>
            </w:tcBorders>
            <w:shd w:val="clear" w:color="auto" w:fill="auto"/>
            <w:noWrap/>
            <w:vAlign w:val="center"/>
            <w:hideMark/>
          </w:tcPr>
          <w:p w14:paraId="510D5E07" w14:textId="77777777" w:rsidR="00982430" w:rsidRPr="00982430" w:rsidRDefault="00982430" w:rsidP="00982430">
            <w:pPr>
              <w:spacing w:after="0"/>
              <w:jc w:val="right"/>
              <w:rPr>
                <w:rFonts w:eastAsia="Times New Roman" w:cs="Times New Roman"/>
                <w:b/>
                <w:bCs/>
                <w:sz w:val="20"/>
                <w:szCs w:val="20"/>
              </w:rPr>
            </w:pPr>
            <w:r w:rsidRPr="00982430">
              <w:rPr>
                <w:rFonts w:eastAsia="Times New Roman" w:cs="Times New Roman"/>
                <w:b/>
                <w:bCs/>
                <w:sz w:val="20"/>
                <w:szCs w:val="20"/>
              </w:rPr>
              <w:t>2027</w:t>
            </w:r>
          </w:p>
        </w:tc>
      </w:tr>
      <w:tr w:rsidR="00982430" w:rsidRPr="00982430" w14:paraId="2458AAC6" w14:textId="77777777" w:rsidTr="00982430">
        <w:trPr>
          <w:trHeight w:val="312"/>
        </w:trPr>
        <w:tc>
          <w:tcPr>
            <w:tcW w:w="5585" w:type="dxa"/>
            <w:tcBorders>
              <w:top w:val="nil"/>
              <w:left w:val="double" w:sz="6" w:space="0" w:color="auto"/>
              <w:bottom w:val="dotted" w:sz="4" w:space="0" w:color="auto"/>
              <w:right w:val="nil"/>
            </w:tcBorders>
            <w:shd w:val="clear" w:color="auto" w:fill="auto"/>
            <w:vAlign w:val="bottom"/>
            <w:hideMark/>
          </w:tcPr>
          <w:p w14:paraId="22988421" w14:textId="77777777" w:rsidR="00982430" w:rsidRPr="00982430" w:rsidRDefault="00982430" w:rsidP="00982430">
            <w:pPr>
              <w:spacing w:after="0"/>
              <w:jc w:val="left"/>
              <w:rPr>
                <w:rFonts w:eastAsia="Times New Roman" w:cs="Times New Roman"/>
                <w:sz w:val="20"/>
                <w:szCs w:val="20"/>
              </w:rPr>
            </w:pPr>
            <w:r w:rsidRPr="00982430">
              <w:rPr>
                <w:rFonts w:eastAsia="Times New Roman" w:cs="Times New Roman"/>
                <w:sz w:val="20"/>
                <w:szCs w:val="20"/>
              </w:rPr>
              <w:t xml:space="preserve">   Short-term interest rate [1]</w:t>
            </w:r>
          </w:p>
        </w:tc>
        <w:tc>
          <w:tcPr>
            <w:tcW w:w="2831" w:type="dxa"/>
            <w:tcBorders>
              <w:top w:val="double" w:sz="6" w:space="0" w:color="auto"/>
              <w:left w:val="single" w:sz="4" w:space="0" w:color="auto"/>
              <w:bottom w:val="dotted" w:sz="4" w:space="0" w:color="auto"/>
              <w:right w:val="single" w:sz="8" w:space="0" w:color="000000"/>
            </w:tcBorders>
            <w:shd w:val="clear" w:color="auto" w:fill="auto"/>
            <w:vAlign w:val="bottom"/>
            <w:hideMark/>
          </w:tcPr>
          <w:p w14:paraId="5011B39D" w14:textId="77777777" w:rsidR="00982430" w:rsidRPr="00982430" w:rsidRDefault="00982430" w:rsidP="00982430">
            <w:pPr>
              <w:spacing w:after="0"/>
              <w:jc w:val="center"/>
              <w:rPr>
                <w:rFonts w:eastAsia="Times New Roman" w:cs="Times New Roman"/>
                <w:sz w:val="18"/>
                <w:szCs w:val="18"/>
              </w:rPr>
            </w:pPr>
            <w:r w:rsidRPr="00982430">
              <w:rPr>
                <w:rFonts w:eastAsia="Times New Roman" w:cs="Times New Roman"/>
                <w:sz w:val="18"/>
                <w:szCs w:val="18"/>
              </w:rPr>
              <w:t>Annual average</w:t>
            </w:r>
          </w:p>
        </w:tc>
        <w:tc>
          <w:tcPr>
            <w:tcW w:w="1328" w:type="dxa"/>
            <w:tcBorders>
              <w:top w:val="single" w:sz="8" w:space="0" w:color="000000"/>
              <w:left w:val="nil"/>
              <w:bottom w:val="dotted" w:sz="4" w:space="0" w:color="auto"/>
              <w:right w:val="dotted" w:sz="4" w:space="0" w:color="auto"/>
            </w:tcBorders>
            <w:shd w:val="clear" w:color="auto" w:fill="auto"/>
            <w:vAlign w:val="center"/>
            <w:hideMark/>
          </w:tcPr>
          <w:p w14:paraId="52246EC4"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c>
          <w:tcPr>
            <w:tcW w:w="1386" w:type="dxa"/>
            <w:tcBorders>
              <w:top w:val="single" w:sz="8" w:space="0" w:color="000000"/>
              <w:left w:val="nil"/>
              <w:bottom w:val="dotted" w:sz="4" w:space="0" w:color="auto"/>
              <w:right w:val="dotted" w:sz="4" w:space="0" w:color="auto"/>
            </w:tcBorders>
            <w:shd w:val="clear" w:color="auto" w:fill="auto"/>
            <w:vAlign w:val="center"/>
            <w:hideMark/>
          </w:tcPr>
          <w:p w14:paraId="5ABA4226"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c>
          <w:tcPr>
            <w:tcW w:w="1405" w:type="dxa"/>
            <w:tcBorders>
              <w:top w:val="single" w:sz="8" w:space="0" w:color="000000"/>
              <w:left w:val="nil"/>
              <w:bottom w:val="dotted" w:sz="4" w:space="0" w:color="auto"/>
              <w:right w:val="dotted" w:sz="4" w:space="0" w:color="auto"/>
            </w:tcBorders>
            <w:shd w:val="clear" w:color="auto" w:fill="auto"/>
            <w:vAlign w:val="center"/>
            <w:hideMark/>
          </w:tcPr>
          <w:p w14:paraId="368889B1"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c>
          <w:tcPr>
            <w:tcW w:w="1405" w:type="dxa"/>
            <w:tcBorders>
              <w:top w:val="single" w:sz="8" w:space="0" w:color="000000"/>
              <w:left w:val="nil"/>
              <w:bottom w:val="dotted" w:sz="4" w:space="0" w:color="auto"/>
              <w:right w:val="dotted" w:sz="4" w:space="0" w:color="auto"/>
            </w:tcBorders>
            <w:shd w:val="clear" w:color="auto" w:fill="auto"/>
            <w:vAlign w:val="center"/>
            <w:hideMark/>
          </w:tcPr>
          <w:p w14:paraId="2F1715A2"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c>
          <w:tcPr>
            <w:tcW w:w="1405" w:type="dxa"/>
            <w:tcBorders>
              <w:top w:val="single" w:sz="8" w:space="0" w:color="000000"/>
              <w:left w:val="nil"/>
              <w:bottom w:val="dotted" w:sz="4" w:space="0" w:color="auto"/>
              <w:right w:val="double" w:sz="6" w:space="0" w:color="auto"/>
            </w:tcBorders>
            <w:shd w:val="clear" w:color="auto" w:fill="auto"/>
            <w:vAlign w:val="center"/>
            <w:hideMark/>
          </w:tcPr>
          <w:p w14:paraId="23A5A286"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r>
      <w:tr w:rsidR="00982430" w:rsidRPr="00982430" w14:paraId="3C3DBA55" w14:textId="77777777" w:rsidTr="00982430">
        <w:trPr>
          <w:trHeight w:val="303"/>
        </w:trPr>
        <w:tc>
          <w:tcPr>
            <w:tcW w:w="5585" w:type="dxa"/>
            <w:tcBorders>
              <w:top w:val="nil"/>
              <w:left w:val="double" w:sz="6" w:space="0" w:color="auto"/>
              <w:bottom w:val="dotted" w:sz="4" w:space="0" w:color="auto"/>
              <w:right w:val="nil"/>
            </w:tcBorders>
            <w:shd w:val="clear" w:color="auto" w:fill="auto"/>
            <w:vAlign w:val="bottom"/>
            <w:hideMark/>
          </w:tcPr>
          <w:p w14:paraId="789C3B54" w14:textId="77777777" w:rsidR="00982430" w:rsidRPr="00982430" w:rsidRDefault="00982430" w:rsidP="00982430">
            <w:pPr>
              <w:spacing w:after="0"/>
              <w:jc w:val="left"/>
              <w:rPr>
                <w:rFonts w:eastAsia="Times New Roman" w:cs="Times New Roman"/>
                <w:sz w:val="20"/>
                <w:szCs w:val="20"/>
              </w:rPr>
            </w:pPr>
            <w:r w:rsidRPr="00982430">
              <w:rPr>
                <w:rFonts w:eastAsia="Times New Roman" w:cs="Times New Roman"/>
                <w:sz w:val="20"/>
                <w:szCs w:val="20"/>
              </w:rPr>
              <w:t xml:space="preserve">   Long-term interest rate</w:t>
            </w:r>
          </w:p>
        </w:tc>
        <w:tc>
          <w:tcPr>
            <w:tcW w:w="2831"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1C9CF7B5" w14:textId="77777777" w:rsidR="00982430" w:rsidRPr="00982430" w:rsidRDefault="00982430" w:rsidP="00982430">
            <w:pPr>
              <w:spacing w:after="0"/>
              <w:jc w:val="center"/>
              <w:rPr>
                <w:rFonts w:eastAsia="Times New Roman" w:cs="Times New Roman"/>
                <w:sz w:val="18"/>
                <w:szCs w:val="18"/>
              </w:rPr>
            </w:pPr>
            <w:r w:rsidRPr="00982430">
              <w:rPr>
                <w:rFonts w:eastAsia="Times New Roman" w:cs="Times New Roman"/>
                <w:sz w:val="18"/>
                <w:szCs w:val="18"/>
              </w:rPr>
              <w:t>Annual average</w:t>
            </w:r>
          </w:p>
        </w:tc>
        <w:tc>
          <w:tcPr>
            <w:tcW w:w="1328" w:type="dxa"/>
            <w:tcBorders>
              <w:top w:val="nil"/>
              <w:left w:val="nil"/>
              <w:bottom w:val="dotted" w:sz="4" w:space="0" w:color="auto"/>
              <w:right w:val="dotted" w:sz="4" w:space="0" w:color="auto"/>
            </w:tcBorders>
            <w:shd w:val="clear" w:color="auto" w:fill="auto"/>
            <w:vAlign w:val="center"/>
            <w:hideMark/>
          </w:tcPr>
          <w:p w14:paraId="4CD7ADB3"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386" w:type="dxa"/>
            <w:tcBorders>
              <w:top w:val="nil"/>
              <w:left w:val="nil"/>
              <w:bottom w:val="dotted" w:sz="4" w:space="0" w:color="auto"/>
              <w:right w:val="dotted" w:sz="4" w:space="0" w:color="auto"/>
            </w:tcBorders>
            <w:shd w:val="clear" w:color="auto" w:fill="auto"/>
            <w:vAlign w:val="center"/>
            <w:hideMark/>
          </w:tcPr>
          <w:p w14:paraId="092F88CB"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7F9F8246"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2555AFEB"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uble" w:sz="6" w:space="0" w:color="auto"/>
            </w:tcBorders>
            <w:shd w:val="clear" w:color="auto" w:fill="auto"/>
            <w:vAlign w:val="center"/>
            <w:hideMark/>
          </w:tcPr>
          <w:p w14:paraId="634A80D8"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r>
      <w:tr w:rsidR="00982430" w:rsidRPr="00982430" w14:paraId="08EADC6A" w14:textId="77777777" w:rsidTr="00982430">
        <w:trPr>
          <w:trHeight w:val="303"/>
        </w:trPr>
        <w:tc>
          <w:tcPr>
            <w:tcW w:w="5585" w:type="dxa"/>
            <w:tcBorders>
              <w:top w:val="nil"/>
              <w:left w:val="double" w:sz="6" w:space="0" w:color="auto"/>
              <w:bottom w:val="dotted" w:sz="4" w:space="0" w:color="auto"/>
              <w:right w:val="nil"/>
            </w:tcBorders>
            <w:shd w:val="clear" w:color="auto" w:fill="auto"/>
            <w:vAlign w:val="bottom"/>
            <w:hideMark/>
          </w:tcPr>
          <w:p w14:paraId="27221CE2" w14:textId="77777777" w:rsidR="00982430" w:rsidRPr="00982430" w:rsidRDefault="00982430" w:rsidP="00982430">
            <w:pPr>
              <w:spacing w:after="0"/>
              <w:jc w:val="left"/>
              <w:rPr>
                <w:rFonts w:eastAsia="Times New Roman" w:cs="Times New Roman"/>
                <w:sz w:val="20"/>
                <w:szCs w:val="20"/>
              </w:rPr>
            </w:pPr>
            <w:r w:rsidRPr="00982430">
              <w:rPr>
                <w:rFonts w:eastAsia="Times New Roman" w:cs="Times New Roman"/>
                <w:sz w:val="20"/>
                <w:szCs w:val="20"/>
              </w:rPr>
              <w:t xml:space="preserve">   USD/EUR exchange rate </w:t>
            </w:r>
          </w:p>
        </w:tc>
        <w:tc>
          <w:tcPr>
            <w:tcW w:w="2831"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62BAC0F3" w14:textId="77777777" w:rsidR="00982430" w:rsidRPr="00982430" w:rsidRDefault="00982430" w:rsidP="00982430">
            <w:pPr>
              <w:spacing w:after="0"/>
              <w:jc w:val="center"/>
              <w:rPr>
                <w:rFonts w:eastAsia="Times New Roman" w:cs="Times New Roman"/>
                <w:sz w:val="18"/>
                <w:szCs w:val="18"/>
              </w:rPr>
            </w:pPr>
            <w:r w:rsidRPr="00982430">
              <w:rPr>
                <w:rFonts w:eastAsia="Times New Roman" w:cs="Times New Roman"/>
                <w:sz w:val="18"/>
                <w:szCs w:val="18"/>
              </w:rPr>
              <w:t>Annual average</w:t>
            </w:r>
          </w:p>
        </w:tc>
        <w:tc>
          <w:tcPr>
            <w:tcW w:w="1328" w:type="dxa"/>
            <w:tcBorders>
              <w:top w:val="nil"/>
              <w:left w:val="nil"/>
              <w:bottom w:val="dotted" w:sz="4" w:space="0" w:color="auto"/>
              <w:right w:val="dotted" w:sz="4" w:space="0" w:color="auto"/>
            </w:tcBorders>
            <w:shd w:val="clear" w:color="auto" w:fill="auto"/>
            <w:vAlign w:val="center"/>
            <w:hideMark/>
          </w:tcPr>
          <w:p w14:paraId="3189029E"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386" w:type="dxa"/>
            <w:tcBorders>
              <w:top w:val="nil"/>
              <w:left w:val="nil"/>
              <w:bottom w:val="dotted" w:sz="4" w:space="0" w:color="auto"/>
              <w:right w:val="dotted" w:sz="4" w:space="0" w:color="auto"/>
            </w:tcBorders>
            <w:shd w:val="clear" w:color="auto" w:fill="auto"/>
            <w:vAlign w:val="center"/>
            <w:hideMark/>
          </w:tcPr>
          <w:p w14:paraId="70364727"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6D54A89D"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63D57C34"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uble" w:sz="6" w:space="0" w:color="auto"/>
            </w:tcBorders>
            <w:shd w:val="clear" w:color="auto" w:fill="auto"/>
            <w:vAlign w:val="center"/>
            <w:hideMark/>
          </w:tcPr>
          <w:p w14:paraId="100AC9C2"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r>
      <w:tr w:rsidR="00982430" w:rsidRPr="00982430" w14:paraId="6C536EC5" w14:textId="77777777" w:rsidTr="00982430">
        <w:trPr>
          <w:trHeight w:val="303"/>
        </w:trPr>
        <w:tc>
          <w:tcPr>
            <w:tcW w:w="5585" w:type="dxa"/>
            <w:tcBorders>
              <w:top w:val="nil"/>
              <w:left w:val="double" w:sz="6" w:space="0" w:color="auto"/>
              <w:bottom w:val="dotted" w:sz="4" w:space="0" w:color="auto"/>
              <w:right w:val="nil"/>
            </w:tcBorders>
            <w:shd w:val="clear" w:color="auto" w:fill="auto"/>
            <w:vAlign w:val="bottom"/>
            <w:hideMark/>
          </w:tcPr>
          <w:p w14:paraId="3516862E" w14:textId="77777777" w:rsidR="00982430" w:rsidRPr="00982430" w:rsidRDefault="00982430" w:rsidP="00982430">
            <w:pPr>
              <w:spacing w:after="0"/>
              <w:jc w:val="left"/>
              <w:rPr>
                <w:rFonts w:eastAsia="Times New Roman" w:cs="Times New Roman"/>
                <w:sz w:val="20"/>
                <w:szCs w:val="20"/>
              </w:rPr>
            </w:pPr>
            <w:r w:rsidRPr="00982430">
              <w:rPr>
                <w:rFonts w:eastAsia="Times New Roman" w:cs="Times New Roman"/>
                <w:sz w:val="20"/>
                <w:szCs w:val="20"/>
              </w:rPr>
              <w:t xml:space="preserve">   Nominal effective exchange rate</w:t>
            </w:r>
          </w:p>
        </w:tc>
        <w:tc>
          <w:tcPr>
            <w:tcW w:w="2831"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3C266AFA" w14:textId="77777777" w:rsidR="00982430" w:rsidRPr="00982430" w:rsidRDefault="00982430" w:rsidP="00982430">
            <w:pPr>
              <w:spacing w:after="0"/>
              <w:jc w:val="center"/>
              <w:rPr>
                <w:rFonts w:eastAsia="Times New Roman" w:cs="Times New Roman"/>
                <w:sz w:val="18"/>
                <w:szCs w:val="18"/>
              </w:rPr>
            </w:pPr>
            <w:r w:rsidRPr="00982430">
              <w:rPr>
                <w:rFonts w:eastAsia="Times New Roman" w:cs="Times New Roman"/>
                <w:sz w:val="18"/>
                <w:szCs w:val="18"/>
              </w:rPr>
              <w:t>Annual average</w:t>
            </w:r>
          </w:p>
        </w:tc>
        <w:tc>
          <w:tcPr>
            <w:tcW w:w="1328" w:type="dxa"/>
            <w:tcBorders>
              <w:top w:val="nil"/>
              <w:left w:val="nil"/>
              <w:bottom w:val="dotted" w:sz="4" w:space="0" w:color="auto"/>
              <w:right w:val="dotted" w:sz="4" w:space="0" w:color="auto"/>
            </w:tcBorders>
            <w:shd w:val="clear" w:color="auto" w:fill="auto"/>
            <w:vAlign w:val="center"/>
            <w:hideMark/>
          </w:tcPr>
          <w:p w14:paraId="28E2D19D"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386" w:type="dxa"/>
            <w:tcBorders>
              <w:top w:val="nil"/>
              <w:left w:val="nil"/>
              <w:bottom w:val="dotted" w:sz="4" w:space="0" w:color="auto"/>
              <w:right w:val="dotted" w:sz="4" w:space="0" w:color="auto"/>
            </w:tcBorders>
            <w:shd w:val="clear" w:color="auto" w:fill="auto"/>
            <w:vAlign w:val="center"/>
            <w:hideMark/>
          </w:tcPr>
          <w:p w14:paraId="209030E1"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56AFEE18"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364DFE10"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uble" w:sz="6" w:space="0" w:color="auto"/>
            </w:tcBorders>
            <w:shd w:val="clear" w:color="auto" w:fill="auto"/>
            <w:vAlign w:val="center"/>
            <w:hideMark/>
          </w:tcPr>
          <w:p w14:paraId="69188281"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r>
      <w:tr w:rsidR="00982430" w:rsidRPr="00982430" w14:paraId="3BB375ED" w14:textId="77777777" w:rsidTr="00982430">
        <w:trPr>
          <w:trHeight w:val="303"/>
        </w:trPr>
        <w:tc>
          <w:tcPr>
            <w:tcW w:w="5585" w:type="dxa"/>
            <w:tcBorders>
              <w:top w:val="nil"/>
              <w:left w:val="double" w:sz="6" w:space="0" w:color="auto"/>
              <w:bottom w:val="dotted" w:sz="4" w:space="0" w:color="auto"/>
              <w:right w:val="nil"/>
            </w:tcBorders>
            <w:shd w:val="clear" w:color="auto" w:fill="auto"/>
            <w:vAlign w:val="bottom"/>
            <w:hideMark/>
          </w:tcPr>
          <w:p w14:paraId="57CD6896" w14:textId="77777777" w:rsidR="00982430" w:rsidRPr="00982430" w:rsidRDefault="00982430" w:rsidP="00982430">
            <w:pPr>
              <w:spacing w:after="0"/>
              <w:jc w:val="left"/>
              <w:rPr>
                <w:rFonts w:eastAsia="Times New Roman" w:cs="Times New Roman"/>
                <w:sz w:val="20"/>
                <w:szCs w:val="20"/>
              </w:rPr>
            </w:pPr>
            <w:r w:rsidRPr="00982430">
              <w:rPr>
                <w:rFonts w:eastAsia="Times New Roman" w:cs="Times New Roman"/>
                <w:sz w:val="20"/>
                <w:szCs w:val="20"/>
              </w:rPr>
              <w:t xml:space="preserve">   Exchange rate vis-à-vis the EUR</w:t>
            </w:r>
          </w:p>
        </w:tc>
        <w:tc>
          <w:tcPr>
            <w:tcW w:w="2831"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7E32276B" w14:textId="77777777" w:rsidR="00982430" w:rsidRPr="00982430" w:rsidRDefault="00982430" w:rsidP="00982430">
            <w:pPr>
              <w:spacing w:after="0"/>
              <w:jc w:val="center"/>
              <w:rPr>
                <w:rFonts w:eastAsia="Times New Roman" w:cs="Times New Roman"/>
                <w:sz w:val="18"/>
                <w:szCs w:val="18"/>
              </w:rPr>
            </w:pPr>
            <w:r w:rsidRPr="00982430">
              <w:rPr>
                <w:rFonts w:eastAsia="Times New Roman" w:cs="Times New Roman"/>
                <w:sz w:val="18"/>
                <w:szCs w:val="18"/>
              </w:rPr>
              <w:t>Annual average</w:t>
            </w:r>
          </w:p>
        </w:tc>
        <w:tc>
          <w:tcPr>
            <w:tcW w:w="1328" w:type="dxa"/>
            <w:tcBorders>
              <w:top w:val="nil"/>
              <w:left w:val="nil"/>
              <w:bottom w:val="dotted" w:sz="4" w:space="0" w:color="auto"/>
              <w:right w:val="dotted" w:sz="4" w:space="0" w:color="auto"/>
            </w:tcBorders>
            <w:shd w:val="clear" w:color="auto" w:fill="auto"/>
            <w:vAlign w:val="center"/>
            <w:hideMark/>
          </w:tcPr>
          <w:p w14:paraId="651F2769"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386" w:type="dxa"/>
            <w:tcBorders>
              <w:top w:val="nil"/>
              <w:left w:val="nil"/>
              <w:bottom w:val="dotted" w:sz="4" w:space="0" w:color="auto"/>
              <w:right w:val="dotted" w:sz="4" w:space="0" w:color="auto"/>
            </w:tcBorders>
            <w:shd w:val="clear" w:color="auto" w:fill="auto"/>
            <w:vAlign w:val="center"/>
            <w:hideMark/>
          </w:tcPr>
          <w:p w14:paraId="7737C494"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317D4F03"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2F4CF9A3"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uble" w:sz="6" w:space="0" w:color="auto"/>
            </w:tcBorders>
            <w:shd w:val="clear" w:color="auto" w:fill="auto"/>
            <w:vAlign w:val="center"/>
            <w:hideMark/>
          </w:tcPr>
          <w:p w14:paraId="3711A9FF"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r>
      <w:tr w:rsidR="00982430" w:rsidRPr="00982430" w14:paraId="5D043BEB" w14:textId="77777777" w:rsidTr="00982430">
        <w:trPr>
          <w:trHeight w:val="303"/>
        </w:trPr>
        <w:tc>
          <w:tcPr>
            <w:tcW w:w="5585" w:type="dxa"/>
            <w:tcBorders>
              <w:top w:val="nil"/>
              <w:left w:val="double" w:sz="6" w:space="0" w:color="auto"/>
              <w:bottom w:val="dotted" w:sz="4" w:space="0" w:color="auto"/>
              <w:right w:val="nil"/>
            </w:tcBorders>
            <w:shd w:val="clear" w:color="auto" w:fill="auto"/>
            <w:vAlign w:val="bottom"/>
            <w:hideMark/>
          </w:tcPr>
          <w:p w14:paraId="6EBFDA37" w14:textId="77777777" w:rsidR="00982430" w:rsidRPr="00982430" w:rsidRDefault="00982430" w:rsidP="00982430">
            <w:pPr>
              <w:spacing w:after="0"/>
              <w:jc w:val="left"/>
              <w:rPr>
                <w:rFonts w:eastAsia="Times New Roman" w:cs="Times New Roman"/>
                <w:sz w:val="20"/>
                <w:szCs w:val="20"/>
              </w:rPr>
            </w:pPr>
            <w:r w:rsidRPr="00982430">
              <w:rPr>
                <w:rFonts w:eastAsia="Times New Roman" w:cs="Times New Roman"/>
                <w:sz w:val="20"/>
                <w:szCs w:val="20"/>
              </w:rPr>
              <w:t xml:space="preserve">   Global GDP growth, excluding EU</w:t>
            </w:r>
          </w:p>
        </w:tc>
        <w:tc>
          <w:tcPr>
            <w:tcW w:w="2831"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51235702" w14:textId="77777777" w:rsidR="00982430" w:rsidRPr="00982430" w:rsidRDefault="00982430" w:rsidP="00982430">
            <w:pPr>
              <w:spacing w:after="0"/>
              <w:jc w:val="center"/>
              <w:rPr>
                <w:rFonts w:eastAsia="Times New Roman" w:cs="Times New Roman"/>
                <w:sz w:val="18"/>
                <w:szCs w:val="18"/>
              </w:rPr>
            </w:pPr>
            <w:r w:rsidRPr="00982430">
              <w:rPr>
                <w:rFonts w:eastAsia="Times New Roman" w:cs="Times New Roman"/>
                <w:sz w:val="18"/>
                <w:szCs w:val="18"/>
              </w:rPr>
              <w:t>Annual average</w:t>
            </w:r>
          </w:p>
        </w:tc>
        <w:tc>
          <w:tcPr>
            <w:tcW w:w="1328" w:type="dxa"/>
            <w:tcBorders>
              <w:top w:val="nil"/>
              <w:left w:val="nil"/>
              <w:bottom w:val="dotted" w:sz="4" w:space="0" w:color="auto"/>
              <w:right w:val="dotted" w:sz="4" w:space="0" w:color="auto"/>
            </w:tcBorders>
            <w:shd w:val="clear" w:color="auto" w:fill="auto"/>
            <w:vAlign w:val="center"/>
            <w:hideMark/>
          </w:tcPr>
          <w:p w14:paraId="53CDB846"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386" w:type="dxa"/>
            <w:tcBorders>
              <w:top w:val="nil"/>
              <w:left w:val="nil"/>
              <w:bottom w:val="dotted" w:sz="4" w:space="0" w:color="auto"/>
              <w:right w:val="dotted" w:sz="4" w:space="0" w:color="auto"/>
            </w:tcBorders>
            <w:shd w:val="clear" w:color="auto" w:fill="auto"/>
            <w:vAlign w:val="center"/>
            <w:hideMark/>
          </w:tcPr>
          <w:p w14:paraId="16233963"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605D4A47"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75F77249"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uble" w:sz="6" w:space="0" w:color="auto"/>
            </w:tcBorders>
            <w:shd w:val="clear" w:color="auto" w:fill="auto"/>
            <w:vAlign w:val="center"/>
            <w:hideMark/>
          </w:tcPr>
          <w:p w14:paraId="30E85B53"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r>
      <w:tr w:rsidR="00982430" w:rsidRPr="00982430" w14:paraId="5E61A27A" w14:textId="77777777" w:rsidTr="00982430">
        <w:trPr>
          <w:trHeight w:val="303"/>
        </w:trPr>
        <w:tc>
          <w:tcPr>
            <w:tcW w:w="5585" w:type="dxa"/>
            <w:tcBorders>
              <w:top w:val="nil"/>
              <w:left w:val="double" w:sz="6" w:space="0" w:color="auto"/>
              <w:bottom w:val="dotted" w:sz="4" w:space="0" w:color="auto"/>
              <w:right w:val="nil"/>
            </w:tcBorders>
            <w:shd w:val="clear" w:color="auto" w:fill="auto"/>
            <w:vAlign w:val="bottom"/>
            <w:hideMark/>
          </w:tcPr>
          <w:p w14:paraId="067B8C21" w14:textId="77777777" w:rsidR="00982430" w:rsidRPr="00982430" w:rsidRDefault="00982430" w:rsidP="00982430">
            <w:pPr>
              <w:spacing w:after="0"/>
              <w:jc w:val="left"/>
              <w:rPr>
                <w:rFonts w:eastAsia="Times New Roman" w:cs="Times New Roman"/>
                <w:sz w:val="20"/>
                <w:szCs w:val="20"/>
              </w:rPr>
            </w:pPr>
            <w:r w:rsidRPr="00982430">
              <w:rPr>
                <w:rFonts w:eastAsia="Times New Roman" w:cs="Times New Roman"/>
                <w:sz w:val="20"/>
                <w:szCs w:val="20"/>
              </w:rPr>
              <w:t xml:space="preserve">   EU GDP growth</w:t>
            </w:r>
          </w:p>
        </w:tc>
        <w:tc>
          <w:tcPr>
            <w:tcW w:w="2831"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4CBB74BA" w14:textId="77777777" w:rsidR="00982430" w:rsidRPr="00982430" w:rsidRDefault="00982430" w:rsidP="00982430">
            <w:pPr>
              <w:spacing w:after="0"/>
              <w:jc w:val="center"/>
              <w:rPr>
                <w:rFonts w:eastAsia="Times New Roman" w:cs="Times New Roman"/>
                <w:sz w:val="18"/>
                <w:szCs w:val="18"/>
              </w:rPr>
            </w:pPr>
            <w:r w:rsidRPr="00982430">
              <w:rPr>
                <w:rFonts w:eastAsia="Times New Roman" w:cs="Times New Roman"/>
                <w:sz w:val="18"/>
                <w:szCs w:val="18"/>
              </w:rPr>
              <w:t>Annual average</w:t>
            </w:r>
          </w:p>
        </w:tc>
        <w:tc>
          <w:tcPr>
            <w:tcW w:w="1328" w:type="dxa"/>
            <w:tcBorders>
              <w:top w:val="nil"/>
              <w:left w:val="nil"/>
              <w:bottom w:val="dotted" w:sz="4" w:space="0" w:color="auto"/>
              <w:right w:val="dotted" w:sz="4" w:space="0" w:color="auto"/>
            </w:tcBorders>
            <w:shd w:val="clear" w:color="auto" w:fill="auto"/>
            <w:vAlign w:val="center"/>
            <w:hideMark/>
          </w:tcPr>
          <w:p w14:paraId="4E79D9E3"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386" w:type="dxa"/>
            <w:tcBorders>
              <w:top w:val="nil"/>
              <w:left w:val="nil"/>
              <w:bottom w:val="dotted" w:sz="4" w:space="0" w:color="auto"/>
              <w:right w:val="dotted" w:sz="4" w:space="0" w:color="auto"/>
            </w:tcBorders>
            <w:shd w:val="clear" w:color="auto" w:fill="auto"/>
            <w:vAlign w:val="center"/>
            <w:hideMark/>
          </w:tcPr>
          <w:p w14:paraId="33A8BCE5"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6B637874"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6210DD1F"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uble" w:sz="6" w:space="0" w:color="auto"/>
            </w:tcBorders>
            <w:shd w:val="clear" w:color="auto" w:fill="auto"/>
            <w:vAlign w:val="center"/>
            <w:hideMark/>
          </w:tcPr>
          <w:p w14:paraId="3BFFC627"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r>
      <w:tr w:rsidR="00982430" w:rsidRPr="00982430" w14:paraId="2CD6F133" w14:textId="77777777" w:rsidTr="00982430">
        <w:trPr>
          <w:trHeight w:val="303"/>
        </w:trPr>
        <w:tc>
          <w:tcPr>
            <w:tcW w:w="5585" w:type="dxa"/>
            <w:tcBorders>
              <w:top w:val="nil"/>
              <w:left w:val="double" w:sz="6" w:space="0" w:color="auto"/>
              <w:bottom w:val="dotted" w:sz="4" w:space="0" w:color="auto"/>
              <w:right w:val="nil"/>
            </w:tcBorders>
            <w:shd w:val="clear" w:color="auto" w:fill="auto"/>
            <w:vAlign w:val="bottom"/>
            <w:hideMark/>
          </w:tcPr>
          <w:p w14:paraId="62A31A21" w14:textId="77777777" w:rsidR="00982430" w:rsidRPr="00982430" w:rsidRDefault="00982430" w:rsidP="00982430">
            <w:pPr>
              <w:spacing w:after="0"/>
              <w:jc w:val="left"/>
              <w:rPr>
                <w:rFonts w:eastAsia="Times New Roman" w:cs="Times New Roman"/>
                <w:sz w:val="20"/>
                <w:szCs w:val="20"/>
              </w:rPr>
            </w:pPr>
            <w:r w:rsidRPr="00982430">
              <w:rPr>
                <w:rFonts w:eastAsia="Times New Roman" w:cs="Times New Roman"/>
                <w:sz w:val="20"/>
                <w:szCs w:val="20"/>
              </w:rPr>
              <w:t xml:space="preserve">   Growth of relevant foreign markets</w:t>
            </w:r>
          </w:p>
        </w:tc>
        <w:tc>
          <w:tcPr>
            <w:tcW w:w="2831"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262E4ED7" w14:textId="77777777" w:rsidR="00982430" w:rsidRPr="00982430" w:rsidRDefault="00982430" w:rsidP="00982430">
            <w:pPr>
              <w:spacing w:after="0"/>
              <w:jc w:val="center"/>
              <w:rPr>
                <w:rFonts w:eastAsia="Times New Roman" w:cs="Times New Roman"/>
                <w:sz w:val="18"/>
                <w:szCs w:val="18"/>
              </w:rPr>
            </w:pPr>
            <w:r w:rsidRPr="00982430">
              <w:rPr>
                <w:rFonts w:eastAsia="Times New Roman" w:cs="Times New Roman"/>
                <w:sz w:val="18"/>
                <w:szCs w:val="18"/>
              </w:rPr>
              <w:t>Annual average</w:t>
            </w:r>
          </w:p>
        </w:tc>
        <w:tc>
          <w:tcPr>
            <w:tcW w:w="1328" w:type="dxa"/>
            <w:tcBorders>
              <w:top w:val="nil"/>
              <w:left w:val="nil"/>
              <w:bottom w:val="dotted" w:sz="4" w:space="0" w:color="auto"/>
              <w:right w:val="dotted" w:sz="4" w:space="0" w:color="auto"/>
            </w:tcBorders>
            <w:shd w:val="clear" w:color="auto" w:fill="auto"/>
            <w:vAlign w:val="center"/>
            <w:hideMark/>
          </w:tcPr>
          <w:p w14:paraId="59934254"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c>
          <w:tcPr>
            <w:tcW w:w="1386" w:type="dxa"/>
            <w:tcBorders>
              <w:top w:val="nil"/>
              <w:left w:val="nil"/>
              <w:bottom w:val="dotted" w:sz="4" w:space="0" w:color="auto"/>
              <w:right w:val="dotted" w:sz="4" w:space="0" w:color="auto"/>
            </w:tcBorders>
            <w:shd w:val="clear" w:color="auto" w:fill="auto"/>
            <w:vAlign w:val="center"/>
            <w:hideMark/>
          </w:tcPr>
          <w:p w14:paraId="01648183"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c>
          <w:tcPr>
            <w:tcW w:w="1405" w:type="dxa"/>
            <w:tcBorders>
              <w:top w:val="nil"/>
              <w:left w:val="nil"/>
              <w:bottom w:val="dotted" w:sz="4" w:space="0" w:color="auto"/>
              <w:right w:val="dotted" w:sz="4" w:space="0" w:color="auto"/>
            </w:tcBorders>
            <w:shd w:val="clear" w:color="auto" w:fill="auto"/>
            <w:vAlign w:val="center"/>
            <w:hideMark/>
          </w:tcPr>
          <w:p w14:paraId="07C92EC6"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c>
          <w:tcPr>
            <w:tcW w:w="1405" w:type="dxa"/>
            <w:tcBorders>
              <w:top w:val="nil"/>
              <w:left w:val="nil"/>
              <w:bottom w:val="dotted" w:sz="4" w:space="0" w:color="auto"/>
              <w:right w:val="dotted" w:sz="4" w:space="0" w:color="auto"/>
            </w:tcBorders>
            <w:shd w:val="clear" w:color="auto" w:fill="auto"/>
            <w:vAlign w:val="center"/>
            <w:hideMark/>
          </w:tcPr>
          <w:p w14:paraId="4C140D8A"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c>
          <w:tcPr>
            <w:tcW w:w="1405" w:type="dxa"/>
            <w:tcBorders>
              <w:top w:val="nil"/>
              <w:left w:val="nil"/>
              <w:bottom w:val="dotted" w:sz="4" w:space="0" w:color="auto"/>
              <w:right w:val="double" w:sz="6" w:space="0" w:color="auto"/>
            </w:tcBorders>
            <w:shd w:val="clear" w:color="auto" w:fill="auto"/>
            <w:vAlign w:val="center"/>
            <w:hideMark/>
          </w:tcPr>
          <w:p w14:paraId="38584189"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r>
      <w:tr w:rsidR="00982430" w:rsidRPr="00982430" w14:paraId="675BD6B8" w14:textId="77777777" w:rsidTr="00982430">
        <w:trPr>
          <w:trHeight w:val="303"/>
        </w:trPr>
        <w:tc>
          <w:tcPr>
            <w:tcW w:w="5585" w:type="dxa"/>
            <w:tcBorders>
              <w:top w:val="nil"/>
              <w:left w:val="double" w:sz="6" w:space="0" w:color="auto"/>
              <w:bottom w:val="dotted" w:sz="4" w:space="0" w:color="auto"/>
              <w:right w:val="nil"/>
            </w:tcBorders>
            <w:shd w:val="clear" w:color="auto" w:fill="auto"/>
            <w:vAlign w:val="bottom"/>
            <w:hideMark/>
          </w:tcPr>
          <w:p w14:paraId="4CEFEF7E" w14:textId="77777777" w:rsidR="00982430" w:rsidRPr="00982430" w:rsidRDefault="00982430" w:rsidP="00982430">
            <w:pPr>
              <w:spacing w:after="0"/>
              <w:jc w:val="left"/>
              <w:rPr>
                <w:rFonts w:eastAsia="Times New Roman" w:cs="Times New Roman"/>
                <w:sz w:val="20"/>
                <w:szCs w:val="20"/>
              </w:rPr>
            </w:pPr>
            <w:r w:rsidRPr="00982430">
              <w:rPr>
                <w:rFonts w:eastAsia="Times New Roman" w:cs="Times New Roman"/>
                <w:sz w:val="20"/>
                <w:szCs w:val="20"/>
              </w:rPr>
              <w:t xml:space="preserve">   World import volumes, excluding EU</w:t>
            </w:r>
          </w:p>
        </w:tc>
        <w:tc>
          <w:tcPr>
            <w:tcW w:w="2831"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2BC396EE" w14:textId="77777777" w:rsidR="00982430" w:rsidRPr="00982430" w:rsidRDefault="00982430" w:rsidP="00982430">
            <w:pPr>
              <w:spacing w:after="0"/>
              <w:jc w:val="center"/>
              <w:rPr>
                <w:rFonts w:eastAsia="Times New Roman" w:cs="Times New Roman"/>
                <w:sz w:val="18"/>
                <w:szCs w:val="18"/>
              </w:rPr>
            </w:pPr>
            <w:r w:rsidRPr="00982430">
              <w:rPr>
                <w:rFonts w:eastAsia="Times New Roman" w:cs="Times New Roman"/>
                <w:sz w:val="18"/>
                <w:szCs w:val="18"/>
              </w:rPr>
              <w:t>Annual average</w:t>
            </w:r>
          </w:p>
        </w:tc>
        <w:tc>
          <w:tcPr>
            <w:tcW w:w="1328" w:type="dxa"/>
            <w:tcBorders>
              <w:top w:val="nil"/>
              <w:left w:val="nil"/>
              <w:bottom w:val="dotted" w:sz="4" w:space="0" w:color="auto"/>
              <w:right w:val="dotted" w:sz="4" w:space="0" w:color="auto"/>
            </w:tcBorders>
            <w:shd w:val="clear" w:color="auto" w:fill="auto"/>
            <w:vAlign w:val="center"/>
            <w:hideMark/>
          </w:tcPr>
          <w:p w14:paraId="0982005B"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386" w:type="dxa"/>
            <w:tcBorders>
              <w:top w:val="nil"/>
              <w:left w:val="nil"/>
              <w:bottom w:val="dotted" w:sz="4" w:space="0" w:color="auto"/>
              <w:right w:val="dotted" w:sz="4" w:space="0" w:color="auto"/>
            </w:tcBorders>
            <w:shd w:val="clear" w:color="auto" w:fill="auto"/>
            <w:vAlign w:val="center"/>
            <w:hideMark/>
          </w:tcPr>
          <w:p w14:paraId="5B545901"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4DE7732C"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tted" w:sz="4" w:space="0" w:color="auto"/>
            </w:tcBorders>
            <w:shd w:val="clear" w:color="auto" w:fill="auto"/>
            <w:vAlign w:val="center"/>
            <w:hideMark/>
          </w:tcPr>
          <w:p w14:paraId="433A49D5"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tted" w:sz="4" w:space="0" w:color="auto"/>
              <w:right w:val="double" w:sz="6" w:space="0" w:color="auto"/>
            </w:tcBorders>
            <w:shd w:val="clear" w:color="auto" w:fill="auto"/>
            <w:vAlign w:val="center"/>
            <w:hideMark/>
          </w:tcPr>
          <w:p w14:paraId="2E2F4AF8"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r>
      <w:tr w:rsidR="00982430" w:rsidRPr="00982430" w14:paraId="0844CEC7" w14:textId="77777777" w:rsidTr="00982430">
        <w:trPr>
          <w:trHeight w:val="312"/>
        </w:trPr>
        <w:tc>
          <w:tcPr>
            <w:tcW w:w="5585" w:type="dxa"/>
            <w:tcBorders>
              <w:top w:val="nil"/>
              <w:left w:val="double" w:sz="6" w:space="0" w:color="auto"/>
              <w:bottom w:val="double" w:sz="6" w:space="0" w:color="auto"/>
              <w:right w:val="nil"/>
            </w:tcBorders>
            <w:shd w:val="clear" w:color="auto" w:fill="auto"/>
            <w:vAlign w:val="bottom"/>
            <w:hideMark/>
          </w:tcPr>
          <w:p w14:paraId="49494DC0" w14:textId="77777777" w:rsidR="00982430" w:rsidRPr="00982430" w:rsidRDefault="00982430" w:rsidP="00982430">
            <w:pPr>
              <w:spacing w:after="0"/>
              <w:jc w:val="left"/>
              <w:rPr>
                <w:rFonts w:eastAsia="Times New Roman" w:cs="Times New Roman"/>
                <w:sz w:val="20"/>
                <w:szCs w:val="20"/>
              </w:rPr>
            </w:pPr>
            <w:r w:rsidRPr="00982430">
              <w:rPr>
                <w:rFonts w:eastAsia="Times New Roman" w:cs="Times New Roman"/>
                <w:sz w:val="20"/>
                <w:szCs w:val="20"/>
              </w:rPr>
              <w:t xml:space="preserve">   Oil prices (Brent, USD/barrel)</w:t>
            </w:r>
          </w:p>
        </w:tc>
        <w:tc>
          <w:tcPr>
            <w:tcW w:w="2831" w:type="dxa"/>
            <w:tcBorders>
              <w:top w:val="dotted" w:sz="4" w:space="0" w:color="auto"/>
              <w:left w:val="single" w:sz="4" w:space="0" w:color="auto"/>
              <w:bottom w:val="double" w:sz="6" w:space="0" w:color="auto"/>
              <w:right w:val="single" w:sz="8" w:space="0" w:color="000000"/>
            </w:tcBorders>
            <w:shd w:val="clear" w:color="auto" w:fill="auto"/>
            <w:vAlign w:val="bottom"/>
            <w:hideMark/>
          </w:tcPr>
          <w:p w14:paraId="1C3890B9" w14:textId="77777777" w:rsidR="00982430" w:rsidRPr="00982430" w:rsidRDefault="00982430" w:rsidP="00982430">
            <w:pPr>
              <w:spacing w:after="0"/>
              <w:jc w:val="center"/>
              <w:rPr>
                <w:rFonts w:eastAsia="Times New Roman" w:cs="Times New Roman"/>
                <w:sz w:val="18"/>
                <w:szCs w:val="18"/>
              </w:rPr>
            </w:pPr>
            <w:r w:rsidRPr="00982430">
              <w:rPr>
                <w:rFonts w:eastAsia="Times New Roman" w:cs="Times New Roman"/>
                <w:sz w:val="18"/>
                <w:szCs w:val="18"/>
              </w:rPr>
              <w:t>Annual average</w:t>
            </w:r>
          </w:p>
        </w:tc>
        <w:tc>
          <w:tcPr>
            <w:tcW w:w="1328" w:type="dxa"/>
            <w:tcBorders>
              <w:top w:val="nil"/>
              <w:left w:val="nil"/>
              <w:bottom w:val="double" w:sz="6" w:space="0" w:color="auto"/>
              <w:right w:val="dotted" w:sz="4" w:space="0" w:color="auto"/>
            </w:tcBorders>
            <w:shd w:val="clear" w:color="auto" w:fill="auto"/>
            <w:vAlign w:val="center"/>
            <w:hideMark/>
          </w:tcPr>
          <w:p w14:paraId="4114D81B"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386" w:type="dxa"/>
            <w:tcBorders>
              <w:top w:val="nil"/>
              <w:left w:val="nil"/>
              <w:bottom w:val="double" w:sz="6" w:space="0" w:color="auto"/>
              <w:right w:val="dotted" w:sz="4" w:space="0" w:color="auto"/>
            </w:tcBorders>
            <w:shd w:val="clear" w:color="auto" w:fill="auto"/>
            <w:vAlign w:val="center"/>
            <w:hideMark/>
          </w:tcPr>
          <w:p w14:paraId="57B367E9"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uble" w:sz="6" w:space="0" w:color="auto"/>
              <w:right w:val="dotted" w:sz="4" w:space="0" w:color="auto"/>
            </w:tcBorders>
            <w:shd w:val="clear" w:color="auto" w:fill="auto"/>
            <w:vAlign w:val="center"/>
            <w:hideMark/>
          </w:tcPr>
          <w:p w14:paraId="18A64943"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uble" w:sz="6" w:space="0" w:color="auto"/>
              <w:right w:val="dotted" w:sz="4" w:space="0" w:color="auto"/>
            </w:tcBorders>
            <w:shd w:val="clear" w:color="auto" w:fill="auto"/>
            <w:vAlign w:val="center"/>
            <w:hideMark/>
          </w:tcPr>
          <w:p w14:paraId="3E554D3B" w14:textId="77777777" w:rsidR="00982430" w:rsidRPr="00982430" w:rsidRDefault="00982430" w:rsidP="00982430">
            <w:pPr>
              <w:spacing w:after="0"/>
              <w:jc w:val="center"/>
              <w:rPr>
                <w:rFonts w:eastAsia="Times New Roman" w:cs="Times New Roman"/>
                <w:color w:val="000000"/>
                <w:sz w:val="20"/>
                <w:szCs w:val="20"/>
              </w:rPr>
            </w:pPr>
            <w:r w:rsidRPr="00982430">
              <w:rPr>
                <w:rFonts w:eastAsia="Times New Roman" w:cs="Times New Roman"/>
                <w:color w:val="000000"/>
                <w:sz w:val="20"/>
                <w:szCs w:val="20"/>
              </w:rPr>
              <w:t> </w:t>
            </w:r>
          </w:p>
        </w:tc>
        <w:tc>
          <w:tcPr>
            <w:tcW w:w="1405" w:type="dxa"/>
            <w:tcBorders>
              <w:top w:val="nil"/>
              <w:left w:val="nil"/>
              <w:bottom w:val="double" w:sz="6" w:space="0" w:color="auto"/>
              <w:right w:val="double" w:sz="6" w:space="0" w:color="auto"/>
            </w:tcBorders>
            <w:shd w:val="clear" w:color="auto" w:fill="auto"/>
            <w:vAlign w:val="center"/>
            <w:hideMark/>
          </w:tcPr>
          <w:p w14:paraId="6980AB9E" w14:textId="77777777" w:rsidR="00982430" w:rsidRPr="00982430" w:rsidRDefault="00982430" w:rsidP="00982430">
            <w:pPr>
              <w:spacing w:after="0"/>
              <w:jc w:val="center"/>
              <w:rPr>
                <w:rFonts w:eastAsia="Times New Roman" w:cs="Times New Roman"/>
                <w:color w:val="000000"/>
                <w:sz w:val="23"/>
                <w:szCs w:val="23"/>
              </w:rPr>
            </w:pPr>
            <w:r w:rsidRPr="00982430">
              <w:rPr>
                <w:rFonts w:eastAsia="Times New Roman" w:cs="Times New Roman"/>
                <w:color w:val="000000"/>
                <w:sz w:val="23"/>
                <w:szCs w:val="23"/>
              </w:rPr>
              <w:t> </w:t>
            </w:r>
          </w:p>
        </w:tc>
      </w:tr>
    </w:tbl>
    <w:p w14:paraId="1F5C7897" w14:textId="5B090B1F" w:rsidR="001607FC" w:rsidRDefault="00982430" w:rsidP="001607FC">
      <w:pPr>
        <w:spacing w:after="160" w:line="259" w:lineRule="auto"/>
        <w:jc w:val="left"/>
        <w:rPr>
          <w:szCs w:val="24"/>
        </w:rPr>
      </w:pPr>
      <w:r>
        <w:rPr>
          <w:szCs w:val="24"/>
        </w:rPr>
        <w:fldChar w:fldCharType="end"/>
      </w:r>
      <w:r w:rsidR="001607FC">
        <w:rPr>
          <w:szCs w:val="24"/>
        </w:rPr>
        <w:br w:type="page"/>
      </w:r>
    </w:p>
    <w:p w14:paraId="084C25B1" w14:textId="77777777" w:rsidR="00507140" w:rsidRPr="00644ACF" w:rsidRDefault="00507140" w:rsidP="00644ACF">
      <w:pPr>
        <w:rPr>
          <w:szCs w:val="24"/>
        </w:rPr>
        <w:sectPr w:rsidR="00507140" w:rsidRPr="00644ACF" w:rsidSect="00461019">
          <w:pgSz w:w="16838" w:h="11906" w:orient="landscape" w:code="9"/>
          <w:pgMar w:top="720" w:right="720" w:bottom="720" w:left="720" w:header="720" w:footer="720" w:gutter="0"/>
          <w:cols w:space="720"/>
          <w:docGrid w:linePitch="360"/>
        </w:sectPr>
      </w:pPr>
    </w:p>
    <w:p w14:paraId="20BC5D23" w14:textId="57D4CBEB" w:rsidR="00276F63" w:rsidRDefault="00276F63" w:rsidP="005755FD">
      <w:pPr>
        <w:pStyle w:val="Heading1"/>
        <w:rPr>
          <w:rFonts w:ascii="Times New Roman" w:hAnsi="Times New Roman" w:cs="Times New Roman"/>
          <w:b/>
          <w:color w:val="auto"/>
          <w:sz w:val="24"/>
          <w:szCs w:val="24"/>
        </w:rPr>
      </w:pPr>
      <w:bookmarkStart w:id="79" w:name="_Toc192759988"/>
      <w:r w:rsidRPr="005755FD">
        <w:rPr>
          <w:rFonts w:ascii="Times New Roman" w:hAnsi="Times New Roman" w:cs="Times New Roman"/>
          <w:b/>
          <w:color w:val="auto"/>
          <w:sz w:val="24"/>
          <w:szCs w:val="24"/>
        </w:rPr>
        <w:lastRenderedPageBreak/>
        <w:t>ANNEX 2: EXTERNAL CONTRIBUTION TO THE ERP 2024-2026</w:t>
      </w:r>
      <w:bookmarkEnd w:id="79"/>
    </w:p>
    <w:p w14:paraId="4433B4B0" w14:textId="77777777" w:rsidR="005755FD" w:rsidRPr="005755FD" w:rsidRDefault="005755FD" w:rsidP="005755FD"/>
    <w:p w14:paraId="754DC767" w14:textId="77777777" w:rsidR="00276F63" w:rsidRPr="00276F63" w:rsidRDefault="00276F63" w:rsidP="00276F63">
      <w:pPr>
        <w:rPr>
          <w:lang w:eastAsia="ja-JP"/>
        </w:rPr>
      </w:pPr>
      <w:r w:rsidRPr="00276F63">
        <w:rPr>
          <w:lang w:eastAsia="ja-JP"/>
        </w:rPr>
        <w:t>This Annex should include information on the consultation process of external stakeholders, including the national parliament, local and regional government, social partners and civil society. All contributors should be included in this annex of the ERP.</w:t>
      </w:r>
    </w:p>
    <w:p w14:paraId="43E7A365" w14:textId="77777777" w:rsidR="00276F63" w:rsidRPr="00276F63" w:rsidRDefault="00276F63" w:rsidP="00276F63">
      <w:pPr>
        <w:rPr>
          <w:lang w:eastAsia="ja-JP"/>
        </w:rPr>
      </w:pPr>
    </w:p>
    <w:tbl>
      <w:tblPr>
        <w:tblStyle w:val="TableGrid"/>
        <w:tblW w:w="0" w:type="auto"/>
        <w:tblInd w:w="-275" w:type="dxa"/>
        <w:tblLook w:val="04A0" w:firstRow="1" w:lastRow="0" w:firstColumn="1" w:lastColumn="0" w:noHBand="0" w:noVBand="1"/>
      </w:tblPr>
      <w:tblGrid>
        <w:gridCol w:w="2387"/>
        <w:gridCol w:w="3695"/>
        <w:gridCol w:w="3544"/>
        <w:gridCol w:w="1734"/>
        <w:gridCol w:w="4171"/>
      </w:tblGrid>
      <w:tr w:rsidR="00276F63" w:rsidRPr="00276F63" w14:paraId="1515B218" w14:textId="77777777" w:rsidTr="002E5F43">
        <w:trPr>
          <w:cnfStyle w:val="100000000000" w:firstRow="1" w:lastRow="0" w:firstColumn="0" w:lastColumn="0" w:oddVBand="0" w:evenVBand="0" w:oddHBand="0" w:evenHBand="0" w:firstRowFirstColumn="0" w:firstRowLastColumn="0" w:lastRowFirstColumn="0" w:lastRowLastColumn="0"/>
          <w:trHeight w:val="2174"/>
        </w:trPr>
        <w:tc>
          <w:tcPr>
            <w:tcW w:w="2387" w:type="dxa"/>
          </w:tcPr>
          <w:p w14:paraId="28741F9A" w14:textId="77777777" w:rsidR="00276F63" w:rsidRPr="00276F63" w:rsidRDefault="00276F63" w:rsidP="00276F63">
            <w:pPr>
              <w:spacing w:before="0"/>
              <w:rPr>
                <w:rFonts w:eastAsiaTheme="minorHAnsi"/>
                <w:szCs w:val="22"/>
              </w:rPr>
            </w:pPr>
            <w:r w:rsidRPr="00276F63">
              <w:rPr>
                <w:rFonts w:eastAsiaTheme="minorHAnsi"/>
                <w:szCs w:val="22"/>
              </w:rPr>
              <w:t>Remark area section</w:t>
            </w:r>
          </w:p>
        </w:tc>
        <w:tc>
          <w:tcPr>
            <w:tcW w:w="3695" w:type="dxa"/>
          </w:tcPr>
          <w:p w14:paraId="09ED1C7B" w14:textId="77777777" w:rsidR="00276F63" w:rsidRPr="00276F63" w:rsidRDefault="00276F63" w:rsidP="00276F63">
            <w:pPr>
              <w:spacing w:before="0"/>
              <w:rPr>
                <w:rFonts w:eastAsiaTheme="minorHAnsi"/>
                <w:szCs w:val="22"/>
              </w:rPr>
            </w:pPr>
            <w:r w:rsidRPr="00276F63">
              <w:rPr>
                <w:rFonts w:eastAsiaTheme="minorHAnsi"/>
                <w:szCs w:val="22"/>
              </w:rPr>
              <w:t xml:space="preserve">Comment received  </w:t>
            </w:r>
            <w:r w:rsidRPr="00276F63">
              <w:rPr>
                <w:rFonts w:eastAsiaTheme="minorHAnsi"/>
                <w:i/>
                <w:szCs w:val="22"/>
              </w:rPr>
              <w:t>(include date received, format of the comment, main content)</w:t>
            </w:r>
          </w:p>
        </w:tc>
        <w:tc>
          <w:tcPr>
            <w:tcW w:w="3544" w:type="dxa"/>
          </w:tcPr>
          <w:p w14:paraId="686A63BD" w14:textId="77777777" w:rsidR="00276F63" w:rsidRPr="00276F63" w:rsidRDefault="00276F63" w:rsidP="00276F63">
            <w:pPr>
              <w:spacing w:before="0"/>
              <w:rPr>
                <w:rFonts w:eastAsiaTheme="minorHAnsi"/>
                <w:szCs w:val="22"/>
              </w:rPr>
            </w:pPr>
            <w:r w:rsidRPr="00276F63">
              <w:rPr>
                <w:rFonts w:eastAsiaTheme="minorHAnsi"/>
                <w:szCs w:val="22"/>
              </w:rPr>
              <w:t xml:space="preserve">Contributing stakeholder </w:t>
            </w:r>
            <w:r w:rsidRPr="00276F63">
              <w:rPr>
                <w:rFonts w:eastAsiaTheme="minorHAnsi"/>
                <w:i/>
                <w:szCs w:val="22"/>
              </w:rPr>
              <w:t>(include institution, contact person and contact details)</w:t>
            </w:r>
          </w:p>
        </w:tc>
        <w:tc>
          <w:tcPr>
            <w:tcW w:w="1734" w:type="dxa"/>
          </w:tcPr>
          <w:p w14:paraId="54812752" w14:textId="77777777" w:rsidR="00276F63" w:rsidRPr="00276F63" w:rsidRDefault="00276F63" w:rsidP="00276F63">
            <w:pPr>
              <w:spacing w:before="0"/>
              <w:rPr>
                <w:rFonts w:eastAsiaTheme="minorHAnsi"/>
                <w:i/>
                <w:szCs w:val="22"/>
              </w:rPr>
            </w:pPr>
            <w:r w:rsidRPr="00276F63">
              <w:rPr>
                <w:rFonts w:eastAsiaTheme="minorHAnsi"/>
                <w:szCs w:val="22"/>
              </w:rPr>
              <w:t xml:space="preserve">Status of comment </w:t>
            </w:r>
            <w:r w:rsidRPr="00276F63">
              <w:rPr>
                <w:rFonts w:eastAsiaTheme="minorHAnsi"/>
                <w:i/>
                <w:szCs w:val="22"/>
              </w:rPr>
              <w:t>(accepted/</w:t>
            </w:r>
          </w:p>
          <w:p w14:paraId="79CE5093" w14:textId="77777777" w:rsidR="00276F63" w:rsidRPr="00276F63" w:rsidRDefault="00276F63" w:rsidP="00276F63">
            <w:pPr>
              <w:spacing w:before="0"/>
              <w:rPr>
                <w:rFonts w:eastAsiaTheme="minorHAnsi"/>
                <w:szCs w:val="22"/>
              </w:rPr>
            </w:pPr>
            <w:r w:rsidRPr="00276F63">
              <w:rPr>
                <w:rFonts w:eastAsiaTheme="minorHAnsi"/>
                <w:i/>
                <w:szCs w:val="22"/>
              </w:rPr>
              <w:t>rejected)</w:t>
            </w:r>
          </w:p>
        </w:tc>
        <w:tc>
          <w:tcPr>
            <w:tcW w:w="4171" w:type="dxa"/>
          </w:tcPr>
          <w:p w14:paraId="7AF604CB" w14:textId="77777777" w:rsidR="00276F63" w:rsidRPr="00276F63" w:rsidRDefault="00276F63" w:rsidP="00276F63">
            <w:pPr>
              <w:spacing w:before="0"/>
              <w:rPr>
                <w:rFonts w:eastAsiaTheme="minorHAnsi"/>
                <w:i/>
                <w:szCs w:val="22"/>
              </w:rPr>
            </w:pPr>
            <w:r w:rsidRPr="00276F63">
              <w:rPr>
                <w:rFonts w:eastAsiaTheme="minorHAnsi"/>
                <w:szCs w:val="22"/>
              </w:rPr>
              <w:t xml:space="preserve">Comment </w:t>
            </w:r>
            <w:r w:rsidRPr="00276F63">
              <w:rPr>
                <w:rFonts w:eastAsiaTheme="minorHAnsi"/>
                <w:i/>
                <w:szCs w:val="22"/>
              </w:rPr>
              <w:t>(justification for acceptance/</w:t>
            </w:r>
          </w:p>
          <w:p w14:paraId="4B22E771" w14:textId="77777777" w:rsidR="00276F63" w:rsidRPr="00276F63" w:rsidRDefault="00276F63" w:rsidP="00276F63">
            <w:pPr>
              <w:spacing w:before="0"/>
              <w:rPr>
                <w:rFonts w:eastAsiaTheme="minorHAnsi"/>
                <w:szCs w:val="22"/>
              </w:rPr>
            </w:pPr>
            <w:r w:rsidRPr="00276F63">
              <w:rPr>
                <w:rFonts w:eastAsiaTheme="minorHAnsi"/>
                <w:i/>
                <w:szCs w:val="22"/>
              </w:rPr>
              <w:t>rejection)</w:t>
            </w:r>
            <w:r w:rsidRPr="00276F63">
              <w:rPr>
                <w:rFonts w:eastAsiaTheme="minorHAnsi"/>
                <w:i/>
                <w:iCs/>
                <w:szCs w:val="22"/>
              </w:rPr>
              <w:t xml:space="preserve"> </w:t>
            </w:r>
          </w:p>
        </w:tc>
      </w:tr>
      <w:tr w:rsidR="00276F63" w:rsidRPr="00276F63" w14:paraId="64CEFF9E" w14:textId="77777777" w:rsidTr="002E5F43">
        <w:trPr>
          <w:trHeight w:val="2606"/>
        </w:trPr>
        <w:tc>
          <w:tcPr>
            <w:tcW w:w="2387" w:type="dxa"/>
          </w:tcPr>
          <w:p w14:paraId="7C5E069A" w14:textId="77777777" w:rsidR="00276F63" w:rsidRPr="00276F63" w:rsidRDefault="00276F63" w:rsidP="00276F63">
            <w:pPr>
              <w:spacing w:before="0"/>
              <w:rPr>
                <w:rFonts w:eastAsiaTheme="minorHAnsi"/>
                <w:szCs w:val="22"/>
                <w:lang w:val="sr-Cyrl-RS"/>
              </w:rPr>
            </w:pPr>
            <w:r w:rsidRPr="00276F63">
              <w:rPr>
                <w:rFonts w:eastAsiaTheme="minorHAnsi"/>
                <w:szCs w:val="22"/>
              </w:rPr>
              <w:t>Macro-fiscal framework</w:t>
            </w:r>
          </w:p>
        </w:tc>
        <w:tc>
          <w:tcPr>
            <w:tcW w:w="3695" w:type="dxa"/>
          </w:tcPr>
          <w:p w14:paraId="3E303184" w14:textId="77777777" w:rsidR="00276F63" w:rsidRPr="00276F63" w:rsidRDefault="00276F63" w:rsidP="00276F63">
            <w:pPr>
              <w:spacing w:before="0"/>
              <w:rPr>
                <w:rFonts w:eastAsiaTheme="minorHAnsi"/>
                <w:szCs w:val="22"/>
                <w:lang w:val="sr-Cyrl-RS"/>
              </w:rPr>
            </w:pPr>
            <w:r w:rsidRPr="00276F63">
              <w:rPr>
                <w:rFonts w:eastAsiaTheme="minorHAnsi"/>
                <w:szCs w:val="22"/>
                <w:lang w:val="sr-Cyrl-RS"/>
              </w:rPr>
              <w:t>The comment was received on 6 December 2024, in electronic form.</w:t>
            </w:r>
          </w:p>
          <w:p w14:paraId="59E85A43" w14:textId="77777777" w:rsidR="00276F63" w:rsidRPr="00276F63" w:rsidRDefault="00276F63" w:rsidP="00276F63">
            <w:pPr>
              <w:spacing w:before="0"/>
              <w:rPr>
                <w:rFonts w:eastAsiaTheme="minorHAnsi"/>
                <w:szCs w:val="22"/>
                <w:lang w:val="sr-Cyrl-RS"/>
              </w:rPr>
            </w:pPr>
            <w:r w:rsidRPr="00276F63">
              <w:rPr>
                <w:rFonts w:eastAsiaTheme="minorHAnsi"/>
                <w:szCs w:val="22"/>
                <w:lang w:val="sr-Cyrl-RS"/>
              </w:rPr>
              <w:t>A request was made for the program "Leap into the Future – Serbia 2027" to be made available for public review.</w:t>
            </w:r>
          </w:p>
        </w:tc>
        <w:tc>
          <w:tcPr>
            <w:tcW w:w="3544" w:type="dxa"/>
          </w:tcPr>
          <w:p w14:paraId="41DB96DA" w14:textId="77777777" w:rsidR="00276F63" w:rsidRPr="00276F63" w:rsidRDefault="00276F63" w:rsidP="00276F63">
            <w:pPr>
              <w:spacing w:before="0"/>
              <w:rPr>
                <w:rFonts w:eastAsiaTheme="minorHAnsi"/>
                <w:szCs w:val="22"/>
                <w:lang w:val="sr-Cyrl-RS"/>
              </w:rPr>
            </w:pPr>
            <w:r w:rsidRPr="00276F63">
              <w:rPr>
                <w:rFonts w:eastAsiaTheme="minorHAnsi"/>
                <w:szCs w:val="22"/>
                <w:lang w:val="sr-Cyrl-RS"/>
              </w:rPr>
              <w:t xml:space="preserve">Transparency Serbia (Nemanja Nenadić, email address: </w:t>
            </w:r>
            <w:hyperlink r:id="rId50" w:history="1">
              <w:r w:rsidRPr="00276F63">
                <w:rPr>
                  <w:rStyle w:val="Hyperlink"/>
                  <w:lang w:val="sr-Cyrl-RS"/>
                </w:rPr>
                <w:t>ts@transparentnost.org.rs</w:t>
              </w:r>
            </w:hyperlink>
            <w:r w:rsidRPr="00276F63">
              <w:rPr>
                <w:rFonts w:eastAsiaTheme="minorHAnsi"/>
                <w:szCs w:val="22"/>
                <w:lang w:val="sr-Cyrl-RS"/>
              </w:rPr>
              <w:t>, contact phone: +381 11 303 38 27)</w:t>
            </w:r>
          </w:p>
        </w:tc>
        <w:tc>
          <w:tcPr>
            <w:tcW w:w="1734" w:type="dxa"/>
          </w:tcPr>
          <w:p w14:paraId="20371339" w14:textId="77777777" w:rsidR="00276F63" w:rsidRPr="00276F63" w:rsidRDefault="00276F63" w:rsidP="00276F63">
            <w:pPr>
              <w:spacing w:before="0"/>
              <w:rPr>
                <w:rFonts w:eastAsiaTheme="minorHAnsi"/>
                <w:szCs w:val="22"/>
                <w:lang w:val="sr-Latn-RS"/>
              </w:rPr>
            </w:pPr>
            <w:r w:rsidRPr="00276F63">
              <w:rPr>
                <w:rFonts w:eastAsiaTheme="minorHAnsi"/>
                <w:szCs w:val="22"/>
                <w:lang w:val="sr-Latn-RS"/>
              </w:rPr>
              <w:t>Accepted</w:t>
            </w:r>
          </w:p>
        </w:tc>
        <w:tc>
          <w:tcPr>
            <w:tcW w:w="4171" w:type="dxa"/>
          </w:tcPr>
          <w:p w14:paraId="7BE92601" w14:textId="77777777" w:rsidR="00276F63" w:rsidRPr="00276F63" w:rsidRDefault="00276F63" w:rsidP="00276F63">
            <w:pPr>
              <w:spacing w:before="0"/>
              <w:rPr>
                <w:rFonts w:eastAsiaTheme="minorHAnsi"/>
                <w:szCs w:val="22"/>
              </w:rPr>
            </w:pPr>
            <w:r w:rsidRPr="00276F63">
              <w:rPr>
                <w:rFonts w:eastAsiaTheme="minorHAnsi"/>
                <w:szCs w:val="22"/>
              </w:rPr>
              <w:t>The program "Leap into the Future – Serbia 2027" has been published at the following link:</w:t>
            </w:r>
          </w:p>
          <w:p w14:paraId="3A63EC53" w14:textId="77777777" w:rsidR="00276F63" w:rsidRPr="00276F63" w:rsidRDefault="00602766" w:rsidP="00276F63">
            <w:pPr>
              <w:spacing w:before="0"/>
              <w:rPr>
                <w:rFonts w:eastAsiaTheme="minorHAnsi"/>
                <w:szCs w:val="22"/>
              </w:rPr>
            </w:pPr>
            <w:hyperlink r:id="rId51" w:history="1">
              <w:r w:rsidR="00276F63" w:rsidRPr="00276F63">
                <w:rPr>
                  <w:rStyle w:val="Hyperlink"/>
                </w:rPr>
                <w:t>https://srbija2027.gov.rs/</w:t>
              </w:r>
            </w:hyperlink>
          </w:p>
          <w:p w14:paraId="266DFEA6" w14:textId="77777777" w:rsidR="00276F63" w:rsidRPr="00276F63" w:rsidRDefault="00276F63" w:rsidP="00276F63">
            <w:pPr>
              <w:spacing w:before="0"/>
              <w:rPr>
                <w:rFonts w:eastAsiaTheme="minorHAnsi"/>
                <w:szCs w:val="22"/>
                <w:lang w:val="sr-Cyrl-RS"/>
              </w:rPr>
            </w:pPr>
          </w:p>
        </w:tc>
      </w:tr>
      <w:tr w:rsidR="00276F63" w:rsidRPr="00276F63" w14:paraId="6A7850FF" w14:textId="77777777" w:rsidTr="002E5F43">
        <w:trPr>
          <w:trHeight w:hRule="exact" w:val="567"/>
        </w:trPr>
        <w:tc>
          <w:tcPr>
            <w:tcW w:w="2387" w:type="dxa"/>
          </w:tcPr>
          <w:p w14:paraId="74313E04" w14:textId="77777777" w:rsidR="00276F63" w:rsidRPr="00276F63" w:rsidRDefault="00276F63" w:rsidP="00276F63">
            <w:pPr>
              <w:spacing w:before="0"/>
              <w:rPr>
                <w:rFonts w:eastAsiaTheme="minorHAnsi"/>
                <w:szCs w:val="22"/>
              </w:rPr>
            </w:pPr>
            <w:r w:rsidRPr="00276F63">
              <w:rPr>
                <w:rFonts w:eastAsiaTheme="minorHAnsi"/>
                <w:szCs w:val="22"/>
              </w:rPr>
              <w:t>Structural reforms</w:t>
            </w:r>
          </w:p>
        </w:tc>
        <w:tc>
          <w:tcPr>
            <w:tcW w:w="3695" w:type="dxa"/>
          </w:tcPr>
          <w:p w14:paraId="202515B1" w14:textId="77777777" w:rsidR="00276F63" w:rsidRPr="00276F63" w:rsidRDefault="00276F63" w:rsidP="00276F63">
            <w:pPr>
              <w:spacing w:before="0"/>
              <w:rPr>
                <w:rFonts w:eastAsiaTheme="minorHAnsi"/>
                <w:szCs w:val="22"/>
              </w:rPr>
            </w:pPr>
          </w:p>
          <w:p w14:paraId="49BDF30E" w14:textId="77777777" w:rsidR="00276F63" w:rsidRPr="00276F63" w:rsidRDefault="00276F63" w:rsidP="00276F63">
            <w:pPr>
              <w:spacing w:before="0"/>
              <w:rPr>
                <w:rFonts w:eastAsiaTheme="minorHAnsi"/>
                <w:szCs w:val="22"/>
              </w:rPr>
            </w:pPr>
          </w:p>
          <w:p w14:paraId="17222C11" w14:textId="77777777" w:rsidR="00276F63" w:rsidRPr="00276F63" w:rsidRDefault="00276F63" w:rsidP="00276F63">
            <w:pPr>
              <w:spacing w:before="0"/>
              <w:rPr>
                <w:rFonts w:eastAsiaTheme="minorHAnsi"/>
                <w:szCs w:val="22"/>
              </w:rPr>
            </w:pPr>
          </w:p>
        </w:tc>
        <w:tc>
          <w:tcPr>
            <w:tcW w:w="3544" w:type="dxa"/>
          </w:tcPr>
          <w:p w14:paraId="150142B3" w14:textId="77777777" w:rsidR="00276F63" w:rsidRPr="00276F63" w:rsidRDefault="00276F63" w:rsidP="00276F63">
            <w:pPr>
              <w:spacing w:before="0"/>
              <w:rPr>
                <w:rFonts w:eastAsiaTheme="minorHAnsi"/>
                <w:szCs w:val="22"/>
              </w:rPr>
            </w:pPr>
          </w:p>
        </w:tc>
        <w:tc>
          <w:tcPr>
            <w:tcW w:w="1734" w:type="dxa"/>
          </w:tcPr>
          <w:p w14:paraId="6C687B2E" w14:textId="77777777" w:rsidR="00276F63" w:rsidRPr="00276F63" w:rsidRDefault="00276F63" w:rsidP="00276F63">
            <w:pPr>
              <w:spacing w:before="0"/>
              <w:rPr>
                <w:rFonts w:eastAsiaTheme="minorHAnsi"/>
                <w:szCs w:val="22"/>
              </w:rPr>
            </w:pPr>
          </w:p>
        </w:tc>
        <w:tc>
          <w:tcPr>
            <w:tcW w:w="4171" w:type="dxa"/>
          </w:tcPr>
          <w:p w14:paraId="7F4A8FB7" w14:textId="77777777" w:rsidR="00276F63" w:rsidRPr="00276F63" w:rsidRDefault="00276F63" w:rsidP="00276F63">
            <w:pPr>
              <w:spacing w:before="0"/>
              <w:rPr>
                <w:rFonts w:eastAsiaTheme="minorHAnsi"/>
                <w:szCs w:val="22"/>
              </w:rPr>
            </w:pPr>
          </w:p>
        </w:tc>
      </w:tr>
      <w:tr w:rsidR="00276F63" w:rsidRPr="00276F63" w14:paraId="0D415609" w14:textId="77777777" w:rsidTr="002E5F43">
        <w:trPr>
          <w:trHeight w:hRule="exact" w:val="567"/>
        </w:trPr>
        <w:tc>
          <w:tcPr>
            <w:tcW w:w="2387" w:type="dxa"/>
          </w:tcPr>
          <w:p w14:paraId="24C827AC" w14:textId="77777777" w:rsidR="00276F63" w:rsidRPr="00276F63" w:rsidRDefault="00276F63" w:rsidP="00276F63">
            <w:pPr>
              <w:spacing w:before="0"/>
              <w:rPr>
                <w:rFonts w:eastAsiaTheme="minorHAnsi"/>
                <w:szCs w:val="22"/>
              </w:rPr>
            </w:pPr>
            <w:r w:rsidRPr="00276F63">
              <w:rPr>
                <w:rFonts w:eastAsiaTheme="minorHAnsi"/>
                <w:szCs w:val="22"/>
                <w:lang w:val="sr-Latn-RS"/>
              </w:rPr>
              <w:t>Reform area</w:t>
            </w:r>
            <w:r w:rsidRPr="00276F63">
              <w:rPr>
                <w:rFonts w:eastAsiaTheme="minorHAnsi"/>
                <w:szCs w:val="22"/>
              </w:rPr>
              <w:t xml:space="preserve"> </w:t>
            </w:r>
          </w:p>
        </w:tc>
        <w:tc>
          <w:tcPr>
            <w:tcW w:w="3695" w:type="dxa"/>
          </w:tcPr>
          <w:p w14:paraId="2DA6AD94" w14:textId="77777777" w:rsidR="00276F63" w:rsidRPr="00276F63" w:rsidRDefault="00276F63" w:rsidP="00276F63">
            <w:pPr>
              <w:spacing w:before="0"/>
              <w:rPr>
                <w:rFonts w:eastAsiaTheme="minorHAnsi"/>
                <w:szCs w:val="22"/>
              </w:rPr>
            </w:pPr>
          </w:p>
          <w:p w14:paraId="6E5DD42A" w14:textId="77777777" w:rsidR="00276F63" w:rsidRPr="00276F63" w:rsidRDefault="00276F63" w:rsidP="00276F63">
            <w:pPr>
              <w:spacing w:before="0"/>
              <w:rPr>
                <w:rFonts w:eastAsiaTheme="minorHAnsi"/>
                <w:szCs w:val="22"/>
              </w:rPr>
            </w:pPr>
          </w:p>
          <w:p w14:paraId="20A14173" w14:textId="77777777" w:rsidR="00276F63" w:rsidRPr="00276F63" w:rsidRDefault="00276F63" w:rsidP="00276F63">
            <w:pPr>
              <w:spacing w:before="0"/>
              <w:rPr>
                <w:rFonts w:eastAsiaTheme="minorHAnsi"/>
                <w:szCs w:val="22"/>
              </w:rPr>
            </w:pPr>
          </w:p>
        </w:tc>
        <w:tc>
          <w:tcPr>
            <w:tcW w:w="3544" w:type="dxa"/>
          </w:tcPr>
          <w:p w14:paraId="6558ABB9" w14:textId="77777777" w:rsidR="00276F63" w:rsidRPr="00276F63" w:rsidRDefault="00276F63" w:rsidP="00276F63">
            <w:pPr>
              <w:spacing w:before="0"/>
              <w:rPr>
                <w:rFonts w:eastAsiaTheme="minorHAnsi"/>
                <w:szCs w:val="22"/>
              </w:rPr>
            </w:pPr>
          </w:p>
        </w:tc>
        <w:tc>
          <w:tcPr>
            <w:tcW w:w="1734" w:type="dxa"/>
          </w:tcPr>
          <w:p w14:paraId="15C0B4F9" w14:textId="77777777" w:rsidR="00276F63" w:rsidRPr="00276F63" w:rsidRDefault="00276F63" w:rsidP="00276F63">
            <w:pPr>
              <w:spacing w:before="0"/>
              <w:rPr>
                <w:rFonts w:eastAsiaTheme="minorHAnsi"/>
                <w:szCs w:val="22"/>
              </w:rPr>
            </w:pPr>
          </w:p>
        </w:tc>
        <w:tc>
          <w:tcPr>
            <w:tcW w:w="4171" w:type="dxa"/>
          </w:tcPr>
          <w:p w14:paraId="1CEB62FD" w14:textId="77777777" w:rsidR="00276F63" w:rsidRPr="00276F63" w:rsidRDefault="00276F63" w:rsidP="00276F63">
            <w:pPr>
              <w:spacing w:before="0"/>
              <w:rPr>
                <w:rFonts w:eastAsiaTheme="minorHAnsi"/>
                <w:szCs w:val="22"/>
              </w:rPr>
            </w:pPr>
          </w:p>
        </w:tc>
      </w:tr>
      <w:tr w:rsidR="00276F63" w:rsidRPr="00276F63" w14:paraId="75A604BD" w14:textId="77777777" w:rsidTr="002E5F43">
        <w:trPr>
          <w:trHeight w:hRule="exact" w:val="567"/>
        </w:trPr>
        <w:tc>
          <w:tcPr>
            <w:tcW w:w="2387" w:type="dxa"/>
          </w:tcPr>
          <w:p w14:paraId="1E8E4DBF" w14:textId="77777777" w:rsidR="00276F63" w:rsidRPr="00276F63" w:rsidRDefault="00276F63" w:rsidP="00276F63">
            <w:pPr>
              <w:spacing w:before="0"/>
              <w:rPr>
                <w:rFonts w:eastAsiaTheme="minorHAnsi"/>
                <w:szCs w:val="22"/>
              </w:rPr>
            </w:pPr>
            <w:r w:rsidRPr="00276F63">
              <w:rPr>
                <w:rFonts w:eastAsiaTheme="minorHAnsi"/>
                <w:szCs w:val="22"/>
              </w:rPr>
              <w:t>Measure A</w:t>
            </w:r>
          </w:p>
        </w:tc>
        <w:tc>
          <w:tcPr>
            <w:tcW w:w="3695" w:type="dxa"/>
          </w:tcPr>
          <w:p w14:paraId="54494DE2" w14:textId="77777777" w:rsidR="00276F63" w:rsidRPr="00276F63" w:rsidRDefault="00276F63" w:rsidP="00276F63">
            <w:pPr>
              <w:spacing w:before="0"/>
              <w:rPr>
                <w:rFonts w:eastAsiaTheme="minorHAnsi"/>
                <w:szCs w:val="22"/>
              </w:rPr>
            </w:pPr>
          </w:p>
          <w:p w14:paraId="1B3DCB78" w14:textId="77777777" w:rsidR="00276F63" w:rsidRPr="00276F63" w:rsidRDefault="00276F63" w:rsidP="00276F63">
            <w:pPr>
              <w:spacing w:before="0"/>
              <w:rPr>
                <w:rFonts w:eastAsiaTheme="minorHAnsi"/>
                <w:szCs w:val="22"/>
              </w:rPr>
            </w:pPr>
          </w:p>
          <w:p w14:paraId="2CB37171" w14:textId="77777777" w:rsidR="00276F63" w:rsidRPr="00276F63" w:rsidRDefault="00276F63" w:rsidP="00276F63">
            <w:pPr>
              <w:spacing w:before="0"/>
              <w:rPr>
                <w:rFonts w:eastAsiaTheme="minorHAnsi"/>
                <w:szCs w:val="22"/>
              </w:rPr>
            </w:pPr>
          </w:p>
        </w:tc>
        <w:tc>
          <w:tcPr>
            <w:tcW w:w="3544" w:type="dxa"/>
          </w:tcPr>
          <w:p w14:paraId="7B13D463" w14:textId="77777777" w:rsidR="00276F63" w:rsidRPr="00276F63" w:rsidRDefault="00276F63" w:rsidP="00276F63">
            <w:pPr>
              <w:spacing w:before="0"/>
              <w:rPr>
                <w:rFonts w:eastAsiaTheme="minorHAnsi"/>
                <w:szCs w:val="22"/>
              </w:rPr>
            </w:pPr>
          </w:p>
        </w:tc>
        <w:tc>
          <w:tcPr>
            <w:tcW w:w="1734" w:type="dxa"/>
          </w:tcPr>
          <w:p w14:paraId="42C7E016" w14:textId="77777777" w:rsidR="00276F63" w:rsidRPr="00276F63" w:rsidRDefault="00276F63" w:rsidP="00276F63">
            <w:pPr>
              <w:spacing w:before="0"/>
              <w:rPr>
                <w:rFonts w:eastAsiaTheme="minorHAnsi"/>
                <w:szCs w:val="22"/>
              </w:rPr>
            </w:pPr>
          </w:p>
        </w:tc>
        <w:tc>
          <w:tcPr>
            <w:tcW w:w="4171" w:type="dxa"/>
          </w:tcPr>
          <w:p w14:paraId="08EC8B3B" w14:textId="77777777" w:rsidR="00276F63" w:rsidRPr="00276F63" w:rsidRDefault="00276F63" w:rsidP="00276F63">
            <w:pPr>
              <w:spacing w:before="0"/>
              <w:rPr>
                <w:rFonts w:eastAsiaTheme="minorHAnsi"/>
                <w:szCs w:val="22"/>
              </w:rPr>
            </w:pPr>
          </w:p>
        </w:tc>
      </w:tr>
    </w:tbl>
    <w:p w14:paraId="7D10AA3D" w14:textId="77777777" w:rsidR="00276F63" w:rsidRPr="00276F63" w:rsidRDefault="00276F63" w:rsidP="00276F63">
      <w:pPr>
        <w:rPr>
          <w:lang w:eastAsia="ja-JP"/>
        </w:rPr>
      </w:pPr>
    </w:p>
    <w:p w14:paraId="035FCF70" w14:textId="77777777" w:rsidR="00276F63" w:rsidRPr="00276F63" w:rsidRDefault="00276F63" w:rsidP="00276F63">
      <w:pPr>
        <w:rPr>
          <w:lang w:eastAsia="ja-JP"/>
        </w:rPr>
      </w:pPr>
    </w:p>
    <w:p w14:paraId="72DEEEE3" w14:textId="77777777" w:rsidR="00276F63" w:rsidRPr="00AD7E7D" w:rsidRDefault="00276F63" w:rsidP="00063F83">
      <w:pPr>
        <w:rPr>
          <w:lang w:val="sr-Cyrl-RS" w:eastAsia="ja-JP"/>
        </w:rPr>
      </w:pPr>
    </w:p>
    <w:sectPr w:rsidR="00276F63" w:rsidRPr="00AD7E7D" w:rsidSect="00461019">
      <w:pgSz w:w="16838" w:h="11906" w:orient="landscape" w:code="9"/>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E51988" w16cid:durableId="43D3EB00"/>
  <w16cid:commentId w16cid:paraId="74A1BD7F" w16cid:durableId="6CBBFF45"/>
  <w16cid:commentId w16cid:paraId="602701EB" w16cid:durableId="7B093AC8"/>
  <w16cid:commentId w16cid:paraId="32F83637" w16cid:durableId="03A50CDA"/>
  <w16cid:commentId w16cid:paraId="360775DA" w16cid:durableId="1A2F5E0D"/>
  <w16cid:commentId w16cid:paraId="4F01DE8A" w16cid:durableId="096421D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E0769" w14:textId="77777777" w:rsidR="00605489" w:rsidRDefault="00605489" w:rsidP="00797049">
      <w:pPr>
        <w:spacing w:after="0"/>
      </w:pPr>
      <w:r>
        <w:separator/>
      </w:r>
    </w:p>
  </w:endnote>
  <w:endnote w:type="continuationSeparator" w:id="0">
    <w:p w14:paraId="1CE025E9" w14:textId="77777777" w:rsidR="00605489" w:rsidRDefault="00605489" w:rsidP="00797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rPr>
      <w:id w:val="1119728229"/>
      <w:docPartObj>
        <w:docPartGallery w:val="Page Numbers (Bottom of Page)"/>
        <w:docPartUnique/>
      </w:docPartObj>
    </w:sdtPr>
    <w:sdtEndPr>
      <w:rPr>
        <w:noProof/>
      </w:rPr>
    </w:sdtEndPr>
    <w:sdtContent>
      <w:sdt>
        <w:sdtPr>
          <w:rPr>
            <w:rFonts w:cs="Times New Roman"/>
          </w:rPr>
          <w:id w:val="685183512"/>
          <w:docPartObj>
            <w:docPartGallery w:val="Page Numbers (Bottom of Page)"/>
            <w:docPartUnique/>
          </w:docPartObj>
        </w:sdtPr>
        <w:sdtEndPr>
          <w:rPr>
            <w:noProof/>
            <w:sz w:val="20"/>
          </w:rPr>
        </w:sdtEndPr>
        <w:sdtContent>
          <w:p w14:paraId="3660BB06" w14:textId="11731E57" w:rsidR="00602766" w:rsidRPr="00B06AA2" w:rsidRDefault="00602766" w:rsidP="00B06AA2">
            <w:pPr>
              <w:pStyle w:val="Footer"/>
              <w:rPr>
                <w:rFonts w:cs="Times New Roman"/>
                <w:noProof/>
                <w:sz w:val="20"/>
              </w:rPr>
            </w:pPr>
            <w:r w:rsidRPr="00446676">
              <w:rPr>
                <w:rFonts w:cs="Times New Roman"/>
                <w:sz w:val="20"/>
              </w:rPr>
              <w:fldChar w:fldCharType="begin"/>
            </w:r>
            <w:r w:rsidRPr="00446676">
              <w:rPr>
                <w:rFonts w:cs="Times New Roman"/>
                <w:sz w:val="20"/>
              </w:rPr>
              <w:instrText xml:space="preserve"> PAGE   \* MERGEFORMAT </w:instrText>
            </w:r>
            <w:r w:rsidRPr="00446676">
              <w:rPr>
                <w:rFonts w:cs="Times New Roman"/>
                <w:sz w:val="20"/>
              </w:rPr>
              <w:fldChar w:fldCharType="separate"/>
            </w:r>
            <w:r w:rsidR="00D25CFD">
              <w:rPr>
                <w:rFonts w:cs="Times New Roman"/>
                <w:noProof/>
                <w:sz w:val="20"/>
              </w:rPr>
              <w:t>5</w:t>
            </w:r>
            <w:r w:rsidRPr="00446676">
              <w:rPr>
                <w:rFonts w:cs="Times New Roman"/>
                <w:noProof/>
                <w:sz w:val="20"/>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rPr>
      <w:id w:val="-34970182"/>
      <w:docPartObj>
        <w:docPartGallery w:val="Page Numbers (Bottom of Page)"/>
        <w:docPartUnique/>
      </w:docPartObj>
    </w:sdtPr>
    <w:sdtEndPr>
      <w:rPr>
        <w:noProof/>
      </w:rPr>
    </w:sdtEndPr>
    <w:sdtContent>
      <w:sdt>
        <w:sdtPr>
          <w:rPr>
            <w:rFonts w:cs="Times New Roman"/>
          </w:rPr>
          <w:id w:val="-378407355"/>
          <w:docPartObj>
            <w:docPartGallery w:val="Page Numbers (Bottom of Page)"/>
            <w:docPartUnique/>
          </w:docPartObj>
        </w:sdtPr>
        <w:sdtEndPr>
          <w:rPr>
            <w:noProof/>
            <w:sz w:val="20"/>
          </w:rPr>
        </w:sdtEndPr>
        <w:sdtContent>
          <w:p w14:paraId="155ADCEC" w14:textId="757356C6" w:rsidR="00602766" w:rsidRPr="00B06AA2" w:rsidRDefault="00602766" w:rsidP="00B06AA2">
            <w:pPr>
              <w:pStyle w:val="Footer"/>
              <w:rPr>
                <w:rFonts w:cs="Times New Roman"/>
                <w:noProof/>
                <w:sz w:val="20"/>
              </w:rPr>
            </w:pPr>
            <w:r w:rsidRPr="00446676">
              <w:rPr>
                <w:rFonts w:cs="Times New Roman"/>
                <w:sz w:val="20"/>
              </w:rPr>
              <w:fldChar w:fldCharType="begin"/>
            </w:r>
            <w:r w:rsidRPr="00446676">
              <w:rPr>
                <w:rFonts w:cs="Times New Roman"/>
                <w:sz w:val="20"/>
              </w:rPr>
              <w:instrText xml:space="preserve"> PAGE   \* MERGEFORMAT </w:instrText>
            </w:r>
            <w:r w:rsidRPr="00446676">
              <w:rPr>
                <w:rFonts w:cs="Times New Roman"/>
                <w:sz w:val="20"/>
              </w:rPr>
              <w:fldChar w:fldCharType="separate"/>
            </w:r>
            <w:r w:rsidR="00D25CFD">
              <w:rPr>
                <w:rFonts w:cs="Times New Roman"/>
                <w:noProof/>
                <w:sz w:val="20"/>
              </w:rPr>
              <w:t>102</w:t>
            </w:r>
            <w:r w:rsidRPr="00446676">
              <w:rPr>
                <w:rFonts w:cs="Times New Roman"/>
                <w:noProof/>
                <w:sz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7845F" w14:textId="77777777" w:rsidR="00605489" w:rsidRDefault="00605489" w:rsidP="00797049">
      <w:pPr>
        <w:spacing w:after="0"/>
      </w:pPr>
      <w:r>
        <w:separator/>
      </w:r>
    </w:p>
  </w:footnote>
  <w:footnote w:type="continuationSeparator" w:id="0">
    <w:p w14:paraId="0EE9A9D9" w14:textId="77777777" w:rsidR="00605489" w:rsidRDefault="00605489" w:rsidP="00797049">
      <w:pPr>
        <w:spacing w:after="0"/>
      </w:pPr>
      <w:r>
        <w:continuationSeparator/>
      </w:r>
    </w:p>
  </w:footnote>
  <w:footnote w:id="1">
    <w:p w14:paraId="295DBEEE" w14:textId="77777777" w:rsidR="00602766" w:rsidRPr="002D6721" w:rsidRDefault="00602766" w:rsidP="00B7761B">
      <w:pPr>
        <w:pStyle w:val="FootnoteText"/>
        <w:ind w:firstLine="0"/>
        <w:jc w:val="left"/>
        <w:rPr>
          <w:rFonts w:ascii="Times New Roman" w:hAnsi="Times New Roman"/>
          <w:sz w:val="16"/>
          <w:szCs w:val="16"/>
          <w:lang w:val="sr-Latn-RS"/>
        </w:rPr>
      </w:pPr>
      <w:r w:rsidRPr="002D6721">
        <w:rPr>
          <w:rStyle w:val="FootnoteReference"/>
          <w:rFonts w:ascii="Times New Roman" w:hAnsi="Times New Roman"/>
          <w:sz w:val="16"/>
          <w:szCs w:val="16"/>
        </w:rPr>
        <w:footnoteRef/>
      </w:r>
      <w:r w:rsidRPr="002D6721">
        <w:rPr>
          <w:rFonts w:ascii="Times New Roman" w:hAnsi="Times New Roman"/>
          <w:sz w:val="16"/>
          <w:szCs w:val="16"/>
        </w:rPr>
        <w:t xml:space="preserve"> </w:t>
      </w:r>
      <w:r>
        <w:rPr>
          <w:rFonts w:ascii="Times New Roman" w:hAnsi="Times New Roman"/>
          <w:sz w:val="16"/>
          <w:szCs w:val="16"/>
        </w:rPr>
        <w:t xml:space="preserve">Data on total exports and imports of goods are given according to the balance of payments methodology, </w:t>
      </w:r>
      <w:r w:rsidRPr="008D26D8">
        <w:rPr>
          <w:rFonts w:ascii="Times New Roman" w:hAnsi="Times New Roman"/>
          <w:sz w:val="16"/>
          <w:szCs w:val="16"/>
        </w:rPr>
        <w:t>while detailed data</w:t>
      </w:r>
      <w:r>
        <w:rPr>
          <w:rFonts w:ascii="Times New Roman" w:hAnsi="Times New Roman"/>
          <w:sz w:val="16"/>
          <w:szCs w:val="16"/>
        </w:rPr>
        <w:t xml:space="preserve"> (by different classifications) are given according to the external trade methodology. </w:t>
      </w:r>
    </w:p>
  </w:footnote>
  <w:footnote w:id="2">
    <w:p w14:paraId="0C72710D" w14:textId="77777777" w:rsidR="00602766" w:rsidRPr="002D6721" w:rsidRDefault="00602766" w:rsidP="00B7761B">
      <w:pPr>
        <w:pStyle w:val="FootnoteText"/>
        <w:ind w:firstLine="0"/>
        <w:rPr>
          <w:rFonts w:ascii="Times New Roman" w:hAnsi="Times New Roman"/>
          <w:sz w:val="16"/>
          <w:szCs w:val="16"/>
        </w:rPr>
      </w:pPr>
      <w:r w:rsidRPr="002D6721">
        <w:rPr>
          <w:rStyle w:val="FootnoteReference"/>
          <w:rFonts w:ascii="Times New Roman" w:hAnsi="Times New Roman"/>
          <w:sz w:val="16"/>
          <w:szCs w:val="16"/>
        </w:rPr>
        <w:footnoteRef/>
      </w:r>
      <w:r w:rsidRPr="002D6721">
        <w:rPr>
          <w:rFonts w:ascii="Times New Roman" w:hAnsi="Times New Roman"/>
          <w:sz w:val="16"/>
          <w:szCs w:val="16"/>
        </w:rPr>
        <w:t xml:space="preserve"> </w:t>
      </w:r>
      <w:r>
        <w:rPr>
          <w:rFonts w:ascii="Times New Roman" w:hAnsi="Times New Roman"/>
          <w:sz w:val="16"/>
          <w:szCs w:val="16"/>
          <w:lang w:val="sr-Latn-RS"/>
        </w:rPr>
        <w:t xml:space="preserve">Balance in June </w:t>
      </w:r>
      <w:r w:rsidRPr="002D6721">
        <w:rPr>
          <w:rFonts w:ascii="Times New Roman" w:hAnsi="Times New Roman"/>
          <w:sz w:val="16"/>
          <w:szCs w:val="16"/>
        </w:rPr>
        <w:t>20</w:t>
      </w:r>
      <w:r w:rsidRPr="002D6721">
        <w:rPr>
          <w:rFonts w:ascii="Times New Roman" w:hAnsi="Times New Roman"/>
          <w:sz w:val="16"/>
          <w:szCs w:val="16"/>
          <w:lang w:val="sr-Cyrl-RS"/>
        </w:rPr>
        <w:t>2</w:t>
      </w:r>
      <w:r>
        <w:rPr>
          <w:rFonts w:ascii="Times New Roman" w:hAnsi="Times New Roman"/>
          <w:sz w:val="16"/>
          <w:szCs w:val="16"/>
          <w:lang w:val="sr-Cyrl-RS"/>
        </w:rPr>
        <w:t>4</w:t>
      </w:r>
      <w:r w:rsidRPr="002D6721">
        <w:rPr>
          <w:rFonts w:ascii="Times New Roman" w:hAnsi="Times New Roman"/>
          <w:sz w:val="16"/>
          <w:szCs w:val="16"/>
        </w:rPr>
        <w:t>.</w:t>
      </w:r>
    </w:p>
  </w:footnote>
  <w:footnote w:id="3">
    <w:p w14:paraId="1D67C93B" w14:textId="77777777" w:rsidR="00602766" w:rsidRDefault="00602766" w:rsidP="00B7761B">
      <w:pPr>
        <w:pStyle w:val="FootnoteText"/>
        <w:ind w:firstLine="0"/>
        <w:rPr>
          <w:rFonts w:ascii="Times New Roman" w:hAnsi="Times New Roman"/>
          <w:sz w:val="16"/>
          <w:szCs w:val="16"/>
        </w:rPr>
      </w:pPr>
      <w:r>
        <w:rPr>
          <w:rStyle w:val="FootnoteReference"/>
          <w:sz w:val="16"/>
        </w:rPr>
        <w:footnoteRef/>
      </w:r>
      <w:r>
        <w:rPr>
          <w:rFonts w:ascii="Times New Roman" w:hAnsi="Times New Roman"/>
          <w:sz w:val="16"/>
        </w:rPr>
        <w:t xml:space="preserve"> This ceiling is further cut to 64% in 2026 and 57% in 2027.</w:t>
      </w:r>
    </w:p>
  </w:footnote>
  <w:footnote w:id="4">
    <w:p w14:paraId="319F972E" w14:textId="77777777" w:rsidR="00602766" w:rsidRDefault="00602766" w:rsidP="00B7761B">
      <w:pPr>
        <w:pStyle w:val="FootnoteText"/>
        <w:ind w:firstLine="0"/>
        <w:rPr>
          <w:rFonts w:ascii="Times New Roman" w:hAnsi="Times New Roman"/>
          <w:sz w:val="16"/>
          <w:szCs w:val="16"/>
        </w:rPr>
      </w:pPr>
      <w:r>
        <w:rPr>
          <w:rStyle w:val="FootnoteReference"/>
          <w:sz w:val="16"/>
        </w:rPr>
        <w:footnoteRef/>
      </w:r>
      <w:r>
        <w:rPr>
          <w:rFonts w:ascii="Times New Roman" w:hAnsi="Times New Roman"/>
          <w:sz w:val="16"/>
        </w:rPr>
        <w:t xml:space="preserve"> If non-residents are included, dinar savings measured RSD 174.0 billion in September. Flash estimate shows that in October they stood at the record RSD 175.6 billion or EUR 1.5 billion.</w:t>
      </w:r>
    </w:p>
  </w:footnote>
  <w:footnote w:id="5">
    <w:p w14:paraId="527782C5" w14:textId="77777777" w:rsidR="00602766" w:rsidRPr="00B7761B" w:rsidRDefault="00602766" w:rsidP="00B7761B">
      <w:pPr>
        <w:pStyle w:val="FootnoteText"/>
        <w:ind w:firstLine="0"/>
        <w:rPr>
          <w:sz w:val="16"/>
          <w:szCs w:val="16"/>
          <w:lang w:val="sr-Cyrl-RS"/>
        </w:rPr>
      </w:pPr>
      <w:r w:rsidRPr="00B7761B">
        <w:rPr>
          <w:rStyle w:val="FootnoteReference"/>
          <w:rFonts w:ascii="Times New Roman" w:hAnsi="Times New Roman"/>
          <w:sz w:val="16"/>
          <w:szCs w:val="16"/>
          <w:vertAlign w:val="baseline"/>
        </w:rPr>
        <w:footnoteRef/>
      </w:r>
      <w:r w:rsidRPr="00B7761B">
        <w:rPr>
          <w:rStyle w:val="FootnoteReference"/>
          <w:rFonts w:ascii="Times New Roman" w:hAnsi="Times New Roman"/>
          <w:sz w:val="16"/>
          <w:szCs w:val="16"/>
          <w:vertAlign w:val="baseline"/>
        </w:rPr>
        <w:t xml:space="preserve"> In accordance with the Decision on Establishing a List of Systemically Important Banks in the Republic of Serbia and Capital Buffer Rates for Those Banks of 10 May 2024.</w:t>
      </w:r>
    </w:p>
  </w:footnote>
  <w:footnote w:id="6">
    <w:p w14:paraId="011B4527" w14:textId="77777777" w:rsidR="00602766" w:rsidRPr="003753E1" w:rsidRDefault="00602766" w:rsidP="00B7761B">
      <w:pPr>
        <w:pStyle w:val="FootnoteText"/>
        <w:ind w:firstLine="0"/>
        <w:rPr>
          <w:rFonts w:ascii="Times New Roman" w:hAnsi="Times New Roman"/>
          <w:sz w:val="16"/>
          <w:szCs w:val="16"/>
          <w:lang w:val="en-GB"/>
        </w:rPr>
      </w:pPr>
      <w:r w:rsidRPr="00F252D5">
        <w:rPr>
          <w:rFonts w:ascii="Times New Roman" w:hAnsi="Times New Roman"/>
          <w:sz w:val="16"/>
          <w:szCs w:val="16"/>
          <w:vertAlign w:val="superscript"/>
        </w:rPr>
        <w:footnoteRef/>
      </w:r>
      <w:r w:rsidRPr="008F7892">
        <w:rPr>
          <w:rFonts w:ascii="Times New Roman" w:hAnsi="Times New Roman"/>
          <w:sz w:val="16"/>
          <w:szCs w:val="16"/>
          <w:vertAlign w:val="superscript"/>
        </w:rPr>
        <w:t xml:space="preserve"> </w:t>
      </w:r>
      <w:r w:rsidRPr="003753E1">
        <w:rPr>
          <w:rFonts w:ascii="Times New Roman" w:hAnsi="Times New Roman"/>
          <w:sz w:val="16"/>
          <w:szCs w:val="16"/>
          <w:lang w:val="en-GB"/>
        </w:rPr>
        <w:t>In the ratio 80:20.</w:t>
      </w:r>
    </w:p>
  </w:footnote>
  <w:footnote w:id="7">
    <w:p w14:paraId="5B7968F3" w14:textId="77777777" w:rsidR="00602766" w:rsidRPr="0047402B" w:rsidRDefault="00602766" w:rsidP="00E425D7">
      <w:pPr>
        <w:pStyle w:val="FootnoteText"/>
        <w:ind w:firstLine="0"/>
        <w:rPr>
          <w:rFonts w:ascii="Times New Roman" w:hAnsi="Times New Roman" w:cs="Times New Roman"/>
          <w:sz w:val="16"/>
          <w:szCs w:val="16"/>
          <w:lang w:val="sr-Cyrl-RS"/>
        </w:rPr>
      </w:pPr>
      <w:r w:rsidRPr="0047402B">
        <w:rPr>
          <w:rStyle w:val="FootnoteReference"/>
          <w:rFonts w:ascii="Times New Roman" w:hAnsi="Times New Roman" w:cs="Times New Roman"/>
          <w:color w:val="auto"/>
          <w:sz w:val="16"/>
          <w:szCs w:val="16"/>
        </w:rPr>
        <w:footnoteRef/>
      </w:r>
      <w:r w:rsidRPr="0047402B">
        <w:rPr>
          <w:rFonts w:ascii="Times New Roman" w:hAnsi="Times New Roman" w:cs="Times New Roman"/>
          <w:color w:val="auto"/>
          <w:sz w:val="16"/>
          <w:szCs w:val="16"/>
          <w:lang w:val="sr-Cyrl-RS"/>
        </w:rPr>
        <w:t xml:space="preserve"> </w:t>
      </w:r>
      <w:r w:rsidRPr="00457361">
        <w:rPr>
          <w:rFonts w:ascii="Times New Roman" w:hAnsi="Times New Roman" w:cs="Times New Roman"/>
          <w:color w:val="auto"/>
          <w:sz w:val="16"/>
          <w:szCs w:val="16"/>
          <w:lang w:val="sr-Cyrl-RS"/>
        </w:rPr>
        <w:t>New entities can be included or excluded from the coverage of the general government sector in accordance with statistical criteria and international standards that determine them.</w:t>
      </w:r>
    </w:p>
  </w:footnote>
  <w:footnote w:id="8">
    <w:p w14:paraId="00BA06E1" w14:textId="77777777" w:rsidR="00602766" w:rsidRPr="008C0499" w:rsidRDefault="00602766" w:rsidP="00994A6E">
      <w:pPr>
        <w:spacing w:after="60"/>
        <w:rPr>
          <w:rFonts w:cs="Times New Roman"/>
          <w:sz w:val="16"/>
          <w:szCs w:val="16"/>
          <w:lang w:val="sr-Cyrl-RS"/>
        </w:rPr>
      </w:pPr>
      <w:r w:rsidRPr="008C0499">
        <w:rPr>
          <w:rStyle w:val="FootnoteReference"/>
          <w:rFonts w:cs="Times New Roman"/>
          <w:sz w:val="16"/>
          <w:szCs w:val="16"/>
          <w:lang w:val="sr-Cyrl-RS"/>
        </w:rPr>
        <w:footnoteRef/>
      </w:r>
      <w:r w:rsidRPr="008C0499">
        <w:rPr>
          <w:rFonts w:cs="Times New Roman"/>
          <w:sz w:val="16"/>
          <w:szCs w:val="16"/>
          <w:lang w:val="sr-Cyrl-RS"/>
        </w:rPr>
        <w:t xml:space="preserve"> </w:t>
      </w:r>
      <w:r w:rsidRPr="00F42D08">
        <w:rPr>
          <w:rFonts w:cs="Times New Roman"/>
          <w:sz w:val="16"/>
          <w:szCs w:val="16"/>
          <w:lang w:val="sr-Cyrl-RS"/>
        </w:rPr>
        <w:t xml:space="preserve">A more detailed description of the methodology used and the results can be found in the Fiscal Strategy for 2013 with projections for 2014 and 2015, or via the link https://www.mfin.gov.rs//upload/media/jzsbpL_601ab1585ca02.pdf </w:t>
      </w:r>
    </w:p>
  </w:footnote>
  <w:footnote w:id="9">
    <w:p w14:paraId="498A4FC5" w14:textId="2EE5A9F4" w:rsidR="00602766" w:rsidRPr="00290433" w:rsidRDefault="00602766" w:rsidP="00B7761B">
      <w:pPr>
        <w:pStyle w:val="FootnoteText"/>
        <w:ind w:firstLine="0"/>
        <w:rPr>
          <w:lang w:val="sr-Latn-RS"/>
        </w:rPr>
      </w:pPr>
      <w:r>
        <w:rPr>
          <w:rStyle w:val="FootnoteReference"/>
        </w:rPr>
        <w:footnoteRef/>
      </w:r>
      <w:r>
        <w:t xml:space="preserve"> </w:t>
      </w:r>
      <w:r w:rsidRPr="00290433">
        <w:rPr>
          <w:rFonts w:ascii="Times New Roman" w:hAnsi="Times New Roman" w:cs="Times New Roman"/>
          <w:sz w:val="16"/>
          <w:szCs w:val="16"/>
        </w:rPr>
        <w:t>Law on Public Debt (“Official Gazette of the Republic of Serbia”, No. 61/05, 107/09, 78/11, 68/15, 95/18, 91/19 and 149/20).</w:t>
      </w:r>
    </w:p>
  </w:footnote>
  <w:footnote w:id="10">
    <w:p w14:paraId="7BA696BD" w14:textId="734FB858" w:rsidR="00602766" w:rsidRPr="00870B54" w:rsidRDefault="00602766" w:rsidP="00994A6E">
      <w:pPr>
        <w:pStyle w:val="FootnoteText"/>
        <w:ind w:firstLine="0"/>
        <w:rPr>
          <w:rFonts w:ascii="Times New Roman" w:hAnsi="Times New Roman" w:cs="Times New Roman"/>
          <w:sz w:val="16"/>
          <w:szCs w:val="16"/>
          <w:lang w:val="sr-Cyrl-RS"/>
        </w:rPr>
      </w:pPr>
      <w:r w:rsidRPr="00870B54">
        <w:rPr>
          <w:rStyle w:val="FootnoteReference"/>
          <w:rFonts w:ascii="Times New Roman" w:hAnsi="Times New Roman" w:cs="Times New Roman"/>
          <w:sz w:val="16"/>
          <w:szCs w:val="16"/>
        </w:rPr>
        <w:footnoteRef/>
      </w:r>
      <w:r w:rsidRPr="00870B54">
        <w:rPr>
          <w:rFonts w:ascii="Times New Roman" w:hAnsi="Times New Roman" w:cs="Times New Roman"/>
          <w:sz w:val="16"/>
          <w:szCs w:val="16"/>
        </w:rPr>
        <w:t xml:space="preserve"> </w:t>
      </w:r>
      <w:r w:rsidRPr="00290433">
        <w:rPr>
          <w:rFonts w:ascii="Times New Roman" w:hAnsi="Times New Roman" w:cs="Times New Roman"/>
          <w:sz w:val="16"/>
          <w:szCs w:val="16"/>
          <w:lang w:val="sr-Cyrl-RS"/>
        </w:rPr>
        <w:t>Economic Reform Program 2024-2026</w:t>
      </w:r>
    </w:p>
  </w:footnote>
  <w:footnote w:id="11">
    <w:p w14:paraId="3248605D" w14:textId="7CAFB9C6" w:rsidR="00602766" w:rsidRPr="00AD19EF" w:rsidRDefault="00602766" w:rsidP="00427E7D">
      <w:pPr>
        <w:pStyle w:val="FootnoteText"/>
        <w:ind w:firstLine="0"/>
        <w:rPr>
          <w:lang w:val="sr-Latn-RS"/>
        </w:rPr>
      </w:pPr>
      <w:r>
        <w:rPr>
          <w:rStyle w:val="FootnoteReference"/>
        </w:rPr>
        <w:footnoteRef/>
      </w:r>
      <w:r>
        <w:t xml:space="preserve"> </w:t>
      </w:r>
      <w:r w:rsidRPr="000E7FD0">
        <w:t>Digital WB6+ Initiative (2018):  The Impact of Digital Transformation on the Western Balkans</w:t>
      </w:r>
      <w: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Bullet1"/>
      <w:lvlText w:val="•"/>
      <w:lvlJc w:val="left"/>
      <w:pPr>
        <w:ind w:left="576" w:hanging="288"/>
      </w:pPr>
      <w:rPr>
        <w:rFonts w:ascii="Cambria" w:hAnsi="Cambria" w:hint="default"/>
        <w:color w:val="5B9BD5" w:themeColor="accent1"/>
      </w:rPr>
    </w:lvl>
  </w:abstractNum>
  <w:abstractNum w:abstractNumId="1" w15:restartNumberingAfterBreak="0">
    <w:nsid w:val="01B81DEA"/>
    <w:multiLevelType w:val="multilevel"/>
    <w:tmpl w:val="B7A4B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67F5D"/>
    <w:multiLevelType w:val="hybridMultilevel"/>
    <w:tmpl w:val="E28809B4"/>
    <w:lvl w:ilvl="0" w:tplc="04090001">
      <w:start w:val="1"/>
      <w:numFmt w:val="bullet"/>
      <w:pStyle w:val="ListNumber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01AF9"/>
    <w:multiLevelType w:val="hybridMultilevel"/>
    <w:tmpl w:val="A154AE00"/>
    <w:lvl w:ilvl="0" w:tplc="BFA4663C">
      <w:start w:val="1"/>
      <w:numFmt w:val="bullet"/>
      <w:lvlText w:val="-"/>
      <w:lvlJc w:val="left"/>
      <w:pPr>
        <w:ind w:left="720" w:hanging="360"/>
      </w:pPr>
      <w:rPr>
        <w:rFonts w:ascii="Calibri" w:eastAsia="MS P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328B3"/>
    <w:multiLevelType w:val="hybridMultilevel"/>
    <w:tmpl w:val="4B80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A5C74"/>
    <w:multiLevelType w:val="hybridMultilevel"/>
    <w:tmpl w:val="361E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F00BE"/>
    <w:multiLevelType w:val="hybridMultilevel"/>
    <w:tmpl w:val="6E808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4F2D2B"/>
    <w:multiLevelType w:val="hybridMultilevel"/>
    <w:tmpl w:val="14FE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96F9C"/>
    <w:multiLevelType w:val="hybridMultilevel"/>
    <w:tmpl w:val="03588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1A7C45D5"/>
    <w:multiLevelType w:val="hybridMultilevel"/>
    <w:tmpl w:val="9756494C"/>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 w15:restartNumberingAfterBreak="0">
    <w:nsid w:val="1EC1773A"/>
    <w:multiLevelType w:val="multilevel"/>
    <w:tmpl w:val="705C1ACA"/>
    <w:lvl w:ilvl="0">
      <w:start w:val="1"/>
      <w:numFmt w:val="upperRoman"/>
      <w:lvlText w:val="%1."/>
      <w:lvlJc w:val="left"/>
      <w:pPr>
        <w:ind w:left="360" w:hanging="360"/>
      </w:pPr>
      <w:rPr>
        <w:rFonts w:hint="default"/>
      </w:rPr>
    </w:lvl>
    <w:lvl w:ilvl="1">
      <w:start w:val="1"/>
      <w:numFmt w:val="decimal"/>
      <w:pStyle w:val="EFPNaslov2"/>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A82CA8"/>
    <w:multiLevelType w:val="multilevel"/>
    <w:tmpl w:val="CC92B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A5E91"/>
    <w:multiLevelType w:val="hybridMultilevel"/>
    <w:tmpl w:val="5DF4BD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836565"/>
    <w:multiLevelType w:val="hybridMultilevel"/>
    <w:tmpl w:val="63CADC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98B79B1"/>
    <w:multiLevelType w:val="hybridMultilevel"/>
    <w:tmpl w:val="951E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6161D"/>
    <w:multiLevelType w:val="multilevel"/>
    <w:tmpl w:val="063EE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9E4A7A"/>
    <w:multiLevelType w:val="hybridMultilevel"/>
    <w:tmpl w:val="C0505144"/>
    <w:lvl w:ilvl="0" w:tplc="D8A2529A">
      <w:start w:val="1"/>
      <w:numFmt w:val="decimal"/>
      <w:pStyle w:val="ListNumber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C61598"/>
    <w:multiLevelType w:val="hybridMultilevel"/>
    <w:tmpl w:val="26EA460E"/>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8" w15:restartNumberingAfterBreak="0">
    <w:nsid w:val="30195F79"/>
    <w:multiLevelType w:val="hybridMultilevel"/>
    <w:tmpl w:val="DDF6E3A4"/>
    <w:lvl w:ilvl="0" w:tplc="28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9" w15:restartNumberingAfterBreak="0">
    <w:nsid w:val="311B23A4"/>
    <w:multiLevelType w:val="hybridMultilevel"/>
    <w:tmpl w:val="0F4E72E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4850F7"/>
    <w:multiLevelType w:val="hybridMultilevel"/>
    <w:tmpl w:val="9D58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D7BB7"/>
    <w:multiLevelType w:val="hybridMultilevel"/>
    <w:tmpl w:val="70E435F0"/>
    <w:lvl w:ilvl="0" w:tplc="41C0CB00">
      <w:start w:val="1"/>
      <w:numFmt w:val="decimal"/>
      <w:pStyle w:val="ParagraphNumbering"/>
      <w:lvlText w:val="%1.     "/>
      <w:lvlJc w:val="left"/>
      <w:pPr>
        <w:ind w:left="630" w:hanging="360"/>
      </w:pPr>
      <w:rPr>
        <w:rFonts w:ascii="Segoe UI" w:hAnsi="Segoe UI" w:hint="default"/>
        <w:b/>
        <w:i w:val="0"/>
        <w:sz w:val="21"/>
      </w:rPr>
    </w:lvl>
    <w:lvl w:ilvl="1" w:tplc="33B40FEA" w:tentative="1">
      <w:start w:val="1"/>
      <w:numFmt w:val="lowerLetter"/>
      <w:lvlText w:val="%2."/>
      <w:lvlJc w:val="left"/>
      <w:pPr>
        <w:ind w:left="1440" w:hanging="360"/>
      </w:pPr>
    </w:lvl>
    <w:lvl w:ilvl="2" w:tplc="DCB0CC42" w:tentative="1">
      <w:start w:val="1"/>
      <w:numFmt w:val="lowerRoman"/>
      <w:lvlText w:val="%3."/>
      <w:lvlJc w:val="right"/>
      <w:pPr>
        <w:ind w:left="2160" w:hanging="180"/>
      </w:pPr>
    </w:lvl>
    <w:lvl w:ilvl="3" w:tplc="B790AE84" w:tentative="1">
      <w:start w:val="1"/>
      <w:numFmt w:val="decimal"/>
      <w:lvlText w:val="%4."/>
      <w:lvlJc w:val="left"/>
      <w:pPr>
        <w:ind w:left="2880" w:hanging="360"/>
      </w:pPr>
    </w:lvl>
    <w:lvl w:ilvl="4" w:tplc="889A005E" w:tentative="1">
      <w:start w:val="1"/>
      <w:numFmt w:val="lowerLetter"/>
      <w:lvlText w:val="%5."/>
      <w:lvlJc w:val="left"/>
      <w:pPr>
        <w:ind w:left="3600" w:hanging="360"/>
      </w:pPr>
    </w:lvl>
    <w:lvl w:ilvl="5" w:tplc="6960F5F0" w:tentative="1">
      <w:start w:val="1"/>
      <w:numFmt w:val="lowerRoman"/>
      <w:lvlText w:val="%6."/>
      <w:lvlJc w:val="right"/>
      <w:pPr>
        <w:ind w:left="4320" w:hanging="180"/>
      </w:pPr>
    </w:lvl>
    <w:lvl w:ilvl="6" w:tplc="BBB45C82" w:tentative="1">
      <w:start w:val="1"/>
      <w:numFmt w:val="decimal"/>
      <w:lvlText w:val="%7."/>
      <w:lvlJc w:val="left"/>
      <w:pPr>
        <w:ind w:left="5040" w:hanging="360"/>
      </w:pPr>
    </w:lvl>
    <w:lvl w:ilvl="7" w:tplc="5516958C" w:tentative="1">
      <w:start w:val="1"/>
      <w:numFmt w:val="lowerLetter"/>
      <w:lvlText w:val="%8."/>
      <w:lvlJc w:val="left"/>
      <w:pPr>
        <w:ind w:left="5760" w:hanging="360"/>
      </w:pPr>
    </w:lvl>
    <w:lvl w:ilvl="8" w:tplc="98DCDC2C" w:tentative="1">
      <w:start w:val="1"/>
      <w:numFmt w:val="lowerRoman"/>
      <w:lvlText w:val="%9."/>
      <w:lvlJc w:val="right"/>
      <w:pPr>
        <w:ind w:left="6480" w:hanging="180"/>
      </w:pPr>
    </w:lvl>
  </w:abstractNum>
  <w:abstractNum w:abstractNumId="22" w15:restartNumberingAfterBreak="0">
    <w:nsid w:val="367F6A45"/>
    <w:multiLevelType w:val="multilevel"/>
    <w:tmpl w:val="0436C7FE"/>
    <w:lvl w:ilvl="0">
      <w:start w:val="1"/>
      <w:numFmt w:val="decimal"/>
      <w:pStyle w:val="ListNumber1"/>
      <w:lvlText w:val="%1."/>
      <w:lvlJc w:val="left"/>
      <w:pPr>
        <w:ind w:left="360" w:hanging="360"/>
      </w:pPr>
      <w:rPr>
        <w:rFonts w:hint="default"/>
        <w:color w:val="5B9BD5" w:themeColor="accent1"/>
      </w:rPr>
    </w:lvl>
    <w:lvl w:ilvl="1">
      <w:start w:val="1"/>
      <w:numFmt w:val="decimal"/>
      <w:pStyle w:val="ListNumber21"/>
      <w:suff w:val="space"/>
      <w:lvlText w:val="%1.%2"/>
      <w:lvlJc w:val="left"/>
      <w:pPr>
        <w:ind w:left="936" w:hanging="576"/>
      </w:pPr>
      <w:rPr>
        <w:rFonts w:hint="default"/>
        <w:color w:val="5B9BD5" w:themeColor="accent1"/>
      </w:rPr>
    </w:lvl>
    <w:lvl w:ilvl="2">
      <w:start w:val="1"/>
      <w:numFmt w:val="lowerLetter"/>
      <w:pStyle w:val="ListNumber31"/>
      <w:lvlText w:val="%3."/>
      <w:lvlJc w:val="left"/>
      <w:pPr>
        <w:ind w:left="720" w:hanging="360"/>
      </w:pPr>
      <w:rPr>
        <w:rFonts w:hint="default"/>
        <w:color w:val="5B9BD5" w:themeColor="accent1"/>
      </w:rPr>
    </w:lvl>
    <w:lvl w:ilvl="3">
      <w:start w:val="1"/>
      <w:numFmt w:val="lowerRoman"/>
      <w:pStyle w:val="ListNumber41"/>
      <w:lvlText w:val="%4."/>
      <w:lvlJc w:val="left"/>
      <w:pPr>
        <w:ind w:left="1080" w:hanging="360"/>
      </w:pPr>
      <w:rPr>
        <w:rFonts w:hint="default"/>
        <w:color w:val="5B9BD5" w:themeColor="accent1"/>
      </w:rPr>
    </w:lvl>
    <w:lvl w:ilvl="4">
      <w:start w:val="1"/>
      <w:numFmt w:val="lowerLetter"/>
      <w:pStyle w:val="ListNumber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74F1C1E"/>
    <w:multiLevelType w:val="hybridMultilevel"/>
    <w:tmpl w:val="D12AD8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A0236D"/>
    <w:multiLevelType w:val="hybridMultilevel"/>
    <w:tmpl w:val="F6F47070"/>
    <w:lvl w:ilvl="0" w:tplc="014AD722">
      <w:start w:val="1"/>
      <w:numFmt w:val="decimal"/>
      <w:pStyle w:val="Nabrajanjemera"/>
      <w:lvlText w:val="Приоритетна мера %1."/>
      <w:lvlJc w:val="left"/>
      <w:pPr>
        <w:ind w:left="786" w:hanging="360"/>
      </w:pPr>
      <w:rPr>
        <w:rFonts w:hint="default"/>
        <w:b/>
        <w:i w:val="0"/>
        <w:smallCap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FE286B"/>
    <w:multiLevelType w:val="multilevel"/>
    <w:tmpl w:val="7E8E7DFC"/>
    <w:lvl w:ilvl="0">
      <w:start w:val="1"/>
      <w:numFmt w:val="upperRoman"/>
      <w:pStyle w:val="IFS2012naslov1"/>
      <w:lvlText w:val="%1."/>
      <w:lvlJc w:val="left"/>
      <w:pPr>
        <w:ind w:left="1080" w:hanging="720"/>
      </w:pPr>
      <w:rPr>
        <w:rFonts w:hint="default"/>
      </w:rPr>
    </w:lvl>
    <w:lvl w:ilvl="1">
      <w:start w:val="1"/>
      <w:numFmt w:val="decimal"/>
      <w:isLgl/>
      <w:lvlText w:val="%1.%2."/>
      <w:lvlJc w:val="left"/>
      <w:pPr>
        <w:ind w:left="965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0EE3AB8"/>
    <w:multiLevelType w:val="multilevel"/>
    <w:tmpl w:val="E97AA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0A1BA8"/>
    <w:multiLevelType w:val="hybridMultilevel"/>
    <w:tmpl w:val="9560019E"/>
    <w:lvl w:ilvl="0" w:tplc="1DFCD06E">
      <w:start w:val="1"/>
      <w:numFmt w:val="bullet"/>
      <w:lvlText w:val=""/>
      <w:lvlJc w:val="left"/>
      <w:pPr>
        <w:ind w:left="1440" w:hanging="360"/>
      </w:pPr>
      <w:rPr>
        <w:rFonts w:ascii="Wingdings" w:hAnsi="Wingdings" w:hint="default"/>
        <w:color w:val="44546A"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3A85611"/>
    <w:multiLevelType w:val="multilevel"/>
    <w:tmpl w:val="18667D1A"/>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45BC074F"/>
    <w:multiLevelType w:val="hybridMultilevel"/>
    <w:tmpl w:val="CF522BC6"/>
    <w:lvl w:ilvl="0" w:tplc="E370F9C0">
      <w:numFmt w:val="bullet"/>
      <w:lvlText w:val="•"/>
      <w:lvlJc w:val="left"/>
      <w:pPr>
        <w:ind w:left="720" w:hanging="360"/>
      </w:pPr>
      <w:rPr>
        <w:rFonts w:ascii="Times New Roman" w:eastAsia="MS P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986C3A"/>
    <w:multiLevelType w:val="hybridMultilevel"/>
    <w:tmpl w:val="7762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F3294C"/>
    <w:multiLevelType w:val="hybridMultilevel"/>
    <w:tmpl w:val="0C0A48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87463E"/>
    <w:multiLevelType w:val="hybridMultilevel"/>
    <w:tmpl w:val="F5B00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7802E6"/>
    <w:multiLevelType w:val="hybridMultilevel"/>
    <w:tmpl w:val="D8BA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5B6B28"/>
    <w:multiLevelType w:val="hybridMultilevel"/>
    <w:tmpl w:val="2DBAABDA"/>
    <w:lvl w:ilvl="0" w:tplc="2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717A3C"/>
    <w:multiLevelType w:val="hybridMultilevel"/>
    <w:tmpl w:val="4498CBF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FD5C5B"/>
    <w:multiLevelType w:val="hybridMultilevel"/>
    <w:tmpl w:val="A216C01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9A278D"/>
    <w:multiLevelType w:val="hybridMultilevel"/>
    <w:tmpl w:val="2CA41BF0"/>
    <w:lvl w:ilvl="0" w:tplc="04090001">
      <w:start w:val="1"/>
      <w:numFmt w:val="bullet"/>
      <w:pStyle w:val="ListNumber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A75434"/>
    <w:multiLevelType w:val="hybridMultilevel"/>
    <w:tmpl w:val="1F682A8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DB66A5"/>
    <w:multiLevelType w:val="hybridMultilevel"/>
    <w:tmpl w:val="41C0C684"/>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6"/>
  </w:num>
  <w:num w:numId="4">
    <w:abstractNumId w:val="21"/>
  </w:num>
  <w:num w:numId="5">
    <w:abstractNumId w:val="37"/>
  </w:num>
  <w:num w:numId="6">
    <w:abstractNumId w:val="2"/>
  </w:num>
  <w:num w:numId="7">
    <w:abstractNumId w:val="25"/>
  </w:num>
  <w:num w:numId="8">
    <w:abstractNumId w:val="10"/>
  </w:num>
  <w:num w:numId="9">
    <w:abstractNumId w:val="24"/>
  </w:num>
  <w:num w:numId="10">
    <w:abstractNumId w:val="19"/>
  </w:num>
  <w:num w:numId="11">
    <w:abstractNumId w:val="31"/>
  </w:num>
  <w:num w:numId="12">
    <w:abstractNumId w:val="32"/>
  </w:num>
  <w:num w:numId="13">
    <w:abstractNumId w:val="36"/>
  </w:num>
  <w:num w:numId="14">
    <w:abstractNumId w:val="35"/>
  </w:num>
  <w:num w:numId="15">
    <w:abstractNumId w:val="27"/>
  </w:num>
  <w:num w:numId="16">
    <w:abstractNumId w:val="9"/>
  </w:num>
  <w:num w:numId="17">
    <w:abstractNumId w:val="4"/>
  </w:num>
  <w:num w:numId="18">
    <w:abstractNumId w:val="12"/>
  </w:num>
  <w:num w:numId="19">
    <w:abstractNumId w:val="8"/>
  </w:num>
  <w:num w:numId="20">
    <w:abstractNumId w:val="7"/>
  </w:num>
  <w:num w:numId="21">
    <w:abstractNumId w:val="6"/>
  </w:num>
  <w:num w:numId="22">
    <w:abstractNumId w:val="5"/>
  </w:num>
  <w:num w:numId="23">
    <w:abstractNumId w:val="33"/>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3"/>
  </w:num>
  <w:num w:numId="27">
    <w:abstractNumId w:val="23"/>
  </w:num>
  <w:num w:numId="28">
    <w:abstractNumId w:val="28"/>
  </w:num>
  <w:num w:numId="29">
    <w:abstractNumId w:val="13"/>
  </w:num>
  <w:num w:numId="30">
    <w:abstractNumId w:val="20"/>
  </w:num>
  <w:num w:numId="31">
    <w:abstractNumId w:val="18"/>
  </w:num>
  <w:num w:numId="32">
    <w:abstractNumId w:val="39"/>
  </w:num>
  <w:num w:numId="33">
    <w:abstractNumId w:val="26"/>
  </w:num>
  <w:num w:numId="34">
    <w:abstractNumId w:val="1"/>
  </w:num>
  <w:num w:numId="35">
    <w:abstractNumId w:val="11"/>
  </w:num>
  <w:num w:numId="36">
    <w:abstractNumId w:val="15"/>
  </w:num>
  <w:num w:numId="37">
    <w:abstractNumId w:val="30"/>
  </w:num>
  <w:num w:numId="38">
    <w:abstractNumId w:val="29"/>
  </w:num>
  <w:num w:numId="39">
    <w:abstractNumId w:val="14"/>
  </w:num>
  <w:num w:numId="40">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ru-RU"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yMjE2NjY0NzUxMDFT0lEKTi0uzszPAykwNKsFAOfHWSMtAAAA"/>
  </w:docVars>
  <w:rsids>
    <w:rsidRoot w:val="00797049"/>
    <w:rsid w:val="000006E6"/>
    <w:rsid w:val="00000DE8"/>
    <w:rsid w:val="00001E72"/>
    <w:rsid w:val="000020A3"/>
    <w:rsid w:val="00002B05"/>
    <w:rsid w:val="00006271"/>
    <w:rsid w:val="00010E52"/>
    <w:rsid w:val="00012D78"/>
    <w:rsid w:val="000137AC"/>
    <w:rsid w:val="00013A0B"/>
    <w:rsid w:val="00014DAA"/>
    <w:rsid w:val="00015AE1"/>
    <w:rsid w:val="00015B4B"/>
    <w:rsid w:val="00016066"/>
    <w:rsid w:val="00016287"/>
    <w:rsid w:val="000169B7"/>
    <w:rsid w:val="00017C48"/>
    <w:rsid w:val="00022AB8"/>
    <w:rsid w:val="00024FE3"/>
    <w:rsid w:val="000255B9"/>
    <w:rsid w:val="00025932"/>
    <w:rsid w:val="000260F7"/>
    <w:rsid w:val="000272D5"/>
    <w:rsid w:val="000274D2"/>
    <w:rsid w:val="000306FA"/>
    <w:rsid w:val="000309BB"/>
    <w:rsid w:val="00030D5A"/>
    <w:rsid w:val="00031CC2"/>
    <w:rsid w:val="00032157"/>
    <w:rsid w:val="000324A5"/>
    <w:rsid w:val="00032945"/>
    <w:rsid w:val="000335F3"/>
    <w:rsid w:val="00033627"/>
    <w:rsid w:val="000336DF"/>
    <w:rsid w:val="00033E00"/>
    <w:rsid w:val="00035AD8"/>
    <w:rsid w:val="00036356"/>
    <w:rsid w:val="00036738"/>
    <w:rsid w:val="00036DD7"/>
    <w:rsid w:val="00040056"/>
    <w:rsid w:val="00040ACE"/>
    <w:rsid w:val="00041AF9"/>
    <w:rsid w:val="00042597"/>
    <w:rsid w:val="00043758"/>
    <w:rsid w:val="000439A4"/>
    <w:rsid w:val="000459FA"/>
    <w:rsid w:val="00045A4B"/>
    <w:rsid w:val="0004613A"/>
    <w:rsid w:val="0004623F"/>
    <w:rsid w:val="000466D1"/>
    <w:rsid w:val="00046CA9"/>
    <w:rsid w:val="00046DD1"/>
    <w:rsid w:val="000520F8"/>
    <w:rsid w:val="000524AA"/>
    <w:rsid w:val="00052735"/>
    <w:rsid w:val="00053A8F"/>
    <w:rsid w:val="00055592"/>
    <w:rsid w:val="00055B7C"/>
    <w:rsid w:val="000569AA"/>
    <w:rsid w:val="00056B85"/>
    <w:rsid w:val="00056C94"/>
    <w:rsid w:val="00057B4C"/>
    <w:rsid w:val="00057F4B"/>
    <w:rsid w:val="000604DA"/>
    <w:rsid w:val="00063378"/>
    <w:rsid w:val="0006370D"/>
    <w:rsid w:val="00063F83"/>
    <w:rsid w:val="00064A3A"/>
    <w:rsid w:val="00065017"/>
    <w:rsid w:val="00065B13"/>
    <w:rsid w:val="00067011"/>
    <w:rsid w:val="00067709"/>
    <w:rsid w:val="0007083B"/>
    <w:rsid w:val="0007126F"/>
    <w:rsid w:val="00071E66"/>
    <w:rsid w:val="000733FF"/>
    <w:rsid w:val="00074995"/>
    <w:rsid w:val="00074B8A"/>
    <w:rsid w:val="0007697A"/>
    <w:rsid w:val="00076C95"/>
    <w:rsid w:val="00077C67"/>
    <w:rsid w:val="00083E78"/>
    <w:rsid w:val="000840EF"/>
    <w:rsid w:val="000843CA"/>
    <w:rsid w:val="00084834"/>
    <w:rsid w:val="0008543E"/>
    <w:rsid w:val="00092829"/>
    <w:rsid w:val="000962C5"/>
    <w:rsid w:val="00096BBB"/>
    <w:rsid w:val="000971EA"/>
    <w:rsid w:val="0009786B"/>
    <w:rsid w:val="000A195A"/>
    <w:rsid w:val="000A1B24"/>
    <w:rsid w:val="000A2ED6"/>
    <w:rsid w:val="000A3003"/>
    <w:rsid w:val="000A3531"/>
    <w:rsid w:val="000A4EC1"/>
    <w:rsid w:val="000A518D"/>
    <w:rsid w:val="000A5857"/>
    <w:rsid w:val="000A663B"/>
    <w:rsid w:val="000A7001"/>
    <w:rsid w:val="000A78FC"/>
    <w:rsid w:val="000A7CED"/>
    <w:rsid w:val="000B0B28"/>
    <w:rsid w:val="000B10CF"/>
    <w:rsid w:val="000B1DF5"/>
    <w:rsid w:val="000B2938"/>
    <w:rsid w:val="000B3461"/>
    <w:rsid w:val="000B3740"/>
    <w:rsid w:val="000B38A6"/>
    <w:rsid w:val="000B39F2"/>
    <w:rsid w:val="000B4DB4"/>
    <w:rsid w:val="000B544A"/>
    <w:rsid w:val="000B5661"/>
    <w:rsid w:val="000B590C"/>
    <w:rsid w:val="000B5A70"/>
    <w:rsid w:val="000B5EDA"/>
    <w:rsid w:val="000B755E"/>
    <w:rsid w:val="000C01FD"/>
    <w:rsid w:val="000C07AF"/>
    <w:rsid w:val="000C1D88"/>
    <w:rsid w:val="000C3BEC"/>
    <w:rsid w:val="000C44D1"/>
    <w:rsid w:val="000C4B58"/>
    <w:rsid w:val="000C5935"/>
    <w:rsid w:val="000C6FA1"/>
    <w:rsid w:val="000D0544"/>
    <w:rsid w:val="000D0E36"/>
    <w:rsid w:val="000D2C56"/>
    <w:rsid w:val="000D310F"/>
    <w:rsid w:val="000D3771"/>
    <w:rsid w:val="000D410C"/>
    <w:rsid w:val="000D46CB"/>
    <w:rsid w:val="000D4F3F"/>
    <w:rsid w:val="000D5CE6"/>
    <w:rsid w:val="000D6108"/>
    <w:rsid w:val="000D6A65"/>
    <w:rsid w:val="000D6ED5"/>
    <w:rsid w:val="000D722D"/>
    <w:rsid w:val="000D7465"/>
    <w:rsid w:val="000E0422"/>
    <w:rsid w:val="000E150F"/>
    <w:rsid w:val="000E1C07"/>
    <w:rsid w:val="000E2A0C"/>
    <w:rsid w:val="000E3447"/>
    <w:rsid w:val="000E50E4"/>
    <w:rsid w:val="000E5602"/>
    <w:rsid w:val="000E5CD1"/>
    <w:rsid w:val="000E5E6B"/>
    <w:rsid w:val="000E6525"/>
    <w:rsid w:val="000E7DFE"/>
    <w:rsid w:val="000F00CC"/>
    <w:rsid w:val="000F1DD8"/>
    <w:rsid w:val="000F26D4"/>
    <w:rsid w:val="000F28C3"/>
    <w:rsid w:val="000F44A7"/>
    <w:rsid w:val="000F4634"/>
    <w:rsid w:val="000F4925"/>
    <w:rsid w:val="000F5304"/>
    <w:rsid w:val="000F569C"/>
    <w:rsid w:val="000F647E"/>
    <w:rsid w:val="000F67F8"/>
    <w:rsid w:val="000F6AAC"/>
    <w:rsid w:val="000F6F06"/>
    <w:rsid w:val="000F7989"/>
    <w:rsid w:val="00100974"/>
    <w:rsid w:val="00101941"/>
    <w:rsid w:val="00101E69"/>
    <w:rsid w:val="001024EF"/>
    <w:rsid w:val="0010272F"/>
    <w:rsid w:val="00102974"/>
    <w:rsid w:val="001050DB"/>
    <w:rsid w:val="0010533C"/>
    <w:rsid w:val="00105E58"/>
    <w:rsid w:val="0010617D"/>
    <w:rsid w:val="001077E6"/>
    <w:rsid w:val="0011280A"/>
    <w:rsid w:val="00112B29"/>
    <w:rsid w:val="00112B6F"/>
    <w:rsid w:val="001138AE"/>
    <w:rsid w:val="001148BC"/>
    <w:rsid w:val="00114C7A"/>
    <w:rsid w:val="0011558D"/>
    <w:rsid w:val="00115D0E"/>
    <w:rsid w:val="001162EE"/>
    <w:rsid w:val="00117995"/>
    <w:rsid w:val="00120EF7"/>
    <w:rsid w:val="001216F1"/>
    <w:rsid w:val="001218D4"/>
    <w:rsid w:val="00123DB2"/>
    <w:rsid w:val="00123DFA"/>
    <w:rsid w:val="001242B4"/>
    <w:rsid w:val="00124DCA"/>
    <w:rsid w:val="001252B9"/>
    <w:rsid w:val="00125B23"/>
    <w:rsid w:val="00125E3B"/>
    <w:rsid w:val="00126765"/>
    <w:rsid w:val="001268CA"/>
    <w:rsid w:val="00127CF3"/>
    <w:rsid w:val="00127F10"/>
    <w:rsid w:val="0013006E"/>
    <w:rsid w:val="001311AC"/>
    <w:rsid w:val="00131770"/>
    <w:rsid w:val="00131B9B"/>
    <w:rsid w:val="00132FE3"/>
    <w:rsid w:val="001341ED"/>
    <w:rsid w:val="00134DD9"/>
    <w:rsid w:val="001362F0"/>
    <w:rsid w:val="00136E03"/>
    <w:rsid w:val="00137637"/>
    <w:rsid w:val="00137728"/>
    <w:rsid w:val="00137A2E"/>
    <w:rsid w:val="00137E4E"/>
    <w:rsid w:val="00140B2E"/>
    <w:rsid w:val="0014139B"/>
    <w:rsid w:val="00141FEF"/>
    <w:rsid w:val="00142AC7"/>
    <w:rsid w:val="001436CE"/>
    <w:rsid w:val="00144B54"/>
    <w:rsid w:val="00145836"/>
    <w:rsid w:val="0014590C"/>
    <w:rsid w:val="001459BF"/>
    <w:rsid w:val="00145DF8"/>
    <w:rsid w:val="001460C0"/>
    <w:rsid w:val="00147A94"/>
    <w:rsid w:val="00150ED1"/>
    <w:rsid w:val="0015100B"/>
    <w:rsid w:val="00151326"/>
    <w:rsid w:val="00152223"/>
    <w:rsid w:val="0015261E"/>
    <w:rsid w:val="00152E92"/>
    <w:rsid w:val="0015349A"/>
    <w:rsid w:val="00154C34"/>
    <w:rsid w:val="001550BB"/>
    <w:rsid w:val="001553F6"/>
    <w:rsid w:val="00155FA6"/>
    <w:rsid w:val="001603E0"/>
    <w:rsid w:val="001607FC"/>
    <w:rsid w:val="001608D7"/>
    <w:rsid w:val="001617F0"/>
    <w:rsid w:val="00161B7E"/>
    <w:rsid w:val="00162C43"/>
    <w:rsid w:val="00163DD6"/>
    <w:rsid w:val="0016454D"/>
    <w:rsid w:val="00165C22"/>
    <w:rsid w:val="00165F2B"/>
    <w:rsid w:val="001704C6"/>
    <w:rsid w:val="00170609"/>
    <w:rsid w:val="00170F63"/>
    <w:rsid w:val="00171837"/>
    <w:rsid w:val="001721D8"/>
    <w:rsid w:val="001737A3"/>
    <w:rsid w:val="00174752"/>
    <w:rsid w:val="00174D57"/>
    <w:rsid w:val="00174EDF"/>
    <w:rsid w:val="00175636"/>
    <w:rsid w:val="00176B54"/>
    <w:rsid w:val="00177234"/>
    <w:rsid w:val="001773C9"/>
    <w:rsid w:val="00177DD2"/>
    <w:rsid w:val="00180D37"/>
    <w:rsid w:val="00181D1B"/>
    <w:rsid w:val="00181FA8"/>
    <w:rsid w:val="00183419"/>
    <w:rsid w:val="00184075"/>
    <w:rsid w:val="001840C4"/>
    <w:rsid w:val="0018553E"/>
    <w:rsid w:val="00186479"/>
    <w:rsid w:val="001870DE"/>
    <w:rsid w:val="00187D83"/>
    <w:rsid w:val="00190BD7"/>
    <w:rsid w:val="00192E23"/>
    <w:rsid w:val="0019320C"/>
    <w:rsid w:val="00193EC0"/>
    <w:rsid w:val="00194096"/>
    <w:rsid w:val="001956F9"/>
    <w:rsid w:val="00195E62"/>
    <w:rsid w:val="00196F94"/>
    <w:rsid w:val="001A00A7"/>
    <w:rsid w:val="001A035D"/>
    <w:rsid w:val="001A04CA"/>
    <w:rsid w:val="001A1222"/>
    <w:rsid w:val="001A3D0D"/>
    <w:rsid w:val="001A51FE"/>
    <w:rsid w:val="001B0A09"/>
    <w:rsid w:val="001B3328"/>
    <w:rsid w:val="001B3D27"/>
    <w:rsid w:val="001B4CA8"/>
    <w:rsid w:val="001B645B"/>
    <w:rsid w:val="001B67D3"/>
    <w:rsid w:val="001B6E46"/>
    <w:rsid w:val="001B6F54"/>
    <w:rsid w:val="001B7533"/>
    <w:rsid w:val="001C179C"/>
    <w:rsid w:val="001C293A"/>
    <w:rsid w:val="001C42A2"/>
    <w:rsid w:val="001C6110"/>
    <w:rsid w:val="001C6A81"/>
    <w:rsid w:val="001C72D2"/>
    <w:rsid w:val="001C7B88"/>
    <w:rsid w:val="001C7C49"/>
    <w:rsid w:val="001D02F2"/>
    <w:rsid w:val="001D0341"/>
    <w:rsid w:val="001D0812"/>
    <w:rsid w:val="001D2A56"/>
    <w:rsid w:val="001D320E"/>
    <w:rsid w:val="001D38A0"/>
    <w:rsid w:val="001D4171"/>
    <w:rsid w:val="001D58B7"/>
    <w:rsid w:val="001D5AEF"/>
    <w:rsid w:val="001D71BB"/>
    <w:rsid w:val="001D775A"/>
    <w:rsid w:val="001E0A11"/>
    <w:rsid w:val="001E1744"/>
    <w:rsid w:val="001E1F98"/>
    <w:rsid w:val="001E28C8"/>
    <w:rsid w:val="001E3615"/>
    <w:rsid w:val="001E3C95"/>
    <w:rsid w:val="001E558B"/>
    <w:rsid w:val="001E604A"/>
    <w:rsid w:val="001E71D5"/>
    <w:rsid w:val="001E7781"/>
    <w:rsid w:val="001F1366"/>
    <w:rsid w:val="001F1E43"/>
    <w:rsid w:val="001F2ECD"/>
    <w:rsid w:val="001F3146"/>
    <w:rsid w:val="001F50C9"/>
    <w:rsid w:val="001F5119"/>
    <w:rsid w:val="001F5F21"/>
    <w:rsid w:val="001F728D"/>
    <w:rsid w:val="00200092"/>
    <w:rsid w:val="00200379"/>
    <w:rsid w:val="00200942"/>
    <w:rsid w:val="00201191"/>
    <w:rsid w:val="00201456"/>
    <w:rsid w:val="00201BEA"/>
    <w:rsid w:val="00202051"/>
    <w:rsid w:val="00202977"/>
    <w:rsid w:val="00202F36"/>
    <w:rsid w:val="00203015"/>
    <w:rsid w:val="002039D9"/>
    <w:rsid w:val="00204287"/>
    <w:rsid w:val="00204479"/>
    <w:rsid w:val="00205955"/>
    <w:rsid w:val="00206218"/>
    <w:rsid w:val="00206C1B"/>
    <w:rsid w:val="002076A6"/>
    <w:rsid w:val="00207DB8"/>
    <w:rsid w:val="00210AD2"/>
    <w:rsid w:val="00210EBE"/>
    <w:rsid w:val="00211200"/>
    <w:rsid w:val="002122F3"/>
    <w:rsid w:val="00213E6E"/>
    <w:rsid w:val="002148DB"/>
    <w:rsid w:val="00214EDA"/>
    <w:rsid w:val="0021515B"/>
    <w:rsid w:val="00215B72"/>
    <w:rsid w:val="00217452"/>
    <w:rsid w:val="0022028E"/>
    <w:rsid w:val="00220464"/>
    <w:rsid w:val="00220F3A"/>
    <w:rsid w:val="002216E6"/>
    <w:rsid w:val="00222585"/>
    <w:rsid w:val="0022336F"/>
    <w:rsid w:val="00224134"/>
    <w:rsid w:val="0022473D"/>
    <w:rsid w:val="0022790B"/>
    <w:rsid w:val="00227A9D"/>
    <w:rsid w:val="00227AB9"/>
    <w:rsid w:val="00231E85"/>
    <w:rsid w:val="00233ECA"/>
    <w:rsid w:val="00234522"/>
    <w:rsid w:val="00234FB1"/>
    <w:rsid w:val="002364CD"/>
    <w:rsid w:val="00236EF5"/>
    <w:rsid w:val="00240B61"/>
    <w:rsid w:val="00241912"/>
    <w:rsid w:val="00242AB7"/>
    <w:rsid w:val="00243B8E"/>
    <w:rsid w:val="00244AC7"/>
    <w:rsid w:val="002466EA"/>
    <w:rsid w:val="00247B57"/>
    <w:rsid w:val="0025003D"/>
    <w:rsid w:val="0025015E"/>
    <w:rsid w:val="00252161"/>
    <w:rsid w:val="002532F1"/>
    <w:rsid w:val="0025348C"/>
    <w:rsid w:val="00253A76"/>
    <w:rsid w:val="00253B3A"/>
    <w:rsid w:val="00253C01"/>
    <w:rsid w:val="00253E50"/>
    <w:rsid w:val="00254B25"/>
    <w:rsid w:val="00254ECD"/>
    <w:rsid w:val="00256703"/>
    <w:rsid w:val="002567A4"/>
    <w:rsid w:val="0026139F"/>
    <w:rsid w:val="00262C32"/>
    <w:rsid w:val="00263BAD"/>
    <w:rsid w:val="0026427F"/>
    <w:rsid w:val="00264D12"/>
    <w:rsid w:val="002661A7"/>
    <w:rsid w:val="0026699A"/>
    <w:rsid w:val="00266F9F"/>
    <w:rsid w:val="00267430"/>
    <w:rsid w:val="00270295"/>
    <w:rsid w:val="002704DB"/>
    <w:rsid w:val="002716C6"/>
    <w:rsid w:val="00271C31"/>
    <w:rsid w:val="00272BBA"/>
    <w:rsid w:val="0027332F"/>
    <w:rsid w:val="00274030"/>
    <w:rsid w:val="002741A2"/>
    <w:rsid w:val="00274A67"/>
    <w:rsid w:val="00275190"/>
    <w:rsid w:val="00275739"/>
    <w:rsid w:val="0027579B"/>
    <w:rsid w:val="00275AE8"/>
    <w:rsid w:val="00276402"/>
    <w:rsid w:val="00276F63"/>
    <w:rsid w:val="00280A6D"/>
    <w:rsid w:val="00280CDF"/>
    <w:rsid w:val="00280FC2"/>
    <w:rsid w:val="002826CE"/>
    <w:rsid w:val="00282C9C"/>
    <w:rsid w:val="00284191"/>
    <w:rsid w:val="00285C20"/>
    <w:rsid w:val="002860F8"/>
    <w:rsid w:val="002863C3"/>
    <w:rsid w:val="002879DB"/>
    <w:rsid w:val="00290433"/>
    <w:rsid w:val="002905C9"/>
    <w:rsid w:val="0029061D"/>
    <w:rsid w:val="00291CBC"/>
    <w:rsid w:val="002927F6"/>
    <w:rsid w:val="00292BCF"/>
    <w:rsid w:val="00293EB8"/>
    <w:rsid w:val="0029458E"/>
    <w:rsid w:val="002979AC"/>
    <w:rsid w:val="00297E37"/>
    <w:rsid w:val="002A2B8C"/>
    <w:rsid w:val="002A36D3"/>
    <w:rsid w:val="002A409F"/>
    <w:rsid w:val="002A6857"/>
    <w:rsid w:val="002A6B84"/>
    <w:rsid w:val="002A6C79"/>
    <w:rsid w:val="002A7232"/>
    <w:rsid w:val="002B0CFF"/>
    <w:rsid w:val="002B14D4"/>
    <w:rsid w:val="002B1550"/>
    <w:rsid w:val="002B16E7"/>
    <w:rsid w:val="002B176D"/>
    <w:rsid w:val="002B1F42"/>
    <w:rsid w:val="002B1F9D"/>
    <w:rsid w:val="002B36DA"/>
    <w:rsid w:val="002B3805"/>
    <w:rsid w:val="002B4647"/>
    <w:rsid w:val="002B469E"/>
    <w:rsid w:val="002B52B8"/>
    <w:rsid w:val="002B54DB"/>
    <w:rsid w:val="002B5E97"/>
    <w:rsid w:val="002B6728"/>
    <w:rsid w:val="002B732A"/>
    <w:rsid w:val="002B77D1"/>
    <w:rsid w:val="002B7BA0"/>
    <w:rsid w:val="002C0AD2"/>
    <w:rsid w:val="002C0C52"/>
    <w:rsid w:val="002C0CB5"/>
    <w:rsid w:val="002C13A3"/>
    <w:rsid w:val="002C1A76"/>
    <w:rsid w:val="002C25D1"/>
    <w:rsid w:val="002C3436"/>
    <w:rsid w:val="002C3B67"/>
    <w:rsid w:val="002C3EC4"/>
    <w:rsid w:val="002C3FEF"/>
    <w:rsid w:val="002C4928"/>
    <w:rsid w:val="002C5470"/>
    <w:rsid w:val="002C5640"/>
    <w:rsid w:val="002C69B3"/>
    <w:rsid w:val="002C7197"/>
    <w:rsid w:val="002D0105"/>
    <w:rsid w:val="002D2BFB"/>
    <w:rsid w:val="002D318D"/>
    <w:rsid w:val="002D385F"/>
    <w:rsid w:val="002D42E1"/>
    <w:rsid w:val="002D475F"/>
    <w:rsid w:val="002D47AE"/>
    <w:rsid w:val="002D49B9"/>
    <w:rsid w:val="002D50B2"/>
    <w:rsid w:val="002D7078"/>
    <w:rsid w:val="002E0420"/>
    <w:rsid w:val="002E04BB"/>
    <w:rsid w:val="002E0CE3"/>
    <w:rsid w:val="002E1718"/>
    <w:rsid w:val="002E1FF2"/>
    <w:rsid w:val="002E222C"/>
    <w:rsid w:val="002E248F"/>
    <w:rsid w:val="002E3364"/>
    <w:rsid w:val="002E35EF"/>
    <w:rsid w:val="002E3746"/>
    <w:rsid w:val="002E3CFC"/>
    <w:rsid w:val="002E5484"/>
    <w:rsid w:val="002E5B35"/>
    <w:rsid w:val="002E5F43"/>
    <w:rsid w:val="002E6934"/>
    <w:rsid w:val="002E6D1F"/>
    <w:rsid w:val="002E6D91"/>
    <w:rsid w:val="002E7E81"/>
    <w:rsid w:val="002F1276"/>
    <w:rsid w:val="002F2911"/>
    <w:rsid w:val="002F2E15"/>
    <w:rsid w:val="002F4CC9"/>
    <w:rsid w:val="002F7F16"/>
    <w:rsid w:val="0030089D"/>
    <w:rsid w:val="00301463"/>
    <w:rsid w:val="00301E35"/>
    <w:rsid w:val="0030288E"/>
    <w:rsid w:val="003030E9"/>
    <w:rsid w:val="00304202"/>
    <w:rsid w:val="00304985"/>
    <w:rsid w:val="00306071"/>
    <w:rsid w:val="0030630A"/>
    <w:rsid w:val="00306E5F"/>
    <w:rsid w:val="00307068"/>
    <w:rsid w:val="00310355"/>
    <w:rsid w:val="003105A0"/>
    <w:rsid w:val="00310C45"/>
    <w:rsid w:val="0031123A"/>
    <w:rsid w:val="00312F4E"/>
    <w:rsid w:val="003155FE"/>
    <w:rsid w:val="00315DDB"/>
    <w:rsid w:val="00317FEC"/>
    <w:rsid w:val="003207C4"/>
    <w:rsid w:val="00320C35"/>
    <w:rsid w:val="00323489"/>
    <w:rsid w:val="0032417B"/>
    <w:rsid w:val="00324F32"/>
    <w:rsid w:val="003256E1"/>
    <w:rsid w:val="00325EAB"/>
    <w:rsid w:val="003276B1"/>
    <w:rsid w:val="003277A6"/>
    <w:rsid w:val="00330051"/>
    <w:rsid w:val="00330F5C"/>
    <w:rsid w:val="00330FF2"/>
    <w:rsid w:val="00332F5A"/>
    <w:rsid w:val="003330BA"/>
    <w:rsid w:val="0033359C"/>
    <w:rsid w:val="00333BF3"/>
    <w:rsid w:val="00333CD8"/>
    <w:rsid w:val="00334FF8"/>
    <w:rsid w:val="003352B8"/>
    <w:rsid w:val="00335DAD"/>
    <w:rsid w:val="00335E75"/>
    <w:rsid w:val="00336757"/>
    <w:rsid w:val="00336AFC"/>
    <w:rsid w:val="00336C41"/>
    <w:rsid w:val="00336E7A"/>
    <w:rsid w:val="00340355"/>
    <w:rsid w:val="00342334"/>
    <w:rsid w:val="00342655"/>
    <w:rsid w:val="00343A3D"/>
    <w:rsid w:val="00344045"/>
    <w:rsid w:val="00344830"/>
    <w:rsid w:val="0034615F"/>
    <w:rsid w:val="003461C2"/>
    <w:rsid w:val="003468CB"/>
    <w:rsid w:val="003479DE"/>
    <w:rsid w:val="0035065C"/>
    <w:rsid w:val="003510B9"/>
    <w:rsid w:val="00352812"/>
    <w:rsid w:val="003529A3"/>
    <w:rsid w:val="00355C2A"/>
    <w:rsid w:val="003579AC"/>
    <w:rsid w:val="00360754"/>
    <w:rsid w:val="003616A1"/>
    <w:rsid w:val="003618D5"/>
    <w:rsid w:val="003633A8"/>
    <w:rsid w:val="003637A3"/>
    <w:rsid w:val="00363A18"/>
    <w:rsid w:val="00366425"/>
    <w:rsid w:val="00366A11"/>
    <w:rsid w:val="00366CFD"/>
    <w:rsid w:val="00367824"/>
    <w:rsid w:val="0037056F"/>
    <w:rsid w:val="00371033"/>
    <w:rsid w:val="003711D8"/>
    <w:rsid w:val="00371A0E"/>
    <w:rsid w:val="00371F25"/>
    <w:rsid w:val="00373BE9"/>
    <w:rsid w:val="00373D56"/>
    <w:rsid w:val="003756BB"/>
    <w:rsid w:val="00375C03"/>
    <w:rsid w:val="00376B1A"/>
    <w:rsid w:val="003777B9"/>
    <w:rsid w:val="00377D9F"/>
    <w:rsid w:val="00377E1E"/>
    <w:rsid w:val="00380137"/>
    <w:rsid w:val="00380C07"/>
    <w:rsid w:val="00380F46"/>
    <w:rsid w:val="003816A6"/>
    <w:rsid w:val="00381D4E"/>
    <w:rsid w:val="00381EDD"/>
    <w:rsid w:val="00382BAC"/>
    <w:rsid w:val="00383E1F"/>
    <w:rsid w:val="00384026"/>
    <w:rsid w:val="00384515"/>
    <w:rsid w:val="00384F61"/>
    <w:rsid w:val="003852E0"/>
    <w:rsid w:val="0038541A"/>
    <w:rsid w:val="00385A24"/>
    <w:rsid w:val="00385B7D"/>
    <w:rsid w:val="00386680"/>
    <w:rsid w:val="003866F8"/>
    <w:rsid w:val="00386775"/>
    <w:rsid w:val="003869CF"/>
    <w:rsid w:val="00387094"/>
    <w:rsid w:val="00387A44"/>
    <w:rsid w:val="00387B35"/>
    <w:rsid w:val="0039015B"/>
    <w:rsid w:val="00390AA0"/>
    <w:rsid w:val="00393642"/>
    <w:rsid w:val="00393930"/>
    <w:rsid w:val="003948E5"/>
    <w:rsid w:val="0039538A"/>
    <w:rsid w:val="00395722"/>
    <w:rsid w:val="00396340"/>
    <w:rsid w:val="00396800"/>
    <w:rsid w:val="00396B9D"/>
    <w:rsid w:val="00396D62"/>
    <w:rsid w:val="00396F3D"/>
    <w:rsid w:val="0039768E"/>
    <w:rsid w:val="00397D0C"/>
    <w:rsid w:val="003A0AE3"/>
    <w:rsid w:val="003A1248"/>
    <w:rsid w:val="003A1974"/>
    <w:rsid w:val="003A35B1"/>
    <w:rsid w:val="003A39D4"/>
    <w:rsid w:val="003A39F4"/>
    <w:rsid w:val="003A3FB3"/>
    <w:rsid w:val="003A6ABA"/>
    <w:rsid w:val="003B03B6"/>
    <w:rsid w:val="003B248B"/>
    <w:rsid w:val="003B3CCF"/>
    <w:rsid w:val="003B3D00"/>
    <w:rsid w:val="003B5984"/>
    <w:rsid w:val="003B5B09"/>
    <w:rsid w:val="003B60E6"/>
    <w:rsid w:val="003B6C1F"/>
    <w:rsid w:val="003B73BE"/>
    <w:rsid w:val="003C1037"/>
    <w:rsid w:val="003C1049"/>
    <w:rsid w:val="003C104E"/>
    <w:rsid w:val="003C2A0B"/>
    <w:rsid w:val="003C2A7D"/>
    <w:rsid w:val="003C2C07"/>
    <w:rsid w:val="003C49B8"/>
    <w:rsid w:val="003C4AE7"/>
    <w:rsid w:val="003C4B9F"/>
    <w:rsid w:val="003C55E0"/>
    <w:rsid w:val="003C5DC4"/>
    <w:rsid w:val="003C67DF"/>
    <w:rsid w:val="003C6FA6"/>
    <w:rsid w:val="003D0D20"/>
    <w:rsid w:val="003D1113"/>
    <w:rsid w:val="003D2724"/>
    <w:rsid w:val="003D3394"/>
    <w:rsid w:val="003D55F3"/>
    <w:rsid w:val="003D5869"/>
    <w:rsid w:val="003D5FE3"/>
    <w:rsid w:val="003D76C1"/>
    <w:rsid w:val="003D7AAF"/>
    <w:rsid w:val="003E04E7"/>
    <w:rsid w:val="003E12CE"/>
    <w:rsid w:val="003E312F"/>
    <w:rsid w:val="003E3683"/>
    <w:rsid w:val="003E371D"/>
    <w:rsid w:val="003E3750"/>
    <w:rsid w:val="003E3C9B"/>
    <w:rsid w:val="003E3E51"/>
    <w:rsid w:val="003E4DB6"/>
    <w:rsid w:val="003E55D3"/>
    <w:rsid w:val="003E57B8"/>
    <w:rsid w:val="003E640B"/>
    <w:rsid w:val="003E7A90"/>
    <w:rsid w:val="003E7D1D"/>
    <w:rsid w:val="003F01A2"/>
    <w:rsid w:val="003F4269"/>
    <w:rsid w:val="003F5310"/>
    <w:rsid w:val="003F56B1"/>
    <w:rsid w:val="003F5B19"/>
    <w:rsid w:val="003F6ECB"/>
    <w:rsid w:val="003F721E"/>
    <w:rsid w:val="00400538"/>
    <w:rsid w:val="004006D2"/>
    <w:rsid w:val="004013DE"/>
    <w:rsid w:val="00401C93"/>
    <w:rsid w:val="00403284"/>
    <w:rsid w:val="0040385C"/>
    <w:rsid w:val="004050EB"/>
    <w:rsid w:val="00406582"/>
    <w:rsid w:val="00407172"/>
    <w:rsid w:val="00410D53"/>
    <w:rsid w:val="00410DB2"/>
    <w:rsid w:val="00410DEF"/>
    <w:rsid w:val="004111E9"/>
    <w:rsid w:val="00411455"/>
    <w:rsid w:val="004118F0"/>
    <w:rsid w:val="004119EE"/>
    <w:rsid w:val="00411FBD"/>
    <w:rsid w:val="0041208E"/>
    <w:rsid w:val="00413039"/>
    <w:rsid w:val="00413D49"/>
    <w:rsid w:val="00414537"/>
    <w:rsid w:val="00414C71"/>
    <w:rsid w:val="00415A12"/>
    <w:rsid w:val="00415B3D"/>
    <w:rsid w:val="004202A9"/>
    <w:rsid w:val="00421233"/>
    <w:rsid w:val="00421267"/>
    <w:rsid w:val="00421E0C"/>
    <w:rsid w:val="00421FAF"/>
    <w:rsid w:val="00422399"/>
    <w:rsid w:val="00422633"/>
    <w:rsid w:val="00422E18"/>
    <w:rsid w:val="00422F3C"/>
    <w:rsid w:val="0042307B"/>
    <w:rsid w:val="004240F0"/>
    <w:rsid w:val="004242C1"/>
    <w:rsid w:val="00424517"/>
    <w:rsid w:val="004245AE"/>
    <w:rsid w:val="00424F05"/>
    <w:rsid w:val="00425264"/>
    <w:rsid w:val="004262B3"/>
    <w:rsid w:val="00426466"/>
    <w:rsid w:val="0042748E"/>
    <w:rsid w:val="00427858"/>
    <w:rsid w:val="00427E7D"/>
    <w:rsid w:val="00430371"/>
    <w:rsid w:val="0043062B"/>
    <w:rsid w:val="00431107"/>
    <w:rsid w:val="004314F0"/>
    <w:rsid w:val="0043218A"/>
    <w:rsid w:val="00432907"/>
    <w:rsid w:val="00434C03"/>
    <w:rsid w:val="00434D9C"/>
    <w:rsid w:val="00435CA6"/>
    <w:rsid w:val="004379F8"/>
    <w:rsid w:val="00440B9B"/>
    <w:rsid w:val="00440DD7"/>
    <w:rsid w:val="00442605"/>
    <w:rsid w:val="00442AEC"/>
    <w:rsid w:val="004442F2"/>
    <w:rsid w:val="004449E9"/>
    <w:rsid w:val="00445BF4"/>
    <w:rsid w:val="00446676"/>
    <w:rsid w:val="004468DB"/>
    <w:rsid w:val="00447339"/>
    <w:rsid w:val="00447F5E"/>
    <w:rsid w:val="004512D1"/>
    <w:rsid w:val="00451981"/>
    <w:rsid w:val="00451B8D"/>
    <w:rsid w:val="004527CB"/>
    <w:rsid w:val="0045341D"/>
    <w:rsid w:val="00453E27"/>
    <w:rsid w:val="00453F51"/>
    <w:rsid w:val="004546A2"/>
    <w:rsid w:val="00455182"/>
    <w:rsid w:val="00457C30"/>
    <w:rsid w:val="00461019"/>
    <w:rsid w:val="00464796"/>
    <w:rsid w:val="00464F5F"/>
    <w:rsid w:val="004652DD"/>
    <w:rsid w:val="00465CE2"/>
    <w:rsid w:val="004669FD"/>
    <w:rsid w:val="0046775B"/>
    <w:rsid w:val="00467AFF"/>
    <w:rsid w:val="0047017C"/>
    <w:rsid w:val="00471ACC"/>
    <w:rsid w:val="0047302B"/>
    <w:rsid w:val="004739FD"/>
    <w:rsid w:val="0047512E"/>
    <w:rsid w:val="0047598D"/>
    <w:rsid w:val="0047749A"/>
    <w:rsid w:val="004777A4"/>
    <w:rsid w:val="004801D0"/>
    <w:rsid w:val="0048081F"/>
    <w:rsid w:val="00480BCD"/>
    <w:rsid w:val="004819DA"/>
    <w:rsid w:val="00482291"/>
    <w:rsid w:val="004825B8"/>
    <w:rsid w:val="0048287C"/>
    <w:rsid w:val="00482C63"/>
    <w:rsid w:val="00483284"/>
    <w:rsid w:val="0048553F"/>
    <w:rsid w:val="00485BCD"/>
    <w:rsid w:val="004874B7"/>
    <w:rsid w:val="004904B2"/>
    <w:rsid w:val="004905E2"/>
    <w:rsid w:val="00491183"/>
    <w:rsid w:val="0049158C"/>
    <w:rsid w:val="004938BE"/>
    <w:rsid w:val="004940F0"/>
    <w:rsid w:val="00494380"/>
    <w:rsid w:val="00494FC0"/>
    <w:rsid w:val="00495774"/>
    <w:rsid w:val="00495EF3"/>
    <w:rsid w:val="00495F46"/>
    <w:rsid w:val="00496883"/>
    <w:rsid w:val="004974DC"/>
    <w:rsid w:val="004A02EE"/>
    <w:rsid w:val="004A1D96"/>
    <w:rsid w:val="004A3031"/>
    <w:rsid w:val="004A3525"/>
    <w:rsid w:val="004A3CCD"/>
    <w:rsid w:val="004A3FB4"/>
    <w:rsid w:val="004A4F9E"/>
    <w:rsid w:val="004A5A65"/>
    <w:rsid w:val="004A605B"/>
    <w:rsid w:val="004A6C5A"/>
    <w:rsid w:val="004A6D12"/>
    <w:rsid w:val="004A6EEE"/>
    <w:rsid w:val="004B03A0"/>
    <w:rsid w:val="004B0B23"/>
    <w:rsid w:val="004B0CC8"/>
    <w:rsid w:val="004B1B7C"/>
    <w:rsid w:val="004B1F66"/>
    <w:rsid w:val="004B2A91"/>
    <w:rsid w:val="004B2F06"/>
    <w:rsid w:val="004B3192"/>
    <w:rsid w:val="004B3ED5"/>
    <w:rsid w:val="004B4045"/>
    <w:rsid w:val="004B4786"/>
    <w:rsid w:val="004B53A6"/>
    <w:rsid w:val="004B5EFA"/>
    <w:rsid w:val="004B6B15"/>
    <w:rsid w:val="004B6B1E"/>
    <w:rsid w:val="004B7060"/>
    <w:rsid w:val="004B77A8"/>
    <w:rsid w:val="004C07DE"/>
    <w:rsid w:val="004C0D78"/>
    <w:rsid w:val="004C1702"/>
    <w:rsid w:val="004C18C7"/>
    <w:rsid w:val="004C211C"/>
    <w:rsid w:val="004C2768"/>
    <w:rsid w:val="004C276F"/>
    <w:rsid w:val="004C28EA"/>
    <w:rsid w:val="004C35AB"/>
    <w:rsid w:val="004C43DB"/>
    <w:rsid w:val="004C541E"/>
    <w:rsid w:val="004C599B"/>
    <w:rsid w:val="004C7997"/>
    <w:rsid w:val="004D19A0"/>
    <w:rsid w:val="004D230C"/>
    <w:rsid w:val="004D33F0"/>
    <w:rsid w:val="004D3F5B"/>
    <w:rsid w:val="004D4156"/>
    <w:rsid w:val="004D461F"/>
    <w:rsid w:val="004D6726"/>
    <w:rsid w:val="004D728F"/>
    <w:rsid w:val="004D7572"/>
    <w:rsid w:val="004D7E44"/>
    <w:rsid w:val="004E0984"/>
    <w:rsid w:val="004E0A88"/>
    <w:rsid w:val="004E16D2"/>
    <w:rsid w:val="004E21EF"/>
    <w:rsid w:val="004E2E5D"/>
    <w:rsid w:val="004E34DB"/>
    <w:rsid w:val="004E4F1A"/>
    <w:rsid w:val="004E576E"/>
    <w:rsid w:val="004E57DB"/>
    <w:rsid w:val="004E5D95"/>
    <w:rsid w:val="004E601F"/>
    <w:rsid w:val="004E6AFD"/>
    <w:rsid w:val="004E7230"/>
    <w:rsid w:val="004E72CF"/>
    <w:rsid w:val="004E7B0F"/>
    <w:rsid w:val="004F1583"/>
    <w:rsid w:val="004F1AA1"/>
    <w:rsid w:val="004F1BF8"/>
    <w:rsid w:val="004F1C33"/>
    <w:rsid w:val="004F1EF3"/>
    <w:rsid w:val="004F287B"/>
    <w:rsid w:val="004F4240"/>
    <w:rsid w:val="004F4ADA"/>
    <w:rsid w:val="004F5192"/>
    <w:rsid w:val="004F59B9"/>
    <w:rsid w:val="004F70CB"/>
    <w:rsid w:val="00501568"/>
    <w:rsid w:val="005021DB"/>
    <w:rsid w:val="00502A14"/>
    <w:rsid w:val="00503B0C"/>
    <w:rsid w:val="00503C85"/>
    <w:rsid w:val="00504E10"/>
    <w:rsid w:val="005052DA"/>
    <w:rsid w:val="00505A5E"/>
    <w:rsid w:val="005060A6"/>
    <w:rsid w:val="005060D9"/>
    <w:rsid w:val="00506244"/>
    <w:rsid w:val="00506C1F"/>
    <w:rsid w:val="00506E75"/>
    <w:rsid w:val="00507140"/>
    <w:rsid w:val="00510260"/>
    <w:rsid w:val="005104C2"/>
    <w:rsid w:val="00510973"/>
    <w:rsid w:val="0051225A"/>
    <w:rsid w:val="00512282"/>
    <w:rsid w:val="00512429"/>
    <w:rsid w:val="00513541"/>
    <w:rsid w:val="00513D86"/>
    <w:rsid w:val="00514D6A"/>
    <w:rsid w:val="00515142"/>
    <w:rsid w:val="005153C0"/>
    <w:rsid w:val="00515E22"/>
    <w:rsid w:val="005164CE"/>
    <w:rsid w:val="00516C31"/>
    <w:rsid w:val="00517804"/>
    <w:rsid w:val="0052044C"/>
    <w:rsid w:val="00521287"/>
    <w:rsid w:val="00522B8F"/>
    <w:rsid w:val="00524A98"/>
    <w:rsid w:val="00524AB1"/>
    <w:rsid w:val="00524E61"/>
    <w:rsid w:val="00525362"/>
    <w:rsid w:val="0052577F"/>
    <w:rsid w:val="00525F7A"/>
    <w:rsid w:val="00526094"/>
    <w:rsid w:val="0052689F"/>
    <w:rsid w:val="00526F36"/>
    <w:rsid w:val="00527A51"/>
    <w:rsid w:val="00527B84"/>
    <w:rsid w:val="00527D14"/>
    <w:rsid w:val="0053028D"/>
    <w:rsid w:val="00530F17"/>
    <w:rsid w:val="00531815"/>
    <w:rsid w:val="005326D7"/>
    <w:rsid w:val="00534798"/>
    <w:rsid w:val="00534C06"/>
    <w:rsid w:val="00534F4E"/>
    <w:rsid w:val="005351A0"/>
    <w:rsid w:val="0053595C"/>
    <w:rsid w:val="005375DF"/>
    <w:rsid w:val="00537B19"/>
    <w:rsid w:val="00540609"/>
    <w:rsid w:val="00541C08"/>
    <w:rsid w:val="00543E3A"/>
    <w:rsid w:val="005444CD"/>
    <w:rsid w:val="005457D2"/>
    <w:rsid w:val="00545F19"/>
    <w:rsid w:val="00546453"/>
    <w:rsid w:val="005478EF"/>
    <w:rsid w:val="00547D89"/>
    <w:rsid w:val="00550474"/>
    <w:rsid w:val="00551263"/>
    <w:rsid w:val="0055152E"/>
    <w:rsid w:val="0055280A"/>
    <w:rsid w:val="00552B30"/>
    <w:rsid w:val="005552E3"/>
    <w:rsid w:val="0055693E"/>
    <w:rsid w:val="005569E7"/>
    <w:rsid w:val="00560635"/>
    <w:rsid w:val="00560CAC"/>
    <w:rsid w:val="00562D11"/>
    <w:rsid w:val="00562D74"/>
    <w:rsid w:val="00562F88"/>
    <w:rsid w:val="00563037"/>
    <w:rsid w:val="00563F10"/>
    <w:rsid w:val="00564155"/>
    <w:rsid w:val="00564540"/>
    <w:rsid w:val="00565BFB"/>
    <w:rsid w:val="005674A7"/>
    <w:rsid w:val="0057091A"/>
    <w:rsid w:val="005714F2"/>
    <w:rsid w:val="00571866"/>
    <w:rsid w:val="00571D45"/>
    <w:rsid w:val="00572619"/>
    <w:rsid w:val="00573009"/>
    <w:rsid w:val="005739CD"/>
    <w:rsid w:val="00574019"/>
    <w:rsid w:val="005744A5"/>
    <w:rsid w:val="005755FD"/>
    <w:rsid w:val="00575CD2"/>
    <w:rsid w:val="00577BF9"/>
    <w:rsid w:val="00577C04"/>
    <w:rsid w:val="00577D6E"/>
    <w:rsid w:val="00580059"/>
    <w:rsid w:val="00580133"/>
    <w:rsid w:val="0058077B"/>
    <w:rsid w:val="00580E99"/>
    <w:rsid w:val="005813EB"/>
    <w:rsid w:val="0058170F"/>
    <w:rsid w:val="005817F0"/>
    <w:rsid w:val="005818F4"/>
    <w:rsid w:val="005820D7"/>
    <w:rsid w:val="005823F8"/>
    <w:rsid w:val="00583A8C"/>
    <w:rsid w:val="00586201"/>
    <w:rsid w:val="00587133"/>
    <w:rsid w:val="00587875"/>
    <w:rsid w:val="00591CC0"/>
    <w:rsid w:val="0059206E"/>
    <w:rsid w:val="0059589C"/>
    <w:rsid w:val="005965A2"/>
    <w:rsid w:val="0059669D"/>
    <w:rsid w:val="00597FE3"/>
    <w:rsid w:val="00597FF7"/>
    <w:rsid w:val="005A0495"/>
    <w:rsid w:val="005A1859"/>
    <w:rsid w:val="005A1958"/>
    <w:rsid w:val="005A1E5D"/>
    <w:rsid w:val="005A2B43"/>
    <w:rsid w:val="005A2FC0"/>
    <w:rsid w:val="005A3081"/>
    <w:rsid w:val="005A33CF"/>
    <w:rsid w:val="005A3946"/>
    <w:rsid w:val="005A3C17"/>
    <w:rsid w:val="005A4237"/>
    <w:rsid w:val="005A4830"/>
    <w:rsid w:val="005A52A6"/>
    <w:rsid w:val="005A5F68"/>
    <w:rsid w:val="005A611A"/>
    <w:rsid w:val="005A65E2"/>
    <w:rsid w:val="005A6DD6"/>
    <w:rsid w:val="005A7265"/>
    <w:rsid w:val="005A7294"/>
    <w:rsid w:val="005B0363"/>
    <w:rsid w:val="005B2030"/>
    <w:rsid w:val="005B2C3E"/>
    <w:rsid w:val="005B2E1E"/>
    <w:rsid w:val="005B35F3"/>
    <w:rsid w:val="005B3D0F"/>
    <w:rsid w:val="005B4B18"/>
    <w:rsid w:val="005B6328"/>
    <w:rsid w:val="005B6AAF"/>
    <w:rsid w:val="005B6D11"/>
    <w:rsid w:val="005B70AB"/>
    <w:rsid w:val="005B7DB6"/>
    <w:rsid w:val="005C11EC"/>
    <w:rsid w:val="005C2649"/>
    <w:rsid w:val="005C288D"/>
    <w:rsid w:val="005C2EFD"/>
    <w:rsid w:val="005C35FA"/>
    <w:rsid w:val="005C3ABF"/>
    <w:rsid w:val="005C40FB"/>
    <w:rsid w:val="005C4156"/>
    <w:rsid w:val="005C451A"/>
    <w:rsid w:val="005C499C"/>
    <w:rsid w:val="005C756A"/>
    <w:rsid w:val="005C77E2"/>
    <w:rsid w:val="005D0D13"/>
    <w:rsid w:val="005D0E66"/>
    <w:rsid w:val="005D223F"/>
    <w:rsid w:val="005D2EEE"/>
    <w:rsid w:val="005D4E88"/>
    <w:rsid w:val="005D621B"/>
    <w:rsid w:val="005D77C7"/>
    <w:rsid w:val="005E2598"/>
    <w:rsid w:val="005E2CDC"/>
    <w:rsid w:val="005E333F"/>
    <w:rsid w:val="005E65E7"/>
    <w:rsid w:val="005E78EA"/>
    <w:rsid w:val="005F0318"/>
    <w:rsid w:val="005F1B90"/>
    <w:rsid w:val="005F2182"/>
    <w:rsid w:val="005F26DA"/>
    <w:rsid w:val="005F2E61"/>
    <w:rsid w:val="005F3193"/>
    <w:rsid w:val="005F4510"/>
    <w:rsid w:val="005F5A7D"/>
    <w:rsid w:val="005F733E"/>
    <w:rsid w:val="005F7CEE"/>
    <w:rsid w:val="005F7E08"/>
    <w:rsid w:val="0060016D"/>
    <w:rsid w:val="00600D1C"/>
    <w:rsid w:val="00601439"/>
    <w:rsid w:val="00602019"/>
    <w:rsid w:val="00602766"/>
    <w:rsid w:val="006039A4"/>
    <w:rsid w:val="00603A8B"/>
    <w:rsid w:val="00603C5B"/>
    <w:rsid w:val="0060423A"/>
    <w:rsid w:val="006047A9"/>
    <w:rsid w:val="0060506F"/>
    <w:rsid w:val="00605489"/>
    <w:rsid w:val="00605BBE"/>
    <w:rsid w:val="00607145"/>
    <w:rsid w:val="00607898"/>
    <w:rsid w:val="006104B4"/>
    <w:rsid w:val="00610A75"/>
    <w:rsid w:val="00610F9D"/>
    <w:rsid w:val="0061107C"/>
    <w:rsid w:val="00611338"/>
    <w:rsid w:val="00611DA0"/>
    <w:rsid w:val="00611DAF"/>
    <w:rsid w:val="00612D57"/>
    <w:rsid w:val="00613408"/>
    <w:rsid w:val="00613492"/>
    <w:rsid w:val="00613CB3"/>
    <w:rsid w:val="0061413A"/>
    <w:rsid w:val="0061418F"/>
    <w:rsid w:val="00615D63"/>
    <w:rsid w:val="00616221"/>
    <w:rsid w:val="0061628B"/>
    <w:rsid w:val="00617CB9"/>
    <w:rsid w:val="006203A4"/>
    <w:rsid w:val="006205D2"/>
    <w:rsid w:val="00620844"/>
    <w:rsid w:val="0062169A"/>
    <w:rsid w:val="00621B32"/>
    <w:rsid w:val="00623484"/>
    <w:rsid w:val="00623B24"/>
    <w:rsid w:val="006244BF"/>
    <w:rsid w:val="00625DBF"/>
    <w:rsid w:val="00626314"/>
    <w:rsid w:val="00626AC4"/>
    <w:rsid w:val="00626E55"/>
    <w:rsid w:val="0062763C"/>
    <w:rsid w:val="00631EAD"/>
    <w:rsid w:val="0063370F"/>
    <w:rsid w:val="00633BAF"/>
    <w:rsid w:val="00634FC3"/>
    <w:rsid w:val="00636500"/>
    <w:rsid w:val="00637C64"/>
    <w:rsid w:val="00640567"/>
    <w:rsid w:val="00641419"/>
    <w:rsid w:val="00642E17"/>
    <w:rsid w:val="006437C7"/>
    <w:rsid w:val="00643C8D"/>
    <w:rsid w:val="00644ACF"/>
    <w:rsid w:val="00646A9B"/>
    <w:rsid w:val="00647E8A"/>
    <w:rsid w:val="00650ECB"/>
    <w:rsid w:val="00650F7F"/>
    <w:rsid w:val="0065245F"/>
    <w:rsid w:val="00652D12"/>
    <w:rsid w:val="00653585"/>
    <w:rsid w:val="0065364A"/>
    <w:rsid w:val="006566ED"/>
    <w:rsid w:val="0065728B"/>
    <w:rsid w:val="00657819"/>
    <w:rsid w:val="00660066"/>
    <w:rsid w:val="0066087D"/>
    <w:rsid w:val="00660CA2"/>
    <w:rsid w:val="006615AC"/>
    <w:rsid w:val="00661603"/>
    <w:rsid w:val="0066187F"/>
    <w:rsid w:val="00661D48"/>
    <w:rsid w:val="00663CE6"/>
    <w:rsid w:val="00665099"/>
    <w:rsid w:val="00665839"/>
    <w:rsid w:val="0066789A"/>
    <w:rsid w:val="006701F4"/>
    <w:rsid w:val="0067024C"/>
    <w:rsid w:val="006703FC"/>
    <w:rsid w:val="006715CE"/>
    <w:rsid w:val="00671AC9"/>
    <w:rsid w:val="00671F4B"/>
    <w:rsid w:val="00672D1F"/>
    <w:rsid w:val="0067426F"/>
    <w:rsid w:val="00674E64"/>
    <w:rsid w:val="006755A1"/>
    <w:rsid w:val="0067605A"/>
    <w:rsid w:val="00676837"/>
    <w:rsid w:val="00677296"/>
    <w:rsid w:val="006778F6"/>
    <w:rsid w:val="0068036B"/>
    <w:rsid w:val="00682BA0"/>
    <w:rsid w:val="00685C5A"/>
    <w:rsid w:val="00685E8A"/>
    <w:rsid w:val="00686BC1"/>
    <w:rsid w:val="00687260"/>
    <w:rsid w:val="006901BC"/>
    <w:rsid w:val="006902A1"/>
    <w:rsid w:val="0069096A"/>
    <w:rsid w:val="00691D63"/>
    <w:rsid w:val="006940F1"/>
    <w:rsid w:val="0069425C"/>
    <w:rsid w:val="0069448E"/>
    <w:rsid w:val="00695770"/>
    <w:rsid w:val="00695C78"/>
    <w:rsid w:val="00696F78"/>
    <w:rsid w:val="00697382"/>
    <w:rsid w:val="00697724"/>
    <w:rsid w:val="006A0140"/>
    <w:rsid w:val="006A138B"/>
    <w:rsid w:val="006A1BEF"/>
    <w:rsid w:val="006A28CE"/>
    <w:rsid w:val="006A48F5"/>
    <w:rsid w:val="006A4E10"/>
    <w:rsid w:val="006A60B5"/>
    <w:rsid w:val="006A66F4"/>
    <w:rsid w:val="006A789C"/>
    <w:rsid w:val="006A7A99"/>
    <w:rsid w:val="006B041F"/>
    <w:rsid w:val="006B051D"/>
    <w:rsid w:val="006B0787"/>
    <w:rsid w:val="006B0889"/>
    <w:rsid w:val="006B1227"/>
    <w:rsid w:val="006B314E"/>
    <w:rsid w:val="006B3D79"/>
    <w:rsid w:val="006B5B76"/>
    <w:rsid w:val="006B676B"/>
    <w:rsid w:val="006B6780"/>
    <w:rsid w:val="006B69D6"/>
    <w:rsid w:val="006B6A89"/>
    <w:rsid w:val="006C0E63"/>
    <w:rsid w:val="006C198C"/>
    <w:rsid w:val="006C1F01"/>
    <w:rsid w:val="006C20D0"/>
    <w:rsid w:val="006C20F6"/>
    <w:rsid w:val="006C2389"/>
    <w:rsid w:val="006C23AF"/>
    <w:rsid w:val="006C2F27"/>
    <w:rsid w:val="006C365B"/>
    <w:rsid w:val="006C46A3"/>
    <w:rsid w:val="006C4A33"/>
    <w:rsid w:val="006C547C"/>
    <w:rsid w:val="006C5944"/>
    <w:rsid w:val="006C5948"/>
    <w:rsid w:val="006C633C"/>
    <w:rsid w:val="006C63C9"/>
    <w:rsid w:val="006C7009"/>
    <w:rsid w:val="006C7B8D"/>
    <w:rsid w:val="006D0778"/>
    <w:rsid w:val="006D0C6D"/>
    <w:rsid w:val="006D0C7D"/>
    <w:rsid w:val="006D0F50"/>
    <w:rsid w:val="006D131B"/>
    <w:rsid w:val="006D1CBD"/>
    <w:rsid w:val="006D2BE2"/>
    <w:rsid w:val="006D5474"/>
    <w:rsid w:val="006D6696"/>
    <w:rsid w:val="006D67F5"/>
    <w:rsid w:val="006D690A"/>
    <w:rsid w:val="006D6D1D"/>
    <w:rsid w:val="006D72AC"/>
    <w:rsid w:val="006D787D"/>
    <w:rsid w:val="006D7F18"/>
    <w:rsid w:val="006E0F34"/>
    <w:rsid w:val="006E1AF2"/>
    <w:rsid w:val="006E2776"/>
    <w:rsid w:val="006E3D67"/>
    <w:rsid w:val="006E4BD3"/>
    <w:rsid w:val="006E68F3"/>
    <w:rsid w:val="006E6FF7"/>
    <w:rsid w:val="006E73FB"/>
    <w:rsid w:val="006E7673"/>
    <w:rsid w:val="006E778F"/>
    <w:rsid w:val="006F038E"/>
    <w:rsid w:val="006F0467"/>
    <w:rsid w:val="006F09C2"/>
    <w:rsid w:val="006F2955"/>
    <w:rsid w:val="006F4A7D"/>
    <w:rsid w:val="006F4BDE"/>
    <w:rsid w:val="006F5417"/>
    <w:rsid w:val="006F645D"/>
    <w:rsid w:val="006F6891"/>
    <w:rsid w:val="006F6D53"/>
    <w:rsid w:val="006F759C"/>
    <w:rsid w:val="00700E5A"/>
    <w:rsid w:val="00701EC8"/>
    <w:rsid w:val="0070260A"/>
    <w:rsid w:val="0070276C"/>
    <w:rsid w:val="0070417B"/>
    <w:rsid w:val="007042B6"/>
    <w:rsid w:val="00705918"/>
    <w:rsid w:val="00705B21"/>
    <w:rsid w:val="00706959"/>
    <w:rsid w:val="00707304"/>
    <w:rsid w:val="00710F0A"/>
    <w:rsid w:val="00710FE9"/>
    <w:rsid w:val="007117C2"/>
    <w:rsid w:val="00711974"/>
    <w:rsid w:val="00711AF5"/>
    <w:rsid w:val="00711F30"/>
    <w:rsid w:val="0071281F"/>
    <w:rsid w:val="0071335A"/>
    <w:rsid w:val="007141C1"/>
    <w:rsid w:val="00714796"/>
    <w:rsid w:val="00715B79"/>
    <w:rsid w:val="00715B97"/>
    <w:rsid w:val="00715D28"/>
    <w:rsid w:val="00715EA2"/>
    <w:rsid w:val="007160BB"/>
    <w:rsid w:val="007160E5"/>
    <w:rsid w:val="00716DC6"/>
    <w:rsid w:val="00720961"/>
    <w:rsid w:val="00721B88"/>
    <w:rsid w:val="00722515"/>
    <w:rsid w:val="00722715"/>
    <w:rsid w:val="007236D3"/>
    <w:rsid w:val="00724541"/>
    <w:rsid w:val="007246F3"/>
    <w:rsid w:val="007251A9"/>
    <w:rsid w:val="00725578"/>
    <w:rsid w:val="007262B8"/>
    <w:rsid w:val="007272B6"/>
    <w:rsid w:val="00727B35"/>
    <w:rsid w:val="00730771"/>
    <w:rsid w:val="00731814"/>
    <w:rsid w:val="0073236A"/>
    <w:rsid w:val="00732445"/>
    <w:rsid w:val="00734F86"/>
    <w:rsid w:val="00734FAD"/>
    <w:rsid w:val="007351E3"/>
    <w:rsid w:val="007357D6"/>
    <w:rsid w:val="00735C8F"/>
    <w:rsid w:val="00736876"/>
    <w:rsid w:val="0073704A"/>
    <w:rsid w:val="00740003"/>
    <w:rsid w:val="00740E58"/>
    <w:rsid w:val="00740EE7"/>
    <w:rsid w:val="00741267"/>
    <w:rsid w:val="00741890"/>
    <w:rsid w:val="00742053"/>
    <w:rsid w:val="007425E8"/>
    <w:rsid w:val="00743871"/>
    <w:rsid w:val="007448F7"/>
    <w:rsid w:val="007463A9"/>
    <w:rsid w:val="00746C5F"/>
    <w:rsid w:val="00747367"/>
    <w:rsid w:val="00747A4C"/>
    <w:rsid w:val="007505B1"/>
    <w:rsid w:val="00750ADF"/>
    <w:rsid w:val="007510F2"/>
    <w:rsid w:val="00753287"/>
    <w:rsid w:val="00753D07"/>
    <w:rsid w:val="0075409F"/>
    <w:rsid w:val="0075490C"/>
    <w:rsid w:val="0075494B"/>
    <w:rsid w:val="007553DD"/>
    <w:rsid w:val="0075602B"/>
    <w:rsid w:val="0075627A"/>
    <w:rsid w:val="00756FB1"/>
    <w:rsid w:val="007575CC"/>
    <w:rsid w:val="00757DEB"/>
    <w:rsid w:val="00760D38"/>
    <w:rsid w:val="007616DF"/>
    <w:rsid w:val="007622B6"/>
    <w:rsid w:val="007629CA"/>
    <w:rsid w:val="00762DE5"/>
    <w:rsid w:val="00763141"/>
    <w:rsid w:val="007639D9"/>
    <w:rsid w:val="00764B06"/>
    <w:rsid w:val="00765B8F"/>
    <w:rsid w:val="007661B3"/>
    <w:rsid w:val="00766476"/>
    <w:rsid w:val="00766F9D"/>
    <w:rsid w:val="0076756B"/>
    <w:rsid w:val="0076760C"/>
    <w:rsid w:val="00770530"/>
    <w:rsid w:val="00770694"/>
    <w:rsid w:val="007706DE"/>
    <w:rsid w:val="00770DE4"/>
    <w:rsid w:val="00772C60"/>
    <w:rsid w:val="00773DCC"/>
    <w:rsid w:val="00773F74"/>
    <w:rsid w:val="00774AF1"/>
    <w:rsid w:val="00776BD7"/>
    <w:rsid w:val="00781122"/>
    <w:rsid w:val="007821FB"/>
    <w:rsid w:val="00783C0A"/>
    <w:rsid w:val="00784623"/>
    <w:rsid w:val="00784ABE"/>
    <w:rsid w:val="00787889"/>
    <w:rsid w:val="007902D0"/>
    <w:rsid w:val="00790E54"/>
    <w:rsid w:val="00791E6E"/>
    <w:rsid w:val="00792ABB"/>
    <w:rsid w:val="00793CE4"/>
    <w:rsid w:val="00795A72"/>
    <w:rsid w:val="00795C03"/>
    <w:rsid w:val="00795D8E"/>
    <w:rsid w:val="007966E4"/>
    <w:rsid w:val="00796F9C"/>
    <w:rsid w:val="00797049"/>
    <w:rsid w:val="00797AE0"/>
    <w:rsid w:val="007A07E7"/>
    <w:rsid w:val="007A0E6C"/>
    <w:rsid w:val="007A0EB8"/>
    <w:rsid w:val="007A14A2"/>
    <w:rsid w:val="007A1539"/>
    <w:rsid w:val="007A17B7"/>
    <w:rsid w:val="007A2188"/>
    <w:rsid w:val="007A2496"/>
    <w:rsid w:val="007A25D3"/>
    <w:rsid w:val="007A25F4"/>
    <w:rsid w:val="007A28B9"/>
    <w:rsid w:val="007A2D0B"/>
    <w:rsid w:val="007A3D02"/>
    <w:rsid w:val="007A4B5B"/>
    <w:rsid w:val="007A4C17"/>
    <w:rsid w:val="007B25C2"/>
    <w:rsid w:val="007B2B5E"/>
    <w:rsid w:val="007B2ED1"/>
    <w:rsid w:val="007B59FE"/>
    <w:rsid w:val="007B61E5"/>
    <w:rsid w:val="007B69F9"/>
    <w:rsid w:val="007B6BFF"/>
    <w:rsid w:val="007B6F29"/>
    <w:rsid w:val="007B73C8"/>
    <w:rsid w:val="007C013F"/>
    <w:rsid w:val="007C0F14"/>
    <w:rsid w:val="007C1F34"/>
    <w:rsid w:val="007C2486"/>
    <w:rsid w:val="007C29DD"/>
    <w:rsid w:val="007C3538"/>
    <w:rsid w:val="007C46E3"/>
    <w:rsid w:val="007C56AD"/>
    <w:rsid w:val="007C56B7"/>
    <w:rsid w:val="007C7833"/>
    <w:rsid w:val="007C78CB"/>
    <w:rsid w:val="007C7DAA"/>
    <w:rsid w:val="007D09C0"/>
    <w:rsid w:val="007D1257"/>
    <w:rsid w:val="007D1B05"/>
    <w:rsid w:val="007D2445"/>
    <w:rsid w:val="007D28A5"/>
    <w:rsid w:val="007D322B"/>
    <w:rsid w:val="007D3416"/>
    <w:rsid w:val="007D3A61"/>
    <w:rsid w:val="007D4210"/>
    <w:rsid w:val="007D4DEA"/>
    <w:rsid w:val="007D5448"/>
    <w:rsid w:val="007D5C1A"/>
    <w:rsid w:val="007D74AC"/>
    <w:rsid w:val="007E0785"/>
    <w:rsid w:val="007E0C93"/>
    <w:rsid w:val="007E139D"/>
    <w:rsid w:val="007E1B95"/>
    <w:rsid w:val="007E1DAE"/>
    <w:rsid w:val="007E3D2B"/>
    <w:rsid w:val="007E5F3C"/>
    <w:rsid w:val="007E67A6"/>
    <w:rsid w:val="007E7295"/>
    <w:rsid w:val="007E7580"/>
    <w:rsid w:val="007F0C44"/>
    <w:rsid w:val="007F1CC6"/>
    <w:rsid w:val="007F285F"/>
    <w:rsid w:val="007F3B95"/>
    <w:rsid w:val="007F3F19"/>
    <w:rsid w:val="007F4277"/>
    <w:rsid w:val="007F4B6E"/>
    <w:rsid w:val="007F4E06"/>
    <w:rsid w:val="007F7835"/>
    <w:rsid w:val="007F7EB2"/>
    <w:rsid w:val="00800AF5"/>
    <w:rsid w:val="008023BD"/>
    <w:rsid w:val="0080326F"/>
    <w:rsid w:val="00803EE5"/>
    <w:rsid w:val="008044C8"/>
    <w:rsid w:val="0080459A"/>
    <w:rsid w:val="00805B73"/>
    <w:rsid w:val="00807C35"/>
    <w:rsid w:val="00807E41"/>
    <w:rsid w:val="008105F9"/>
    <w:rsid w:val="00810C28"/>
    <w:rsid w:val="00812DFA"/>
    <w:rsid w:val="008147CA"/>
    <w:rsid w:val="00814DDB"/>
    <w:rsid w:val="00816D03"/>
    <w:rsid w:val="008171A7"/>
    <w:rsid w:val="00817867"/>
    <w:rsid w:val="008207C1"/>
    <w:rsid w:val="00820CEB"/>
    <w:rsid w:val="0082139A"/>
    <w:rsid w:val="00821443"/>
    <w:rsid w:val="0082172D"/>
    <w:rsid w:val="008217AA"/>
    <w:rsid w:val="008226BC"/>
    <w:rsid w:val="00823AA0"/>
    <w:rsid w:val="00823CAB"/>
    <w:rsid w:val="00824676"/>
    <w:rsid w:val="00824BAC"/>
    <w:rsid w:val="00824C9A"/>
    <w:rsid w:val="00826441"/>
    <w:rsid w:val="00827887"/>
    <w:rsid w:val="00830135"/>
    <w:rsid w:val="00830D7D"/>
    <w:rsid w:val="00831C8B"/>
    <w:rsid w:val="00831FF9"/>
    <w:rsid w:val="00832BE1"/>
    <w:rsid w:val="00832DF3"/>
    <w:rsid w:val="00832EE5"/>
    <w:rsid w:val="008332B5"/>
    <w:rsid w:val="0083361C"/>
    <w:rsid w:val="008343A6"/>
    <w:rsid w:val="00834AB0"/>
    <w:rsid w:val="00835669"/>
    <w:rsid w:val="008365D0"/>
    <w:rsid w:val="008375C8"/>
    <w:rsid w:val="00841704"/>
    <w:rsid w:val="00841D37"/>
    <w:rsid w:val="00842861"/>
    <w:rsid w:val="00842EFE"/>
    <w:rsid w:val="008430DE"/>
    <w:rsid w:val="0084393C"/>
    <w:rsid w:val="00845CB0"/>
    <w:rsid w:val="0084640C"/>
    <w:rsid w:val="008507B8"/>
    <w:rsid w:val="0085116E"/>
    <w:rsid w:val="008528E5"/>
    <w:rsid w:val="00853323"/>
    <w:rsid w:val="00854FCC"/>
    <w:rsid w:val="00854FFB"/>
    <w:rsid w:val="00855174"/>
    <w:rsid w:val="00855B48"/>
    <w:rsid w:val="00856857"/>
    <w:rsid w:val="008579CF"/>
    <w:rsid w:val="00860A19"/>
    <w:rsid w:val="00861631"/>
    <w:rsid w:val="00861649"/>
    <w:rsid w:val="00862232"/>
    <w:rsid w:val="008636AC"/>
    <w:rsid w:val="008639E6"/>
    <w:rsid w:val="008641D5"/>
    <w:rsid w:val="00864523"/>
    <w:rsid w:val="00866085"/>
    <w:rsid w:val="00866D9B"/>
    <w:rsid w:val="0087003E"/>
    <w:rsid w:val="00872089"/>
    <w:rsid w:val="00872514"/>
    <w:rsid w:val="008725AF"/>
    <w:rsid w:val="00872CF4"/>
    <w:rsid w:val="0087346D"/>
    <w:rsid w:val="00874F24"/>
    <w:rsid w:val="0087526E"/>
    <w:rsid w:val="00877A7B"/>
    <w:rsid w:val="00880510"/>
    <w:rsid w:val="00881254"/>
    <w:rsid w:val="008821DB"/>
    <w:rsid w:val="008822C7"/>
    <w:rsid w:val="00882CA6"/>
    <w:rsid w:val="00883BA2"/>
    <w:rsid w:val="0088400F"/>
    <w:rsid w:val="008840E0"/>
    <w:rsid w:val="00885300"/>
    <w:rsid w:val="00885330"/>
    <w:rsid w:val="0088590A"/>
    <w:rsid w:val="00885D1E"/>
    <w:rsid w:val="00886871"/>
    <w:rsid w:val="00892A98"/>
    <w:rsid w:val="00893374"/>
    <w:rsid w:val="008933D8"/>
    <w:rsid w:val="008943C8"/>
    <w:rsid w:val="00896365"/>
    <w:rsid w:val="008979E5"/>
    <w:rsid w:val="00897ED1"/>
    <w:rsid w:val="008A012D"/>
    <w:rsid w:val="008A0C9D"/>
    <w:rsid w:val="008A11FA"/>
    <w:rsid w:val="008A1E98"/>
    <w:rsid w:val="008A1ECC"/>
    <w:rsid w:val="008A1EF9"/>
    <w:rsid w:val="008A214A"/>
    <w:rsid w:val="008A38D8"/>
    <w:rsid w:val="008A3BDF"/>
    <w:rsid w:val="008A3D21"/>
    <w:rsid w:val="008A4F01"/>
    <w:rsid w:val="008A5639"/>
    <w:rsid w:val="008A67EC"/>
    <w:rsid w:val="008A7E85"/>
    <w:rsid w:val="008B0404"/>
    <w:rsid w:val="008B0FB3"/>
    <w:rsid w:val="008B15E9"/>
    <w:rsid w:val="008B22E9"/>
    <w:rsid w:val="008B2D51"/>
    <w:rsid w:val="008B2FE3"/>
    <w:rsid w:val="008B38E4"/>
    <w:rsid w:val="008B3D55"/>
    <w:rsid w:val="008B4865"/>
    <w:rsid w:val="008B587D"/>
    <w:rsid w:val="008B5BFB"/>
    <w:rsid w:val="008B75A0"/>
    <w:rsid w:val="008C0397"/>
    <w:rsid w:val="008C17E2"/>
    <w:rsid w:val="008C213A"/>
    <w:rsid w:val="008C2B1A"/>
    <w:rsid w:val="008C3E07"/>
    <w:rsid w:val="008C40F2"/>
    <w:rsid w:val="008C46E1"/>
    <w:rsid w:val="008C50EA"/>
    <w:rsid w:val="008C55A2"/>
    <w:rsid w:val="008C56A3"/>
    <w:rsid w:val="008C56D0"/>
    <w:rsid w:val="008C5CE3"/>
    <w:rsid w:val="008C5D77"/>
    <w:rsid w:val="008D1A79"/>
    <w:rsid w:val="008D1F13"/>
    <w:rsid w:val="008D22C0"/>
    <w:rsid w:val="008D3366"/>
    <w:rsid w:val="008D39C4"/>
    <w:rsid w:val="008D4802"/>
    <w:rsid w:val="008D4F38"/>
    <w:rsid w:val="008D5B8D"/>
    <w:rsid w:val="008D691E"/>
    <w:rsid w:val="008D70DC"/>
    <w:rsid w:val="008D7594"/>
    <w:rsid w:val="008D78F3"/>
    <w:rsid w:val="008E197B"/>
    <w:rsid w:val="008E2121"/>
    <w:rsid w:val="008E2E8D"/>
    <w:rsid w:val="008E39EA"/>
    <w:rsid w:val="008E5060"/>
    <w:rsid w:val="008E68FA"/>
    <w:rsid w:val="008E6A75"/>
    <w:rsid w:val="008E74F9"/>
    <w:rsid w:val="008F0543"/>
    <w:rsid w:val="008F1F0C"/>
    <w:rsid w:val="008F22E0"/>
    <w:rsid w:val="008F3B6D"/>
    <w:rsid w:val="008F48D8"/>
    <w:rsid w:val="008F521E"/>
    <w:rsid w:val="008F657A"/>
    <w:rsid w:val="008F7B99"/>
    <w:rsid w:val="008F7C05"/>
    <w:rsid w:val="00900A02"/>
    <w:rsid w:val="0090303B"/>
    <w:rsid w:val="00903A11"/>
    <w:rsid w:val="00903F69"/>
    <w:rsid w:val="00904640"/>
    <w:rsid w:val="00905A9F"/>
    <w:rsid w:val="0090611F"/>
    <w:rsid w:val="00906D02"/>
    <w:rsid w:val="009103FF"/>
    <w:rsid w:val="009105E8"/>
    <w:rsid w:val="00912C05"/>
    <w:rsid w:val="00912CA5"/>
    <w:rsid w:val="00913C14"/>
    <w:rsid w:val="00914076"/>
    <w:rsid w:val="00915EC2"/>
    <w:rsid w:val="00916E48"/>
    <w:rsid w:val="00916F31"/>
    <w:rsid w:val="00921113"/>
    <w:rsid w:val="009235C5"/>
    <w:rsid w:val="00923D8E"/>
    <w:rsid w:val="00923E25"/>
    <w:rsid w:val="0092412B"/>
    <w:rsid w:val="009241A2"/>
    <w:rsid w:val="0092468C"/>
    <w:rsid w:val="00924BCA"/>
    <w:rsid w:val="00925F0C"/>
    <w:rsid w:val="00926192"/>
    <w:rsid w:val="00926304"/>
    <w:rsid w:val="009308CE"/>
    <w:rsid w:val="00930E1A"/>
    <w:rsid w:val="00930F9D"/>
    <w:rsid w:val="00932B4F"/>
    <w:rsid w:val="00932F88"/>
    <w:rsid w:val="009332DB"/>
    <w:rsid w:val="009333E2"/>
    <w:rsid w:val="0093362A"/>
    <w:rsid w:val="00933940"/>
    <w:rsid w:val="00933E3D"/>
    <w:rsid w:val="00933F5C"/>
    <w:rsid w:val="00935ECF"/>
    <w:rsid w:val="009366BF"/>
    <w:rsid w:val="00937854"/>
    <w:rsid w:val="00937BFB"/>
    <w:rsid w:val="00941155"/>
    <w:rsid w:val="00941F82"/>
    <w:rsid w:val="00942077"/>
    <w:rsid w:val="0094261C"/>
    <w:rsid w:val="0094566A"/>
    <w:rsid w:val="00945CCC"/>
    <w:rsid w:val="00946500"/>
    <w:rsid w:val="00950C47"/>
    <w:rsid w:val="00950FDE"/>
    <w:rsid w:val="009511B5"/>
    <w:rsid w:val="009517A7"/>
    <w:rsid w:val="00951CBF"/>
    <w:rsid w:val="00951FE0"/>
    <w:rsid w:val="00953198"/>
    <w:rsid w:val="00954295"/>
    <w:rsid w:val="00954D52"/>
    <w:rsid w:val="009551C8"/>
    <w:rsid w:val="0095591A"/>
    <w:rsid w:val="00955EB4"/>
    <w:rsid w:val="00956282"/>
    <w:rsid w:val="009562D9"/>
    <w:rsid w:val="0095794A"/>
    <w:rsid w:val="0096014E"/>
    <w:rsid w:val="009613EF"/>
    <w:rsid w:val="00961A04"/>
    <w:rsid w:val="00961D5A"/>
    <w:rsid w:val="00963514"/>
    <w:rsid w:val="0096436C"/>
    <w:rsid w:val="009653F7"/>
    <w:rsid w:val="009655A3"/>
    <w:rsid w:val="00966D98"/>
    <w:rsid w:val="00966F0C"/>
    <w:rsid w:val="00967283"/>
    <w:rsid w:val="00967A5D"/>
    <w:rsid w:val="00967E21"/>
    <w:rsid w:val="00970039"/>
    <w:rsid w:val="00970EFE"/>
    <w:rsid w:val="00970F0C"/>
    <w:rsid w:val="00971211"/>
    <w:rsid w:val="0097183A"/>
    <w:rsid w:val="00971CAE"/>
    <w:rsid w:val="009720B6"/>
    <w:rsid w:val="009720D6"/>
    <w:rsid w:val="009727B0"/>
    <w:rsid w:val="00973B05"/>
    <w:rsid w:val="00975218"/>
    <w:rsid w:val="009754B4"/>
    <w:rsid w:val="0097588D"/>
    <w:rsid w:val="009760C3"/>
    <w:rsid w:val="0098003B"/>
    <w:rsid w:val="00981B55"/>
    <w:rsid w:val="00981FDD"/>
    <w:rsid w:val="00982430"/>
    <w:rsid w:val="0098256F"/>
    <w:rsid w:val="009829C5"/>
    <w:rsid w:val="00982B31"/>
    <w:rsid w:val="00983920"/>
    <w:rsid w:val="00984CFE"/>
    <w:rsid w:val="009902EB"/>
    <w:rsid w:val="009910C5"/>
    <w:rsid w:val="00992527"/>
    <w:rsid w:val="00992B51"/>
    <w:rsid w:val="00992B59"/>
    <w:rsid w:val="0099332A"/>
    <w:rsid w:val="0099370B"/>
    <w:rsid w:val="009943B4"/>
    <w:rsid w:val="00994A6E"/>
    <w:rsid w:val="00995158"/>
    <w:rsid w:val="00995DD8"/>
    <w:rsid w:val="009A032C"/>
    <w:rsid w:val="009A1280"/>
    <w:rsid w:val="009A1321"/>
    <w:rsid w:val="009A1E48"/>
    <w:rsid w:val="009A2B9A"/>
    <w:rsid w:val="009A389E"/>
    <w:rsid w:val="009A431D"/>
    <w:rsid w:val="009A4EE8"/>
    <w:rsid w:val="009A5089"/>
    <w:rsid w:val="009A5C25"/>
    <w:rsid w:val="009B0814"/>
    <w:rsid w:val="009B241C"/>
    <w:rsid w:val="009B402F"/>
    <w:rsid w:val="009B4520"/>
    <w:rsid w:val="009B4A55"/>
    <w:rsid w:val="009B4C7F"/>
    <w:rsid w:val="009B5AAF"/>
    <w:rsid w:val="009B5C04"/>
    <w:rsid w:val="009B5DE5"/>
    <w:rsid w:val="009B7C2D"/>
    <w:rsid w:val="009C01B4"/>
    <w:rsid w:val="009C0A23"/>
    <w:rsid w:val="009C1A2C"/>
    <w:rsid w:val="009C1F49"/>
    <w:rsid w:val="009C2CAE"/>
    <w:rsid w:val="009C32E3"/>
    <w:rsid w:val="009C38FE"/>
    <w:rsid w:val="009C39F8"/>
    <w:rsid w:val="009C3E78"/>
    <w:rsid w:val="009C7740"/>
    <w:rsid w:val="009D0423"/>
    <w:rsid w:val="009D04A6"/>
    <w:rsid w:val="009D0C40"/>
    <w:rsid w:val="009D2C37"/>
    <w:rsid w:val="009D5767"/>
    <w:rsid w:val="009D6472"/>
    <w:rsid w:val="009D6798"/>
    <w:rsid w:val="009D6B48"/>
    <w:rsid w:val="009D7580"/>
    <w:rsid w:val="009D7735"/>
    <w:rsid w:val="009D7A09"/>
    <w:rsid w:val="009E0321"/>
    <w:rsid w:val="009E104C"/>
    <w:rsid w:val="009E1B81"/>
    <w:rsid w:val="009E1B88"/>
    <w:rsid w:val="009E2F75"/>
    <w:rsid w:val="009E33C6"/>
    <w:rsid w:val="009E3DAA"/>
    <w:rsid w:val="009E4346"/>
    <w:rsid w:val="009E51E9"/>
    <w:rsid w:val="009E5366"/>
    <w:rsid w:val="009E62DF"/>
    <w:rsid w:val="009E6E81"/>
    <w:rsid w:val="009E774C"/>
    <w:rsid w:val="009E7FB2"/>
    <w:rsid w:val="009F046A"/>
    <w:rsid w:val="009F2129"/>
    <w:rsid w:val="009F2410"/>
    <w:rsid w:val="009F2AAD"/>
    <w:rsid w:val="009F305C"/>
    <w:rsid w:val="009F3BD8"/>
    <w:rsid w:val="009F5B62"/>
    <w:rsid w:val="009F66D5"/>
    <w:rsid w:val="009F7FB9"/>
    <w:rsid w:val="00A00CD6"/>
    <w:rsid w:val="00A023EB"/>
    <w:rsid w:val="00A02C36"/>
    <w:rsid w:val="00A03A46"/>
    <w:rsid w:val="00A041F8"/>
    <w:rsid w:val="00A044A7"/>
    <w:rsid w:val="00A045E8"/>
    <w:rsid w:val="00A054A5"/>
    <w:rsid w:val="00A10098"/>
    <w:rsid w:val="00A1019B"/>
    <w:rsid w:val="00A121A1"/>
    <w:rsid w:val="00A13A51"/>
    <w:rsid w:val="00A13C50"/>
    <w:rsid w:val="00A13F5E"/>
    <w:rsid w:val="00A14016"/>
    <w:rsid w:val="00A14517"/>
    <w:rsid w:val="00A15448"/>
    <w:rsid w:val="00A17481"/>
    <w:rsid w:val="00A20EA4"/>
    <w:rsid w:val="00A20FB9"/>
    <w:rsid w:val="00A21968"/>
    <w:rsid w:val="00A22C37"/>
    <w:rsid w:val="00A22E60"/>
    <w:rsid w:val="00A242BF"/>
    <w:rsid w:val="00A258B2"/>
    <w:rsid w:val="00A2635B"/>
    <w:rsid w:val="00A30655"/>
    <w:rsid w:val="00A3375F"/>
    <w:rsid w:val="00A34CAE"/>
    <w:rsid w:val="00A34F5F"/>
    <w:rsid w:val="00A3594A"/>
    <w:rsid w:val="00A362E6"/>
    <w:rsid w:val="00A364FA"/>
    <w:rsid w:val="00A36CC0"/>
    <w:rsid w:val="00A37211"/>
    <w:rsid w:val="00A37F3E"/>
    <w:rsid w:val="00A409A4"/>
    <w:rsid w:val="00A412E1"/>
    <w:rsid w:val="00A41C9C"/>
    <w:rsid w:val="00A431D6"/>
    <w:rsid w:val="00A43A99"/>
    <w:rsid w:val="00A4536F"/>
    <w:rsid w:val="00A45393"/>
    <w:rsid w:val="00A4561D"/>
    <w:rsid w:val="00A458D7"/>
    <w:rsid w:val="00A46D95"/>
    <w:rsid w:val="00A47630"/>
    <w:rsid w:val="00A477DE"/>
    <w:rsid w:val="00A47C2C"/>
    <w:rsid w:val="00A50E42"/>
    <w:rsid w:val="00A528EF"/>
    <w:rsid w:val="00A551AC"/>
    <w:rsid w:val="00A55675"/>
    <w:rsid w:val="00A55A8A"/>
    <w:rsid w:val="00A55C9E"/>
    <w:rsid w:val="00A55ED2"/>
    <w:rsid w:val="00A56DC9"/>
    <w:rsid w:val="00A6030D"/>
    <w:rsid w:val="00A61090"/>
    <w:rsid w:val="00A61B6A"/>
    <w:rsid w:val="00A63AB9"/>
    <w:rsid w:val="00A63F5B"/>
    <w:rsid w:val="00A6621F"/>
    <w:rsid w:val="00A662C8"/>
    <w:rsid w:val="00A67515"/>
    <w:rsid w:val="00A70329"/>
    <w:rsid w:val="00A70672"/>
    <w:rsid w:val="00A71BD7"/>
    <w:rsid w:val="00A72478"/>
    <w:rsid w:val="00A724F1"/>
    <w:rsid w:val="00A728D8"/>
    <w:rsid w:val="00A74A7D"/>
    <w:rsid w:val="00A74EC4"/>
    <w:rsid w:val="00A751A7"/>
    <w:rsid w:val="00A75382"/>
    <w:rsid w:val="00A7557E"/>
    <w:rsid w:val="00A80025"/>
    <w:rsid w:val="00A8050B"/>
    <w:rsid w:val="00A8098E"/>
    <w:rsid w:val="00A810FC"/>
    <w:rsid w:val="00A817E1"/>
    <w:rsid w:val="00A82C5B"/>
    <w:rsid w:val="00A8410A"/>
    <w:rsid w:val="00A85219"/>
    <w:rsid w:val="00A85C2B"/>
    <w:rsid w:val="00A85E0D"/>
    <w:rsid w:val="00A86097"/>
    <w:rsid w:val="00A8649F"/>
    <w:rsid w:val="00A867E5"/>
    <w:rsid w:val="00A90E23"/>
    <w:rsid w:val="00A92544"/>
    <w:rsid w:val="00A9310E"/>
    <w:rsid w:val="00A9385D"/>
    <w:rsid w:val="00A93B8B"/>
    <w:rsid w:val="00A93D49"/>
    <w:rsid w:val="00A93DA8"/>
    <w:rsid w:val="00A9505F"/>
    <w:rsid w:val="00A9529F"/>
    <w:rsid w:val="00A97BD9"/>
    <w:rsid w:val="00AA03C0"/>
    <w:rsid w:val="00AA0C6A"/>
    <w:rsid w:val="00AA0F94"/>
    <w:rsid w:val="00AA1085"/>
    <w:rsid w:val="00AA1092"/>
    <w:rsid w:val="00AA1BAE"/>
    <w:rsid w:val="00AA2AB7"/>
    <w:rsid w:val="00AA2EB3"/>
    <w:rsid w:val="00AA338B"/>
    <w:rsid w:val="00AA34B6"/>
    <w:rsid w:val="00AA368B"/>
    <w:rsid w:val="00AA5193"/>
    <w:rsid w:val="00AA52D5"/>
    <w:rsid w:val="00AA5AD3"/>
    <w:rsid w:val="00AA7490"/>
    <w:rsid w:val="00AA7B76"/>
    <w:rsid w:val="00AB00F9"/>
    <w:rsid w:val="00AB02CD"/>
    <w:rsid w:val="00AB2254"/>
    <w:rsid w:val="00AB2715"/>
    <w:rsid w:val="00AB2E92"/>
    <w:rsid w:val="00AB3AC5"/>
    <w:rsid w:val="00AB3B78"/>
    <w:rsid w:val="00AB3F77"/>
    <w:rsid w:val="00AB4A7F"/>
    <w:rsid w:val="00AB4F73"/>
    <w:rsid w:val="00AB5071"/>
    <w:rsid w:val="00AB53BF"/>
    <w:rsid w:val="00AB7442"/>
    <w:rsid w:val="00AC0746"/>
    <w:rsid w:val="00AC0E3C"/>
    <w:rsid w:val="00AC12B4"/>
    <w:rsid w:val="00AC1FEE"/>
    <w:rsid w:val="00AC260C"/>
    <w:rsid w:val="00AC2CA1"/>
    <w:rsid w:val="00AC2F68"/>
    <w:rsid w:val="00AC3EBB"/>
    <w:rsid w:val="00AC4759"/>
    <w:rsid w:val="00AC4AAC"/>
    <w:rsid w:val="00AC4F6B"/>
    <w:rsid w:val="00AC5D29"/>
    <w:rsid w:val="00AC7033"/>
    <w:rsid w:val="00AC74BB"/>
    <w:rsid w:val="00AC7A21"/>
    <w:rsid w:val="00AC7C9B"/>
    <w:rsid w:val="00AC7CC1"/>
    <w:rsid w:val="00AD08D6"/>
    <w:rsid w:val="00AD19C5"/>
    <w:rsid w:val="00AD19EF"/>
    <w:rsid w:val="00AD1A67"/>
    <w:rsid w:val="00AD229E"/>
    <w:rsid w:val="00AD3149"/>
    <w:rsid w:val="00AD32FB"/>
    <w:rsid w:val="00AD5E21"/>
    <w:rsid w:val="00AD62DA"/>
    <w:rsid w:val="00AD6447"/>
    <w:rsid w:val="00AD6C7C"/>
    <w:rsid w:val="00AD7E7D"/>
    <w:rsid w:val="00AD7EA0"/>
    <w:rsid w:val="00AE0752"/>
    <w:rsid w:val="00AE0C88"/>
    <w:rsid w:val="00AE1610"/>
    <w:rsid w:val="00AE21EC"/>
    <w:rsid w:val="00AE26FF"/>
    <w:rsid w:val="00AE28AE"/>
    <w:rsid w:val="00AE2E25"/>
    <w:rsid w:val="00AE2F44"/>
    <w:rsid w:val="00AE3D4D"/>
    <w:rsid w:val="00AE44EB"/>
    <w:rsid w:val="00AE7305"/>
    <w:rsid w:val="00AE7A62"/>
    <w:rsid w:val="00AE7B50"/>
    <w:rsid w:val="00AE7CDC"/>
    <w:rsid w:val="00AF05A3"/>
    <w:rsid w:val="00AF1691"/>
    <w:rsid w:val="00AF1831"/>
    <w:rsid w:val="00AF1BF1"/>
    <w:rsid w:val="00AF1C6C"/>
    <w:rsid w:val="00AF210A"/>
    <w:rsid w:val="00AF2FF9"/>
    <w:rsid w:val="00AF643F"/>
    <w:rsid w:val="00AF6B80"/>
    <w:rsid w:val="00AF6FA9"/>
    <w:rsid w:val="00AF76EC"/>
    <w:rsid w:val="00AF77D7"/>
    <w:rsid w:val="00AF7CE6"/>
    <w:rsid w:val="00B01746"/>
    <w:rsid w:val="00B021B7"/>
    <w:rsid w:val="00B03F96"/>
    <w:rsid w:val="00B061AE"/>
    <w:rsid w:val="00B06AA2"/>
    <w:rsid w:val="00B10FE2"/>
    <w:rsid w:val="00B119FB"/>
    <w:rsid w:val="00B11D4D"/>
    <w:rsid w:val="00B1210E"/>
    <w:rsid w:val="00B12A7C"/>
    <w:rsid w:val="00B1318C"/>
    <w:rsid w:val="00B13B77"/>
    <w:rsid w:val="00B1454A"/>
    <w:rsid w:val="00B14875"/>
    <w:rsid w:val="00B175E1"/>
    <w:rsid w:val="00B20485"/>
    <w:rsid w:val="00B20677"/>
    <w:rsid w:val="00B20F0C"/>
    <w:rsid w:val="00B21972"/>
    <w:rsid w:val="00B2262A"/>
    <w:rsid w:val="00B24D6C"/>
    <w:rsid w:val="00B2747B"/>
    <w:rsid w:val="00B27953"/>
    <w:rsid w:val="00B31572"/>
    <w:rsid w:val="00B31645"/>
    <w:rsid w:val="00B318F2"/>
    <w:rsid w:val="00B3196F"/>
    <w:rsid w:val="00B3237F"/>
    <w:rsid w:val="00B326DA"/>
    <w:rsid w:val="00B32A2B"/>
    <w:rsid w:val="00B36449"/>
    <w:rsid w:val="00B3663A"/>
    <w:rsid w:val="00B373A7"/>
    <w:rsid w:val="00B376D0"/>
    <w:rsid w:val="00B4065C"/>
    <w:rsid w:val="00B425B2"/>
    <w:rsid w:val="00B4270C"/>
    <w:rsid w:val="00B42C76"/>
    <w:rsid w:val="00B43F64"/>
    <w:rsid w:val="00B4473E"/>
    <w:rsid w:val="00B45889"/>
    <w:rsid w:val="00B46507"/>
    <w:rsid w:val="00B46C04"/>
    <w:rsid w:val="00B46DED"/>
    <w:rsid w:val="00B5275E"/>
    <w:rsid w:val="00B53011"/>
    <w:rsid w:val="00B54602"/>
    <w:rsid w:val="00B5488A"/>
    <w:rsid w:val="00B54D1D"/>
    <w:rsid w:val="00B622F1"/>
    <w:rsid w:val="00B63947"/>
    <w:rsid w:val="00B649CF"/>
    <w:rsid w:val="00B64D4E"/>
    <w:rsid w:val="00B656B5"/>
    <w:rsid w:val="00B658B7"/>
    <w:rsid w:val="00B65911"/>
    <w:rsid w:val="00B662E5"/>
    <w:rsid w:val="00B66407"/>
    <w:rsid w:val="00B66F3B"/>
    <w:rsid w:val="00B67094"/>
    <w:rsid w:val="00B70382"/>
    <w:rsid w:val="00B704D2"/>
    <w:rsid w:val="00B70953"/>
    <w:rsid w:val="00B72DDF"/>
    <w:rsid w:val="00B74096"/>
    <w:rsid w:val="00B745CB"/>
    <w:rsid w:val="00B7525C"/>
    <w:rsid w:val="00B75489"/>
    <w:rsid w:val="00B75F26"/>
    <w:rsid w:val="00B764CB"/>
    <w:rsid w:val="00B76D0C"/>
    <w:rsid w:val="00B77252"/>
    <w:rsid w:val="00B7761B"/>
    <w:rsid w:val="00B779CC"/>
    <w:rsid w:val="00B80649"/>
    <w:rsid w:val="00B80B66"/>
    <w:rsid w:val="00B819B2"/>
    <w:rsid w:val="00B83279"/>
    <w:rsid w:val="00B84B0F"/>
    <w:rsid w:val="00B84D32"/>
    <w:rsid w:val="00B8525C"/>
    <w:rsid w:val="00B86876"/>
    <w:rsid w:val="00B86E7C"/>
    <w:rsid w:val="00B87532"/>
    <w:rsid w:val="00B905D4"/>
    <w:rsid w:val="00B9068E"/>
    <w:rsid w:val="00B94141"/>
    <w:rsid w:val="00B94BB7"/>
    <w:rsid w:val="00B95333"/>
    <w:rsid w:val="00B957F7"/>
    <w:rsid w:val="00BA08C0"/>
    <w:rsid w:val="00BA138D"/>
    <w:rsid w:val="00BA1533"/>
    <w:rsid w:val="00BA177A"/>
    <w:rsid w:val="00BA4053"/>
    <w:rsid w:val="00BA4E0B"/>
    <w:rsid w:val="00BA503E"/>
    <w:rsid w:val="00BA50C1"/>
    <w:rsid w:val="00BA5980"/>
    <w:rsid w:val="00BA5C1D"/>
    <w:rsid w:val="00BA5F63"/>
    <w:rsid w:val="00BA6853"/>
    <w:rsid w:val="00BA7099"/>
    <w:rsid w:val="00BA75EE"/>
    <w:rsid w:val="00BB0BB4"/>
    <w:rsid w:val="00BB0E26"/>
    <w:rsid w:val="00BB0FE1"/>
    <w:rsid w:val="00BB1F17"/>
    <w:rsid w:val="00BB400A"/>
    <w:rsid w:val="00BB4C2D"/>
    <w:rsid w:val="00BB4CD7"/>
    <w:rsid w:val="00BB5726"/>
    <w:rsid w:val="00BB7178"/>
    <w:rsid w:val="00BB756F"/>
    <w:rsid w:val="00BB7EA2"/>
    <w:rsid w:val="00BB7FAC"/>
    <w:rsid w:val="00BC0D07"/>
    <w:rsid w:val="00BC14AE"/>
    <w:rsid w:val="00BC161E"/>
    <w:rsid w:val="00BC1A50"/>
    <w:rsid w:val="00BC21D1"/>
    <w:rsid w:val="00BC23B9"/>
    <w:rsid w:val="00BC2E87"/>
    <w:rsid w:val="00BC354B"/>
    <w:rsid w:val="00BC4BF7"/>
    <w:rsid w:val="00BC4DAD"/>
    <w:rsid w:val="00BC629F"/>
    <w:rsid w:val="00BC62E9"/>
    <w:rsid w:val="00BC68CA"/>
    <w:rsid w:val="00BC7CAB"/>
    <w:rsid w:val="00BC7EB4"/>
    <w:rsid w:val="00BD0E08"/>
    <w:rsid w:val="00BD2CB6"/>
    <w:rsid w:val="00BD3296"/>
    <w:rsid w:val="00BD3E0E"/>
    <w:rsid w:val="00BD4500"/>
    <w:rsid w:val="00BD4639"/>
    <w:rsid w:val="00BD5593"/>
    <w:rsid w:val="00BD6D39"/>
    <w:rsid w:val="00BD78F3"/>
    <w:rsid w:val="00BE030F"/>
    <w:rsid w:val="00BE08E2"/>
    <w:rsid w:val="00BE0BCF"/>
    <w:rsid w:val="00BE0C7F"/>
    <w:rsid w:val="00BE1ED5"/>
    <w:rsid w:val="00BE21D4"/>
    <w:rsid w:val="00BE27DA"/>
    <w:rsid w:val="00BE37B3"/>
    <w:rsid w:val="00BE3EF3"/>
    <w:rsid w:val="00BE461A"/>
    <w:rsid w:val="00BE462E"/>
    <w:rsid w:val="00BE638B"/>
    <w:rsid w:val="00BF08C7"/>
    <w:rsid w:val="00BF1087"/>
    <w:rsid w:val="00BF16F3"/>
    <w:rsid w:val="00BF1715"/>
    <w:rsid w:val="00BF1B06"/>
    <w:rsid w:val="00BF23E7"/>
    <w:rsid w:val="00BF244A"/>
    <w:rsid w:val="00BF37AF"/>
    <w:rsid w:val="00BF3A1B"/>
    <w:rsid w:val="00BF524A"/>
    <w:rsid w:val="00BF555C"/>
    <w:rsid w:val="00BF5A92"/>
    <w:rsid w:val="00BF6B0B"/>
    <w:rsid w:val="00BF6DCE"/>
    <w:rsid w:val="00BF75D8"/>
    <w:rsid w:val="00C00109"/>
    <w:rsid w:val="00C003D1"/>
    <w:rsid w:val="00C01F15"/>
    <w:rsid w:val="00C035EB"/>
    <w:rsid w:val="00C03D9D"/>
    <w:rsid w:val="00C06295"/>
    <w:rsid w:val="00C06F9F"/>
    <w:rsid w:val="00C07058"/>
    <w:rsid w:val="00C0794B"/>
    <w:rsid w:val="00C10331"/>
    <w:rsid w:val="00C1056F"/>
    <w:rsid w:val="00C125E2"/>
    <w:rsid w:val="00C12765"/>
    <w:rsid w:val="00C1281D"/>
    <w:rsid w:val="00C1320A"/>
    <w:rsid w:val="00C13880"/>
    <w:rsid w:val="00C13F68"/>
    <w:rsid w:val="00C147B8"/>
    <w:rsid w:val="00C156D8"/>
    <w:rsid w:val="00C20CBF"/>
    <w:rsid w:val="00C21260"/>
    <w:rsid w:val="00C22CD3"/>
    <w:rsid w:val="00C242BA"/>
    <w:rsid w:val="00C249A2"/>
    <w:rsid w:val="00C25DC7"/>
    <w:rsid w:val="00C261B0"/>
    <w:rsid w:val="00C2639C"/>
    <w:rsid w:val="00C26B1D"/>
    <w:rsid w:val="00C2704A"/>
    <w:rsid w:val="00C27BEE"/>
    <w:rsid w:val="00C27E19"/>
    <w:rsid w:val="00C301C6"/>
    <w:rsid w:val="00C306BF"/>
    <w:rsid w:val="00C30FCC"/>
    <w:rsid w:val="00C31FA7"/>
    <w:rsid w:val="00C32536"/>
    <w:rsid w:val="00C34300"/>
    <w:rsid w:val="00C34526"/>
    <w:rsid w:val="00C35528"/>
    <w:rsid w:val="00C35BA1"/>
    <w:rsid w:val="00C36118"/>
    <w:rsid w:val="00C361D8"/>
    <w:rsid w:val="00C3637E"/>
    <w:rsid w:val="00C36E49"/>
    <w:rsid w:val="00C37509"/>
    <w:rsid w:val="00C37F84"/>
    <w:rsid w:val="00C40FBA"/>
    <w:rsid w:val="00C41821"/>
    <w:rsid w:val="00C4230C"/>
    <w:rsid w:val="00C4277B"/>
    <w:rsid w:val="00C43DEA"/>
    <w:rsid w:val="00C4495C"/>
    <w:rsid w:val="00C44A1B"/>
    <w:rsid w:val="00C4500C"/>
    <w:rsid w:val="00C45972"/>
    <w:rsid w:val="00C45A4C"/>
    <w:rsid w:val="00C46ACC"/>
    <w:rsid w:val="00C4765D"/>
    <w:rsid w:val="00C51327"/>
    <w:rsid w:val="00C53E60"/>
    <w:rsid w:val="00C558A1"/>
    <w:rsid w:val="00C5767D"/>
    <w:rsid w:val="00C60052"/>
    <w:rsid w:val="00C60566"/>
    <w:rsid w:val="00C60F76"/>
    <w:rsid w:val="00C61C3E"/>
    <w:rsid w:val="00C61D9F"/>
    <w:rsid w:val="00C62CD8"/>
    <w:rsid w:val="00C62FA5"/>
    <w:rsid w:val="00C6388D"/>
    <w:rsid w:val="00C63D0D"/>
    <w:rsid w:val="00C64D11"/>
    <w:rsid w:val="00C67FF3"/>
    <w:rsid w:val="00C7077E"/>
    <w:rsid w:val="00C71226"/>
    <w:rsid w:val="00C71AF4"/>
    <w:rsid w:val="00C71CD0"/>
    <w:rsid w:val="00C72270"/>
    <w:rsid w:val="00C722AB"/>
    <w:rsid w:val="00C73DC9"/>
    <w:rsid w:val="00C7639D"/>
    <w:rsid w:val="00C769DE"/>
    <w:rsid w:val="00C7765E"/>
    <w:rsid w:val="00C77A6F"/>
    <w:rsid w:val="00C77FFD"/>
    <w:rsid w:val="00C804F8"/>
    <w:rsid w:val="00C807A7"/>
    <w:rsid w:val="00C810F8"/>
    <w:rsid w:val="00C82765"/>
    <w:rsid w:val="00C83A6F"/>
    <w:rsid w:val="00C83B48"/>
    <w:rsid w:val="00C8497E"/>
    <w:rsid w:val="00C84C3A"/>
    <w:rsid w:val="00C85064"/>
    <w:rsid w:val="00C86A6C"/>
    <w:rsid w:val="00C86AE1"/>
    <w:rsid w:val="00C902D3"/>
    <w:rsid w:val="00C90F5D"/>
    <w:rsid w:val="00C91243"/>
    <w:rsid w:val="00C91A88"/>
    <w:rsid w:val="00C92761"/>
    <w:rsid w:val="00C9304C"/>
    <w:rsid w:val="00C95577"/>
    <w:rsid w:val="00C964DC"/>
    <w:rsid w:val="00CA07F7"/>
    <w:rsid w:val="00CA10B2"/>
    <w:rsid w:val="00CA1334"/>
    <w:rsid w:val="00CA2960"/>
    <w:rsid w:val="00CA2F2C"/>
    <w:rsid w:val="00CA38DE"/>
    <w:rsid w:val="00CA4343"/>
    <w:rsid w:val="00CA5273"/>
    <w:rsid w:val="00CA58B1"/>
    <w:rsid w:val="00CA65CB"/>
    <w:rsid w:val="00CA6EAA"/>
    <w:rsid w:val="00CA71AD"/>
    <w:rsid w:val="00CB024D"/>
    <w:rsid w:val="00CB0487"/>
    <w:rsid w:val="00CB04AA"/>
    <w:rsid w:val="00CB12D9"/>
    <w:rsid w:val="00CB13F0"/>
    <w:rsid w:val="00CB157C"/>
    <w:rsid w:val="00CB26DC"/>
    <w:rsid w:val="00CB4EE7"/>
    <w:rsid w:val="00CB52FC"/>
    <w:rsid w:val="00CB663F"/>
    <w:rsid w:val="00CB6B4B"/>
    <w:rsid w:val="00CC3C45"/>
    <w:rsid w:val="00CC463E"/>
    <w:rsid w:val="00CC4C3E"/>
    <w:rsid w:val="00CC58DC"/>
    <w:rsid w:val="00CC5A27"/>
    <w:rsid w:val="00CC6181"/>
    <w:rsid w:val="00CC6AB4"/>
    <w:rsid w:val="00CC6AD0"/>
    <w:rsid w:val="00CD0522"/>
    <w:rsid w:val="00CD0961"/>
    <w:rsid w:val="00CD0A41"/>
    <w:rsid w:val="00CD14BA"/>
    <w:rsid w:val="00CD199E"/>
    <w:rsid w:val="00CD266A"/>
    <w:rsid w:val="00CD2E86"/>
    <w:rsid w:val="00CD37E4"/>
    <w:rsid w:val="00CD5D92"/>
    <w:rsid w:val="00CD63A0"/>
    <w:rsid w:val="00CD66A7"/>
    <w:rsid w:val="00CD67A4"/>
    <w:rsid w:val="00CD6D3A"/>
    <w:rsid w:val="00CD700E"/>
    <w:rsid w:val="00CD7581"/>
    <w:rsid w:val="00CE1971"/>
    <w:rsid w:val="00CE19E3"/>
    <w:rsid w:val="00CE3280"/>
    <w:rsid w:val="00CE410E"/>
    <w:rsid w:val="00CE5D27"/>
    <w:rsid w:val="00CE6C76"/>
    <w:rsid w:val="00CF058E"/>
    <w:rsid w:val="00CF14F5"/>
    <w:rsid w:val="00CF1796"/>
    <w:rsid w:val="00CF21ED"/>
    <w:rsid w:val="00CF26CA"/>
    <w:rsid w:val="00CF3C92"/>
    <w:rsid w:val="00CF4522"/>
    <w:rsid w:val="00CF6476"/>
    <w:rsid w:val="00CF653D"/>
    <w:rsid w:val="00CF67AF"/>
    <w:rsid w:val="00CF6FC1"/>
    <w:rsid w:val="00D00208"/>
    <w:rsid w:val="00D00C58"/>
    <w:rsid w:val="00D01252"/>
    <w:rsid w:val="00D01D34"/>
    <w:rsid w:val="00D0268B"/>
    <w:rsid w:val="00D02F1E"/>
    <w:rsid w:val="00D02FEC"/>
    <w:rsid w:val="00D0315E"/>
    <w:rsid w:val="00D0357C"/>
    <w:rsid w:val="00D041E0"/>
    <w:rsid w:val="00D04D54"/>
    <w:rsid w:val="00D0583B"/>
    <w:rsid w:val="00D07445"/>
    <w:rsid w:val="00D0747E"/>
    <w:rsid w:val="00D07CDC"/>
    <w:rsid w:val="00D10323"/>
    <w:rsid w:val="00D112EF"/>
    <w:rsid w:val="00D11B75"/>
    <w:rsid w:val="00D12FD7"/>
    <w:rsid w:val="00D13EEF"/>
    <w:rsid w:val="00D14E5A"/>
    <w:rsid w:val="00D15564"/>
    <w:rsid w:val="00D15A88"/>
    <w:rsid w:val="00D15C8D"/>
    <w:rsid w:val="00D1696C"/>
    <w:rsid w:val="00D17BAC"/>
    <w:rsid w:val="00D202B1"/>
    <w:rsid w:val="00D209BD"/>
    <w:rsid w:val="00D21022"/>
    <w:rsid w:val="00D2109C"/>
    <w:rsid w:val="00D211B8"/>
    <w:rsid w:val="00D21506"/>
    <w:rsid w:val="00D216E4"/>
    <w:rsid w:val="00D21BA5"/>
    <w:rsid w:val="00D23C5B"/>
    <w:rsid w:val="00D24990"/>
    <w:rsid w:val="00D250E5"/>
    <w:rsid w:val="00D25519"/>
    <w:rsid w:val="00D25CFD"/>
    <w:rsid w:val="00D26602"/>
    <w:rsid w:val="00D269D5"/>
    <w:rsid w:val="00D270FD"/>
    <w:rsid w:val="00D274D3"/>
    <w:rsid w:val="00D30997"/>
    <w:rsid w:val="00D318A2"/>
    <w:rsid w:val="00D3192C"/>
    <w:rsid w:val="00D323D9"/>
    <w:rsid w:val="00D3291F"/>
    <w:rsid w:val="00D338AB"/>
    <w:rsid w:val="00D33A35"/>
    <w:rsid w:val="00D33E98"/>
    <w:rsid w:val="00D34D85"/>
    <w:rsid w:val="00D35C87"/>
    <w:rsid w:val="00D35F7F"/>
    <w:rsid w:val="00D36231"/>
    <w:rsid w:val="00D36E83"/>
    <w:rsid w:val="00D4062E"/>
    <w:rsid w:val="00D42CB8"/>
    <w:rsid w:val="00D43A4D"/>
    <w:rsid w:val="00D442B5"/>
    <w:rsid w:val="00D4470B"/>
    <w:rsid w:val="00D450FE"/>
    <w:rsid w:val="00D4531C"/>
    <w:rsid w:val="00D46041"/>
    <w:rsid w:val="00D46214"/>
    <w:rsid w:val="00D46416"/>
    <w:rsid w:val="00D4645B"/>
    <w:rsid w:val="00D46F86"/>
    <w:rsid w:val="00D47A50"/>
    <w:rsid w:val="00D47AB1"/>
    <w:rsid w:val="00D47C7F"/>
    <w:rsid w:val="00D50624"/>
    <w:rsid w:val="00D50791"/>
    <w:rsid w:val="00D51853"/>
    <w:rsid w:val="00D525F9"/>
    <w:rsid w:val="00D53ED3"/>
    <w:rsid w:val="00D5443B"/>
    <w:rsid w:val="00D54826"/>
    <w:rsid w:val="00D54F4B"/>
    <w:rsid w:val="00D55301"/>
    <w:rsid w:val="00D569F4"/>
    <w:rsid w:val="00D60408"/>
    <w:rsid w:val="00D623D0"/>
    <w:rsid w:val="00D640BF"/>
    <w:rsid w:val="00D644C6"/>
    <w:rsid w:val="00D64B3B"/>
    <w:rsid w:val="00D6500B"/>
    <w:rsid w:val="00D6652E"/>
    <w:rsid w:val="00D6757F"/>
    <w:rsid w:val="00D67F27"/>
    <w:rsid w:val="00D7144E"/>
    <w:rsid w:val="00D71C61"/>
    <w:rsid w:val="00D72DC3"/>
    <w:rsid w:val="00D7433D"/>
    <w:rsid w:val="00D752AF"/>
    <w:rsid w:val="00D75AF2"/>
    <w:rsid w:val="00D75C37"/>
    <w:rsid w:val="00D763B2"/>
    <w:rsid w:val="00D76C9A"/>
    <w:rsid w:val="00D76E42"/>
    <w:rsid w:val="00D7730A"/>
    <w:rsid w:val="00D77908"/>
    <w:rsid w:val="00D77FFE"/>
    <w:rsid w:val="00D80591"/>
    <w:rsid w:val="00D80D6C"/>
    <w:rsid w:val="00D818AE"/>
    <w:rsid w:val="00D8272B"/>
    <w:rsid w:val="00D829A4"/>
    <w:rsid w:val="00D82E28"/>
    <w:rsid w:val="00D835A8"/>
    <w:rsid w:val="00D837CF"/>
    <w:rsid w:val="00D83A89"/>
    <w:rsid w:val="00D84756"/>
    <w:rsid w:val="00D85007"/>
    <w:rsid w:val="00D863F1"/>
    <w:rsid w:val="00D8649F"/>
    <w:rsid w:val="00D864A3"/>
    <w:rsid w:val="00D8714A"/>
    <w:rsid w:val="00D8796F"/>
    <w:rsid w:val="00D90ADE"/>
    <w:rsid w:val="00D91882"/>
    <w:rsid w:val="00D9202B"/>
    <w:rsid w:val="00D93158"/>
    <w:rsid w:val="00D94708"/>
    <w:rsid w:val="00D954A4"/>
    <w:rsid w:val="00DA1485"/>
    <w:rsid w:val="00DA193A"/>
    <w:rsid w:val="00DA1A80"/>
    <w:rsid w:val="00DA22CA"/>
    <w:rsid w:val="00DA2DBE"/>
    <w:rsid w:val="00DA3058"/>
    <w:rsid w:val="00DA428B"/>
    <w:rsid w:val="00DA45F9"/>
    <w:rsid w:val="00DA4674"/>
    <w:rsid w:val="00DA50E8"/>
    <w:rsid w:val="00DA545E"/>
    <w:rsid w:val="00DA5BE6"/>
    <w:rsid w:val="00DA75E1"/>
    <w:rsid w:val="00DA794D"/>
    <w:rsid w:val="00DB034A"/>
    <w:rsid w:val="00DB1F40"/>
    <w:rsid w:val="00DB40F6"/>
    <w:rsid w:val="00DB5637"/>
    <w:rsid w:val="00DB618C"/>
    <w:rsid w:val="00DB68FD"/>
    <w:rsid w:val="00DB734D"/>
    <w:rsid w:val="00DC0BE2"/>
    <w:rsid w:val="00DC161B"/>
    <w:rsid w:val="00DC1811"/>
    <w:rsid w:val="00DC1FF2"/>
    <w:rsid w:val="00DC24F7"/>
    <w:rsid w:val="00DC3EE8"/>
    <w:rsid w:val="00DC4E9A"/>
    <w:rsid w:val="00DC650C"/>
    <w:rsid w:val="00DC7FFE"/>
    <w:rsid w:val="00DD00FA"/>
    <w:rsid w:val="00DD09B6"/>
    <w:rsid w:val="00DD0D72"/>
    <w:rsid w:val="00DD19D1"/>
    <w:rsid w:val="00DD28C8"/>
    <w:rsid w:val="00DD2A2C"/>
    <w:rsid w:val="00DD2BF4"/>
    <w:rsid w:val="00DD2E31"/>
    <w:rsid w:val="00DD4D6B"/>
    <w:rsid w:val="00DD5561"/>
    <w:rsid w:val="00DD5800"/>
    <w:rsid w:val="00DD5899"/>
    <w:rsid w:val="00DD5F03"/>
    <w:rsid w:val="00DE298C"/>
    <w:rsid w:val="00DE5FAE"/>
    <w:rsid w:val="00DE6D62"/>
    <w:rsid w:val="00DE7148"/>
    <w:rsid w:val="00DE769B"/>
    <w:rsid w:val="00DF1296"/>
    <w:rsid w:val="00DF1CF0"/>
    <w:rsid w:val="00DF2170"/>
    <w:rsid w:val="00DF242C"/>
    <w:rsid w:val="00DF30B7"/>
    <w:rsid w:val="00DF3B25"/>
    <w:rsid w:val="00DF4F3C"/>
    <w:rsid w:val="00DF5495"/>
    <w:rsid w:val="00DF6379"/>
    <w:rsid w:val="00DF64DA"/>
    <w:rsid w:val="00DF6D66"/>
    <w:rsid w:val="00DF7352"/>
    <w:rsid w:val="00DF78BF"/>
    <w:rsid w:val="00E0001B"/>
    <w:rsid w:val="00E014F8"/>
    <w:rsid w:val="00E0259B"/>
    <w:rsid w:val="00E0262B"/>
    <w:rsid w:val="00E02D11"/>
    <w:rsid w:val="00E039EB"/>
    <w:rsid w:val="00E0541E"/>
    <w:rsid w:val="00E0589E"/>
    <w:rsid w:val="00E05D7C"/>
    <w:rsid w:val="00E073B0"/>
    <w:rsid w:val="00E07A8E"/>
    <w:rsid w:val="00E1090B"/>
    <w:rsid w:val="00E12434"/>
    <w:rsid w:val="00E12CA9"/>
    <w:rsid w:val="00E12EB2"/>
    <w:rsid w:val="00E13F59"/>
    <w:rsid w:val="00E140DB"/>
    <w:rsid w:val="00E14751"/>
    <w:rsid w:val="00E153C4"/>
    <w:rsid w:val="00E1545D"/>
    <w:rsid w:val="00E1583B"/>
    <w:rsid w:val="00E15F14"/>
    <w:rsid w:val="00E1668B"/>
    <w:rsid w:val="00E1677E"/>
    <w:rsid w:val="00E16A62"/>
    <w:rsid w:val="00E22D7A"/>
    <w:rsid w:val="00E23D2B"/>
    <w:rsid w:val="00E2451D"/>
    <w:rsid w:val="00E24EB1"/>
    <w:rsid w:val="00E25CAC"/>
    <w:rsid w:val="00E26058"/>
    <w:rsid w:val="00E26144"/>
    <w:rsid w:val="00E27158"/>
    <w:rsid w:val="00E2729B"/>
    <w:rsid w:val="00E27977"/>
    <w:rsid w:val="00E27F39"/>
    <w:rsid w:val="00E27FCE"/>
    <w:rsid w:val="00E30D57"/>
    <w:rsid w:val="00E31ACA"/>
    <w:rsid w:val="00E32AE8"/>
    <w:rsid w:val="00E3327C"/>
    <w:rsid w:val="00E33B54"/>
    <w:rsid w:val="00E34026"/>
    <w:rsid w:val="00E35D96"/>
    <w:rsid w:val="00E36DEB"/>
    <w:rsid w:val="00E36FA3"/>
    <w:rsid w:val="00E37BDB"/>
    <w:rsid w:val="00E406CC"/>
    <w:rsid w:val="00E409B3"/>
    <w:rsid w:val="00E40E8B"/>
    <w:rsid w:val="00E4128D"/>
    <w:rsid w:val="00E417E0"/>
    <w:rsid w:val="00E41E98"/>
    <w:rsid w:val="00E425D7"/>
    <w:rsid w:val="00E433BD"/>
    <w:rsid w:val="00E44F0F"/>
    <w:rsid w:val="00E459C7"/>
    <w:rsid w:val="00E45F6A"/>
    <w:rsid w:val="00E46243"/>
    <w:rsid w:val="00E47D91"/>
    <w:rsid w:val="00E50019"/>
    <w:rsid w:val="00E50055"/>
    <w:rsid w:val="00E5089F"/>
    <w:rsid w:val="00E50B35"/>
    <w:rsid w:val="00E51C9C"/>
    <w:rsid w:val="00E51F5C"/>
    <w:rsid w:val="00E52B4C"/>
    <w:rsid w:val="00E52D3E"/>
    <w:rsid w:val="00E52D98"/>
    <w:rsid w:val="00E52DDA"/>
    <w:rsid w:val="00E53429"/>
    <w:rsid w:val="00E5398D"/>
    <w:rsid w:val="00E53A0A"/>
    <w:rsid w:val="00E53C21"/>
    <w:rsid w:val="00E54670"/>
    <w:rsid w:val="00E54E8F"/>
    <w:rsid w:val="00E55638"/>
    <w:rsid w:val="00E55D2B"/>
    <w:rsid w:val="00E55E94"/>
    <w:rsid w:val="00E5741A"/>
    <w:rsid w:val="00E575DD"/>
    <w:rsid w:val="00E575E1"/>
    <w:rsid w:val="00E60968"/>
    <w:rsid w:val="00E62793"/>
    <w:rsid w:val="00E64214"/>
    <w:rsid w:val="00E64F3D"/>
    <w:rsid w:val="00E66C6C"/>
    <w:rsid w:val="00E67663"/>
    <w:rsid w:val="00E67845"/>
    <w:rsid w:val="00E700E6"/>
    <w:rsid w:val="00E708F1"/>
    <w:rsid w:val="00E71860"/>
    <w:rsid w:val="00E71D91"/>
    <w:rsid w:val="00E72659"/>
    <w:rsid w:val="00E726B3"/>
    <w:rsid w:val="00E7497A"/>
    <w:rsid w:val="00E752C4"/>
    <w:rsid w:val="00E753FC"/>
    <w:rsid w:val="00E75BB3"/>
    <w:rsid w:val="00E7647E"/>
    <w:rsid w:val="00E7729B"/>
    <w:rsid w:val="00E7734C"/>
    <w:rsid w:val="00E77B40"/>
    <w:rsid w:val="00E77BE8"/>
    <w:rsid w:val="00E807FE"/>
    <w:rsid w:val="00E81818"/>
    <w:rsid w:val="00E82BE5"/>
    <w:rsid w:val="00E83E97"/>
    <w:rsid w:val="00E8422A"/>
    <w:rsid w:val="00E84619"/>
    <w:rsid w:val="00E8578D"/>
    <w:rsid w:val="00E85A00"/>
    <w:rsid w:val="00E90E60"/>
    <w:rsid w:val="00E925B8"/>
    <w:rsid w:val="00E93687"/>
    <w:rsid w:val="00E937C2"/>
    <w:rsid w:val="00E95568"/>
    <w:rsid w:val="00E95A8E"/>
    <w:rsid w:val="00E9628E"/>
    <w:rsid w:val="00E96DBA"/>
    <w:rsid w:val="00E975CA"/>
    <w:rsid w:val="00EA05E1"/>
    <w:rsid w:val="00EA08FB"/>
    <w:rsid w:val="00EA11A2"/>
    <w:rsid w:val="00EA1561"/>
    <w:rsid w:val="00EA2646"/>
    <w:rsid w:val="00EA3025"/>
    <w:rsid w:val="00EA488B"/>
    <w:rsid w:val="00EA6A83"/>
    <w:rsid w:val="00EA734A"/>
    <w:rsid w:val="00EA737D"/>
    <w:rsid w:val="00EB273C"/>
    <w:rsid w:val="00EB4239"/>
    <w:rsid w:val="00EB619C"/>
    <w:rsid w:val="00EB73D3"/>
    <w:rsid w:val="00EB77D8"/>
    <w:rsid w:val="00EC0647"/>
    <w:rsid w:val="00EC16FF"/>
    <w:rsid w:val="00EC19EB"/>
    <w:rsid w:val="00EC241D"/>
    <w:rsid w:val="00EC28EA"/>
    <w:rsid w:val="00EC2FD7"/>
    <w:rsid w:val="00EC3436"/>
    <w:rsid w:val="00EC4A63"/>
    <w:rsid w:val="00EC7F4F"/>
    <w:rsid w:val="00ED0753"/>
    <w:rsid w:val="00ED07A4"/>
    <w:rsid w:val="00ED0ADE"/>
    <w:rsid w:val="00ED1E46"/>
    <w:rsid w:val="00ED1EC0"/>
    <w:rsid w:val="00ED20F2"/>
    <w:rsid w:val="00ED2E5D"/>
    <w:rsid w:val="00ED31EE"/>
    <w:rsid w:val="00ED400C"/>
    <w:rsid w:val="00ED5224"/>
    <w:rsid w:val="00ED527E"/>
    <w:rsid w:val="00ED5741"/>
    <w:rsid w:val="00ED6392"/>
    <w:rsid w:val="00EE0D88"/>
    <w:rsid w:val="00EE1DD0"/>
    <w:rsid w:val="00EE3255"/>
    <w:rsid w:val="00EE36F7"/>
    <w:rsid w:val="00EE3801"/>
    <w:rsid w:val="00EE4336"/>
    <w:rsid w:val="00EE4388"/>
    <w:rsid w:val="00EE446A"/>
    <w:rsid w:val="00EE57B3"/>
    <w:rsid w:val="00EE595D"/>
    <w:rsid w:val="00EE663B"/>
    <w:rsid w:val="00EE6A49"/>
    <w:rsid w:val="00EE6BAB"/>
    <w:rsid w:val="00EE6D19"/>
    <w:rsid w:val="00EE6E1B"/>
    <w:rsid w:val="00EE7027"/>
    <w:rsid w:val="00EE783E"/>
    <w:rsid w:val="00EE7B7E"/>
    <w:rsid w:val="00EF22AE"/>
    <w:rsid w:val="00EF2492"/>
    <w:rsid w:val="00EF25CC"/>
    <w:rsid w:val="00EF2AEF"/>
    <w:rsid w:val="00EF2D8F"/>
    <w:rsid w:val="00EF2E51"/>
    <w:rsid w:val="00EF3959"/>
    <w:rsid w:val="00EF3D13"/>
    <w:rsid w:val="00EF41A9"/>
    <w:rsid w:val="00EF4798"/>
    <w:rsid w:val="00EF5705"/>
    <w:rsid w:val="00EF58A7"/>
    <w:rsid w:val="00EF68A3"/>
    <w:rsid w:val="00EF6C48"/>
    <w:rsid w:val="00EF7B41"/>
    <w:rsid w:val="00F01073"/>
    <w:rsid w:val="00F014D3"/>
    <w:rsid w:val="00F016D5"/>
    <w:rsid w:val="00F01CDA"/>
    <w:rsid w:val="00F02099"/>
    <w:rsid w:val="00F02EFD"/>
    <w:rsid w:val="00F04545"/>
    <w:rsid w:val="00F04A47"/>
    <w:rsid w:val="00F04A4C"/>
    <w:rsid w:val="00F05D69"/>
    <w:rsid w:val="00F06432"/>
    <w:rsid w:val="00F07ED6"/>
    <w:rsid w:val="00F07F87"/>
    <w:rsid w:val="00F10015"/>
    <w:rsid w:val="00F10302"/>
    <w:rsid w:val="00F11013"/>
    <w:rsid w:val="00F113AA"/>
    <w:rsid w:val="00F11E3F"/>
    <w:rsid w:val="00F11FB9"/>
    <w:rsid w:val="00F12DC9"/>
    <w:rsid w:val="00F13198"/>
    <w:rsid w:val="00F131A8"/>
    <w:rsid w:val="00F13218"/>
    <w:rsid w:val="00F13531"/>
    <w:rsid w:val="00F13AC6"/>
    <w:rsid w:val="00F140B9"/>
    <w:rsid w:val="00F151A3"/>
    <w:rsid w:val="00F15A96"/>
    <w:rsid w:val="00F164EF"/>
    <w:rsid w:val="00F16F51"/>
    <w:rsid w:val="00F218D5"/>
    <w:rsid w:val="00F21A1B"/>
    <w:rsid w:val="00F21C75"/>
    <w:rsid w:val="00F22361"/>
    <w:rsid w:val="00F231E6"/>
    <w:rsid w:val="00F23795"/>
    <w:rsid w:val="00F23F46"/>
    <w:rsid w:val="00F24284"/>
    <w:rsid w:val="00F24384"/>
    <w:rsid w:val="00F245A5"/>
    <w:rsid w:val="00F25393"/>
    <w:rsid w:val="00F2545C"/>
    <w:rsid w:val="00F26FAA"/>
    <w:rsid w:val="00F27773"/>
    <w:rsid w:val="00F27814"/>
    <w:rsid w:val="00F27C01"/>
    <w:rsid w:val="00F30985"/>
    <w:rsid w:val="00F31B66"/>
    <w:rsid w:val="00F32C0A"/>
    <w:rsid w:val="00F3386C"/>
    <w:rsid w:val="00F33FA6"/>
    <w:rsid w:val="00F34425"/>
    <w:rsid w:val="00F34D00"/>
    <w:rsid w:val="00F36DE1"/>
    <w:rsid w:val="00F37867"/>
    <w:rsid w:val="00F41F9A"/>
    <w:rsid w:val="00F428EC"/>
    <w:rsid w:val="00F42ABE"/>
    <w:rsid w:val="00F42CEA"/>
    <w:rsid w:val="00F43B0A"/>
    <w:rsid w:val="00F45E26"/>
    <w:rsid w:val="00F46178"/>
    <w:rsid w:val="00F46218"/>
    <w:rsid w:val="00F465DD"/>
    <w:rsid w:val="00F466E3"/>
    <w:rsid w:val="00F478E2"/>
    <w:rsid w:val="00F51BA4"/>
    <w:rsid w:val="00F52BE5"/>
    <w:rsid w:val="00F5405B"/>
    <w:rsid w:val="00F551AB"/>
    <w:rsid w:val="00F55583"/>
    <w:rsid w:val="00F56B3A"/>
    <w:rsid w:val="00F57B2E"/>
    <w:rsid w:val="00F60542"/>
    <w:rsid w:val="00F6081C"/>
    <w:rsid w:val="00F608AD"/>
    <w:rsid w:val="00F60CC7"/>
    <w:rsid w:val="00F621C9"/>
    <w:rsid w:val="00F623AD"/>
    <w:rsid w:val="00F623B2"/>
    <w:rsid w:val="00F62C40"/>
    <w:rsid w:val="00F631EB"/>
    <w:rsid w:val="00F63B8C"/>
    <w:rsid w:val="00F642BA"/>
    <w:rsid w:val="00F64ADE"/>
    <w:rsid w:val="00F657FD"/>
    <w:rsid w:val="00F66001"/>
    <w:rsid w:val="00F67128"/>
    <w:rsid w:val="00F705F7"/>
    <w:rsid w:val="00F7206D"/>
    <w:rsid w:val="00F7263C"/>
    <w:rsid w:val="00F72DD1"/>
    <w:rsid w:val="00F72E77"/>
    <w:rsid w:val="00F73B38"/>
    <w:rsid w:val="00F742E5"/>
    <w:rsid w:val="00F7431D"/>
    <w:rsid w:val="00F743AC"/>
    <w:rsid w:val="00F745FF"/>
    <w:rsid w:val="00F75933"/>
    <w:rsid w:val="00F76258"/>
    <w:rsid w:val="00F76F00"/>
    <w:rsid w:val="00F81DC7"/>
    <w:rsid w:val="00F81F1E"/>
    <w:rsid w:val="00F829D4"/>
    <w:rsid w:val="00F82EF2"/>
    <w:rsid w:val="00F848A9"/>
    <w:rsid w:val="00F84A67"/>
    <w:rsid w:val="00F84EE4"/>
    <w:rsid w:val="00F85B3F"/>
    <w:rsid w:val="00F86166"/>
    <w:rsid w:val="00F862D1"/>
    <w:rsid w:val="00F868E7"/>
    <w:rsid w:val="00F86F51"/>
    <w:rsid w:val="00F87974"/>
    <w:rsid w:val="00F9073C"/>
    <w:rsid w:val="00F90AB5"/>
    <w:rsid w:val="00F90DAD"/>
    <w:rsid w:val="00F91081"/>
    <w:rsid w:val="00F919AD"/>
    <w:rsid w:val="00F92DD7"/>
    <w:rsid w:val="00F93F07"/>
    <w:rsid w:val="00F93F7E"/>
    <w:rsid w:val="00F9446A"/>
    <w:rsid w:val="00F94BD2"/>
    <w:rsid w:val="00F94CCF"/>
    <w:rsid w:val="00F96753"/>
    <w:rsid w:val="00F96AC8"/>
    <w:rsid w:val="00F97A10"/>
    <w:rsid w:val="00FA12D4"/>
    <w:rsid w:val="00FA1749"/>
    <w:rsid w:val="00FA1908"/>
    <w:rsid w:val="00FA3BF4"/>
    <w:rsid w:val="00FA4023"/>
    <w:rsid w:val="00FA455C"/>
    <w:rsid w:val="00FA5572"/>
    <w:rsid w:val="00FA774D"/>
    <w:rsid w:val="00FA791E"/>
    <w:rsid w:val="00FA7949"/>
    <w:rsid w:val="00FB19CB"/>
    <w:rsid w:val="00FB1F1C"/>
    <w:rsid w:val="00FB2678"/>
    <w:rsid w:val="00FB3F23"/>
    <w:rsid w:val="00FB4C1D"/>
    <w:rsid w:val="00FB5CC5"/>
    <w:rsid w:val="00FB6AED"/>
    <w:rsid w:val="00FB6D14"/>
    <w:rsid w:val="00FB7475"/>
    <w:rsid w:val="00FB761B"/>
    <w:rsid w:val="00FB7C1C"/>
    <w:rsid w:val="00FC0EEB"/>
    <w:rsid w:val="00FC12E3"/>
    <w:rsid w:val="00FC43B6"/>
    <w:rsid w:val="00FC59AC"/>
    <w:rsid w:val="00FD102F"/>
    <w:rsid w:val="00FD292F"/>
    <w:rsid w:val="00FD36F4"/>
    <w:rsid w:val="00FD463D"/>
    <w:rsid w:val="00FD4733"/>
    <w:rsid w:val="00FD4FB8"/>
    <w:rsid w:val="00FD5B8D"/>
    <w:rsid w:val="00FD634B"/>
    <w:rsid w:val="00FD68E2"/>
    <w:rsid w:val="00FD7D39"/>
    <w:rsid w:val="00FE0130"/>
    <w:rsid w:val="00FE097C"/>
    <w:rsid w:val="00FE1550"/>
    <w:rsid w:val="00FE16F8"/>
    <w:rsid w:val="00FE2B9C"/>
    <w:rsid w:val="00FE30E3"/>
    <w:rsid w:val="00FE3A69"/>
    <w:rsid w:val="00FE408F"/>
    <w:rsid w:val="00FE4CC7"/>
    <w:rsid w:val="00FE593E"/>
    <w:rsid w:val="00FE59A5"/>
    <w:rsid w:val="00FE59BD"/>
    <w:rsid w:val="00FE7789"/>
    <w:rsid w:val="00FE7A48"/>
    <w:rsid w:val="00FF060B"/>
    <w:rsid w:val="00FF13B4"/>
    <w:rsid w:val="00FF1531"/>
    <w:rsid w:val="00FF354A"/>
    <w:rsid w:val="00FF3941"/>
    <w:rsid w:val="00FF404B"/>
    <w:rsid w:val="00FF5D1A"/>
    <w:rsid w:val="00FF6D02"/>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12464"/>
  <w15:docId w15:val="{B4D2E140-75F6-4C89-8851-C03D21F7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E88"/>
    <w:pPr>
      <w:spacing w:after="120" w:line="240" w:lineRule="auto"/>
      <w:jc w:val="both"/>
    </w:pPr>
    <w:rPr>
      <w:rFonts w:ascii="Times New Roman" w:hAnsi="Times New Roman"/>
      <w:sz w:val="24"/>
    </w:rPr>
  </w:style>
  <w:style w:type="paragraph" w:styleId="Heading1">
    <w:name w:val="heading 1"/>
    <w:basedOn w:val="Normal"/>
    <w:next w:val="Normal"/>
    <w:link w:val="Heading1Char1"/>
    <w:uiPriority w:val="9"/>
    <w:qFormat/>
    <w:rsid w:val="00797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odnaslov 2"/>
    <w:basedOn w:val="Normal"/>
    <w:next w:val="Normal"/>
    <w:link w:val="Heading2Char"/>
    <w:uiPriority w:val="9"/>
    <w:unhideWhenUsed/>
    <w:qFormat/>
    <w:rsid w:val="00797049"/>
    <w:pPr>
      <w:keepNext/>
      <w:keepLines/>
      <w:spacing w:before="40" w:after="0"/>
      <w:outlineLvl w:val="1"/>
    </w:pPr>
    <w:rPr>
      <w:rFonts w:ascii="Cambria" w:eastAsia="MS PGothic" w:hAnsi="Cambria" w:cs="Arial"/>
      <w:color w:val="404040"/>
      <w:sz w:val="28"/>
      <w:szCs w:val="28"/>
    </w:rPr>
  </w:style>
  <w:style w:type="paragraph" w:styleId="Heading3">
    <w:name w:val="heading 3"/>
    <w:basedOn w:val="Normal"/>
    <w:next w:val="Normal"/>
    <w:link w:val="Heading3Char"/>
    <w:unhideWhenUsed/>
    <w:qFormat/>
    <w:rsid w:val="00797049"/>
    <w:pPr>
      <w:keepNext/>
      <w:keepLines/>
      <w:spacing w:before="40" w:after="0"/>
      <w:outlineLvl w:val="2"/>
    </w:pPr>
    <w:rPr>
      <w:rFonts w:ascii="Arial" w:eastAsia="MS PGothic" w:hAnsi="Arial" w:cs="Arial"/>
      <w:color w:val="000000"/>
      <w:szCs w:val="24"/>
    </w:rPr>
  </w:style>
  <w:style w:type="paragraph" w:styleId="Heading4">
    <w:name w:val="heading 4"/>
    <w:basedOn w:val="Normal"/>
    <w:next w:val="Normal"/>
    <w:link w:val="Heading4Char"/>
    <w:unhideWhenUsed/>
    <w:qFormat/>
    <w:rsid w:val="00797049"/>
    <w:pPr>
      <w:keepNext/>
      <w:keepLines/>
      <w:spacing w:before="40" w:after="0"/>
      <w:outlineLvl w:val="3"/>
    </w:pPr>
    <w:rPr>
      <w:rFonts w:ascii="Arial" w:eastAsia="MS PGothic" w:hAnsi="Arial" w:cs="Arial"/>
    </w:rPr>
  </w:style>
  <w:style w:type="paragraph" w:styleId="Heading5">
    <w:name w:val="heading 5"/>
    <w:basedOn w:val="Normal"/>
    <w:next w:val="Normal"/>
    <w:link w:val="Heading5Char"/>
    <w:unhideWhenUsed/>
    <w:qFormat/>
    <w:rsid w:val="00797049"/>
    <w:pPr>
      <w:keepNext/>
      <w:keepLines/>
      <w:spacing w:before="40" w:after="0"/>
      <w:outlineLvl w:val="4"/>
    </w:pPr>
    <w:rPr>
      <w:rFonts w:ascii="Arial" w:eastAsia="MS PGothic" w:hAnsi="Arial" w:cs="Arial"/>
      <w:color w:val="000000"/>
    </w:rPr>
  </w:style>
  <w:style w:type="paragraph" w:styleId="Heading6">
    <w:name w:val="heading 6"/>
    <w:basedOn w:val="Normal"/>
    <w:next w:val="Normal"/>
    <w:link w:val="Heading6Char"/>
    <w:unhideWhenUsed/>
    <w:qFormat/>
    <w:rsid w:val="00797049"/>
    <w:pPr>
      <w:keepNext/>
      <w:keepLines/>
      <w:spacing w:before="40" w:after="0"/>
      <w:outlineLvl w:val="5"/>
    </w:pPr>
    <w:rPr>
      <w:rFonts w:ascii="Arial" w:eastAsia="MS PGothic" w:hAnsi="Arial" w:cs="Arial"/>
      <w:i/>
      <w:iCs/>
      <w:color w:val="000000"/>
      <w:sz w:val="21"/>
      <w:szCs w:val="21"/>
    </w:rPr>
  </w:style>
  <w:style w:type="paragraph" w:styleId="Heading7">
    <w:name w:val="heading 7"/>
    <w:basedOn w:val="Normal"/>
    <w:next w:val="Normal"/>
    <w:link w:val="Heading7Char"/>
    <w:uiPriority w:val="9"/>
    <w:semiHidden/>
    <w:unhideWhenUsed/>
    <w:qFormat/>
    <w:rsid w:val="00797049"/>
    <w:pPr>
      <w:keepNext/>
      <w:keepLines/>
      <w:spacing w:before="40" w:after="0"/>
      <w:outlineLvl w:val="6"/>
    </w:pPr>
    <w:rPr>
      <w:rFonts w:ascii="Arial" w:eastAsia="MS PGothic" w:hAnsi="Arial" w:cs="Arial"/>
      <w:i/>
      <w:iCs/>
      <w:color w:val="7F1D09"/>
      <w:sz w:val="21"/>
      <w:szCs w:val="21"/>
    </w:rPr>
  </w:style>
  <w:style w:type="paragraph" w:styleId="Heading8">
    <w:name w:val="heading 8"/>
    <w:basedOn w:val="Normal"/>
    <w:next w:val="Normal"/>
    <w:link w:val="Heading8Char"/>
    <w:uiPriority w:val="9"/>
    <w:semiHidden/>
    <w:unhideWhenUsed/>
    <w:qFormat/>
    <w:rsid w:val="00797049"/>
    <w:pPr>
      <w:keepNext/>
      <w:keepLines/>
      <w:spacing w:before="40" w:after="0"/>
      <w:outlineLvl w:val="7"/>
    </w:pPr>
    <w:rPr>
      <w:rFonts w:ascii="Arial" w:eastAsia="MS PGothic" w:hAnsi="Arial" w:cs="Arial"/>
      <w:b/>
      <w:bCs/>
      <w:color w:val="000000"/>
    </w:rPr>
  </w:style>
  <w:style w:type="paragraph" w:styleId="Heading9">
    <w:name w:val="heading 9"/>
    <w:basedOn w:val="Normal"/>
    <w:next w:val="Normal"/>
    <w:link w:val="Heading9Char"/>
    <w:uiPriority w:val="9"/>
    <w:semiHidden/>
    <w:unhideWhenUsed/>
    <w:qFormat/>
    <w:rsid w:val="00797049"/>
    <w:pPr>
      <w:keepNext/>
      <w:keepLines/>
      <w:spacing w:before="40" w:after="0"/>
      <w:outlineLvl w:val="8"/>
    </w:pPr>
    <w:rPr>
      <w:rFonts w:ascii="Arial" w:eastAsia="MS PGothic" w:hAnsi="Arial" w:cs="Arial"/>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797049"/>
    <w:pPr>
      <w:keepNext/>
      <w:keepLines/>
      <w:spacing w:before="320" w:after="0"/>
      <w:outlineLvl w:val="0"/>
    </w:pPr>
    <w:rPr>
      <w:rFonts w:ascii="Arial" w:eastAsia="MS PGothic" w:hAnsi="Arial" w:cs="Arial"/>
      <w:color w:val="BF2B0E"/>
      <w:sz w:val="32"/>
      <w:szCs w:val="32"/>
    </w:rPr>
  </w:style>
  <w:style w:type="paragraph" w:customStyle="1" w:styleId="Heading21">
    <w:name w:val="Heading 21"/>
    <w:basedOn w:val="Normal"/>
    <w:next w:val="Normal"/>
    <w:uiPriority w:val="9"/>
    <w:unhideWhenUsed/>
    <w:qFormat/>
    <w:rsid w:val="00797049"/>
    <w:pPr>
      <w:keepNext/>
      <w:keepLines/>
      <w:spacing w:before="80" w:after="0"/>
      <w:outlineLvl w:val="1"/>
    </w:pPr>
    <w:rPr>
      <w:rFonts w:ascii="Cambria" w:eastAsia="MS PGothic" w:hAnsi="Cambria" w:cs="Arial"/>
      <w:color w:val="404040"/>
      <w:sz w:val="28"/>
      <w:szCs w:val="28"/>
      <w:lang w:eastAsia="ja-JP"/>
    </w:rPr>
  </w:style>
  <w:style w:type="paragraph" w:customStyle="1" w:styleId="Heading31">
    <w:name w:val="Heading 31"/>
    <w:basedOn w:val="Normal"/>
    <w:next w:val="Normal"/>
    <w:uiPriority w:val="9"/>
    <w:unhideWhenUsed/>
    <w:qFormat/>
    <w:rsid w:val="00797049"/>
    <w:pPr>
      <w:keepNext/>
      <w:keepLines/>
      <w:spacing w:before="40" w:after="0"/>
      <w:outlineLvl w:val="2"/>
    </w:pPr>
    <w:rPr>
      <w:rFonts w:ascii="Arial" w:eastAsia="MS PGothic" w:hAnsi="Arial" w:cs="Arial"/>
      <w:color w:val="000000"/>
      <w:szCs w:val="24"/>
      <w:lang w:eastAsia="ja-JP"/>
    </w:rPr>
  </w:style>
  <w:style w:type="paragraph" w:customStyle="1" w:styleId="Heading41">
    <w:name w:val="Heading 41"/>
    <w:basedOn w:val="Normal"/>
    <w:next w:val="Normal"/>
    <w:uiPriority w:val="9"/>
    <w:unhideWhenUsed/>
    <w:qFormat/>
    <w:rsid w:val="00797049"/>
    <w:pPr>
      <w:keepNext/>
      <w:keepLines/>
      <w:spacing w:before="40" w:after="0" w:line="264" w:lineRule="auto"/>
      <w:outlineLvl w:val="3"/>
    </w:pPr>
    <w:rPr>
      <w:rFonts w:ascii="Arial" w:eastAsia="MS PGothic" w:hAnsi="Arial" w:cs="Arial"/>
      <w:lang w:eastAsia="ja-JP"/>
    </w:rPr>
  </w:style>
  <w:style w:type="paragraph" w:customStyle="1" w:styleId="Heading51">
    <w:name w:val="Heading 51"/>
    <w:basedOn w:val="Normal"/>
    <w:next w:val="Normal"/>
    <w:uiPriority w:val="9"/>
    <w:semiHidden/>
    <w:unhideWhenUsed/>
    <w:qFormat/>
    <w:rsid w:val="00797049"/>
    <w:pPr>
      <w:keepNext/>
      <w:keepLines/>
      <w:spacing w:before="40" w:after="0" w:line="264" w:lineRule="auto"/>
      <w:outlineLvl w:val="4"/>
    </w:pPr>
    <w:rPr>
      <w:rFonts w:ascii="Arial" w:eastAsia="MS PGothic" w:hAnsi="Arial" w:cs="Arial"/>
      <w:color w:val="000000"/>
      <w:lang w:eastAsia="ja-JP"/>
    </w:rPr>
  </w:style>
  <w:style w:type="paragraph" w:customStyle="1" w:styleId="Heading61">
    <w:name w:val="Heading 61"/>
    <w:basedOn w:val="Normal"/>
    <w:next w:val="Normal"/>
    <w:uiPriority w:val="9"/>
    <w:semiHidden/>
    <w:unhideWhenUsed/>
    <w:qFormat/>
    <w:rsid w:val="00797049"/>
    <w:pPr>
      <w:keepNext/>
      <w:keepLines/>
      <w:spacing w:before="40" w:after="0" w:line="264" w:lineRule="auto"/>
      <w:outlineLvl w:val="5"/>
    </w:pPr>
    <w:rPr>
      <w:rFonts w:ascii="Arial" w:eastAsia="MS PGothic" w:hAnsi="Arial" w:cs="Arial"/>
      <w:i/>
      <w:iCs/>
      <w:color w:val="000000"/>
      <w:sz w:val="21"/>
      <w:szCs w:val="21"/>
      <w:lang w:eastAsia="ja-JP"/>
    </w:rPr>
  </w:style>
  <w:style w:type="paragraph" w:customStyle="1" w:styleId="Heading71">
    <w:name w:val="Heading 71"/>
    <w:basedOn w:val="Normal"/>
    <w:next w:val="Normal"/>
    <w:uiPriority w:val="9"/>
    <w:semiHidden/>
    <w:unhideWhenUsed/>
    <w:qFormat/>
    <w:rsid w:val="00797049"/>
    <w:pPr>
      <w:keepNext/>
      <w:keepLines/>
      <w:spacing w:before="40" w:after="0" w:line="264" w:lineRule="auto"/>
      <w:outlineLvl w:val="6"/>
    </w:pPr>
    <w:rPr>
      <w:rFonts w:ascii="Arial" w:eastAsia="MS PGothic" w:hAnsi="Arial" w:cs="Arial"/>
      <w:i/>
      <w:iCs/>
      <w:color w:val="7F1D09"/>
      <w:sz w:val="21"/>
      <w:szCs w:val="21"/>
      <w:lang w:eastAsia="ja-JP"/>
    </w:rPr>
  </w:style>
  <w:style w:type="paragraph" w:customStyle="1" w:styleId="Heading81">
    <w:name w:val="Heading 81"/>
    <w:basedOn w:val="Normal"/>
    <w:next w:val="Normal"/>
    <w:uiPriority w:val="9"/>
    <w:semiHidden/>
    <w:unhideWhenUsed/>
    <w:qFormat/>
    <w:rsid w:val="00797049"/>
    <w:pPr>
      <w:keepNext/>
      <w:keepLines/>
      <w:spacing w:before="40" w:after="0" w:line="264" w:lineRule="auto"/>
      <w:outlineLvl w:val="7"/>
    </w:pPr>
    <w:rPr>
      <w:rFonts w:ascii="Arial" w:eastAsia="MS PGothic" w:hAnsi="Arial" w:cs="Arial"/>
      <w:b/>
      <w:bCs/>
      <w:color w:val="000000"/>
      <w:sz w:val="20"/>
      <w:szCs w:val="20"/>
      <w:lang w:eastAsia="ja-JP"/>
    </w:rPr>
  </w:style>
  <w:style w:type="paragraph" w:customStyle="1" w:styleId="Heading91">
    <w:name w:val="Heading 91"/>
    <w:basedOn w:val="Normal"/>
    <w:next w:val="Normal"/>
    <w:uiPriority w:val="9"/>
    <w:semiHidden/>
    <w:unhideWhenUsed/>
    <w:qFormat/>
    <w:rsid w:val="00797049"/>
    <w:pPr>
      <w:keepNext/>
      <w:keepLines/>
      <w:spacing w:before="40" w:after="0" w:line="264" w:lineRule="auto"/>
      <w:outlineLvl w:val="8"/>
    </w:pPr>
    <w:rPr>
      <w:rFonts w:ascii="Arial" w:eastAsia="MS PGothic" w:hAnsi="Arial" w:cs="Arial"/>
      <w:b/>
      <w:bCs/>
      <w:i/>
      <w:iCs/>
      <w:color w:val="000000"/>
      <w:sz w:val="20"/>
      <w:szCs w:val="20"/>
      <w:lang w:eastAsia="ja-JP"/>
    </w:rPr>
  </w:style>
  <w:style w:type="numbering" w:customStyle="1" w:styleId="NoList1">
    <w:name w:val="No List1"/>
    <w:next w:val="NoList"/>
    <w:uiPriority w:val="99"/>
    <w:semiHidden/>
    <w:unhideWhenUsed/>
    <w:rsid w:val="00797049"/>
  </w:style>
  <w:style w:type="paragraph" w:customStyle="1" w:styleId="Footer1">
    <w:name w:val="Footer1"/>
    <w:basedOn w:val="Normal"/>
    <w:next w:val="Footer"/>
    <w:link w:val="FooterChar"/>
    <w:uiPriority w:val="99"/>
    <w:unhideWhenUsed/>
    <w:rsid w:val="00797049"/>
    <w:pPr>
      <w:spacing w:after="0" w:line="264" w:lineRule="auto"/>
      <w:ind w:left="29" w:right="144"/>
    </w:pPr>
    <w:rPr>
      <w:color w:val="EF4623"/>
    </w:rPr>
  </w:style>
  <w:style w:type="character" w:customStyle="1" w:styleId="FooterChar">
    <w:name w:val="Footer Char"/>
    <w:basedOn w:val="DefaultParagraphFont"/>
    <w:link w:val="Footer1"/>
    <w:uiPriority w:val="99"/>
    <w:rsid w:val="00797049"/>
    <w:rPr>
      <w:color w:val="EF4623"/>
    </w:rPr>
  </w:style>
  <w:style w:type="paragraph" w:customStyle="1" w:styleId="Subtitle1">
    <w:name w:val="Subtitle1"/>
    <w:basedOn w:val="Normal"/>
    <w:next w:val="Normal"/>
    <w:uiPriority w:val="11"/>
    <w:qFormat/>
    <w:rsid w:val="00797049"/>
    <w:pPr>
      <w:numPr>
        <w:ilvl w:val="1"/>
      </w:numPr>
    </w:pPr>
    <w:rPr>
      <w:rFonts w:ascii="Arial" w:eastAsia="MS PGothic" w:hAnsi="Arial" w:cs="Arial"/>
      <w:szCs w:val="24"/>
      <w:lang w:eastAsia="ja-JP"/>
    </w:rPr>
  </w:style>
  <w:style w:type="paragraph" w:customStyle="1" w:styleId="Graphic">
    <w:name w:val="Graphic"/>
    <w:basedOn w:val="Normal"/>
    <w:uiPriority w:val="99"/>
    <w:rsid w:val="00797049"/>
    <w:pPr>
      <w:spacing w:line="264" w:lineRule="auto"/>
      <w:jc w:val="center"/>
    </w:pPr>
    <w:rPr>
      <w:rFonts w:eastAsia="MS PGothic"/>
      <w:sz w:val="20"/>
      <w:szCs w:val="20"/>
      <w:lang w:eastAsia="ja-JP"/>
    </w:rPr>
  </w:style>
  <w:style w:type="paragraph" w:styleId="Header">
    <w:name w:val="header"/>
    <w:basedOn w:val="Normal"/>
    <w:link w:val="HeaderChar"/>
    <w:uiPriority w:val="99"/>
    <w:rsid w:val="00797049"/>
    <w:pPr>
      <w:spacing w:after="380" w:line="264" w:lineRule="auto"/>
    </w:pPr>
    <w:rPr>
      <w:rFonts w:eastAsia="MS PGothic"/>
      <w:sz w:val="20"/>
      <w:szCs w:val="20"/>
      <w:lang w:eastAsia="ja-JP"/>
    </w:rPr>
  </w:style>
  <w:style w:type="character" w:customStyle="1" w:styleId="HeaderChar">
    <w:name w:val="Header Char"/>
    <w:basedOn w:val="DefaultParagraphFont"/>
    <w:link w:val="Header"/>
    <w:uiPriority w:val="99"/>
    <w:rsid w:val="00797049"/>
    <w:rPr>
      <w:rFonts w:eastAsia="MS PGothic"/>
      <w:sz w:val="20"/>
      <w:szCs w:val="20"/>
      <w:lang w:eastAsia="ja-JP"/>
    </w:rPr>
  </w:style>
  <w:style w:type="table" w:styleId="TableGrid">
    <w:name w:val="Table Grid"/>
    <w:basedOn w:val="TableNormal"/>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rsid w:val="00797049"/>
    <w:pPr>
      <w:spacing w:after="60" w:line="264" w:lineRule="auto"/>
      <w:ind w:left="29" w:right="29"/>
      <w:jc w:val="right"/>
    </w:pPr>
    <w:rPr>
      <w:rFonts w:eastAsia="MS PGothic"/>
      <w:b/>
      <w:bCs/>
      <w:color w:val="EF4623"/>
      <w:sz w:val="36"/>
      <w:szCs w:val="20"/>
      <w:lang w:eastAsia="ja-JP"/>
    </w:rPr>
  </w:style>
  <w:style w:type="paragraph" w:customStyle="1" w:styleId="Page">
    <w:name w:val="Page"/>
    <w:basedOn w:val="Normal"/>
    <w:next w:val="Normal"/>
    <w:uiPriority w:val="99"/>
    <w:unhideWhenUsed/>
    <w:rsid w:val="00797049"/>
    <w:pPr>
      <w:spacing w:after="40" w:line="264" w:lineRule="auto"/>
    </w:pPr>
    <w:rPr>
      <w:rFonts w:eastAsia="MS PGothic"/>
      <w:noProof/>
      <w:color w:val="000000"/>
      <w:sz w:val="36"/>
      <w:szCs w:val="20"/>
      <w:lang w:eastAsia="ja-JP"/>
    </w:rPr>
  </w:style>
  <w:style w:type="paragraph" w:customStyle="1" w:styleId="Title1">
    <w:name w:val="Title1"/>
    <w:basedOn w:val="Normal"/>
    <w:next w:val="Normal"/>
    <w:uiPriority w:val="10"/>
    <w:qFormat/>
    <w:rsid w:val="00797049"/>
    <w:pPr>
      <w:spacing w:after="0"/>
      <w:contextualSpacing/>
    </w:pPr>
    <w:rPr>
      <w:rFonts w:ascii="Arial" w:eastAsia="MS PGothic" w:hAnsi="Arial" w:cs="Arial"/>
      <w:color w:val="EF4623"/>
      <w:spacing w:val="-10"/>
      <w:sz w:val="56"/>
      <w:szCs w:val="56"/>
      <w:lang w:eastAsia="ja-JP"/>
    </w:rPr>
  </w:style>
  <w:style w:type="character" w:customStyle="1" w:styleId="TitleChar">
    <w:name w:val="Title Char"/>
    <w:basedOn w:val="DefaultParagraphFont"/>
    <w:link w:val="Title"/>
    <w:rsid w:val="00797049"/>
    <w:rPr>
      <w:rFonts w:ascii="Arial" w:eastAsia="MS PGothic" w:hAnsi="Arial" w:cs="Arial"/>
      <w:color w:val="EF4623"/>
      <w:spacing w:val="-10"/>
      <w:sz w:val="56"/>
      <w:szCs w:val="56"/>
    </w:rPr>
  </w:style>
  <w:style w:type="character" w:styleId="PlaceholderText">
    <w:name w:val="Placeholder Text"/>
    <w:basedOn w:val="DefaultParagraphFont"/>
    <w:uiPriority w:val="99"/>
    <w:semiHidden/>
    <w:rsid w:val="00797049"/>
    <w:rPr>
      <w:color w:val="808080"/>
    </w:rPr>
  </w:style>
  <w:style w:type="paragraph" w:styleId="BalloonText">
    <w:name w:val="Balloon Text"/>
    <w:basedOn w:val="Normal"/>
    <w:link w:val="BalloonTextChar"/>
    <w:uiPriority w:val="99"/>
    <w:unhideWhenUsed/>
    <w:rsid w:val="00797049"/>
    <w:pPr>
      <w:spacing w:after="0" w:line="264" w:lineRule="auto"/>
    </w:pPr>
    <w:rPr>
      <w:rFonts w:ascii="Tahoma" w:eastAsia="MS PGothic" w:hAnsi="Tahoma" w:cs="Tahoma"/>
      <w:sz w:val="16"/>
      <w:szCs w:val="20"/>
      <w:lang w:eastAsia="ja-JP"/>
    </w:rPr>
  </w:style>
  <w:style w:type="character" w:customStyle="1" w:styleId="BalloonTextChar">
    <w:name w:val="Balloon Text Char"/>
    <w:basedOn w:val="DefaultParagraphFont"/>
    <w:link w:val="BalloonText"/>
    <w:uiPriority w:val="99"/>
    <w:rsid w:val="00797049"/>
    <w:rPr>
      <w:rFonts w:ascii="Tahoma" w:eastAsia="MS PGothic" w:hAnsi="Tahoma" w:cs="Tahoma"/>
      <w:sz w:val="16"/>
      <w:szCs w:val="20"/>
      <w:lang w:eastAsia="ja-JP"/>
    </w:rPr>
  </w:style>
  <w:style w:type="character" w:styleId="Strong">
    <w:name w:val="Strong"/>
    <w:basedOn w:val="DefaultParagraphFont"/>
    <w:uiPriority w:val="22"/>
    <w:qFormat/>
    <w:rsid w:val="00797049"/>
    <w:rPr>
      <w:b/>
      <w:bCs/>
    </w:rPr>
  </w:style>
  <w:style w:type="character" w:customStyle="1" w:styleId="SubtitleChar">
    <w:name w:val="Subtitle Char"/>
    <w:basedOn w:val="DefaultParagraphFont"/>
    <w:link w:val="Subtitle"/>
    <w:rsid w:val="00797049"/>
    <w:rPr>
      <w:rFonts w:ascii="Arial" w:eastAsia="MS PGothic" w:hAnsi="Arial" w:cs="Arial"/>
      <w:sz w:val="24"/>
      <w:szCs w:val="24"/>
    </w:rPr>
  </w:style>
  <w:style w:type="paragraph" w:customStyle="1" w:styleId="Abstract">
    <w:name w:val="Abstract"/>
    <w:basedOn w:val="Normal"/>
    <w:uiPriority w:val="3"/>
    <w:rsid w:val="00797049"/>
    <w:pPr>
      <w:spacing w:before="360" w:after="480" w:line="360" w:lineRule="auto"/>
    </w:pPr>
    <w:rPr>
      <w:rFonts w:eastAsia="MS PGothic"/>
      <w:i/>
      <w:iCs/>
      <w:color w:val="EF4623"/>
      <w:kern w:val="20"/>
      <w:sz w:val="28"/>
      <w:szCs w:val="20"/>
      <w:lang w:eastAsia="ja-JP"/>
    </w:rPr>
  </w:style>
  <w:style w:type="paragraph" w:styleId="NoSpacing">
    <w:name w:val="No Spacing"/>
    <w:aliases w:val="Uvodna rečenica"/>
    <w:link w:val="NoSpacingChar"/>
    <w:uiPriority w:val="1"/>
    <w:qFormat/>
    <w:rsid w:val="00797049"/>
    <w:pPr>
      <w:spacing w:after="0" w:line="240" w:lineRule="auto"/>
    </w:pPr>
    <w:rPr>
      <w:rFonts w:eastAsia="MS PGothic"/>
      <w:sz w:val="20"/>
      <w:szCs w:val="20"/>
      <w:lang w:eastAsia="ja-JP"/>
    </w:rPr>
  </w:style>
  <w:style w:type="character" w:customStyle="1" w:styleId="Hyperlink1">
    <w:name w:val="Hyperlink1"/>
    <w:basedOn w:val="DefaultParagraphFont"/>
    <w:uiPriority w:val="99"/>
    <w:unhideWhenUsed/>
    <w:rsid w:val="00797049"/>
    <w:rPr>
      <w:color w:val="5F5F5F"/>
      <w:u w:val="single"/>
    </w:rPr>
  </w:style>
  <w:style w:type="paragraph" w:styleId="TOC1">
    <w:name w:val="toc 1"/>
    <w:basedOn w:val="Normal"/>
    <w:next w:val="Normal"/>
    <w:autoRedefine/>
    <w:uiPriority w:val="39"/>
    <w:unhideWhenUsed/>
    <w:qFormat/>
    <w:rsid w:val="005A2FC0"/>
    <w:pPr>
      <w:tabs>
        <w:tab w:val="left" w:pos="400"/>
        <w:tab w:val="right" w:leader="underscore" w:pos="8424"/>
      </w:tabs>
      <w:spacing w:before="40" w:after="100" w:line="288" w:lineRule="auto"/>
    </w:pPr>
    <w:rPr>
      <w:rFonts w:eastAsia="MS PGothic"/>
      <w:noProof/>
      <w:kern w:val="20"/>
      <w:sz w:val="20"/>
      <w:szCs w:val="20"/>
      <w:lang w:eastAsia="ja-JP"/>
    </w:rPr>
  </w:style>
  <w:style w:type="character" w:customStyle="1" w:styleId="Heading1Char">
    <w:name w:val="Heading 1 Char"/>
    <w:basedOn w:val="DefaultParagraphFont"/>
    <w:link w:val="Heading11"/>
    <w:uiPriority w:val="9"/>
    <w:rsid w:val="00797049"/>
    <w:rPr>
      <w:rFonts w:ascii="Arial" w:eastAsia="MS PGothic" w:hAnsi="Arial" w:cs="Arial"/>
      <w:color w:val="BF2B0E"/>
      <w:sz w:val="32"/>
      <w:szCs w:val="32"/>
    </w:rPr>
  </w:style>
  <w:style w:type="character" w:customStyle="1" w:styleId="Heading1Char1">
    <w:name w:val="Heading 1 Char1"/>
    <w:basedOn w:val="DefaultParagraphFont"/>
    <w:link w:val="Heading1"/>
    <w:uiPriority w:val="9"/>
    <w:rsid w:val="0079704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97049"/>
    <w:pPr>
      <w:spacing w:before="320"/>
      <w:outlineLvl w:val="9"/>
    </w:pPr>
    <w:rPr>
      <w:lang w:eastAsia="ja-JP"/>
    </w:rPr>
  </w:style>
  <w:style w:type="character" w:customStyle="1" w:styleId="Heading2Char">
    <w:name w:val="Heading 2 Char"/>
    <w:aliases w:val="Podnaslov 2 Char"/>
    <w:basedOn w:val="DefaultParagraphFont"/>
    <w:link w:val="Heading2"/>
    <w:uiPriority w:val="9"/>
    <w:rsid w:val="00797049"/>
    <w:rPr>
      <w:rFonts w:ascii="Cambria" w:eastAsia="MS PGothic" w:hAnsi="Cambria" w:cs="Arial"/>
      <w:color w:val="404040"/>
      <w:sz w:val="28"/>
      <w:szCs w:val="28"/>
    </w:rPr>
  </w:style>
  <w:style w:type="paragraph" w:customStyle="1" w:styleId="Quote1">
    <w:name w:val="Quote1"/>
    <w:basedOn w:val="Normal"/>
    <w:next w:val="Normal"/>
    <w:uiPriority w:val="29"/>
    <w:qFormat/>
    <w:rsid w:val="00797049"/>
    <w:pPr>
      <w:spacing w:before="160" w:line="264" w:lineRule="auto"/>
      <w:ind w:left="720" w:right="720"/>
    </w:pPr>
    <w:rPr>
      <w:rFonts w:eastAsia="MS PGothic"/>
      <w:i/>
      <w:iCs/>
      <w:color w:val="404040"/>
      <w:sz w:val="20"/>
      <w:szCs w:val="20"/>
      <w:lang w:eastAsia="ja-JP"/>
    </w:rPr>
  </w:style>
  <w:style w:type="character" w:customStyle="1" w:styleId="QuoteChar">
    <w:name w:val="Quote Char"/>
    <w:basedOn w:val="DefaultParagraphFont"/>
    <w:link w:val="Quote"/>
    <w:uiPriority w:val="29"/>
    <w:rsid w:val="00797049"/>
    <w:rPr>
      <w:i/>
      <w:iCs/>
      <w:color w:val="404040"/>
    </w:rPr>
  </w:style>
  <w:style w:type="paragraph" w:customStyle="1" w:styleId="Signature1">
    <w:name w:val="Signature1"/>
    <w:basedOn w:val="Normal"/>
    <w:next w:val="Signature"/>
    <w:link w:val="SignatureChar"/>
    <w:uiPriority w:val="9"/>
    <w:unhideWhenUsed/>
    <w:rsid w:val="00797049"/>
    <w:pPr>
      <w:spacing w:before="720" w:after="0" w:line="312" w:lineRule="auto"/>
      <w:contextualSpacing/>
    </w:pPr>
    <w:rPr>
      <w:color w:val="595959"/>
      <w:kern w:val="20"/>
    </w:rPr>
  </w:style>
  <w:style w:type="character" w:customStyle="1" w:styleId="SignatureChar">
    <w:name w:val="Signature Char"/>
    <w:basedOn w:val="DefaultParagraphFont"/>
    <w:link w:val="Signature1"/>
    <w:uiPriority w:val="9"/>
    <w:rsid w:val="00797049"/>
    <w:rPr>
      <w:color w:val="595959"/>
      <w:kern w:val="20"/>
    </w:rPr>
  </w:style>
  <w:style w:type="character" w:customStyle="1" w:styleId="NoSpacingChar">
    <w:name w:val="No Spacing Char"/>
    <w:aliases w:val="Uvodna rečenica Char"/>
    <w:basedOn w:val="DefaultParagraphFont"/>
    <w:link w:val="NoSpacing"/>
    <w:uiPriority w:val="1"/>
    <w:rsid w:val="00797049"/>
    <w:rPr>
      <w:rFonts w:eastAsia="MS PGothic"/>
      <w:sz w:val="20"/>
      <w:szCs w:val="20"/>
      <w:lang w:eastAsia="ja-JP"/>
    </w:rPr>
  </w:style>
  <w:style w:type="paragraph" w:customStyle="1" w:styleId="ListBullet1">
    <w:name w:val="List Bullet1"/>
    <w:basedOn w:val="Normal"/>
    <w:next w:val="ListBullet"/>
    <w:link w:val="ListBulletChar"/>
    <w:uiPriority w:val="99"/>
    <w:unhideWhenUsed/>
    <w:qFormat/>
    <w:rsid w:val="00797049"/>
    <w:pPr>
      <w:numPr>
        <w:numId w:val="1"/>
      </w:numPr>
      <w:spacing w:before="40" w:after="40" w:line="288" w:lineRule="auto"/>
    </w:pPr>
    <w:rPr>
      <w:rFonts w:eastAsia="MS PGothic"/>
      <w:color w:val="595959"/>
      <w:kern w:val="20"/>
      <w:sz w:val="20"/>
      <w:szCs w:val="20"/>
      <w:lang w:eastAsia="ja-JP"/>
    </w:rPr>
  </w:style>
  <w:style w:type="paragraph" w:customStyle="1" w:styleId="ListNumber1">
    <w:name w:val="List Number1"/>
    <w:basedOn w:val="Normal"/>
    <w:next w:val="ListNumber"/>
    <w:uiPriority w:val="1"/>
    <w:unhideWhenUsed/>
    <w:rsid w:val="00797049"/>
    <w:pPr>
      <w:numPr>
        <w:numId w:val="2"/>
      </w:numPr>
      <w:spacing w:before="40" w:line="288" w:lineRule="auto"/>
      <w:contextualSpacing/>
    </w:pPr>
    <w:rPr>
      <w:rFonts w:eastAsia="MS PGothic"/>
      <w:color w:val="595959"/>
      <w:kern w:val="20"/>
      <w:sz w:val="20"/>
      <w:szCs w:val="20"/>
      <w:lang w:eastAsia="ja-JP"/>
    </w:rPr>
  </w:style>
  <w:style w:type="paragraph" w:customStyle="1" w:styleId="ListNumber21">
    <w:name w:val="List Number 21"/>
    <w:basedOn w:val="Normal"/>
    <w:next w:val="ListNumber2"/>
    <w:uiPriority w:val="1"/>
    <w:unhideWhenUsed/>
    <w:rsid w:val="00797049"/>
    <w:pPr>
      <w:numPr>
        <w:ilvl w:val="1"/>
        <w:numId w:val="2"/>
      </w:numPr>
      <w:spacing w:before="40" w:line="288" w:lineRule="auto"/>
      <w:contextualSpacing/>
    </w:pPr>
    <w:rPr>
      <w:rFonts w:eastAsia="MS PGothic"/>
      <w:color w:val="595959"/>
      <w:kern w:val="20"/>
      <w:sz w:val="20"/>
      <w:szCs w:val="20"/>
      <w:lang w:eastAsia="ja-JP"/>
    </w:rPr>
  </w:style>
  <w:style w:type="paragraph" w:customStyle="1" w:styleId="ListNumber31">
    <w:name w:val="List Number 31"/>
    <w:basedOn w:val="Normal"/>
    <w:next w:val="ListNumber3"/>
    <w:uiPriority w:val="18"/>
    <w:unhideWhenUsed/>
    <w:rsid w:val="00797049"/>
    <w:pPr>
      <w:numPr>
        <w:ilvl w:val="2"/>
        <w:numId w:val="2"/>
      </w:numPr>
      <w:spacing w:before="40" w:line="288" w:lineRule="auto"/>
      <w:contextualSpacing/>
    </w:pPr>
    <w:rPr>
      <w:rFonts w:eastAsia="MS PGothic"/>
      <w:color w:val="595959"/>
      <w:kern w:val="20"/>
      <w:sz w:val="20"/>
      <w:szCs w:val="20"/>
      <w:lang w:eastAsia="ja-JP"/>
    </w:rPr>
  </w:style>
  <w:style w:type="paragraph" w:customStyle="1" w:styleId="ListNumber41">
    <w:name w:val="List Number 41"/>
    <w:basedOn w:val="Normal"/>
    <w:next w:val="ListNumber4"/>
    <w:uiPriority w:val="18"/>
    <w:unhideWhenUsed/>
    <w:rsid w:val="00797049"/>
    <w:pPr>
      <w:numPr>
        <w:ilvl w:val="3"/>
        <w:numId w:val="2"/>
      </w:numPr>
      <w:spacing w:before="40" w:line="288" w:lineRule="auto"/>
      <w:contextualSpacing/>
    </w:pPr>
    <w:rPr>
      <w:rFonts w:eastAsia="MS PGothic"/>
      <w:color w:val="595959"/>
      <w:kern w:val="20"/>
      <w:sz w:val="20"/>
      <w:szCs w:val="20"/>
      <w:lang w:eastAsia="ja-JP"/>
    </w:rPr>
  </w:style>
  <w:style w:type="paragraph" w:customStyle="1" w:styleId="ListNumber51">
    <w:name w:val="List Number 51"/>
    <w:basedOn w:val="Normal"/>
    <w:next w:val="ListNumber5"/>
    <w:uiPriority w:val="18"/>
    <w:unhideWhenUsed/>
    <w:rsid w:val="00797049"/>
    <w:pPr>
      <w:numPr>
        <w:ilvl w:val="4"/>
        <w:numId w:val="2"/>
      </w:numPr>
      <w:spacing w:before="40" w:line="288" w:lineRule="auto"/>
      <w:contextualSpacing/>
    </w:pPr>
    <w:rPr>
      <w:rFonts w:eastAsia="MS PGothic"/>
      <w:color w:val="595959"/>
      <w:kern w:val="20"/>
      <w:sz w:val="20"/>
      <w:szCs w:val="20"/>
      <w:lang w:eastAsia="ja-JP"/>
    </w:rPr>
  </w:style>
  <w:style w:type="table" w:customStyle="1" w:styleId="FinancialTable">
    <w:name w:val="Financial Table"/>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character" w:styleId="CommentReference">
    <w:name w:val="annotation reference"/>
    <w:basedOn w:val="DefaultParagraphFont"/>
    <w:uiPriority w:val="99"/>
    <w:semiHidden/>
    <w:unhideWhenUsed/>
    <w:rsid w:val="00797049"/>
    <w:rPr>
      <w:sz w:val="16"/>
    </w:rPr>
  </w:style>
  <w:style w:type="paragraph" w:styleId="CommentText">
    <w:name w:val="annotation text"/>
    <w:basedOn w:val="Normal"/>
    <w:link w:val="CommentTextChar"/>
    <w:uiPriority w:val="99"/>
    <w:unhideWhenUsed/>
    <w:rsid w:val="00797049"/>
    <w:pPr>
      <w:spacing w:line="264" w:lineRule="auto"/>
    </w:pPr>
    <w:rPr>
      <w:rFonts w:eastAsia="MS PGothic"/>
      <w:sz w:val="20"/>
      <w:szCs w:val="20"/>
      <w:lang w:eastAsia="ja-JP"/>
    </w:rPr>
  </w:style>
  <w:style w:type="character" w:customStyle="1" w:styleId="CommentTextChar">
    <w:name w:val="Comment Text Char"/>
    <w:basedOn w:val="DefaultParagraphFont"/>
    <w:link w:val="CommentText"/>
    <w:uiPriority w:val="99"/>
    <w:rsid w:val="00797049"/>
    <w:rPr>
      <w:rFonts w:eastAsia="MS PGothic"/>
      <w:sz w:val="20"/>
      <w:szCs w:val="20"/>
      <w:lang w:eastAsia="ja-JP"/>
    </w:rPr>
  </w:style>
  <w:style w:type="paragraph" w:styleId="CommentSubject">
    <w:name w:val="annotation subject"/>
    <w:basedOn w:val="CommentText"/>
    <w:next w:val="CommentText"/>
    <w:link w:val="CommentSubjectChar"/>
    <w:uiPriority w:val="99"/>
    <w:semiHidden/>
    <w:unhideWhenUsed/>
    <w:rsid w:val="00797049"/>
    <w:rPr>
      <w:b/>
      <w:bCs/>
    </w:rPr>
  </w:style>
  <w:style w:type="character" w:customStyle="1" w:styleId="CommentSubjectChar">
    <w:name w:val="Comment Subject Char"/>
    <w:basedOn w:val="CommentTextChar"/>
    <w:link w:val="CommentSubject"/>
    <w:uiPriority w:val="99"/>
    <w:semiHidden/>
    <w:rsid w:val="00797049"/>
    <w:rPr>
      <w:rFonts w:eastAsia="MS PGothic"/>
      <w:b/>
      <w:bCs/>
      <w:sz w:val="20"/>
      <w:szCs w:val="20"/>
      <w:lang w:eastAsia="ja-JP"/>
    </w:rPr>
  </w:style>
  <w:style w:type="table" w:customStyle="1" w:styleId="LightShading1">
    <w:name w:val="Light Shading1"/>
    <w:basedOn w:val="TableNormal"/>
    <w:next w:val="LightShading"/>
    <w:uiPriority w:val="60"/>
    <w:rsid w:val="00797049"/>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Decimal">
    <w:name w:val="Table Text Decimal"/>
    <w:basedOn w:val="Normal"/>
    <w:uiPriority w:val="1"/>
    <w:rsid w:val="00797049"/>
    <w:pPr>
      <w:tabs>
        <w:tab w:val="decimal" w:pos="869"/>
      </w:tabs>
      <w:spacing w:before="60" w:after="60" w:line="264" w:lineRule="auto"/>
    </w:pPr>
    <w:rPr>
      <w:rFonts w:eastAsia="MS PGothic"/>
      <w:sz w:val="20"/>
      <w:szCs w:val="20"/>
      <w:lang w:eastAsia="ja-JP"/>
    </w:rPr>
  </w:style>
  <w:style w:type="paragraph" w:customStyle="1" w:styleId="TableText">
    <w:name w:val="Table Text"/>
    <w:basedOn w:val="Normal"/>
    <w:uiPriority w:val="1"/>
    <w:rsid w:val="00797049"/>
    <w:pPr>
      <w:spacing w:before="60" w:after="60" w:line="264" w:lineRule="auto"/>
    </w:pPr>
    <w:rPr>
      <w:rFonts w:eastAsia="MS PGothic"/>
      <w:sz w:val="20"/>
      <w:szCs w:val="20"/>
      <w:lang w:eastAsia="ja-JP"/>
    </w:rPr>
  </w:style>
  <w:style w:type="paragraph" w:customStyle="1" w:styleId="Organization">
    <w:name w:val="Organization"/>
    <w:basedOn w:val="Normal"/>
    <w:uiPriority w:val="2"/>
    <w:rsid w:val="00797049"/>
    <w:pPr>
      <w:spacing w:after="60" w:line="264" w:lineRule="auto"/>
      <w:ind w:left="29" w:right="29"/>
    </w:pPr>
    <w:rPr>
      <w:rFonts w:eastAsia="MS PGothic"/>
      <w:b/>
      <w:bCs/>
      <w:color w:val="EF4623"/>
      <w:sz w:val="36"/>
      <w:szCs w:val="20"/>
      <w:lang w:eastAsia="ja-JP"/>
    </w:rPr>
  </w:style>
  <w:style w:type="paragraph" w:styleId="TOC2">
    <w:name w:val="toc 2"/>
    <w:basedOn w:val="Normal"/>
    <w:next w:val="Normal"/>
    <w:autoRedefine/>
    <w:uiPriority w:val="39"/>
    <w:unhideWhenUsed/>
    <w:qFormat/>
    <w:rsid w:val="00DE298C"/>
    <w:pPr>
      <w:tabs>
        <w:tab w:val="left" w:pos="660"/>
        <w:tab w:val="right" w:leader="underscore" w:pos="8657"/>
      </w:tabs>
      <w:spacing w:after="100" w:line="264" w:lineRule="auto"/>
      <w:ind w:left="200"/>
    </w:pPr>
    <w:rPr>
      <w:rFonts w:ascii="Cambria" w:eastAsia="MS PGothic" w:hAnsi="Cambria"/>
      <w:noProof/>
      <w:sz w:val="20"/>
      <w:szCs w:val="20"/>
      <w:lang w:val="sr-Cyrl-RS" w:eastAsia="ja-JP"/>
    </w:rPr>
  </w:style>
  <w:style w:type="table" w:customStyle="1" w:styleId="GridTable6Colorful-Accent51">
    <w:name w:val="Grid Table 6 Colorful - Accent 51"/>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character" w:customStyle="1" w:styleId="Heading3Char">
    <w:name w:val="Heading 3 Char"/>
    <w:basedOn w:val="DefaultParagraphFont"/>
    <w:link w:val="Heading3"/>
    <w:rsid w:val="00797049"/>
    <w:rPr>
      <w:rFonts w:ascii="Arial" w:eastAsia="MS PGothic" w:hAnsi="Arial" w:cs="Arial"/>
      <w:color w:val="000000"/>
      <w:sz w:val="24"/>
      <w:szCs w:val="24"/>
    </w:rPr>
  </w:style>
  <w:style w:type="table" w:customStyle="1" w:styleId="LightShading-Accent12">
    <w:name w:val="Light Shading - Accent 12"/>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
    <w:name w:val="Grid Table 6 Colorful - Accent 5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
    <w:name w:val="Light Shading - Accent 12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
    <w:name w:val="Grid Table 6 Colorful - Accent 11"/>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paragraph" w:styleId="TOC3">
    <w:name w:val="toc 3"/>
    <w:basedOn w:val="Normal"/>
    <w:next w:val="Normal"/>
    <w:autoRedefine/>
    <w:uiPriority w:val="39"/>
    <w:unhideWhenUsed/>
    <w:qFormat/>
    <w:rsid w:val="00797049"/>
    <w:pPr>
      <w:spacing w:after="100" w:line="264" w:lineRule="auto"/>
      <w:ind w:left="400"/>
    </w:pPr>
    <w:rPr>
      <w:rFonts w:eastAsia="MS PGothic"/>
      <w:sz w:val="20"/>
      <w:szCs w:val="20"/>
      <w:lang w:eastAsia="ja-JP"/>
    </w:rPr>
  </w:style>
  <w:style w:type="character" w:customStyle="1" w:styleId="Heading4Char">
    <w:name w:val="Heading 4 Char"/>
    <w:basedOn w:val="DefaultParagraphFont"/>
    <w:link w:val="Heading4"/>
    <w:rsid w:val="00797049"/>
    <w:rPr>
      <w:rFonts w:ascii="Arial" w:eastAsia="MS PGothic" w:hAnsi="Arial" w:cs="Arial"/>
      <w:sz w:val="22"/>
      <w:szCs w:val="22"/>
    </w:rPr>
  </w:style>
  <w:style w:type="character" w:customStyle="1" w:styleId="Heading5Char">
    <w:name w:val="Heading 5 Char"/>
    <w:basedOn w:val="DefaultParagraphFont"/>
    <w:link w:val="Heading5"/>
    <w:rsid w:val="00797049"/>
    <w:rPr>
      <w:rFonts w:ascii="Arial" w:eastAsia="MS PGothic" w:hAnsi="Arial" w:cs="Arial"/>
      <w:color w:val="000000"/>
      <w:sz w:val="22"/>
      <w:szCs w:val="22"/>
    </w:rPr>
  </w:style>
  <w:style w:type="character" w:customStyle="1" w:styleId="Heading6Char">
    <w:name w:val="Heading 6 Char"/>
    <w:basedOn w:val="DefaultParagraphFont"/>
    <w:link w:val="Heading6"/>
    <w:rsid w:val="00797049"/>
    <w:rPr>
      <w:rFonts w:ascii="Arial" w:eastAsia="MS PGothic" w:hAnsi="Arial" w:cs="Arial"/>
      <w:i/>
      <w:iCs/>
      <w:color w:val="000000"/>
      <w:sz w:val="21"/>
      <w:szCs w:val="21"/>
    </w:rPr>
  </w:style>
  <w:style w:type="character" w:customStyle="1" w:styleId="Heading7Char">
    <w:name w:val="Heading 7 Char"/>
    <w:basedOn w:val="DefaultParagraphFont"/>
    <w:link w:val="Heading7"/>
    <w:uiPriority w:val="9"/>
    <w:semiHidden/>
    <w:rsid w:val="00797049"/>
    <w:rPr>
      <w:rFonts w:ascii="Arial" w:eastAsia="MS PGothic" w:hAnsi="Arial" w:cs="Arial"/>
      <w:i/>
      <w:iCs/>
      <w:color w:val="7F1D09"/>
      <w:sz w:val="21"/>
      <w:szCs w:val="21"/>
    </w:rPr>
  </w:style>
  <w:style w:type="character" w:customStyle="1" w:styleId="Heading8Char">
    <w:name w:val="Heading 8 Char"/>
    <w:basedOn w:val="DefaultParagraphFont"/>
    <w:link w:val="Heading8"/>
    <w:uiPriority w:val="9"/>
    <w:semiHidden/>
    <w:rsid w:val="00797049"/>
    <w:rPr>
      <w:rFonts w:ascii="Arial" w:eastAsia="MS PGothic" w:hAnsi="Arial" w:cs="Arial"/>
      <w:b/>
      <w:bCs/>
      <w:color w:val="000000"/>
    </w:rPr>
  </w:style>
  <w:style w:type="character" w:customStyle="1" w:styleId="Heading9Char">
    <w:name w:val="Heading 9 Char"/>
    <w:basedOn w:val="DefaultParagraphFont"/>
    <w:link w:val="Heading9"/>
    <w:uiPriority w:val="9"/>
    <w:semiHidden/>
    <w:rsid w:val="00797049"/>
    <w:rPr>
      <w:rFonts w:ascii="Arial" w:eastAsia="MS PGothic" w:hAnsi="Arial" w:cs="Arial"/>
      <w:b/>
      <w:bCs/>
      <w:i/>
      <w:iCs/>
      <w:color w:val="000000"/>
    </w:rPr>
  </w:style>
  <w:style w:type="paragraph" w:customStyle="1" w:styleId="Caption1">
    <w:name w:val="Caption1"/>
    <w:basedOn w:val="Normal"/>
    <w:next w:val="Normal"/>
    <w:unhideWhenUsed/>
    <w:qFormat/>
    <w:rsid w:val="00797049"/>
    <w:rPr>
      <w:rFonts w:eastAsia="MS PGothic"/>
      <w:b/>
      <w:bCs/>
      <w:smallCaps/>
      <w:color w:val="595959"/>
      <w:spacing w:val="6"/>
      <w:sz w:val="20"/>
      <w:szCs w:val="20"/>
      <w:lang w:eastAsia="ja-JP"/>
    </w:rPr>
  </w:style>
  <w:style w:type="character" w:styleId="Emphasis">
    <w:name w:val="Emphasis"/>
    <w:basedOn w:val="DefaultParagraphFont"/>
    <w:uiPriority w:val="20"/>
    <w:qFormat/>
    <w:rsid w:val="00797049"/>
    <w:rPr>
      <w:i/>
      <w:iCs/>
    </w:rPr>
  </w:style>
  <w:style w:type="paragraph" w:customStyle="1" w:styleId="IntenseQuote1">
    <w:name w:val="Intense Quote1"/>
    <w:basedOn w:val="Normal"/>
    <w:next w:val="Normal"/>
    <w:uiPriority w:val="30"/>
    <w:qFormat/>
    <w:rsid w:val="00797049"/>
    <w:pPr>
      <w:pBdr>
        <w:left w:val="single" w:sz="18" w:space="12" w:color="EF4623"/>
      </w:pBdr>
      <w:spacing w:before="100" w:beforeAutospacing="1" w:line="300" w:lineRule="auto"/>
      <w:ind w:left="1224" w:right="1224"/>
    </w:pPr>
    <w:rPr>
      <w:rFonts w:ascii="Arial" w:eastAsia="MS PGothic" w:hAnsi="Arial" w:cs="Arial"/>
      <w:color w:val="EF4623"/>
      <w:sz w:val="28"/>
      <w:szCs w:val="28"/>
      <w:lang w:eastAsia="ja-JP"/>
    </w:rPr>
  </w:style>
  <w:style w:type="character" w:customStyle="1" w:styleId="IntenseQuoteChar">
    <w:name w:val="Intense Quote Char"/>
    <w:basedOn w:val="DefaultParagraphFont"/>
    <w:link w:val="IntenseQuote"/>
    <w:uiPriority w:val="30"/>
    <w:rsid w:val="00797049"/>
    <w:rPr>
      <w:rFonts w:ascii="Arial" w:eastAsia="MS PGothic" w:hAnsi="Arial" w:cs="Arial"/>
      <w:color w:val="EF4623"/>
      <w:sz w:val="28"/>
      <w:szCs w:val="28"/>
    </w:rPr>
  </w:style>
  <w:style w:type="character" w:customStyle="1" w:styleId="SubtleEmphasis1">
    <w:name w:val="Subtle Emphasis1"/>
    <w:basedOn w:val="DefaultParagraphFont"/>
    <w:uiPriority w:val="19"/>
    <w:qFormat/>
    <w:rsid w:val="00797049"/>
    <w:rPr>
      <w:i/>
      <w:iCs/>
      <w:color w:val="404040"/>
    </w:rPr>
  </w:style>
  <w:style w:type="character" w:styleId="IntenseEmphasis">
    <w:name w:val="Intense Emphasis"/>
    <w:basedOn w:val="DefaultParagraphFont"/>
    <w:uiPriority w:val="21"/>
    <w:qFormat/>
    <w:rsid w:val="00797049"/>
    <w:rPr>
      <w:b/>
      <w:bCs/>
      <w:i/>
      <w:iCs/>
    </w:rPr>
  </w:style>
  <w:style w:type="character" w:customStyle="1" w:styleId="SubtleReference1">
    <w:name w:val="Subtle Reference1"/>
    <w:basedOn w:val="DefaultParagraphFont"/>
    <w:uiPriority w:val="31"/>
    <w:qFormat/>
    <w:rsid w:val="00797049"/>
    <w:rPr>
      <w:smallCaps/>
      <w:color w:val="404040"/>
      <w:u w:val="single" w:color="7F7F7F"/>
    </w:rPr>
  </w:style>
  <w:style w:type="character" w:styleId="IntenseReference">
    <w:name w:val="Intense Reference"/>
    <w:basedOn w:val="DefaultParagraphFont"/>
    <w:uiPriority w:val="32"/>
    <w:qFormat/>
    <w:rsid w:val="00797049"/>
    <w:rPr>
      <w:b/>
      <w:bCs/>
      <w:smallCaps/>
      <w:spacing w:val="5"/>
      <w:u w:val="single"/>
    </w:rPr>
  </w:style>
  <w:style w:type="character" w:styleId="BookTitle">
    <w:name w:val="Book Title"/>
    <w:basedOn w:val="DefaultParagraphFont"/>
    <w:uiPriority w:val="33"/>
    <w:qFormat/>
    <w:rsid w:val="00797049"/>
    <w:rPr>
      <w:b/>
      <w:bCs/>
      <w:smallCaps/>
    </w:rPr>
  </w:style>
  <w:style w:type="paragraph" w:styleId="ListParagraph">
    <w:name w:val="List Paragraph"/>
    <w:aliases w:val="Liste 1,Liste Paragraf,Figure_name,numbered,Bullet List,FooterText,Paragraphe de liste1,Bulletr List Paragraph,列出段落,列出段落1,List Paragraph2,List Paragraph21,Párrafo de lista1,Parágrafo da Lista1,リスト段落1,Listeafsnit1,b1,lp1,cS List Paragraph"/>
    <w:basedOn w:val="Normal"/>
    <w:link w:val="ListParagraphChar"/>
    <w:uiPriority w:val="34"/>
    <w:qFormat/>
    <w:rsid w:val="00797049"/>
    <w:pPr>
      <w:spacing w:line="264" w:lineRule="auto"/>
      <w:ind w:left="720"/>
      <w:contextualSpacing/>
    </w:pPr>
    <w:rPr>
      <w:rFonts w:eastAsia="MS PGothic"/>
      <w:sz w:val="20"/>
      <w:szCs w:val="20"/>
      <w:lang w:eastAsia="ja-JP"/>
    </w:rPr>
  </w:style>
  <w:style w:type="paragraph" w:styleId="NormalWeb">
    <w:name w:val="Normal (Web)"/>
    <w:basedOn w:val="Normal"/>
    <w:uiPriority w:val="99"/>
    <w:unhideWhenUsed/>
    <w:rsid w:val="00797049"/>
    <w:pPr>
      <w:spacing w:before="100" w:beforeAutospacing="1" w:after="100" w:afterAutospacing="1"/>
    </w:pPr>
    <w:rPr>
      <w:rFonts w:eastAsia="MS PGothic" w:cs="Times New Roman"/>
      <w:szCs w:val="24"/>
    </w:rPr>
  </w:style>
  <w:style w:type="table" w:customStyle="1" w:styleId="LightShading-Accent122">
    <w:name w:val="Light Shading - Accent 122"/>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
    <w:name w:val="Grid Table 6 Colorful - Accent 5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paragraph" w:customStyle="1" w:styleId="ParagraphNumbering">
    <w:name w:val="Paragraph Numbering"/>
    <w:basedOn w:val="Normal"/>
    <w:link w:val="ParagraphNumberingChar"/>
    <w:uiPriority w:val="99"/>
    <w:qFormat/>
    <w:rsid w:val="00797049"/>
    <w:pPr>
      <w:numPr>
        <w:numId w:val="4"/>
      </w:numPr>
      <w:spacing w:after="240" w:line="300" w:lineRule="exact"/>
    </w:pPr>
    <w:rPr>
      <w:rFonts w:ascii="Segoe UI" w:eastAsia="MS Mincho" w:hAnsi="Segoe UI" w:cs="Times New Roman"/>
      <w:sz w:val="21"/>
      <w:szCs w:val="24"/>
    </w:rPr>
  </w:style>
  <w:style w:type="character" w:customStyle="1" w:styleId="ParagraphNumberingChar">
    <w:name w:val="Paragraph Numbering Char"/>
    <w:basedOn w:val="DefaultParagraphFont"/>
    <w:link w:val="ParagraphNumbering"/>
    <w:uiPriority w:val="99"/>
    <w:rsid w:val="00797049"/>
    <w:rPr>
      <w:rFonts w:ascii="Segoe UI" w:eastAsia="MS Mincho" w:hAnsi="Segoe UI" w:cs="Times New Roman"/>
      <w:sz w:val="21"/>
      <w:szCs w:val="24"/>
    </w:rPr>
  </w:style>
  <w:style w:type="character" w:customStyle="1" w:styleId="ListParagraphChar">
    <w:name w:val="List Paragraph Char"/>
    <w:aliases w:val="Liste 1 Char,Liste Paragraf Char,Figure_name Char,numbered Char,Bullet List Char,FooterText Char,Paragraphe de liste1 Char,Bulletr List Paragraph Char,列出段落 Char,列出段落1 Char,List Paragraph2 Char,List Paragraph21 Char,リスト段落1 Char"/>
    <w:link w:val="ListParagraph"/>
    <w:uiPriority w:val="34"/>
    <w:qFormat/>
    <w:locked/>
    <w:rsid w:val="00797049"/>
    <w:rPr>
      <w:rFonts w:eastAsia="MS PGothic"/>
      <w:sz w:val="20"/>
      <w:szCs w:val="20"/>
      <w:lang w:eastAsia="ja-JP"/>
    </w:rPr>
  </w:style>
  <w:style w:type="paragraph" w:customStyle="1" w:styleId="IFS2012tekst">
    <w:name w:val="IFS 2012 tekst"/>
    <w:basedOn w:val="Normal"/>
    <w:uiPriority w:val="99"/>
    <w:qFormat/>
    <w:rsid w:val="00797049"/>
    <w:pPr>
      <w:ind w:firstLine="709"/>
    </w:pPr>
    <w:rPr>
      <w:rFonts w:ascii="Cambria" w:eastAsia="Calibri" w:hAnsi="Cambria" w:cs="Times New Roman"/>
      <w:color w:val="404040"/>
      <w:sz w:val="21"/>
      <w:lang w:val="sr-Cyrl-CS"/>
    </w:rPr>
  </w:style>
  <w:style w:type="paragraph" w:customStyle="1" w:styleId="IFS2012naslov1">
    <w:name w:val="IFS 2012 naslov 1"/>
    <w:basedOn w:val="Heading1"/>
    <w:uiPriority w:val="99"/>
    <w:qFormat/>
    <w:rsid w:val="00797049"/>
    <w:pPr>
      <w:numPr>
        <w:numId w:val="7"/>
      </w:numPr>
      <w:spacing w:before="0"/>
    </w:pPr>
    <w:rPr>
      <w:rFonts w:eastAsia="Times New Roman" w:cs="Calibri"/>
      <w:b/>
      <w:bCs/>
      <w:color w:val="4B4B4B"/>
      <w:szCs w:val="24"/>
      <w:lang w:val="sr-Cyrl-CS"/>
    </w:rPr>
  </w:style>
  <w:style w:type="paragraph" w:customStyle="1" w:styleId="IFS2012Naslov2">
    <w:name w:val="IFS 2012 Naslov 2"/>
    <w:basedOn w:val="Heading2"/>
    <w:autoRedefine/>
    <w:uiPriority w:val="99"/>
    <w:qFormat/>
    <w:rsid w:val="00797049"/>
  </w:style>
  <w:style w:type="paragraph" w:customStyle="1" w:styleId="IFS2012naslov3">
    <w:name w:val="IFS 2012 naslov 3"/>
    <w:basedOn w:val="Heading3"/>
    <w:autoRedefine/>
    <w:uiPriority w:val="99"/>
    <w:qFormat/>
    <w:rsid w:val="00797049"/>
  </w:style>
  <w:style w:type="paragraph" w:customStyle="1" w:styleId="Analizatekst">
    <w:name w:val="Analiza tekst"/>
    <w:basedOn w:val="Normal"/>
    <w:link w:val="AnalizatekstChar"/>
    <w:qFormat/>
    <w:rsid w:val="00797049"/>
    <w:pPr>
      <w:ind w:firstLine="709"/>
    </w:pPr>
    <w:rPr>
      <w:rFonts w:ascii="Calibri" w:eastAsia="Times New Roman" w:hAnsi="Calibri" w:cs="Times New Roman"/>
      <w:color w:val="404040"/>
      <w:lang w:val="sr-Cyrl-CS"/>
    </w:rPr>
  </w:style>
  <w:style w:type="character" w:customStyle="1" w:styleId="AnalizatekstChar">
    <w:name w:val="Analiza tekst Char"/>
    <w:link w:val="Analizatekst"/>
    <w:rsid w:val="00797049"/>
    <w:rPr>
      <w:rFonts w:ascii="Calibri" w:eastAsia="Times New Roman" w:hAnsi="Calibri" w:cs="Times New Roman"/>
      <w:color w:val="404040"/>
      <w:lang w:val="sr-Cyrl-CS"/>
    </w:rPr>
  </w:style>
  <w:style w:type="table" w:styleId="LightList-Accent3">
    <w:name w:val="Light List Accent 3"/>
    <w:aliases w:val="tabele 3"/>
    <w:basedOn w:val="TableNormal"/>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797049"/>
    <w:pPr>
      <w:spacing w:line="276" w:lineRule="auto"/>
      <w:ind w:firstLine="709"/>
    </w:pPr>
    <w:rPr>
      <w:rFonts w:ascii="Calibri" w:eastAsia="Calibri" w:hAnsi="Calibri" w:cs="Times New Roman"/>
      <w:color w:val="404040"/>
    </w:rPr>
  </w:style>
  <w:style w:type="character" w:customStyle="1" w:styleId="BodyTextChar">
    <w:name w:val="Body Text Char"/>
    <w:basedOn w:val="DefaultParagraphFont"/>
    <w:link w:val="BodyText"/>
    <w:uiPriority w:val="99"/>
    <w:rsid w:val="00797049"/>
    <w:rPr>
      <w:rFonts w:ascii="Calibri" w:eastAsia="Calibri" w:hAnsi="Calibri" w:cs="Times New Roman"/>
      <w:color w:val="404040"/>
    </w:rPr>
  </w:style>
  <w:style w:type="table" w:customStyle="1" w:styleId="LightShading-Accent11">
    <w:name w:val="Light Shading - Accent 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
    <w:name w:val="Light List - Accent 5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Char Char Char,single space,ft,ft Char Char Char,ft Char Char,Fußnote, Char Char Char,footnote text,fn,FOOTNOTES,ADB,Footnote Text Char Char Char Char Char,Footnote Text Char Char1"/>
    <w:basedOn w:val="Normal"/>
    <w:link w:val="FootnoteTextChar"/>
    <w:uiPriority w:val="99"/>
    <w:unhideWhenUsed/>
    <w:qFormat/>
    <w:rsid w:val="00797049"/>
    <w:pPr>
      <w:ind w:firstLine="709"/>
    </w:pPr>
    <w:rPr>
      <w:rFonts w:ascii="Cambria" w:eastAsia="Times New Roman" w:hAnsi="Cambria" w:cs="Tahoma"/>
      <w:bCs/>
      <w:color w:val="404040"/>
      <w:sz w:val="20"/>
      <w:szCs w:val="20"/>
      <w:lang w:val="sr-Cyrl-CS"/>
    </w:rPr>
  </w:style>
  <w:style w:type="character" w:customStyle="1" w:styleId="FootnoteTextChar">
    <w:name w:val="Footnote Text Char"/>
    <w:aliases w:val="Footnote Text Char Char Char Char,Footnote Text Char Char Char1,Char Char Char Char,single space Char,ft Char,ft Char Char Char Char,ft Char Char Char1,Fußnote Char, Char Char Char Char,footnote text Char,fn Char,FOOTNOTES Char"/>
    <w:basedOn w:val="DefaultParagraphFont"/>
    <w:link w:val="FootnoteText"/>
    <w:uiPriority w:val="99"/>
    <w:qFormat/>
    <w:rsid w:val="00797049"/>
    <w:rPr>
      <w:rFonts w:ascii="Cambria" w:eastAsia="Times New Roman" w:hAnsi="Cambria" w:cs="Tahoma"/>
      <w:bCs/>
      <w:color w:val="404040"/>
      <w:sz w:val="20"/>
      <w:szCs w:val="20"/>
      <w:lang w:val="sr-Cyrl-CS"/>
    </w:rPr>
  </w:style>
  <w:style w:type="character" w:styleId="FootnoteReference">
    <w:name w:val="footnote reference"/>
    <w:aliases w:val="ftref,BVI fnr,Footnote za GI,Normal + Font:9 Point,Superscript 3 Point Times,SUPERS,EN Footnote Reference,number,Char Char,Footnote symbol,Footnote reference number,note TESI,ftref Char,BVI fnr Char,BVI fnr Car Char,Char Char Car Char"/>
    <w:link w:val="NumPar1"/>
    <w:uiPriority w:val="99"/>
    <w:unhideWhenUsed/>
    <w:qFormat/>
    <w:rsid w:val="00797049"/>
    <w:rPr>
      <w:vertAlign w:val="superscript"/>
    </w:rPr>
  </w:style>
  <w:style w:type="table" w:styleId="MediumList1-Accent5">
    <w:name w:val="Medium List 1 Accent 5"/>
    <w:basedOn w:val="TableNormal"/>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
    <w:name w:val="No List11"/>
    <w:next w:val="NoList"/>
    <w:uiPriority w:val="99"/>
    <w:semiHidden/>
    <w:unhideWhenUsed/>
    <w:rsid w:val="00797049"/>
  </w:style>
  <w:style w:type="character" w:customStyle="1" w:styleId="BookTitle1">
    <w:name w:val="Book Title1"/>
    <w:uiPriority w:val="33"/>
    <w:qFormat/>
    <w:rsid w:val="00797049"/>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797049"/>
    <w:pPr>
      <w:tabs>
        <w:tab w:val="left" w:pos="660"/>
        <w:tab w:val="right" w:leader="dot" w:pos="8755"/>
      </w:tabs>
      <w:ind w:left="440" w:firstLine="709"/>
    </w:pPr>
    <w:rPr>
      <w:rFonts w:ascii="Calibri" w:eastAsia="Times New Roman" w:hAnsi="Calibri" w:cs="Times New Roman"/>
      <w:b/>
      <w:i/>
      <w:noProof/>
      <w:color w:val="404040"/>
      <w:szCs w:val="24"/>
      <w:lang w:val="sr-Cyrl-CS"/>
    </w:rPr>
  </w:style>
  <w:style w:type="paragraph" w:customStyle="1" w:styleId="TOC31">
    <w:name w:val="TOC 31"/>
    <w:basedOn w:val="Normal"/>
    <w:next w:val="Normal"/>
    <w:autoRedefine/>
    <w:uiPriority w:val="39"/>
    <w:unhideWhenUsed/>
    <w:qFormat/>
    <w:rsid w:val="00797049"/>
    <w:pPr>
      <w:tabs>
        <w:tab w:val="right" w:leader="dot" w:pos="8755"/>
      </w:tabs>
      <w:spacing w:after="240" w:line="276" w:lineRule="auto"/>
      <w:ind w:left="708" w:firstLine="709"/>
      <w:jc w:val="center"/>
    </w:pPr>
    <w:rPr>
      <w:rFonts w:ascii="Calibri" w:eastAsia="Times New Roman" w:hAnsi="Calibri" w:cs="Times New Roman"/>
      <w:smallCaps/>
      <w:noProof/>
      <w:color w:val="404040"/>
      <w:spacing w:val="5"/>
      <w:szCs w:val="24"/>
      <w:lang w:val="sr-Cyrl-CS" w:bidi="en-US"/>
    </w:rPr>
  </w:style>
  <w:style w:type="table" w:customStyle="1" w:styleId="LightGrid-Accent51">
    <w:name w:val="Light Grid - Accent 5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797049"/>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797049"/>
    <w:rPr>
      <w:rFonts w:ascii="Cambria" w:eastAsia="Times New Roman" w:hAnsi="Cambria" w:cs="Times New Roman"/>
      <w:b/>
      <w:bCs/>
      <w:i/>
      <w:iCs/>
      <w:color w:val="D16349"/>
    </w:rPr>
  </w:style>
  <w:style w:type="table" w:styleId="LightGrid-Accent5">
    <w:name w:val="Light Grid Accent 5"/>
    <w:basedOn w:val="TableNormal"/>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MediumList2-Accent31">
    <w:name w:val="Medium List 2 - Accent 31"/>
    <w:aliases w:val="tabele za ifs 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797049"/>
    <w:pPr>
      <w:spacing w:after="100" w:line="276" w:lineRule="auto"/>
      <w:ind w:left="660" w:firstLine="709"/>
    </w:pPr>
    <w:rPr>
      <w:rFonts w:ascii="Cambria" w:eastAsia="Calibri" w:hAnsi="Cambria" w:cs="Times New Roman"/>
      <w:color w:val="404040"/>
      <w:sz w:val="21"/>
      <w:lang w:val="sr-Cyrl-CS"/>
    </w:rPr>
  </w:style>
  <w:style w:type="paragraph" w:styleId="TOC5">
    <w:name w:val="toc 5"/>
    <w:basedOn w:val="Normal"/>
    <w:next w:val="Normal"/>
    <w:autoRedefine/>
    <w:uiPriority w:val="39"/>
    <w:unhideWhenUsed/>
    <w:rsid w:val="00797049"/>
    <w:pPr>
      <w:spacing w:after="100" w:line="276" w:lineRule="auto"/>
      <w:ind w:left="880" w:firstLine="709"/>
    </w:pPr>
    <w:rPr>
      <w:rFonts w:ascii="Cambria" w:eastAsia="Calibri" w:hAnsi="Cambria" w:cs="Times New Roman"/>
      <w:color w:val="404040"/>
      <w:sz w:val="21"/>
      <w:lang w:val="sr-Cyrl-CS"/>
    </w:rPr>
  </w:style>
  <w:style w:type="paragraph" w:styleId="EndnoteText">
    <w:name w:val="endnote text"/>
    <w:basedOn w:val="Normal"/>
    <w:link w:val="EndnoteTextChar"/>
    <w:uiPriority w:val="99"/>
    <w:semiHidden/>
    <w:unhideWhenUsed/>
    <w:rsid w:val="00797049"/>
    <w:pPr>
      <w:ind w:firstLine="709"/>
    </w:pPr>
    <w:rPr>
      <w:rFonts w:ascii="Calibri" w:eastAsia="Calibri" w:hAnsi="Calibri" w:cs="Times New Roman"/>
      <w:color w:val="404040"/>
      <w:sz w:val="20"/>
      <w:szCs w:val="20"/>
      <w:lang w:val="sr-Cyrl-CS"/>
    </w:rPr>
  </w:style>
  <w:style w:type="character" w:customStyle="1" w:styleId="EndnoteTextChar">
    <w:name w:val="Endnote Text Char"/>
    <w:basedOn w:val="DefaultParagraphFont"/>
    <w:link w:val="EndnoteText"/>
    <w:uiPriority w:val="99"/>
    <w:semiHidden/>
    <w:rsid w:val="00797049"/>
    <w:rPr>
      <w:rFonts w:ascii="Calibri" w:eastAsia="Calibri" w:hAnsi="Calibri" w:cs="Times New Roman"/>
      <w:color w:val="404040"/>
      <w:sz w:val="20"/>
      <w:szCs w:val="20"/>
      <w:lang w:val="sr-Cyrl-CS"/>
    </w:rPr>
  </w:style>
  <w:style w:type="character" w:styleId="EndnoteReference">
    <w:name w:val="endnote reference"/>
    <w:uiPriority w:val="99"/>
    <w:semiHidden/>
    <w:unhideWhenUsed/>
    <w:rsid w:val="00797049"/>
    <w:rPr>
      <w:vertAlign w:val="superscript"/>
    </w:rPr>
  </w:style>
  <w:style w:type="character" w:customStyle="1" w:styleId="apple-style-span">
    <w:name w:val="apple-style-span"/>
    <w:basedOn w:val="DefaultParagraphFont"/>
    <w:rsid w:val="00797049"/>
  </w:style>
  <w:style w:type="paragraph" w:customStyle="1" w:styleId="Default">
    <w:name w:val="Default"/>
    <w:rsid w:val="00797049"/>
    <w:pPr>
      <w:autoSpaceDE w:val="0"/>
      <w:autoSpaceDN w:val="0"/>
      <w:adjustRightInd w:val="0"/>
      <w:spacing w:after="0" w:line="240" w:lineRule="auto"/>
      <w:jc w:val="both"/>
    </w:pPr>
    <w:rPr>
      <w:rFonts w:ascii="Arial" w:eastAsia="Times New Roman" w:hAnsi="Arial" w:cs="Arial"/>
      <w:color w:val="000000"/>
      <w:sz w:val="24"/>
      <w:szCs w:val="24"/>
    </w:rPr>
  </w:style>
  <w:style w:type="paragraph" w:customStyle="1" w:styleId="msolistparagraph0">
    <w:name w:val="msolistparagraph"/>
    <w:basedOn w:val="Normal"/>
    <w:uiPriority w:val="99"/>
    <w:rsid w:val="00797049"/>
    <w:pPr>
      <w:spacing w:after="200" w:line="276" w:lineRule="auto"/>
      <w:ind w:left="720" w:firstLine="709"/>
      <w:contextualSpacing/>
    </w:pPr>
    <w:rPr>
      <w:rFonts w:ascii="Calibri" w:eastAsia="Times New Roman" w:hAnsi="Calibri" w:cs="Times New Roman"/>
      <w:color w:val="404040"/>
    </w:rPr>
  </w:style>
  <w:style w:type="paragraph" w:styleId="Revision">
    <w:name w:val="Revision"/>
    <w:hidden/>
    <w:uiPriority w:val="99"/>
    <w:semiHidden/>
    <w:rsid w:val="00797049"/>
    <w:pPr>
      <w:spacing w:after="0" w:line="240" w:lineRule="auto"/>
      <w:jc w:val="both"/>
    </w:pPr>
    <w:rPr>
      <w:rFonts w:ascii="Calibri" w:eastAsia="Calibri" w:hAnsi="Calibri" w:cs="Times New Roman"/>
      <w:lang w:val="sr-Cyrl-CS"/>
    </w:rPr>
  </w:style>
  <w:style w:type="table" w:styleId="ColorfulList-Accent1">
    <w:name w:val="Colorful List Accent 1"/>
    <w:basedOn w:val="TableNormal"/>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797049"/>
    <w:rPr>
      <w:rFonts w:ascii="Arial" w:hAnsi="Arial" w:cs="Arial"/>
      <w:kern w:val="20"/>
      <w:sz w:val="24"/>
      <w:szCs w:val="24"/>
      <w:lang w:val="en-GB"/>
    </w:rPr>
  </w:style>
  <w:style w:type="paragraph" w:customStyle="1" w:styleId="Body">
    <w:name w:val="Body"/>
    <w:basedOn w:val="Normal"/>
    <w:link w:val="BodyChar"/>
    <w:rsid w:val="00797049"/>
    <w:pPr>
      <w:spacing w:after="140" w:line="288" w:lineRule="auto"/>
      <w:ind w:firstLine="709"/>
    </w:pPr>
    <w:rPr>
      <w:rFonts w:ascii="Arial" w:hAnsi="Arial" w:cs="Arial"/>
      <w:kern w:val="20"/>
      <w:szCs w:val="24"/>
      <w:lang w:val="en-GB"/>
    </w:rPr>
  </w:style>
  <w:style w:type="paragraph" w:customStyle="1" w:styleId="Body5">
    <w:name w:val="Body 5"/>
    <w:basedOn w:val="Normal"/>
    <w:uiPriority w:val="99"/>
    <w:rsid w:val="00797049"/>
    <w:pPr>
      <w:spacing w:after="140" w:line="290" w:lineRule="auto"/>
      <w:ind w:left="2608" w:firstLine="709"/>
    </w:pPr>
    <w:rPr>
      <w:rFonts w:ascii="Arial" w:eastAsia="Batang" w:hAnsi="Arial" w:cs="Times New Roman"/>
      <w:color w:val="404040"/>
      <w:kern w:val="20"/>
      <w:sz w:val="20"/>
      <w:szCs w:val="24"/>
      <w:lang w:val="en-GB"/>
    </w:rPr>
  </w:style>
  <w:style w:type="paragraph" w:customStyle="1" w:styleId="Body6">
    <w:name w:val="Body 6"/>
    <w:basedOn w:val="Normal"/>
    <w:uiPriority w:val="99"/>
    <w:rsid w:val="00797049"/>
    <w:pPr>
      <w:spacing w:after="140" w:line="290" w:lineRule="auto"/>
      <w:ind w:left="3288" w:firstLine="709"/>
    </w:pPr>
    <w:rPr>
      <w:rFonts w:ascii="Arial" w:eastAsia="Batang" w:hAnsi="Arial" w:cs="Times New Roman"/>
      <w:color w:val="404040"/>
      <w:kern w:val="20"/>
      <w:sz w:val="20"/>
      <w:szCs w:val="24"/>
      <w:lang w:val="en-GB"/>
    </w:rPr>
  </w:style>
  <w:style w:type="paragraph" w:customStyle="1" w:styleId="Level1">
    <w:name w:val="Level 1"/>
    <w:basedOn w:val="Normal"/>
    <w:next w:val="Normal"/>
    <w:uiPriority w:val="99"/>
    <w:rsid w:val="00797049"/>
    <w:pPr>
      <w:keepNext/>
      <w:tabs>
        <w:tab w:val="num" w:pos="680"/>
      </w:tabs>
      <w:spacing w:before="280" w:after="140" w:line="290" w:lineRule="auto"/>
      <w:ind w:left="680" w:hanging="680"/>
      <w:outlineLvl w:val="0"/>
    </w:pPr>
    <w:rPr>
      <w:rFonts w:ascii="Arial" w:eastAsia="Batang" w:hAnsi="Arial" w:cs="Times New Roman"/>
      <w:b/>
      <w:bCs/>
      <w:color w:val="404040"/>
      <w:kern w:val="20"/>
      <w:szCs w:val="32"/>
      <w:lang w:val="en-GB"/>
    </w:rPr>
  </w:style>
  <w:style w:type="paragraph" w:customStyle="1" w:styleId="Level2">
    <w:name w:val="Level 2"/>
    <w:basedOn w:val="Normal"/>
    <w:uiPriority w:val="99"/>
    <w:rsid w:val="00797049"/>
    <w:pPr>
      <w:tabs>
        <w:tab w:val="num" w:pos="680"/>
      </w:tabs>
      <w:spacing w:after="140" w:line="290" w:lineRule="auto"/>
      <w:ind w:left="680" w:hanging="360"/>
    </w:pPr>
    <w:rPr>
      <w:rFonts w:ascii="Arial" w:eastAsia="Batang" w:hAnsi="Arial" w:cs="Times New Roman"/>
      <w:color w:val="404040"/>
      <w:kern w:val="20"/>
      <w:sz w:val="20"/>
      <w:szCs w:val="28"/>
      <w:lang w:val="en-GB"/>
    </w:rPr>
  </w:style>
  <w:style w:type="paragraph" w:customStyle="1" w:styleId="Level3">
    <w:name w:val="Level 3"/>
    <w:basedOn w:val="Normal"/>
    <w:uiPriority w:val="99"/>
    <w:rsid w:val="00797049"/>
    <w:pPr>
      <w:tabs>
        <w:tab w:val="num" w:pos="1361"/>
      </w:tabs>
      <w:spacing w:after="140" w:line="290" w:lineRule="auto"/>
      <w:ind w:left="1361" w:hanging="681"/>
    </w:pPr>
    <w:rPr>
      <w:rFonts w:ascii="Arial" w:eastAsia="Batang" w:hAnsi="Arial" w:cs="Times New Roman"/>
      <w:color w:val="404040"/>
      <w:kern w:val="20"/>
      <w:sz w:val="20"/>
      <w:szCs w:val="28"/>
      <w:lang w:val="en-GB"/>
    </w:rPr>
  </w:style>
  <w:style w:type="paragraph" w:customStyle="1" w:styleId="Level4">
    <w:name w:val="Level 4"/>
    <w:basedOn w:val="Normal"/>
    <w:uiPriority w:val="99"/>
    <w:rsid w:val="00797049"/>
    <w:pPr>
      <w:tabs>
        <w:tab w:val="num" w:pos="2041"/>
      </w:tabs>
      <w:spacing w:after="140" w:line="290" w:lineRule="auto"/>
      <w:ind w:left="2041" w:hanging="360"/>
    </w:pPr>
    <w:rPr>
      <w:rFonts w:ascii="Arial" w:eastAsia="Batang" w:hAnsi="Arial" w:cs="Times New Roman"/>
      <w:color w:val="404040"/>
      <w:kern w:val="20"/>
      <w:sz w:val="20"/>
      <w:szCs w:val="24"/>
      <w:lang w:val="en-GB"/>
    </w:rPr>
  </w:style>
  <w:style w:type="character" w:customStyle="1" w:styleId="apple-converted-space">
    <w:name w:val="apple-converted-space"/>
    <w:basedOn w:val="DefaultParagraphFont"/>
    <w:rsid w:val="00797049"/>
  </w:style>
  <w:style w:type="numbering" w:customStyle="1" w:styleId="NoList2">
    <w:name w:val="No List2"/>
    <w:next w:val="NoList"/>
    <w:uiPriority w:val="99"/>
    <w:semiHidden/>
    <w:unhideWhenUsed/>
    <w:rsid w:val="00797049"/>
  </w:style>
  <w:style w:type="table" w:customStyle="1" w:styleId="LightList-Accent32">
    <w:name w:val="Light List - Accent 3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797049"/>
    <w:pPr>
      <w:ind w:firstLine="709"/>
      <w:jc w:val="center"/>
    </w:pPr>
    <w:rPr>
      <w:rFonts w:ascii="Cambria" w:eastAsia="Calibri" w:hAnsi="Cambria" w:cs="Times New Roman"/>
      <w:bCs/>
      <w:color w:val="404040"/>
      <w:sz w:val="21"/>
      <w:szCs w:val="21"/>
      <w:lang w:val="sr-Cyrl-CS"/>
    </w:rPr>
  </w:style>
  <w:style w:type="character" w:customStyle="1" w:styleId="BodyTextIndentChar">
    <w:name w:val="Body Text Indent Char"/>
    <w:basedOn w:val="DefaultParagraphFont"/>
    <w:link w:val="BodyTextIndent"/>
    <w:uiPriority w:val="99"/>
    <w:rsid w:val="00797049"/>
    <w:rPr>
      <w:rFonts w:ascii="Cambria" w:eastAsia="Calibri" w:hAnsi="Cambria" w:cs="Times New Roman"/>
      <w:bCs/>
      <w:color w:val="404040"/>
      <w:sz w:val="21"/>
      <w:szCs w:val="21"/>
      <w:lang w:val="sr-Cyrl-CS"/>
    </w:rPr>
  </w:style>
  <w:style w:type="paragraph" w:styleId="BodyText2">
    <w:name w:val="Body Text 2"/>
    <w:basedOn w:val="Normal"/>
    <w:link w:val="BodyText2Char"/>
    <w:uiPriority w:val="99"/>
    <w:unhideWhenUsed/>
    <w:rsid w:val="00797049"/>
    <w:pPr>
      <w:spacing w:line="480" w:lineRule="auto"/>
      <w:ind w:firstLine="709"/>
    </w:pPr>
    <w:rPr>
      <w:rFonts w:ascii="Cambria" w:eastAsia="Times New Roman" w:hAnsi="Cambria" w:cs="Tahoma"/>
      <w:bCs/>
      <w:color w:val="404040"/>
      <w:szCs w:val="24"/>
      <w:lang w:val="sr-Cyrl-CS"/>
    </w:rPr>
  </w:style>
  <w:style w:type="character" w:customStyle="1" w:styleId="BodyText2Char">
    <w:name w:val="Body Text 2 Char"/>
    <w:basedOn w:val="DefaultParagraphFont"/>
    <w:link w:val="BodyText2"/>
    <w:uiPriority w:val="99"/>
    <w:rsid w:val="00797049"/>
    <w:rPr>
      <w:rFonts w:ascii="Cambria" w:eastAsia="Times New Roman" w:hAnsi="Cambria" w:cs="Tahoma"/>
      <w:bCs/>
      <w:color w:val="404040"/>
      <w:szCs w:val="24"/>
      <w:lang w:val="sr-Cyrl-CS"/>
    </w:rPr>
  </w:style>
  <w:style w:type="paragraph" w:styleId="BodyTextIndent2">
    <w:name w:val="Body Text Indent 2"/>
    <w:basedOn w:val="Normal"/>
    <w:link w:val="BodyTextIndent2Char"/>
    <w:uiPriority w:val="99"/>
    <w:unhideWhenUsed/>
    <w:rsid w:val="00797049"/>
    <w:pPr>
      <w:ind w:firstLine="708"/>
    </w:pPr>
    <w:rPr>
      <w:rFonts w:ascii="Cambria" w:eastAsia="Times New Roman" w:hAnsi="Cambria" w:cs="Tahoma"/>
      <w:bCs/>
      <w:color w:val="404040"/>
      <w:sz w:val="21"/>
      <w:szCs w:val="21"/>
      <w:lang w:val="sr-Cyrl-CS"/>
    </w:rPr>
  </w:style>
  <w:style w:type="character" w:customStyle="1" w:styleId="BodyTextIndent2Char">
    <w:name w:val="Body Text Indent 2 Char"/>
    <w:basedOn w:val="DefaultParagraphFont"/>
    <w:link w:val="BodyTextIndent2"/>
    <w:uiPriority w:val="99"/>
    <w:rsid w:val="00797049"/>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797049"/>
    <w:rPr>
      <w:rFonts w:ascii="Cambria" w:eastAsia="Times New Roman" w:hAnsi="Cambria" w:cs="Tahoma"/>
      <w:color w:val="404040"/>
      <w:kern w:val="20"/>
      <w:sz w:val="21"/>
      <w:szCs w:val="21"/>
      <w:lang w:val="sr-Cyrl-CS" w:eastAsia="ko-KR"/>
    </w:rPr>
  </w:style>
  <w:style w:type="character" w:customStyle="1" w:styleId="BodyText3Char">
    <w:name w:val="Body Text 3 Char"/>
    <w:basedOn w:val="DefaultParagraphFont"/>
    <w:link w:val="BodyText3"/>
    <w:uiPriority w:val="99"/>
    <w:rsid w:val="00797049"/>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797049"/>
    <w:pPr>
      <w:ind w:firstLine="709"/>
    </w:pPr>
    <w:rPr>
      <w:rFonts w:ascii="Cambria" w:eastAsia="Times New Roman" w:hAnsi="Cambria" w:cs="Tahoma"/>
      <w:color w:val="404040"/>
      <w:sz w:val="21"/>
      <w:szCs w:val="21"/>
      <w:lang w:val="sr-Cyrl-CS"/>
    </w:rPr>
  </w:style>
  <w:style w:type="character" w:customStyle="1" w:styleId="BodyTextIndent3Char">
    <w:name w:val="Body Text Indent 3 Char"/>
    <w:basedOn w:val="DefaultParagraphFont"/>
    <w:link w:val="BodyTextIndent3"/>
    <w:uiPriority w:val="99"/>
    <w:rsid w:val="00797049"/>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
    <w:name w:val="Light List - Accent 3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
    <w:name w:val="Light List - Accent 32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basedOn w:val="DefaultParagraphFont"/>
    <w:uiPriority w:val="99"/>
    <w:semiHidden/>
    <w:unhideWhenUsed/>
    <w:rsid w:val="00797049"/>
    <w:rPr>
      <w:color w:val="919191"/>
      <w:u w:val="single"/>
    </w:rPr>
  </w:style>
  <w:style w:type="table" w:customStyle="1" w:styleId="LightShading-Accent119">
    <w:name w:val="Light Shading - Accent 11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797049"/>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paragraph" w:styleId="HTMLPreformatted">
    <w:name w:val="HTML Preformatted"/>
    <w:basedOn w:val="Normal"/>
    <w:link w:val="HTMLPreformattedChar"/>
    <w:uiPriority w:val="99"/>
    <w:semiHidden/>
    <w:unhideWhenUsed/>
    <w:rsid w:val="00797049"/>
    <w:pPr>
      <w:spacing w:after="0"/>
      <w:ind w:firstLine="709"/>
    </w:pPr>
    <w:rPr>
      <w:rFonts w:ascii="Consolas" w:eastAsia="Times New Roman" w:hAnsi="Consolas" w:cs="Consolas"/>
      <w:bCs/>
      <w:color w:val="404040"/>
      <w:sz w:val="20"/>
      <w:szCs w:val="20"/>
      <w:lang w:val="sr-Cyrl-CS"/>
    </w:rPr>
  </w:style>
  <w:style w:type="character" w:customStyle="1" w:styleId="HTMLPreformattedChar">
    <w:name w:val="HTML Preformatted Char"/>
    <w:basedOn w:val="DefaultParagraphFont"/>
    <w:link w:val="HTMLPreformatted"/>
    <w:uiPriority w:val="99"/>
    <w:semiHidden/>
    <w:rsid w:val="00797049"/>
    <w:rPr>
      <w:rFonts w:ascii="Consolas" w:eastAsia="Times New Roman" w:hAnsi="Consolas" w:cs="Consolas"/>
      <w:bCs/>
      <w:color w:val="404040"/>
      <w:sz w:val="20"/>
      <w:szCs w:val="20"/>
      <w:lang w:val="sr-Cyrl-CS"/>
    </w:rPr>
  </w:style>
  <w:style w:type="table" w:customStyle="1" w:styleId="LightShading-Accent331">
    <w:name w:val="Light Shading - Accent 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
    <w:name w:val="Light Shading - Accent 61"/>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character" w:customStyle="1" w:styleId="ListBulletChar">
    <w:name w:val="List Bullet Char"/>
    <w:basedOn w:val="DefaultParagraphFont"/>
    <w:link w:val="ListBullet1"/>
    <w:uiPriority w:val="99"/>
    <w:locked/>
    <w:rsid w:val="00797049"/>
    <w:rPr>
      <w:rFonts w:eastAsia="MS PGothic"/>
      <w:color w:val="595959"/>
      <w:kern w:val="20"/>
      <w:sz w:val="20"/>
      <w:szCs w:val="20"/>
      <w:lang w:eastAsia="ja-JP"/>
    </w:rPr>
  </w:style>
  <w:style w:type="table" w:customStyle="1" w:styleId="GridTable6Colorful-Accent41">
    <w:name w:val="Grid Table 6 Colorful - Accent 41"/>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
    <w:name w:val="Light Shading - Accent 611"/>
    <w:basedOn w:val="TableNormal"/>
    <w:next w:val="LightShading-Accent6"/>
    <w:uiPriority w:val="60"/>
    <w:rsid w:val="0079704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
    <w:name w:val="Grid Table 6 Colorful - Accent 31"/>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
    <w:name w:val="Grid Table 4 - Accent 51"/>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
    <w:name w:val="Grid Table 5 Dark - Accent 51"/>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a">
    <w:name w:val="ФС"/>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1">
    <w:name w:val="List Table 6 Colorful - Accent 31"/>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
    <w:name w:val="Grid Table 1 Light - Accent 11"/>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
    <w:name w:val="List Table 2 - Accent 11"/>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
    <w:name w:val="List Table 2 - Accent 51"/>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
    <w:name w:val="Grid Table 2 - Accent 51"/>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
    <w:name w:val="Table Grid2"/>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
    <w:name w:val="Light Shading - Accent 124"/>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
    <w:name w:val="Grid Table 6 Colorful - Accent 51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
    <w:name w:val="Grid Table 6 Colorful - Accent 513"/>
    <w:basedOn w:val="TableNormal"/>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
    <w:name w:val="No List3"/>
    <w:next w:val="NoList"/>
    <w:uiPriority w:val="99"/>
    <w:semiHidden/>
    <w:unhideWhenUsed/>
    <w:rsid w:val="00797049"/>
  </w:style>
  <w:style w:type="table" w:customStyle="1" w:styleId="TableGrid3">
    <w:name w:val="Table Grid3"/>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
    <w:name w:val="Financial Table1"/>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
    <w:name w:val="Grid Table 6 Colorful - Accent 53"/>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
    <w:name w:val="Light Shading - Accent 125"/>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
    <w:name w:val="Grid Table 6 Colorful - Accent 514"/>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
    <w:name w:val="Light Shading - Accent 121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
    <w:name w:val="Grid Table 6 Colorful - Accent 51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
    <w:name w:val="Grid Table 6 Colorful - Accent 12"/>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
    <w:name w:val="Light Shading - Accent 122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
    <w:name w:val="Grid Table 6 Colorful - Accent 521"/>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
    <w:name w:val="tabele 34"/>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
    <w:name w:val="Light Shading - Accent 1110"/>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
    <w:name w:val="Light Shading - Accent 35"/>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
    <w:name w:val="Light List - Accent 55"/>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
    <w:name w:val="Light Shading - Accent 314"/>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
    <w:name w:val="Light List - Accent 315"/>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
    <w:name w:val="Table Grid1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
    <w:name w:val="Light List - Accent 514"/>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
    <w:name w:val="Medium List 1 - Accent 51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
    <w:name w:val="Medium List 1 - Accent 52"/>
    <w:basedOn w:val="TableNormal"/>
    <w:next w:val="MediumList1-Accent5"/>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
    <w:name w:val="No List111"/>
    <w:next w:val="NoList"/>
    <w:uiPriority w:val="99"/>
    <w:semiHidden/>
    <w:unhideWhenUsed/>
    <w:rsid w:val="00797049"/>
  </w:style>
  <w:style w:type="table" w:customStyle="1" w:styleId="LightGrid-Accent515">
    <w:name w:val="Light Grid - Accent 515"/>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Светло сенчење – наглашавање 114"/>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
    <w:name w:val="Light Grid - Accent 56"/>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
    <w:name w:val="tabele za ifs1"/>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tabelezaifs11">
    <w:name w:val="tabele za ifs 1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
    <w:name w:val="Colorful List - Accent 11"/>
    <w:basedOn w:val="TableNormal"/>
    <w:next w:val="ColorfulList-Accent1"/>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
    <w:name w:val="No List21"/>
    <w:next w:val="NoList"/>
    <w:uiPriority w:val="99"/>
    <w:semiHidden/>
    <w:unhideWhenUsed/>
    <w:rsid w:val="00797049"/>
  </w:style>
  <w:style w:type="table" w:customStyle="1" w:styleId="LightList-Accent324">
    <w:name w:val="Light List - Accent 324"/>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
    <w:name w:val="Light List - Accent 31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
    <w:name w:val="Light Shading - Accent 131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
    <w:name w:val="Light Shading - Accent 131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
    <w:name w:val="Light Shading - Accent 132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
    <w:name w:val="tabele 31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
    <w:name w:val="Light Shading - Accent 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
    <w:name w:val="Light List - Accent 52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
    <w:name w:val="Light List - Accent 3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
    <w:name w:val="Light List - Accent 51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
    <w:name w:val="Light Grid - Accent 51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
    <w:name w:val="Светло сенчење – наглашавање 1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
    <w:name w:val="Light Grid - Accent 52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
    <w:name w:val="Light List - Accent 321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
    <w:name w:val="Light List - Accent 31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
    <w:name w:val="Light Shading - Accent 13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
    <w:name w:val="Light Shading - Accent 131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
    <w:name w:val="Light Shading - Accent 132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
    <w:name w:val="Light Shading - Accent 112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
    <w:name w:val="Light Shading - Accent 113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
    <w:name w:val="Light Shading - Accent 136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
    <w:name w:val="Light Shading - Accent 137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
    <w:name w:val="tabele 32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
    <w:name w:val="Light Shading - Accent 114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
    <w:name w:val="Light Shading - Accent 334"/>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
    <w:name w:val="Light Shading - Accent 312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
    <w:name w:val="Light List - Accent 3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
    <w:name w:val="Light List - Accent 512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
    <w:name w:val="Light Grid - Accent 512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
    <w:name w:val="Светло сенчење – наглашавање 112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
    <w:name w:val="Light Grid - Accent 53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
    <w:name w:val="Light List - Accent 32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
    <w:name w:val="Light List - Accent 31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
    <w:name w:val="Light Shading - Accent 138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
    <w:name w:val="Light Shading - Accent 131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
    <w:name w:val="Light Shading - Accent 132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
    <w:name w:val="Light Shading - Accent 115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
    <w:name w:val="Light Shading - Accent 139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
    <w:name w:val="Light Shading - Accent 116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
    <w:name w:val="Light Shading - Accent 1310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
    <w:name w:val="Light Shading - Accent 13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
    <w:name w:val="tabele 3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
    <w:name w:val="Light Shading - Accent 117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
    <w:name w:val="Light Shading - Accent 34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
    <w:name w:val="Light List - Accent 54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
    <w:name w:val="Light Shading - Accent 31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
    <w:name w:val="Light List - Accent 314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
    <w:name w:val="Light List - Accent 513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
    <w:name w:val="Light Grid - Accent 513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
    <w:name w:val="Светло сенчење – наглашавање 113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
    <w:name w:val="Light Grid - Accent 54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
    <w:name w:val="Light Shading - Accent 123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
    <w:name w:val="Light List - Accent 323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
    <w:name w:val="Light List - Accent 31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
    <w:name w:val="Light Shading - Accent 131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
    <w:name w:val="Light Shading - Accent 131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
    <w:name w:val="Light Shading - Accent 132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
    <w:name w:val="Light Shading - Accent 131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
    <w:name w:val="Light Shading - Accent 138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
    <w:name w:val="Light Shading - Accent 118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
    <w:name w:val="Light Shading - Accent 139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
    <w:name w:val="Light Shading - Accent 116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
    <w:name w:val="Light Shading - Accent 1310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
    <w:name w:val="Light Shading - Accent 136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
    <w:name w:val="Light Shading - Accent 11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
    <w:name w:val="Light Shading - Accent 33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
    <w:name w:val="Light Shading - Accent 3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
    <w:name w:val="Light Shading - Accent 3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
    <w:name w:val="Light Shading - Accent 34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
    <w:name w:val="Light Shading - Accent 34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
    <w:name w:val="Light Grid - Accent 514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
    <w:name w:val="Light Grid - Accent 55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
    <w:name w:val="Light Grid - Accent 51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
    <w:name w:val="Light Grid - Accent 52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
    <w:name w:val="Light Grid - Accent 512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
    <w:name w:val="Light Grid - Accent 53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
    <w:name w:val="Light Grid - Accent 513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
    <w:name w:val="Light Grid - Accent 54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
    <w:name w:val="Light Shading - Accent 62"/>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
    <w:name w:val="Grid Table 6 Colorful - Accent 42"/>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
    <w:name w:val="Grid Table 6 Colorful - Accent 32"/>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
    <w:name w:val="Grid Table 4 - Accent 52"/>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
    <w:name w:val="Grid Table 5 Dark - Accent 52"/>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
    <w:name w:val="ФС1"/>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2">
    <w:name w:val="List Table 6 Colorful - Accent 32"/>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
    <w:name w:val="Grid Table 1 Light - Accent 12"/>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
    <w:name w:val="List Table 1 Light - Accent 12"/>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
    <w:name w:val="List Table 2 - Accent 12"/>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
    <w:name w:val="List Table 2 - Accent 52"/>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
    <w:name w:val="Grid Table 2 - Accent 52"/>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
    <w:name w:val="Grid Table 6 Colorful - Accent 411"/>
    <w:basedOn w:val="TableNormal"/>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
    <w:name w:val="Grid Table 6 Colorful - Accent 311"/>
    <w:basedOn w:val="TableNormal"/>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
    <w:name w:val="Table Grid21"/>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
    <w:name w:val="Light Shading - Accent 124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
    <w:name w:val="Light Shading - Accent 125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paragraph" w:styleId="Footer">
    <w:name w:val="footer"/>
    <w:basedOn w:val="Normal"/>
    <w:link w:val="FooterChar1"/>
    <w:uiPriority w:val="99"/>
    <w:unhideWhenUsed/>
    <w:rsid w:val="00797049"/>
    <w:pPr>
      <w:tabs>
        <w:tab w:val="center" w:pos="4680"/>
        <w:tab w:val="right" w:pos="9360"/>
      </w:tabs>
      <w:spacing w:after="0"/>
    </w:pPr>
  </w:style>
  <w:style w:type="character" w:customStyle="1" w:styleId="FooterChar1">
    <w:name w:val="Footer Char1"/>
    <w:basedOn w:val="DefaultParagraphFont"/>
    <w:link w:val="Footer"/>
    <w:uiPriority w:val="99"/>
    <w:rsid w:val="00797049"/>
  </w:style>
  <w:style w:type="paragraph" w:styleId="Title">
    <w:name w:val="Title"/>
    <w:basedOn w:val="Normal"/>
    <w:next w:val="Normal"/>
    <w:link w:val="TitleChar"/>
    <w:qFormat/>
    <w:rsid w:val="00797049"/>
    <w:pPr>
      <w:spacing w:after="0"/>
      <w:contextualSpacing/>
    </w:pPr>
    <w:rPr>
      <w:rFonts w:ascii="Arial" w:eastAsia="MS PGothic" w:hAnsi="Arial" w:cs="Arial"/>
      <w:color w:val="EF4623"/>
      <w:spacing w:val="-10"/>
      <w:sz w:val="56"/>
      <w:szCs w:val="56"/>
    </w:rPr>
  </w:style>
  <w:style w:type="character" w:customStyle="1" w:styleId="TitleChar2">
    <w:name w:val="Title Char2"/>
    <w:basedOn w:val="DefaultParagraphFont"/>
    <w:uiPriority w:val="10"/>
    <w:rsid w:val="007970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97049"/>
    <w:pPr>
      <w:numPr>
        <w:ilvl w:val="1"/>
      </w:numPr>
    </w:pPr>
    <w:rPr>
      <w:rFonts w:ascii="Arial" w:eastAsia="MS PGothic" w:hAnsi="Arial" w:cs="Arial"/>
      <w:szCs w:val="24"/>
    </w:rPr>
  </w:style>
  <w:style w:type="character" w:customStyle="1" w:styleId="SubtitleChar1">
    <w:name w:val="Subtitle Char1"/>
    <w:basedOn w:val="DefaultParagraphFont"/>
    <w:uiPriority w:val="11"/>
    <w:rsid w:val="00797049"/>
    <w:rPr>
      <w:rFonts w:eastAsiaTheme="minorEastAsia"/>
      <w:color w:val="5A5A5A" w:themeColor="text1" w:themeTint="A5"/>
      <w:spacing w:val="15"/>
    </w:rPr>
  </w:style>
  <w:style w:type="character" w:styleId="Hyperlink">
    <w:name w:val="Hyperlink"/>
    <w:basedOn w:val="DefaultParagraphFont"/>
    <w:uiPriority w:val="99"/>
    <w:unhideWhenUsed/>
    <w:rsid w:val="00797049"/>
    <w:rPr>
      <w:color w:val="0563C1" w:themeColor="hyperlink"/>
      <w:u w:val="single"/>
    </w:rPr>
  </w:style>
  <w:style w:type="character" w:customStyle="1" w:styleId="Heading2Char1">
    <w:name w:val="Heading 2 Char1"/>
    <w:basedOn w:val="DefaultParagraphFont"/>
    <w:uiPriority w:val="9"/>
    <w:semiHidden/>
    <w:rsid w:val="00797049"/>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797049"/>
    <w:pPr>
      <w:spacing w:before="200"/>
      <w:ind w:left="864" w:right="864"/>
      <w:jc w:val="center"/>
    </w:pPr>
    <w:rPr>
      <w:i/>
      <w:iCs/>
      <w:color w:val="404040"/>
    </w:rPr>
  </w:style>
  <w:style w:type="character" w:customStyle="1" w:styleId="QuoteChar1">
    <w:name w:val="Quote Char1"/>
    <w:basedOn w:val="DefaultParagraphFont"/>
    <w:uiPriority w:val="29"/>
    <w:rsid w:val="00797049"/>
    <w:rPr>
      <w:i/>
      <w:iCs/>
      <w:color w:val="404040" w:themeColor="text1" w:themeTint="BF"/>
    </w:rPr>
  </w:style>
  <w:style w:type="paragraph" w:styleId="Signature">
    <w:name w:val="Signature"/>
    <w:basedOn w:val="Normal"/>
    <w:link w:val="SignatureChar1"/>
    <w:uiPriority w:val="99"/>
    <w:unhideWhenUsed/>
    <w:rsid w:val="00797049"/>
    <w:pPr>
      <w:spacing w:after="0"/>
      <w:ind w:left="4252"/>
    </w:pPr>
  </w:style>
  <w:style w:type="character" w:customStyle="1" w:styleId="SignatureChar1">
    <w:name w:val="Signature Char1"/>
    <w:basedOn w:val="DefaultParagraphFont"/>
    <w:link w:val="Signature"/>
    <w:uiPriority w:val="99"/>
    <w:rsid w:val="00797049"/>
  </w:style>
  <w:style w:type="paragraph" w:styleId="ListBullet">
    <w:name w:val="List Bullet"/>
    <w:basedOn w:val="Normal"/>
    <w:uiPriority w:val="99"/>
    <w:unhideWhenUsed/>
    <w:qFormat/>
    <w:rsid w:val="00797049"/>
    <w:pPr>
      <w:ind w:left="576" w:hanging="288"/>
      <w:contextualSpacing/>
    </w:pPr>
  </w:style>
  <w:style w:type="paragraph" w:styleId="ListNumber">
    <w:name w:val="List Number"/>
    <w:basedOn w:val="Normal"/>
    <w:uiPriority w:val="99"/>
    <w:unhideWhenUsed/>
    <w:rsid w:val="00797049"/>
    <w:pPr>
      <w:ind w:left="360" w:hanging="360"/>
      <w:contextualSpacing/>
    </w:pPr>
  </w:style>
  <w:style w:type="paragraph" w:styleId="ListNumber2">
    <w:name w:val="List Number 2"/>
    <w:basedOn w:val="Normal"/>
    <w:uiPriority w:val="99"/>
    <w:unhideWhenUsed/>
    <w:rsid w:val="00797049"/>
    <w:pPr>
      <w:numPr>
        <w:numId w:val="3"/>
      </w:numPr>
      <w:contextualSpacing/>
    </w:pPr>
  </w:style>
  <w:style w:type="paragraph" w:styleId="ListNumber3">
    <w:name w:val="List Number 3"/>
    <w:basedOn w:val="Normal"/>
    <w:uiPriority w:val="99"/>
    <w:unhideWhenUsed/>
    <w:rsid w:val="00797049"/>
    <w:pPr>
      <w:ind w:left="630" w:hanging="360"/>
      <w:contextualSpacing/>
    </w:pPr>
  </w:style>
  <w:style w:type="paragraph" w:styleId="ListNumber4">
    <w:name w:val="List Number 4"/>
    <w:basedOn w:val="Normal"/>
    <w:uiPriority w:val="99"/>
    <w:unhideWhenUsed/>
    <w:rsid w:val="00797049"/>
    <w:pPr>
      <w:numPr>
        <w:numId w:val="5"/>
      </w:numPr>
      <w:contextualSpacing/>
    </w:pPr>
  </w:style>
  <w:style w:type="paragraph" w:styleId="ListNumber5">
    <w:name w:val="List Number 5"/>
    <w:basedOn w:val="Normal"/>
    <w:uiPriority w:val="99"/>
    <w:unhideWhenUsed/>
    <w:rsid w:val="00797049"/>
    <w:pPr>
      <w:numPr>
        <w:numId w:val="6"/>
      </w:numPr>
      <w:contextualSpacing/>
    </w:pPr>
  </w:style>
  <w:style w:type="table" w:styleId="LightShading">
    <w:name w:val="Light Shading"/>
    <w:basedOn w:val="TableNormal"/>
    <w:uiPriority w:val="60"/>
    <w:unhideWhenUsed/>
    <w:rsid w:val="007970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
    <w:name w:val="Grid Table 6 Colorful - Accent 54"/>
    <w:basedOn w:val="TableNormal"/>
    <w:uiPriority w:val="51"/>
    <w:rsid w:val="0079704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1">
    <w:name w:val="Heading 3 Char1"/>
    <w:basedOn w:val="DefaultParagraphFont"/>
    <w:uiPriority w:val="9"/>
    <w:semiHidden/>
    <w:rsid w:val="00797049"/>
    <w:rPr>
      <w:rFonts w:asciiTheme="majorHAnsi" w:eastAsiaTheme="majorEastAsia" w:hAnsiTheme="majorHAnsi" w:cstheme="majorBidi"/>
      <w:color w:val="1F4D78" w:themeColor="accent1" w:themeShade="7F"/>
      <w:sz w:val="24"/>
      <w:szCs w:val="24"/>
    </w:rPr>
  </w:style>
  <w:style w:type="table" w:customStyle="1" w:styleId="GridTable6Colorful-Accent13">
    <w:name w:val="Grid Table 6 Colorful - Accent 13"/>
    <w:basedOn w:val="TableNormal"/>
    <w:uiPriority w:val="51"/>
    <w:rsid w:val="0079704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2">
    <w:name w:val="Heading 4 Char2"/>
    <w:basedOn w:val="DefaultParagraphFont"/>
    <w:uiPriority w:val="9"/>
    <w:semiHidden/>
    <w:rsid w:val="00797049"/>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797049"/>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79704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797049"/>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79704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97049"/>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797049"/>
    <w:pPr>
      <w:pBdr>
        <w:top w:val="single" w:sz="4" w:space="10" w:color="5B9BD5" w:themeColor="accent1"/>
        <w:bottom w:val="single" w:sz="4" w:space="10" w:color="5B9BD5" w:themeColor="accent1"/>
      </w:pBdr>
      <w:spacing w:before="360" w:after="360"/>
      <w:ind w:left="864" w:right="864"/>
      <w:jc w:val="center"/>
    </w:pPr>
    <w:rPr>
      <w:rFonts w:ascii="Arial" w:eastAsia="MS PGothic" w:hAnsi="Arial" w:cs="Arial"/>
      <w:color w:val="EF4623"/>
      <w:sz w:val="28"/>
      <w:szCs w:val="28"/>
    </w:rPr>
  </w:style>
  <w:style w:type="character" w:customStyle="1" w:styleId="IntenseQuoteChar1">
    <w:name w:val="Intense Quote Char1"/>
    <w:basedOn w:val="DefaultParagraphFont"/>
    <w:uiPriority w:val="30"/>
    <w:rsid w:val="00797049"/>
    <w:rPr>
      <w:i/>
      <w:iCs/>
      <w:color w:val="5B9BD5" w:themeColor="accent1"/>
    </w:rPr>
  </w:style>
  <w:style w:type="character" w:styleId="SubtleEmphasis">
    <w:name w:val="Subtle Emphasis"/>
    <w:basedOn w:val="DefaultParagraphFont"/>
    <w:uiPriority w:val="19"/>
    <w:qFormat/>
    <w:rsid w:val="00797049"/>
    <w:rPr>
      <w:i/>
      <w:iCs/>
      <w:color w:val="404040" w:themeColor="text1" w:themeTint="BF"/>
    </w:rPr>
  </w:style>
  <w:style w:type="character" w:styleId="SubtleReference">
    <w:name w:val="Subtle Reference"/>
    <w:basedOn w:val="DefaultParagraphFont"/>
    <w:uiPriority w:val="31"/>
    <w:qFormat/>
    <w:rsid w:val="00797049"/>
    <w:rPr>
      <w:smallCaps/>
      <w:color w:val="5A5A5A" w:themeColor="text1" w:themeTint="A5"/>
    </w:rPr>
  </w:style>
  <w:style w:type="character" w:styleId="FollowedHyperlink">
    <w:name w:val="FollowedHyperlink"/>
    <w:basedOn w:val="DefaultParagraphFont"/>
    <w:uiPriority w:val="99"/>
    <w:semiHidden/>
    <w:unhideWhenUsed/>
    <w:rsid w:val="00797049"/>
    <w:rPr>
      <w:color w:val="954F72" w:themeColor="followedHyperlink"/>
      <w:u w:val="single"/>
    </w:rPr>
  </w:style>
  <w:style w:type="table" w:styleId="LightShading-Accent1">
    <w:name w:val="Light Shading Accent 1"/>
    <w:basedOn w:val="TableNormal"/>
    <w:uiPriority w:val="60"/>
    <w:unhideWhenUsed/>
    <w:rsid w:val="0079704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unhideWhenUsed/>
    <w:rsid w:val="0079704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
    <w:name w:val="Grid Table 6 Colorful - Accent 43"/>
    <w:basedOn w:val="TableNormal"/>
    <w:uiPriority w:val="51"/>
    <w:rsid w:val="0079704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
    <w:name w:val="Grid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
    <w:name w:val="Grid Table 4 - Accent 53"/>
    <w:basedOn w:val="TableNormal"/>
    <w:uiPriority w:val="49"/>
    <w:rsid w:val="007970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
    <w:name w:val="Grid Table 5 Dark - Accent 53"/>
    <w:basedOn w:val="TableNormal"/>
    <w:uiPriority w:val="50"/>
    <w:rsid w:val="007970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
    <w:name w:val="List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
    <w:name w:val="Grid Table 1 Light - Accent 13"/>
    <w:basedOn w:val="TableNormal"/>
    <w:uiPriority w:val="46"/>
    <w:rsid w:val="0079704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
    <w:name w:val="List Table 1 Light - Accent 13"/>
    <w:basedOn w:val="TableNormal"/>
    <w:uiPriority w:val="46"/>
    <w:rsid w:val="0079704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
    <w:name w:val="List Table 2 - Accent 13"/>
    <w:basedOn w:val="TableNormal"/>
    <w:uiPriority w:val="47"/>
    <w:rsid w:val="0079704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
    <w:name w:val="List Table 2 - Accent 53"/>
    <w:basedOn w:val="TableNormal"/>
    <w:uiPriority w:val="47"/>
    <w:rsid w:val="0079704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uiPriority w:val="47"/>
    <w:rsid w:val="0079704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E27F39"/>
  </w:style>
  <w:style w:type="table" w:customStyle="1" w:styleId="TableGrid22">
    <w:name w:val="Table Grid22"/>
    <w:basedOn w:val="TableNormal"/>
    <w:next w:val="TableGrid"/>
    <w:uiPriority w:val="39"/>
    <w:rsid w:val="00AE44EB"/>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Caption">
    <w:name w:val="caption"/>
    <w:basedOn w:val="Normal"/>
    <w:next w:val="Normal"/>
    <w:uiPriority w:val="35"/>
    <w:unhideWhenUsed/>
    <w:qFormat/>
    <w:rsid w:val="002C0AD2"/>
    <w:rPr>
      <w:rFonts w:eastAsiaTheme="minorEastAsia"/>
      <w:b/>
      <w:bCs/>
      <w:smallCaps/>
      <w:color w:val="595959" w:themeColor="text1" w:themeTint="A6"/>
      <w:spacing w:val="6"/>
      <w:sz w:val="20"/>
      <w:szCs w:val="20"/>
      <w:lang w:eastAsia="ja-JP"/>
    </w:rPr>
  </w:style>
  <w:style w:type="numbering" w:customStyle="1" w:styleId="NoList4">
    <w:name w:val="No List4"/>
    <w:next w:val="NoList"/>
    <w:uiPriority w:val="99"/>
    <w:semiHidden/>
    <w:unhideWhenUsed/>
    <w:rsid w:val="00C1281D"/>
  </w:style>
  <w:style w:type="numbering" w:customStyle="1" w:styleId="NoList12">
    <w:name w:val="No List12"/>
    <w:next w:val="NoList"/>
    <w:uiPriority w:val="99"/>
    <w:semiHidden/>
    <w:unhideWhenUsed/>
    <w:rsid w:val="00C1281D"/>
  </w:style>
  <w:style w:type="table" w:customStyle="1" w:styleId="TableGrid4">
    <w:name w:val="Table Grid4"/>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
    <w:name w:val="Financial Table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
    <w:name w:val="Light Shading11"/>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
    <w:name w:val="Grid Table 6 Colorful - Accent 515"/>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
    <w:name w:val="Light Shading - Accent 126"/>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
    <w:name w:val="Grid Table 6 Colorful - Accent 5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
    <w:name w:val="Light Shading - Accent 12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
    <w:name w:val="Grid Table 6 Colorful - Accent 11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
    <w:name w:val="Light Shading - Accent 122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
    <w:name w:val="Grid Table 6 Colorful - Accent 5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
    <w:name w:val="tabele 35"/>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
    <w:name w:val="Light Shading - Accent 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
    <w:name w:val="Light Shading - Accent 36"/>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
    <w:name w:val="Light Shading - Accent 315"/>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
    <w:name w:val="Light List - Accent 3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
    <w:name w:val="Table Grid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
    <w:name w:val="Light List - Accent 515"/>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
    <w:name w:val="Medium List 1 - Accent 5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
    <w:name w:val="Medium List 1 - Accent 53"/>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
    <w:name w:val="No List112"/>
    <w:next w:val="NoList"/>
    <w:uiPriority w:val="99"/>
    <w:semiHidden/>
    <w:unhideWhenUsed/>
    <w:rsid w:val="00C1281D"/>
  </w:style>
  <w:style w:type="table" w:customStyle="1" w:styleId="LightGrid-Accent516">
    <w:name w:val="Light Grid - Accent 516"/>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
    <w:name w:val="Светло сенчење – наглашавање 115"/>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
    <w:name w:val="Light Grid - Accent 57"/>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
    <w:name w:val="tabele za ifs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2">
    <w:name w:val="tabele za ifs 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
    <w:name w:val="Colorful List - Accent 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
    <w:name w:val="No List22"/>
    <w:next w:val="NoList"/>
    <w:uiPriority w:val="99"/>
    <w:semiHidden/>
    <w:unhideWhenUsed/>
    <w:rsid w:val="00C1281D"/>
  </w:style>
  <w:style w:type="table" w:customStyle="1" w:styleId="LightList-Accent325">
    <w:name w:val="Light List - Accent 325"/>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
    <w:name w:val="Light List - Accent 3115"/>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
    <w:name w:val="Light Shading - Accent 1319"/>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
    <w:name w:val="Light Shading - Accent 1311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
    <w:name w:val="Light Shading - Accent 1325"/>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
    <w:name w:val="tabele 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
    <w:name w:val="Light Shading - Accent 11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
    <w:name w:val="Light Shading - Accent 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
    <w:name w:val="Light List - Accent 52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
    <w:name w:val="Light Shading - Accent 3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
    <w:name w:val="Light List - Accent 3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
    <w:name w:val="Light List - Accent 5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
    <w:name w:val="Light Grid - Accent 5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
    <w:name w:val="Светло сенчење – наглашавање 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
    <w:name w:val="Light Grid - Accent 52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
    <w:name w:val="Light List - Accent 3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
    <w:name w:val="Light List - Accent 3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
    <w:name w:val="Light Shading - Accent 13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
    <w:name w:val="Light Shading - Accent 13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
    <w:name w:val="Light Shading - Accent 13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
    <w:name w:val="Light Shading - Accent 11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
    <w:name w:val="Light Shading - Accent 13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
    <w:name w:val="Light Shading - Accent 113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
    <w:name w:val="Light Shading - Accent 13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
    <w:name w:val="Light Shading - Accent 13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
    <w:name w:val="Light Shading - Accent 13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
    <w:name w:val="tabele 32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
    <w:name w:val="Light Shading - Accent 114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
    <w:name w:val="Light Shading - Accent 335"/>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
    <w:name w:val="Light List - Accent 53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
    <w:name w:val="Light Shading - Accent 312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
    <w:name w:val="Light List - Accent 3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
    <w:name w:val="Light List - Accent 512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
    <w:name w:val="Light Grid - Accent 512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
    <w:name w:val="Светло сенчење – наглашавање 112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
    <w:name w:val="Light Grid - Accent 53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
    <w:name w:val="Light List - Accent 322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
    <w:name w:val="Light List - Accent 31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
    <w:name w:val="Light Shading - Accent 138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
    <w:name w:val="Light Shading - Accent 131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
    <w:name w:val="Light Shading - Accent 132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
    <w:name w:val="Light Shading - Accent 115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
    <w:name w:val="Light Shading - Accent 13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
    <w:name w:val="Light Shading - Accent 116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
    <w:name w:val="Light Shading - Accent 1310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
    <w:name w:val="Light Shading - Accent 131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
    <w:name w:val="tabele 33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
    <w:name w:val="Light Shading - Accent 117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
    <w:name w:val="Light Shading - Accent 344"/>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
    <w:name w:val="Light List - Accent 54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
    <w:name w:val="Light Shading - Accent 313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
    <w:name w:val="Light List - Accent 3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
    <w:name w:val="Light List - Accent 513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
    <w:name w:val="Light Grid - Accent 513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
    <w:name w:val="Светло сенчење – наглашавање 113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
    <w:name w:val="Light Grid - Accent 54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
    <w:name w:val="Light Shading - Accent 123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
    <w:name w:val="Light List - Accent 323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
    <w:name w:val="Light List - Accent 31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
    <w:name w:val="Light Shading - Accent 131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
    <w:name w:val="Light Shading - Accent 131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
    <w:name w:val="Light Shading - Accent 132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
    <w:name w:val="Light Shading - Accent 1316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
    <w:name w:val="Light Shading - Accent 138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
    <w:name w:val="Light Shading - Accent 118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
    <w:name w:val="Light Shading - Accent 13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
    <w:name w:val="Light Shading - Accent 116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
    <w:name w:val="Light Shading - Accent 1310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
    <w:name w:val="Light Shading - Accent 13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
    <w:name w:val="Light Shading - Accent 119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
    <w:name w:val="Light Shading - Accent 141"/>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
    <w:name w:val="Light Shading - Accent 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
    <w:name w:val="Light Shading - Accent 3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
    <w:name w:val="Light Shading - Accent 33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
    <w:name w:val="Light Shading - Accent 34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
    <w:name w:val="Light Shading - Accent 34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
    <w:name w:val="Light Grid - Accent 514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
    <w:name w:val="Light Grid - Accent 55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
    <w:name w:val="Light Grid - Accent 5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
    <w:name w:val="Light Grid - Accent 52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
    <w:name w:val="Light Grid - Accent 512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
    <w:name w:val="Light Grid - Accent 53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
    <w:name w:val="Light Grid - Accent 513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
    <w:name w:val="Light Grid - Accent 54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
    <w:name w:val="Light Shading - Accent 61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
    <w:name w:val="Grid Table 6 Colorful - Accent 41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
    <w:name w:val="Light Shading - Accent 6111"/>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
    <w:name w:val="Grid Table 6 Colorful - Accent 31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
    <w:name w:val="Grid Table 4 - Accent 51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
    <w:name w:val="Grid Table 5 Dark - Accent 51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
    <w:name w:val="ФС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1">
    <w:name w:val="List Table 6 Colorful - Accent 31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
    <w:name w:val="Grid Table 1 Light - Accent 11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
    <w:name w:val="List Table 1 Light - Accent 11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
    <w:name w:val="List Table 2 - Accent 11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
    <w:name w:val="List Table 2 - Accent 51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
    <w:name w:val="Grid Table 2 - Accent 51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
    <w:name w:val="Table Grid22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
    <w:name w:val="Light Shading - Accent 124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
    <w:name w:val="Grid Table 6 Colorful - Accent 512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
    <w:name w:val="Grid Table 6 Colorful - Accent 5131"/>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
    <w:name w:val="No List31"/>
    <w:next w:val="NoList"/>
    <w:uiPriority w:val="99"/>
    <w:semiHidden/>
    <w:unhideWhenUsed/>
    <w:rsid w:val="00C1281D"/>
  </w:style>
  <w:style w:type="table" w:customStyle="1" w:styleId="TableGrid31">
    <w:name w:val="Table Grid3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
    <w:name w:val="Financial Table11"/>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
    <w:name w:val="Grid Table 6 Colorful - Accent 531"/>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
    <w:name w:val="Light Shading - Accent 125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
    <w:name w:val="Grid Table 6 Colorful - Accent 514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
    <w:name w:val="Light Shading - Accent 121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
    <w:name w:val="Grid Table 6 Colorful - Accent 5111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
    <w:name w:val="Grid Table 6 Colorful - Accent 12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
    <w:name w:val="Light Shading - Accent 122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
    <w:name w:val="Grid Table 6 Colorful - Accent 521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
    <w:name w:val="tabele 34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
    <w:name w:val="Light Shading - Accent 1110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
    <w:name w:val="Light Shading - Accent 35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
    <w:name w:val="Light List - Accent 55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
    <w:name w:val="Light Shading - Accent 314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
    <w:name w:val="Light List - Accent 315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
    <w:name w:val="Table Grid111"/>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
    <w:name w:val="Light List - Accent 514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
    <w:name w:val="Medium List 1 - Accent 5111"/>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
    <w:name w:val="Medium List 1 - Accent 521"/>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
    <w:name w:val="No List1111"/>
    <w:next w:val="NoList"/>
    <w:uiPriority w:val="99"/>
    <w:semiHidden/>
    <w:unhideWhenUsed/>
    <w:rsid w:val="00C1281D"/>
  </w:style>
  <w:style w:type="table" w:customStyle="1" w:styleId="LightGrid-Accent5151">
    <w:name w:val="Light Grid - Accent 515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
    <w:name w:val="Светло сенчење – наглашавање 114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
    <w:name w:val="Light Grid - Accent 56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0">
    <w:name w:val="tabele za ifs11"/>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1">
    <w:name w:val="tabele za ifs 111"/>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
    <w:name w:val="Colorful List - Accent 111"/>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
    <w:name w:val="No List211"/>
    <w:next w:val="NoList"/>
    <w:uiPriority w:val="99"/>
    <w:semiHidden/>
    <w:unhideWhenUsed/>
    <w:rsid w:val="00C1281D"/>
  </w:style>
  <w:style w:type="table" w:customStyle="1" w:styleId="LightList-Accent3241">
    <w:name w:val="Light List - Accent 324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
    <w:name w:val="Light List - Accent 3114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
    <w:name w:val="Light Shading - Accent 1317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
    <w:name w:val="Light Shading - Accent 1318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
    <w:name w:val="Light Shading - Accent 1324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
    <w:name w:val="tabele 31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
    <w:name w:val="Light Shading - Accent 11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
    <w:name w:val="Light Shading - Accent 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
    <w:name w:val="Light List - Accent 52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
    <w:name w:val="Light Shading - Accent 311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
    <w:name w:val="Light List - Accent 3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
    <w:name w:val="Light List - Accent 511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
    <w:name w:val="Light Grid - Accent 511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
    <w:name w:val="Светло сенчење – наглашавање 111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
    <w:name w:val="Light Grid - Accent 52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
    <w:name w:val="Light List - Accent 321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
    <w:name w:val="Light List - Accent 3111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
    <w:name w:val="Light Shading - Accent 13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
    <w:name w:val="Light Shading - Accent 131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
    <w:name w:val="Light Shading - Accent 132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
    <w:name w:val="Light Shading - Accent 112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
    <w:name w:val="Light Shading - Accent 13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
    <w:name w:val="Light Shading - Accent 113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
    <w:name w:val="Light Shading - Accent 13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
    <w:name w:val="Light Shading - Accent 136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
    <w:name w:val="Light Shading - Accent 137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
    <w:name w:val="tabele 32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
    <w:name w:val="Light Shading - Accent 114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
    <w:name w:val="Light Shading - Accent 3341"/>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
    <w:name w:val="Light List - Accent 53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
    <w:name w:val="Light Shading - Accent 312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
    <w:name w:val="Light List - Accent 3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
    <w:name w:val="Light List - Accent 512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
    <w:name w:val="Light Grid - Accent 512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
    <w:name w:val="Светло сенчење – наглашавање 112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
    <w:name w:val="Light Grid - Accent 53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
    <w:name w:val="Light List - Accent 322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
    <w:name w:val="Light List - Accent 31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
    <w:name w:val="Light Shading - Accent 138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
    <w:name w:val="Light Shading - Accent 131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
    <w:name w:val="Light Shading - Accent 132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
    <w:name w:val="Light Shading - Accent 115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
    <w:name w:val="Light Shading - Accent 139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
    <w:name w:val="Light Shading - Accent 1162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
    <w:name w:val="Light Shading - Accent 1310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
    <w:name w:val="Light Shading - Accent 131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
    <w:name w:val="tabele 33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
    <w:name w:val="Light Shading - Accent 117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
    <w:name w:val="Light Shading - Accent 343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
    <w:name w:val="Light List - Accent 54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
    <w:name w:val="Light Shading - Accent 313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
    <w:name w:val="Light List - Accent 314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
    <w:name w:val="Light List - Accent 513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
    <w:name w:val="Light Grid - Accent 513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
    <w:name w:val="Светло сенчење – наглашавање 113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
    <w:name w:val="Light Grid - Accent 54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
    <w:name w:val="Light Shading - Accent 123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
    <w:name w:val="Light List - Accent 323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
    <w:name w:val="Light List - Accent 31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
    <w:name w:val="Light Shading - Accent 131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
    <w:name w:val="Light Shading - Accent 131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
    <w:name w:val="Light Shading - Accent 132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
    <w:name w:val="Light Shading - Accent 1316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
    <w:name w:val="Light Shading - Accent 138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
    <w:name w:val="Light Shading - Accent 118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
    <w:name w:val="Light Shading - Accent 139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
    <w:name w:val="Light Shading - Accent 116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
    <w:name w:val="Light Shading - Accent 1310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
    <w:name w:val="Light Shading - Accent 136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
    <w:name w:val="Light Shading - Accent 119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
    <w:name w:val="Light Shading - Accent 33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
    <w:name w:val="Light Shading - Accent 3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
    <w:name w:val="Light Shading - Accent 333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
    <w:name w:val="Light Shading - Accent 34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
    <w:name w:val="Light Shading - Accent 34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
    <w:name w:val="Light Grid - Accent 514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
    <w:name w:val="Light Grid - Accent 55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
    <w:name w:val="Light Grid - Accent 511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
    <w:name w:val="Light Grid - Accent 52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
    <w:name w:val="Light Grid - Accent 512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
    <w:name w:val="Light Grid - Accent 53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
    <w:name w:val="Light Grid - Accent 513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
    <w:name w:val="Light Grid - Accent 54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
    <w:name w:val="Light Shading - Accent 621"/>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
    <w:name w:val="Grid Table 6 Colorful - Accent 421"/>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
    <w:name w:val="Grid Table 6 Colorful - Accent 321"/>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
    <w:name w:val="Grid Table 4 - Accent 52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
    <w:name w:val="Grid Table 5 Dark - Accent 52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0">
    <w:name w:val="ФС11"/>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1">
    <w:name w:val="List Table 6 Colorful - Accent 32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
    <w:name w:val="Grid Table 1 Light - Accent 12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
    <w:name w:val="List Table 1 Light - Accent 12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
    <w:name w:val="List Table 2 - Accent 12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
    <w:name w:val="List Table 2 - Accent 52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
    <w:name w:val="Grid Table 2 - Accent 52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
    <w:name w:val="Grid Table 6 Colorful - Accent 4111"/>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
    <w:name w:val="Grid Table 6 Colorful - Accent 3111"/>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
    <w:name w:val="Table Grid21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
    <w:name w:val="Light Shading - Accent 124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
    <w:name w:val="Light Shading - Accent 125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
    <w:name w:val="Light Shading2"/>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0">
    <w:name w:val="Grid Table 6 Colorful - Accent 54"/>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0">
    <w:name w:val="Grid Table 6 Colorful - Accent 13"/>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5">
    <w:name w:val="Light Shading - Accent 15"/>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
    <w:name w:val="Light Shading - Accent 63"/>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0">
    <w:name w:val="Grid Table 6 Colorful - Accent 43"/>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0">
    <w:name w:val="Grid Table 6 Colorful - Accent 33"/>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0">
    <w:name w:val="Grid Table 4 - Accent 53"/>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0">
    <w:name w:val="Grid Table 5 Dark - Accent 53"/>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0">
    <w:name w:val="List Table 6 Colorful - Accent 33"/>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0">
    <w:name w:val="Grid Table 1 Light - Accent 13"/>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0">
    <w:name w:val="List Table 1 Light - Accent 13"/>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0">
    <w:name w:val="List Table 2 - Accent 13"/>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0">
    <w:name w:val="List Table 2 - Accent 53"/>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0">
    <w:name w:val="Grid Table 2 - Accent 53"/>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C1281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
    <w:name w:val="No List5"/>
    <w:next w:val="NoList"/>
    <w:uiPriority w:val="99"/>
    <w:semiHidden/>
    <w:unhideWhenUsed/>
    <w:rsid w:val="00C1281D"/>
  </w:style>
  <w:style w:type="numbering" w:customStyle="1" w:styleId="NoList13">
    <w:name w:val="No List13"/>
    <w:next w:val="NoList"/>
    <w:uiPriority w:val="99"/>
    <w:semiHidden/>
    <w:unhideWhenUsed/>
    <w:rsid w:val="00C1281D"/>
  </w:style>
  <w:style w:type="table" w:customStyle="1" w:styleId="TableGrid5">
    <w:name w:val="Table Grid5"/>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
    <w:name w:val="Financial Table3"/>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
    <w:name w:val="Light Shading12"/>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
    <w:name w:val="Grid Table 6 Colorful - Accent 516"/>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
    <w:name w:val="Light Shading - Accent 127"/>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
    <w:name w:val="Grid Table 6 Colorful - Accent 5113"/>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
    <w:name w:val="Light Shading - Accent 121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
    <w:name w:val="Grid Table 6 Colorful - Accent 11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
    <w:name w:val="Light Shading - Accent 122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
    <w:name w:val="Grid Table 6 Colorful - Accent 523"/>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
    <w:name w:val="tabele 36"/>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
    <w:name w:val="Light Shading - Accent 111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
    <w:name w:val="Light Shading - Accent 37"/>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
    <w:name w:val="Light List - Accent 57"/>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
    <w:name w:val="Light Shading - Accent 316"/>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
    <w:name w:val="Light List - Accent 317"/>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
    <w:name w:val="Table Grid13"/>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
    <w:name w:val="Light List - Accent 516"/>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
    <w:name w:val="Medium List 1 - Accent 513"/>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
    <w:name w:val="Medium List 1 - Accent 54"/>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
    <w:name w:val="No List113"/>
    <w:next w:val="NoList"/>
    <w:uiPriority w:val="99"/>
    <w:semiHidden/>
    <w:unhideWhenUsed/>
    <w:rsid w:val="00C1281D"/>
  </w:style>
  <w:style w:type="table" w:customStyle="1" w:styleId="LightGrid-Accent517">
    <w:name w:val="Light Grid - Accent 517"/>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ветло сенчење – наглашавање 116"/>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
    <w:name w:val="Light Grid - Accent 58"/>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
    <w:name w:val="tabele za ifs3"/>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3">
    <w:name w:val="tabele za ifs 13"/>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
    <w:name w:val="Colorful List - Accent 13"/>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
    <w:name w:val="No List23"/>
    <w:next w:val="NoList"/>
    <w:uiPriority w:val="99"/>
    <w:semiHidden/>
    <w:unhideWhenUsed/>
    <w:rsid w:val="00C1281D"/>
  </w:style>
  <w:style w:type="table" w:customStyle="1" w:styleId="LightList-Accent326">
    <w:name w:val="Light List - Accent 326"/>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
    <w:name w:val="Light List - Accent 31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
    <w:name w:val="Light Shading - Accent 132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
    <w:name w:val="Light Shading - Accent 131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
    <w:name w:val="Light Shading - Accent 1326"/>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
    <w:name w:val="tabele 31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
    <w:name w:val="Light Shading - Accent 1115"/>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
    <w:name w:val="Light Shading - Accent 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
    <w:name w:val="Light List - Accent 52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
    <w:name w:val="Light Shading - Accent 311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
    <w:name w:val="Light List - Accent 3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
    <w:name w:val="Light List - Accent 511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
    <w:name w:val="Light Grid - Accent 511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
    <w:name w:val="Светло сенчење – наглашавање 111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
    <w:name w:val="Light Grid - Accent 52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
    <w:name w:val="Light List - Accent 321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
    <w:name w:val="Light List - Accent 3111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
    <w:name w:val="Light Shading - Accent 13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
    <w:name w:val="Light Shading - Accent 1311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
    <w:name w:val="Light Shading - Accent 132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
    <w:name w:val="Light Shading - Accent 112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
    <w:name w:val="Light Shading - Accent 13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
    <w:name w:val="Light Shading - Accent 113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
    <w:name w:val="Light Shading - Accent 13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
    <w:name w:val="Light Shading - Accent 136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
    <w:name w:val="Light Shading - Accent 137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
    <w:name w:val="tabele 32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
    <w:name w:val="Light Shading - Accent 114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
    <w:name w:val="Light Shading - Accent 336"/>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
    <w:name w:val="Light List - Accent 53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
    <w:name w:val="Light Shading - Accent 312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
    <w:name w:val="Light List - Accent 3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
    <w:name w:val="Light List - Accent 512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
    <w:name w:val="Light Grid - Accent 512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
    <w:name w:val="Светло сенчење – наглашавање 112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
    <w:name w:val="Light Grid - Accent 53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
    <w:name w:val="Light List - Accent 322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
    <w:name w:val="Light List - Accent 31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
    <w:name w:val="Light Shading - Accent 138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
    <w:name w:val="Light Shading - Accent 131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
    <w:name w:val="Light Shading - Accent 132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
    <w:name w:val="Light Shading - Accent 115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
    <w:name w:val="Light Shading - Accent 139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
    <w:name w:val="Light Shading - Accent 116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
    <w:name w:val="Light Shading - Accent 1310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
    <w:name w:val="Light Shading - Accent 131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
    <w:name w:val="tabele 33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
    <w:name w:val="Light Shading - Accent 117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
    <w:name w:val="Light Shading - Accent 345"/>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
    <w:name w:val="Light List - Accent 54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
    <w:name w:val="Light Shading - Accent 313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
    <w:name w:val="Light List - Accent 314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
    <w:name w:val="Light List - Accent 513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
    <w:name w:val="Light Grid - Accent 513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
    <w:name w:val="Светло сенчење – наглашавање 113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
    <w:name w:val="Light Grid - Accent 54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
    <w:name w:val="Light Shading - Accent 123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
    <w:name w:val="Light List - Accent 323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
    <w:name w:val="Light List - Accent 31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
    <w:name w:val="Light Shading - Accent 131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
    <w:name w:val="Light Shading - Accent 131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
    <w:name w:val="Light Shading - Accent 132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
    <w:name w:val="Light Shading - Accent 131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
    <w:name w:val="Light Shading - Accent 138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
    <w:name w:val="Light Shading - Accent 118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
    <w:name w:val="Light Shading - Accent 139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
    <w:name w:val="Light Shading - Accent 116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
    <w:name w:val="Light Shading - Accent 1310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
    <w:name w:val="Light Shading - Accent 136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
    <w:name w:val="Light Shading - Accent 11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
    <w:name w:val="Light Shading - Accent 142"/>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
    <w:name w:val="Light Shading - Accent 33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
    <w:name w:val="Light Shading - Accent 3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
    <w:name w:val="Light Shading - Accent 333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
    <w:name w:val="Light Shading - Accent 34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
    <w:name w:val="Light Shading - Accent 34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
    <w:name w:val="Light Grid - Accent 514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
    <w:name w:val="Light Grid - Accent 55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
    <w:name w:val="Light Grid - Accent 51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
    <w:name w:val="Light Grid - Accent 52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
    <w:name w:val="Light Grid - Accent 512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
    <w:name w:val="Light Grid - Accent 53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
    <w:name w:val="Light Grid - Accent 513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
    <w:name w:val="Light Grid - Accent 54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
    <w:name w:val="Light Shading - Accent 613"/>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
    <w:name w:val="Grid Table 6 Colorful - Accent 413"/>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
    <w:name w:val="Light Shading - Accent 6112"/>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
    <w:name w:val="Grid Table 6 Colorful - Accent 313"/>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
    <w:name w:val="Grid Table 4 - Accent 51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
    <w:name w:val="Grid Table 5 Dark - Accent 51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
    <w:name w:val="ФС3"/>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2">
    <w:name w:val="List Table 6 Colorful - Accent 31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
    <w:name w:val="Grid Table 1 Light - Accent 11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
    <w:name w:val="List Table 1 Light - Accent 11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
    <w:name w:val="List Table 2 - Accent 11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
    <w:name w:val="List Table 2 - Accent 51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
    <w:name w:val="Grid Table 2 - Accent 51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
    <w:name w:val="Table Grid23"/>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
    <w:name w:val="Light Shading - Accent 124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
    <w:name w:val="Grid Table 6 Colorful - Accent 51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
    <w:name w:val="Grid Table 6 Colorful - Accent 5132"/>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
    <w:name w:val="No List32"/>
    <w:next w:val="NoList"/>
    <w:uiPriority w:val="99"/>
    <w:semiHidden/>
    <w:unhideWhenUsed/>
    <w:rsid w:val="00C1281D"/>
  </w:style>
  <w:style w:type="table" w:customStyle="1" w:styleId="TableGrid32">
    <w:name w:val="Table Grid3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
    <w:name w:val="Financial Table1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
    <w:name w:val="Grid Table 6 Colorful - Accent 532"/>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
    <w:name w:val="Light Shading - Accent 125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
    <w:name w:val="Grid Table 6 Colorful - Accent 514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
    <w:name w:val="Light Shading - Accent 121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
    <w:name w:val="Grid Table 6 Colorful - Accent 51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
    <w:name w:val="Grid Table 6 Colorful - Accent 12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
    <w:name w:val="Light Shading - Accent 122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
    <w:name w:val="Grid Table 6 Colorful - Accent 521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
    <w:name w:val="tabele 34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
    <w:name w:val="Light Shading - Accent 1110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
    <w:name w:val="Light Shading - Accent 35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
    <w:name w:val="Light List - Accent 55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
    <w:name w:val="Light Shading - Accent 314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
    <w:name w:val="Light List - Accent 315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
    <w:name w:val="Table Grid1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
    <w:name w:val="Light List - Accent 514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
    <w:name w:val="Medium List 1 - Accent 51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
    <w:name w:val="Medium List 1 - Accent 522"/>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
    <w:name w:val="No List1112"/>
    <w:next w:val="NoList"/>
    <w:uiPriority w:val="99"/>
    <w:semiHidden/>
    <w:unhideWhenUsed/>
    <w:rsid w:val="00C1281D"/>
  </w:style>
  <w:style w:type="table" w:customStyle="1" w:styleId="LightGrid-Accent5152">
    <w:name w:val="Light Grid - Accent 515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
    <w:name w:val="Светло сенчење – наглашавање 114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
    <w:name w:val="Light Grid - Accent 56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0">
    <w:name w:val="tabele za ifs1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2">
    <w:name w:val="tabele za ifs 1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
    <w:name w:val="Colorful List - Accent 1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
    <w:name w:val="No List212"/>
    <w:next w:val="NoList"/>
    <w:uiPriority w:val="99"/>
    <w:semiHidden/>
    <w:unhideWhenUsed/>
    <w:rsid w:val="00C1281D"/>
  </w:style>
  <w:style w:type="table" w:customStyle="1" w:styleId="LightList-Accent3242">
    <w:name w:val="Light List - Accent 324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
    <w:name w:val="Light List - Accent 31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
    <w:name w:val="Light Shading - Accent 131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
    <w:name w:val="Light Shading - Accent 1318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
    <w:name w:val="Light Shading - Accent 132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
    <w:name w:val="tabele 31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
    <w:name w:val="Light Shading - Accent 1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
    <w:name w:val="Light Shading - Accent 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
    <w:name w:val="Light List - Accent 52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
    <w:name w:val="Light Shading - Accent 31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
    <w:name w:val="Light List - Accent 3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
    <w:name w:val="Light List - Accent 51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
    <w:name w:val="Light Grid - Accent 511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
    <w:name w:val="Светло сенчење – наглашавање 1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
    <w:name w:val="Light Grid - Accent 52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
    <w:name w:val="Light List - Accent 321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
    <w:name w:val="Light List - Accent 31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
    <w:name w:val="Light Shading - Accent 13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
    <w:name w:val="Light Shading - Accent 131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
    <w:name w:val="Light Shading - Accent 132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
    <w:name w:val="Light Shading - Accent 112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
    <w:name w:val="Light Shading - Accent 13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
    <w:name w:val="Light Shading - Accent 113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
    <w:name w:val="Light Shading - Accent 13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
    <w:name w:val="Light Shading - Accent 136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
    <w:name w:val="Light Shading - Accent 137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
    <w:name w:val="tabele 32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
    <w:name w:val="Light Shading - Accent 114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
    <w:name w:val="Light Shading - Accent 3342"/>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
    <w:name w:val="Light List - Accent 53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
    <w:name w:val="Light Shading - Accent 312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
    <w:name w:val="Light List - Accent 3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
    <w:name w:val="Light List - Accent 512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
    <w:name w:val="Light Grid - Accent 512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
    <w:name w:val="Светло сенчење – наглашавање 112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
    <w:name w:val="Light Grid - Accent 53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
    <w:name w:val="Light List - Accent 32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
    <w:name w:val="Light List - Accent 31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
    <w:name w:val="Light Shading - Accent 138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
    <w:name w:val="Light Shading - Accent 131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
    <w:name w:val="Light Shading - Accent 132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
    <w:name w:val="Light Shading - Accent 115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
    <w:name w:val="Light Shading - Accent 139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
    <w:name w:val="Light Shading - Accent 116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
    <w:name w:val="Light Shading - Accent 1310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
    <w:name w:val="Light Shading - Accent 131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
    <w:name w:val="tabele 3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
    <w:name w:val="Light Shading - Accent 117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
    <w:name w:val="Light Shading - Accent 34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
    <w:name w:val="Light List - Accent 54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
    <w:name w:val="Light Shading - Accent 313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
    <w:name w:val="Light List - Accent 314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
    <w:name w:val="Light List - Accent 513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
    <w:name w:val="Light Grid - Accent 513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
    <w:name w:val="Светло сенчење – наглашавање 113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
    <w:name w:val="Light Grid - Accent 54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
    <w:name w:val="Light Shading - Accent 123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
    <w:name w:val="Light List - Accent 323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
    <w:name w:val="Light List - Accent 31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
    <w:name w:val="Light Shading - Accent 131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
    <w:name w:val="Light Shading - Accent 131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
    <w:name w:val="Light Shading - Accent 132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
    <w:name w:val="Light Shading - Accent 131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
    <w:name w:val="Light Shading - Accent 138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
    <w:name w:val="Light Shading - Accent 118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
    <w:name w:val="Light Shading - Accent 139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
    <w:name w:val="Light Shading - Accent 116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
    <w:name w:val="Light Shading - Accent 1310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
    <w:name w:val="Light Shading - Accent 136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
    <w:name w:val="Light Shading - Accent 11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
    <w:name w:val="Light Shading - Accent 33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
    <w:name w:val="Light Shading - Accent 3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
    <w:name w:val="Light Shading - Accent 3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
    <w:name w:val="Light Shading - Accent 34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
    <w:name w:val="Light Shading - Accent 34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
    <w:name w:val="Light Grid - Accent 514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
    <w:name w:val="Light Grid - Accent 55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
    <w:name w:val="Light Grid - Accent 51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
    <w:name w:val="Light Grid - Accent 52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
    <w:name w:val="Light Grid - Accent 512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
    <w:name w:val="Light Grid - Accent 53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
    <w:name w:val="Light Grid - Accent 513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
    <w:name w:val="Light Grid - Accent 54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
    <w:name w:val="Light Shading - Accent 62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
    <w:name w:val="Grid Table 6 Colorful - Accent 42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
    <w:name w:val="Grid Table 6 Colorful - Accent 32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
    <w:name w:val="Grid Table 4 - Accent 52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
    <w:name w:val="Grid Table 5 Dark - Accent 52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
    <w:name w:val="ФС1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2">
    <w:name w:val="List Table 6 Colorful - Accent 32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
    <w:name w:val="Grid Table 1 Light - Accent 12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
    <w:name w:val="List Table 1 Light - Accent 12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
    <w:name w:val="List Table 2 - Accent 12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
    <w:name w:val="List Table 2 - Accent 52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
    <w:name w:val="Grid Table 2 - Accent 52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
    <w:name w:val="Grid Table 6 Colorful - Accent 4112"/>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
    <w:name w:val="Grid Table 6 Colorful - Accent 3112"/>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
    <w:name w:val="Table Grid21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
    <w:name w:val="Light Shading - Accent 124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
    <w:name w:val="Light Shading - Accent 125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
    <w:name w:val="Light Shading3"/>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
    <w:name w:val="Grid Table 6 Colorful - Accent 55"/>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
    <w:name w:val="Grid Table 6 Colorful - Accent 14"/>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
    <w:name w:val="Light Shading - Accent 16"/>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
    <w:name w:val="Light Shading - Accent 64"/>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
    <w:name w:val="Grid Table 6 Colorful - Accent 44"/>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
    <w:name w:val="Grid Table 6 Colorful - Accent 34"/>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
    <w:name w:val="Grid Table 4 - Accent 54"/>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
    <w:name w:val="Grid Table 5 Dark - Accent 54"/>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
    <w:name w:val="List Table 6 Colorful - Accent 34"/>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
    <w:name w:val="Grid Table 1 Light - Accent 14"/>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
    <w:name w:val="List Table 1 Light - Accent 14"/>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
    <w:name w:val="List Table 2 - Accent 14"/>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
    <w:name w:val="List Table 2 - Accent 54"/>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
    <w:name w:val="Grid Table 2 - Accent 54"/>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
    <w:name w:val="Light Shading - Accent 337"/>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
    <w:name w:val="Light Shading - Accent 338"/>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Normal1">
    <w:name w:val="Normal1"/>
    <w:rsid w:val="00913C14"/>
    <w:pPr>
      <w:pBdr>
        <w:top w:val="nil"/>
        <w:left w:val="nil"/>
        <w:bottom w:val="nil"/>
        <w:right w:val="nil"/>
        <w:between w:val="nil"/>
      </w:pBdr>
    </w:pPr>
    <w:rPr>
      <w:rFonts w:ascii="Calibri" w:eastAsia="Calibri" w:hAnsi="Calibri" w:cs="Calibri"/>
      <w:color w:val="000000"/>
    </w:rPr>
  </w:style>
  <w:style w:type="table" w:customStyle="1" w:styleId="ListTable6Colorful-Accent61">
    <w:name w:val="List Table 6 Colorful - Accent 61"/>
    <w:basedOn w:val="TableNormal"/>
    <w:uiPriority w:val="51"/>
    <w:rsid w:val="008D336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GlavnitekstGI">
    <w:name w:val="Glavni tekstGI"/>
    <w:basedOn w:val="Normal"/>
    <w:rsid w:val="00A20FB9"/>
    <w:pPr>
      <w:spacing w:before="40" w:after="40" w:line="300" w:lineRule="exact"/>
      <w:ind w:firstLine="357"/>
    </w:pPr>
    <w:rPr>
      <w:rFonts w:cs="Times New Roman"/>
    </w:rPr>
  </w:style>
  <w:style w:type="table" w:customStyle="1" w:styleId="TableGrid6">
    <w:name w:val="Table Grid6"/>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Char Char Char Char1,Footnote Text Char Char Char Char1,Footnote Text Char Char Char2,single space Char1,ft Char1,ft Char Char Char Char1,ft Char Char Char2,Fußnote Char1, Char Char Char Char1,footnote text Char1"/>
    <w:basedOn w:val="DefaultParagraphFont"/>
    <w:uiPriority w:val="99"/>
    <w:locked/>
    <w:rsid w:val="00E84619"/>
    <w:rPr>
      <w:rFonts w:cs="Times New Roman"/>
      <w:sz w:val="20"/>
      <w:szCs w:val="20"/>
    </w:rPr>
  </w:style>
  <w:style w:type="paragraph" w:customStyle="1" w:styleId="Glavnitekst">
    <w:name w:val="Glavni tekst"/>
    <w:basedOn w:val="BodyTextIndent"/>
    <w:rsid w:val="00E84619"/>
    <w:pPr>
      <w:spacing w:after="240" w:line="240" w:lineRule="exact"/>
      <w:ind w:firstLine="0"/>
      <w:jc w:val="both"/>
    </w:pPr>
    <w:rPr>
      <w:rFonts w:ascii="Times New Roman" w:eastAsia="Times New Roman" w:hAnsi="Times New Roman"/>
      <w:bCs w:val="0"/>
      <w:color w:val="auto"/>
      <w:sz w:val="20"/>
      <w:szCs w:val="20"/>
      <w:lang w:val="sr-Latn-CS"/>
    </w:rPr>
  </w:style>
  <w:style w:type="paragraph" w:customStyle="1" w:styleId="EFP2012tekst">
    <w:name w:val="EFP 2012 tekst"/>
    <w:basedOn w:val="Normal"/>
    <w:uiPriority w:val="99"/>
    <w:rsid w:val="00E84619"/>
    <w:pPr>
      <w:ind w:firstLine="709"/>
    </w:pPr>
    <w:rPr>
      <w:rFonts w:ascii="Cambria" w:eastAsia="Constantia" w:hAnsi="Cambria" w:cs="Times New Roman"/>
      <w:color w:val="262626"/>
      <w:sz w:val="21"/>
      <w:lang w:val="sr-Cyrl-CS"/>
    </w:rPr>
  </w:style>
  <w:style w:type="paragraph" w:customStyle="1" w:styleId="EFPNaslov2">
    <w:name w:val="EFP Naslov 2"/>
    <w:basedOn w:val="Normal"/>
    <w:link w:val="EFPNaslov2Char"/>
    <w:rsid w:val="00E84619"/>
    <w:pPr>
      <w:keepNext/>
      <w:keepLines/>
      <w:numPr>
        <w:ilvl w:val="1"/>
        <w:numId w:val="8"/>
      </w:numPr>
      <w:spacing w:before="200" w:after="0"/>
      <w:outlineLvl w:val="1"/>
    </w:pPr>
    <w:rPr>
      <w:rFonts w:ascii="Constantia" w:eastAsia="Times New Roman" w:hAnsi="Constantia" w:cs="Times New Roman"/>
      <w:b/>
      <w:bCs/>
      <w:color w:val="76923C"/>
      <w:sz w:val="21"/>
      <w:szCs w:val="26"/>
      <w:lang w:val="sr-Cyrl-CS"/>
    </w:rPr>
  </w:style>
  <w:style w:type="character" w:customStyle="1" w:styleId="EFPNaslov2Char">
    <w:name w:val="EFP Naslov 2 Char"/>
    <w:link w:val="EFPNaslov2"/>
    <w:rsid w:val="00E84619"/>
    <w:rPr>
      <w:rFonts w:ascii="Constantia" w:eastAsia="Times New Roman" w:hAnsi="Constantia" w:cs="Times New Roman"/>
      <w:b/>
      <w:bCs/>
      <w:color w:val="76923C"/>
      <w:sz w:val="21"/>
      <w:szCs w:val="26"/>
      <w:lang w:val="sr-Cyrl-CS"/>
    </w:rPr>
  </w:style>
  <w:style w:type="table" w:customStyle="1" w:styleId="tabele37">
    <w:name w:val="tabele 37"/>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
    <w:name w:val="Light Shading - Accent 1116"/>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
    <w:name w:val="Light Shading - Accent 317"/>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
    <w:name w:val="Light List - Accent 318"/>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
    <w:name w:val="Table Grid14"/>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
    <w:name w:val="Light List - Accent 517"/>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
    <w:name w:val="Medium List 1 - Accent 514"/>
    <w:basedOn w:val="TableNormal"/>
    <w:next w:val="MediumList1-Accent5"/>
    <w:uiPriority w:val="65"/>
    <w:rsid w:val="00E84619"/>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
    <w:name w:val="Medium List 1 - Accent 55"/>
    <w:basedOn w:val="TableNormal"/>
    <w:next w:val="MediumList1-Accent5"/>
    <w:uiPriority w:val="65"/>
    <w:rsid w:val="00E8461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
    <w:name w:val="Light Grid - Accent 518"/>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о сенчење – наглашавање 117"/>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
    <w:name w:val="Light Grid - Accent 59"/>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
    <w:name w:val="Light Shading - Accent 128"/>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
    <w:name w:val="Light List - Accent 3117"/>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
    <w:name w:val="Light List - Accent 3111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
    <w:name w:val="Table Grid24"/>
    <w:basedOn w:val="TableNormal"/>
    <w:next w:val="TableGrid"/>
    <w:uiPriority w:val="39"/>
    <w:rsid w:val="00E84619"/>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
    <w:name w:val="tabele 31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
    <w:name w:val="Light Shading - Accent 1117"/>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
    <w:name w:val="Light Shading - Accent 324"/>
    <w:basedOn w:val="TableNormal"/>
    <w:next w:val="LightShading-Accent3"/>
    <w:uiPriority w:val="60"/>
    <w:rsid w:val="00E84619"/>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
    <w:name w:val="Light List - Accent 524"/>
    <w:basedOn w:val="TableNormal"/>
    <w:next w:val="LightList-Accent5"/>
    <w:uiPriority w:val="61"/>
    <w:rsid w:val="00E84619"/>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
    <w:name w:val="Light Shading - Accent 311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
    <w:name w:val="Light List - Accent 3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
    <w:name w:val="Light List - Accent 511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
    <w:name w:val="Light Grid - Accent 5115"/>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
    <w:name w:val="Светло сенчење – наглашавање 1114"/>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
    <w:name w:val="Light Grid - Accent 52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
    <w:name w:val="Light Shading - Accent 1214"/>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
    <w:name w:val="Light List - Accent 31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
    <w:name w:val="Light Shading - Accent 112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
    <w:name w:val="Light Shading - Accent 113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
    <w:name w:val="tabele 32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
    <w:name w:val="Light Shading - Accent 114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
    <w:name w:val="Light Shading - Accent 339"/>
    <w:basedOn w:val="TableNormal"/>
    <w:next w:val="LightShading-Accent3"/>
    <w:uiPriority w:val="60"/>
    <w:rsid w:val="00E8461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
    <w:name w:val="Light Shading - Accent 312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
    <w:name w:val="Light List - Accent 3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
    <w:name w:val="Light List - Accent 512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
    <w:name w:val="Light Grid - Accent 512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
    <w:name w:val="Light Grid - Accent 53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
    <w:name w:val="Light Shading - Accent 115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
    <w:name w:val="Light Shading - Accent 1165"/>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
    <w:name w:val="tabele 33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
    <w:name w:val="Light Shading - Accent 117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
    <w:name w:val="Light Shading - Accent 313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
    <w:name w:val="Light List - Accent 314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
    <w:name w:val="Light List - Accent 513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
    <w:name w:val="Light Grid - Accent 513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
    <w:name w:val="Light Grid - Accent 54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
    <w:name w:val="Light List - Accent 31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
    <w:name w:val="Light Shading - Accent 118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
    <w:name w:val="Light Shading - Accent 1161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E84619"/>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E84619"/>
  </w:style>
  <w:style w:type="table" w:customStyle="1" w:styleId="TableGrid33">
    <w:name w:val="Table Grid33"/>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
    <w:name w:val="Grid Table 6 Colorful - Accent 517"/>
    <w:basedOn w:val="TableNormal"/>
    <w:uiPriority w:val="51"/>
    <w:rsid w:val="00E84619"/>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
    <w:name w:val="Grid Table 7 Colorful1"/>
    <w:basedOn w:val="TableNormal"/>
    <w:uiPriority w:val="52"/>
    <w:rsid w:val="00E84619"/>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43"/>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
    <w:name w:val="Grid Table 7 Colorful - Accent 31"/>
    <w:basedOn w:val="TableNormal"/>
    <w:uiPriority w:val="52"/>
    <w:rsid w:val="00E84619"/>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
    <w:name w:val="Grid Table 21"/>
    <w:basedOn w:val="TableNormal"/>
    <w:uiPriority w:val="47"/>
    <w:rsid w:val="00E84619"/>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qFormat/>
    <w:rsid w:val="00E84619"/>
    <w:pPr>
      <w:tabs>
        <w:tab w:val="decimal" w:pos="360"/>
      </w:tabs>
      <w:spacing w:after="200" w:line="276" w:lineRule="auto"/>
    </w:pPr>
    <w:rPr>
      <w:rFonts w:ascii="Calibri" w:eastAsia="Calibri" w:hAnsi="Calibri" w:cs="Times New Roman"/>
      <w:lang w:eastAsia="ja-JP"/>
    </w:rPr>
  </w:style>
  <w:style w:type="numbering" w:customStyle="1" w:styleId="NoList7">
    <w:name w:val="No List7"/>
    <w:next w:val="NoList"/>
    <w:uiPriority w:val="99"/>
    <w:semiHidden/>
    <w:unhideWhenUsed/>
    <w:rsid w:val="00E84619"/>
  </w:style>
  <w:style w:type="table" w:customStyle="1" w:styleId="LightShading-Accent353">
    <w:name w:val="Light Shading - Accent 353"/>
    <w:basedOn w:val="TableNormal"/>
    <w:next w:val="LightShading-Accent3"/>
    <w:uiPriority w:val="60"/>
    <w:rsid w:val="00E84619"/>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
    <w:name w:val="2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
    <w:name w:val="20"/>
    <w:basedOn w:val="TableNormal"/>
    <w:rsid w:val="00E84619"/>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
    <w:name w:val="1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
    <w:name w:val="1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
    <w:name w:val="1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
    <w:name w:val="1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
    <w:name w:val="1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
    <w:name w:val="1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
    <w:name w:val="1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0">
    <w:name w:val="1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8">
    <w:name w:val="1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
    <w:name w:val="10"/>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
    <w:name w:val="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
    <w:name w:val="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
    <w:name w:val="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
    <w:name w:val="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
    <w:name w:val="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
    <w:name w:val="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0">
    <w:name w:val="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
    <w:name w:val="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a">
    <w:name w:val="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paragraph" w:customStyle="1" w:styleId="Nabrajanjemera">
    <w:name w:val="Nabrajanje mera"/>
    <w:basedOn w:val="Normal"/>
    <w:qFormat/>
    <w:rsid w:val="00E84619"/>
    <w:pPr>
      <w:numPr>
        <w:numId w:val="9"/>
      </w:numPr>
      <w:spacing w:after="0"/>
      <w:ind w:left="1495"/>
    </w:pPr>
    <w:rPr>
      <w:b/>
      <w:smallCaps/>
      <w:szCs w:val="24"/>
      <w:lang w:val="sr-Cyrl-RS"/>
    </w:rPr>
  </w:style>
  <w:style w:type="character" w:customStyle="1" w:styleId="Nazivmere">
    <w:name w:val="Naziv mere"/>
    <w:basedOn w:val="DefaultParagraphFont"/>
    <w:uiPriority w:val="1"/>
    <w:rsid w:val="00E84619"/>
    <w:rPr>
      <w:rFonts w:asciiTheme="minorHAnsi" w:hAnsiTheme="minorHAnsi"/>
      <w:b w:val="0"/>
      <w:caps/>
      <w:smallCaps w:val="0"/>
      <w:sz w:val="22"/>
    </w:rPr>
  </w:style>
  <w:style w:type="character" w:customStyle="1" w:styleId="tekst">
    <w:name w:val="tekst"/>
    <w:basedOn w:val="DefaultParagraphFont"/>
    <w:uiPriority w:val="1"/>
    <w:rsid w:val="00E84619"/>
    <w:rPr>
      <w:rFonts w:asciiTheme="minorHAnsi" w:hAnsiTheme="minorHAnsi"/>
      <w:sz w:val="22"/>
    </w:rPr>
  </w:style>
  <w:style w:type="table" w:customStyle="1" w:styleId="TableGrid41">
    <w:name w:val="Table Grid41"/>
    <w:basedOn w:val="TableNormal"/>
    <w:next w:val="TableGrid"/>
    <w:uiPriority w:val="39"/>
    <w:rsid w:val="00E84619"/>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sz w:val="20"/>
      <w:szCs w:val="20"/>
      <w:lang w:val="sr-Latn-RS" w:eastAsia="sr-Latn-RS"/>
    </w:rPr>
  </w:style>
  <w:style w:type="paragraph" w:customStyle="1" w:styleId="xl67">
    <w:name w:val="xl67"/>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8">
    <w:name w:val="xl6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9">
    <w:name w:val="xl69"/>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i/>
      <w:iCs/>
      <w:sz w:val="16"/>
      <w:szCs w:val="16"/>
      <w:lang w:val="sr-Latn-RS" w:eastAsia="sr-Latn-RS"/>
    </w:rPr>
  </w:style>
  <w:style w:type="paragraph" w:customStyle="1" w:styleId="xl70">
    <w:name w:val="xl7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16"/>
      <w:szCs w:val="16"/>
      <w:lang w:val="sr-Latn-RS" w:eastAsia="sr-Latn-RS"/>
    </w:rPr>
  </w:style>
  <w:style w:type="paragraph" w:customStyle="1" w:styleId="xl71">
    <w:name w:val="xl7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72">
    <w:name w:val="xl7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3">
    <w:name w:val="xl73"/>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4">
    <w:name w:val="xl7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75">
    <w:name w:val="xl7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6">
    <w:name w:val="xl7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7">
    <w:name w:val="xl7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8">
    <w:name w:val="xl78"/>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9">
    <w:name w:val="xl7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80">
    <w:name w:val="xl80"/>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 w:val="18"/>
      <w:szCs w:val="18"/>
      <w:lang w:val="sr-Latn-RS" w:eastAsia="sr-Latn-RS"/>
    </w:rPr>
  </w:style>
  <w:style w:type="paragraph" w:customStyle="1" w:styleId="xl81">
    <w:name w:val="xl81"/>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Cs w:val="24"/>
      <w:lang w:val="sr-Latn-RS" w:eastAsia="sr-Latn-RS"/>
    </w:rPr>
  </w:style>
  <w:style w:type="paragraph" w:customStyle="1" w:styleId="xl82">
    <w:name w:val="xl82"/>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sz w:val="18"/>
      <w:szCs w:val="18"/>
      <w:lang w:val="sr-Latn-RS" w:eastAsia="sr-Latn-RS"/>
    </w:rPr>
  </w:style>
  <w:style w:type="paragraph" w:customStyle="1" w:styleId="xl83">
    <w:name w:val="xl83"/>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eastAsia="Times New Roman" w:hAnsi="Calibri" w:cs="Times New Roman"/>
      <w:b/>
      <w:bCs/>
      <w:i/>
      <w:iCs/>
      <w:sz w:val="18"/>
      <w:szCs w:val="18"/>
      <w:lang w:val="sr-Latn-RS" w:eastAsia="sr-Latn-RS"/>
    </w:rPr>
  </w:style>
  <w:style w:type="paragraph" w:customStyle="1" w:styleId="xl84">
    <w:name w:val="xl84"/>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Cs w:val="24"/>
      <w:lang w:val="sr-Latn-RS" w:eastAsia="sr-Latn-RS"/>
    </w:rPr>
  </w:style>
  <w:style w:type="paragraph" w:customStyle="1" w:styleId="xl85">
    <w:name w:val="xl85"/>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 w:val="18"/>
      <w:szCs w:val="18"/>
      <w:lang w:val="sr-Latn-RS" w:eastAsia="sr-Latn-RS"/>
    </w:rPr>
  </w:style>
  <w:style w:type="paragraph" w:customStyle="1" w:styleId="xl86">
    <w:name w:val="xl86"/>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87">
    <w:name w:val="xl8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8">
    <w:name w:val="xl88"/>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9">
    <w:name w:val="xl8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0">
    <w:name w:val="xl9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1">
    <w:name w:val="xl9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2">
    <w:name w:val="xl9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3">
    <w:name w:val="xl93"/>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94">
    <w:name w:val="xl9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5">
    <w:name w:val="xl9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6">
    <w:name w:val="xl9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7">
    <w:name w:val="xl9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8">
    <w:name w:val="xl9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character" w:customStyle="1" w:styleId="Bodytext0">
    <w:name w:val="Body text_"/>
    <w:basedOn w:val="DefaultParagraphFont"/>
    <w:link w:val="BodyText9"/>
    <w:locked/>
    <w:rsid w:val="00E84619"/>
    <w:rPr>
      <w:sz w:val="19"/>
      <w:szCs w:val="19"/>
      <w:shd w:val="clear" w:color="auto" w:fill="FFFFFF"/>
    </w:rPr>
  </w:style>
  <w:style w:type="paragraph" w:customStyle="1" w:styleId="BodyText9">
    <w:name w:val="Body Text9"/>
    <w:basedOn w:val="Normal"/>
    <w:link w:val="Bodytext0"/>
    <w:rsid w:val="00E84619"/>
    <w:pPr>
      <w:shd w:val="clear" w:color="auto" w:fill="FFFFFF"/>
      <w:spacing w:before="180" w:after="180" w:line="277" w:lineRule="exact"/>
      <w:ind w:hanging="340"/>
    </w:pPr>
    <w:rPr>
      <w:sz w:val="19"/>
      <w:szCs w:val="19"/>
    </w:rPr>
  </w:style>
  <w:style w:type="character" w:customStyle="1" w:styleId="BodytextBold">
    <w:name w:val="Body text + Bold"/>
    <w:basedOn w:val="Bodytext0"/>
    <w:rsid w:val="00E84619"/>
    <w:rPr>
      <w:b/>
      <w:bCs/>
      <w:sz w:val="19"/>
      <w:szCs w:val="19"/>
      <w:shd w:val="clear" w:color="auto" w:fill="FFFFFF"/>
    </w:rPr>
  </w:style>
  <w:style w:type="table" w:customStyle="1" w:styleId="TableGrid311">
    <w:name w:val="Table Grid311"/>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uiPriority w:val="50"/>
    <w:rsid w:val="002042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UnresolvedMention1">
    <w:name w:val="Unresolved Mention1"/>
    <w:basedOn w:val="DefaultParagraphFont"/>
    <w:uiPriority w:val="99"/>
    <w:semiHidden/>
    <w:unhideWhenUsed/>
    <w:rsid w:val="00204287"/>
    <w:rPr>
      <w:color w:val="605E5C"/>
      <w:shd w:val="clear" w:color="auto" w:fill="E1DFDD"/>
    </w:rPr>
  </w:style>
  <w:style w:type="table" w:customStyle="1" w:styleId="LightShading-Accent3351">
    <w:name w:val="Light Shading - Accent 3351"/>
    <w:basedOn w:val="TableNormal"/>
    <w:next w:val="LightShading-Accent3"/>
    <w:uiPriority w:val="60"/>
    <w:rsid w:val="00204287"/>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
    <w:name w:val="List Table 6 Colorful - Accent 62"/>
    <w:basedOn w:val="TableNormal"/>
    <w:uiPriority w:val="51"/>
    <w:rsid w:val="0020428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yperlink2">
    <w:name w:val="Hyperlink2"/>
    <w:basedOn w:val="DefaultParagraphFont"/>
    <w:uiPriority w:val="99"/>
    <w:rsid w:val="00204287"/>
    <w:rPr>
      <w:color w:val="0563C1"/>
      <w:u w:val="single"/>
    </w:rPr>
  </w:style>
  <w:style w:type="character" w:customStyle="1" w:styleId="UnresolvedMention2">
    <w:name w:val="Unresolved Mention2"/>
    <w:basedOn w:val="DefaultParagraphFont"/>
    <w:uiPriority w:val="99"/>
    <w:semiHidden/>
    <w:unhideWhenUsed/>
    <w:rsid w:val="00204287"/>
    <w:rPr>
      <w:color w:val="605E5C"/>
      <w:shd w:val="clear" w:color="auto" w:fill="E1DFDD"/>
    </w:rPr>
  </w:style>
  <w:style w:type="character" w:customStyle="1" w:styleId="UnresolvedMention3">
    <w:name w:val="Unresolved Mention3"/>
    <w:basedOn w:val="DefaultParagraphFont"/>
    <w:uiPriority w:val="99"/>
    <w:semiHidden/>
    <w:unhideWhenUsed/>
    <w:rsid w:val="00204287"/>
    <w:rPr>
      <w:color w:val="605E5C"/>
      <w:shd w:val="clear" w:color="auto" w:fill="E1DFDD"/>
    </w:rPr>
  </w:style>
  <w:style w:type="table" w:customStyle="1" w:styleId="GridTable1Light-Accent15">
    <w:name w:val="Grid Table 1 Light - Accent 15"/>
    <w:basedOn w:val="TableNormal"/>
    <w:uiPriority w:val="46"/>
    <w:rsid w:val="0020428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
    <w:name w:val="Table Grid7"/>
    <w:basedOn w:val="TableNormal"/>
    <w:next w:val="TableGrid"/>
    <w:uiPriority w:val="39"/>
    <w:rsid w:val="00B7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F01A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6572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usnoteIoI">
    <w:name w:val="Fusnote_IoI"/>
    <w:basedOn w:val="FootnoteText"/>
    <w:link w:val="FusnoteIoIChar"/>
    <w:uiPriority w:val="99"/>
    <w:rsid w:val="007C3538"/>
    <w:pPr>
      <w:keepLines/>
      <w:tabs>
        <w:tab w:val="left" w:pos="454"/>
        <w:tab w:val="left" w:pos="907"/>
        <w:tab w:val="left" w:pos="1361"/>
        <w:tab w:val="left" w:pos="1814"/>
        <w:tab w:val="right" w:pos="9072"/>
      </w:tabs>
      <w:spacing w:before="60" w:after="0"/>
      <w:ind w:firstLine="0"/>
    </w:pPr>
    <w:rPr>
      <w:rFonts w:ascii="Times New Roman" w:eastAsia="Calibri" w:hAnsi="Times New Roman" w:cs="Times New Roman"/>
      <w:bCs w:val="0"/>
      <w:noProof/>
      <w:color w:val="auto"/>
      <w:spacing w:val="-2"/>
      <w:sz w:val="14"/>
    </w:rPr>
  </w:style>
  <w:style w:type="character" w:customStyle="1" w:styleId="FusnoteIoIChar">
    <w:name w:val="Fusnote_IoI Char"/>
    <w:link w:val="FusnoteIoI"/>
    <w:uiPriority w:val="99"/>
    <w:locked/>
    <w:rsid w:val="007C3538"/>
    <w:rPr>
      <w:rFonts w:ascii="Times New Roman" w:eastAsia="Calibri" w:hAnsi="Times New Roman" w:cs="Times New Roman"/>
      <w:noProof/>
      <w:spacing w:val="-2"/>
      <w:sz w:val="14"/>
      <w:szCs w:val="20"/>
      <w:lang w:val="sr-Cyrl-CS"/>
    </w:rPr>
  </w:style>
  <w:style w:type="table" w:customStyle="1" w:styleId="LightShading-Accent3352">
    <w:name w:val="Light Shading - Accent 3352"/>
    <w:basedOn w:val="TableNormal"/>
    <w:next w:val="LightShading-Accent3"/>
    <w:uiPriority w:val="60"/>
    <w:rsid w:val="005F26DA"/>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
    <w:name w:val="Grid Table 6 Colorful - Accent 15"/>
    <w:basedOn w:val="TableNormal"/>
    <w:next w:val="GridTable6Colorful-Accent1"/>
    <w:uiPriority w:val="51"/>
    <w:rsid w:val="005F26DA"/>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5F26D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wtze">
    <w:name w:val="hwtze"/>
    <w:basedOn w:val="DefaultParagraphFont"/>
    <w:rsid w:val="00506244"/>
  </w:style>
  <w:style w:type="character" w:customStyle="1" w:styleId="rynqvb">
    <w:name w:val="rynqvb"/>
    <w:basedOn w:val="DefaultParagraphFont"/>
    <w:rsid w:val="00506244"/>
  </w:style>
  <w:style w:type="paragraph" w:customStyle="1" w:styleId="Naglasavanjepreglavteksta">
    <w:name w:val="Naglasavanje_pre_glav_teksta"/>
    <w:basedOn w:val="Normal"/>
    <w:rsid w:val="00B66407"/>
    <w:pPr>
      <w:spacing w:before="200" w:after="200"/>
    </w:pPr>
    <w:rPr>
      <w:rFonts w:ascii="Arial" w:eastAsia="Batang" w:hAnsi="Arial" w:cs="Arial"/>
      <w:b/>
      <w:i/>
      <w:color w:val="808080"/>
      <w:sz w:val="18"/>
      <w:szCs w:val="18"/>
      <w:lang w:val="sr-Cyrl-CS" w:eastAsia="x-none"/>
    </w:rPr>
  </w:style>
  <w:style w:type="paragraph" w:customStyle="1" w:styleId="NumPar1">
    <w:name w:val="NumPar 1"/>
    <w:basedOn w:val="Normal"/>
    <w:next w:val="Normal"/>
    <w:link w:val="FootnoteReference"/>
    <w:uiPriority w:val="99"/>
    <w:rsid w:val="00805B73"/>
    <w:pPr>
      <w:numPr>
        <w:numId w:val="28"/>
      </w:numPr>
      <w:spacing w:before="120"/>
    </w:pPr>
    <w:rPr>
      <w:rFonts w:asciiTheme="minorHAnsi" w:hAnsiTheme="minorHAnsi"/>
      <w:sz w:val="22"/>
      <w:vertAlign w:val="superscript"/>
    </w:rPr>
  </w:style>
  <w:style w:type="paragraph" w:customStyle="1" w:styleId="NumPar2">
    <w:name w:val="NumPar 2"/>
    <w:basedOn w:val="Normal"/>
    <w:next w:val="Normal"/>
    <w:rsid w:val="00805B73"/>
    <w:pPr>
      <w:numPr>
        <w:ilvl w:val="1"/>
        <w:numId w:val="28"/>
      </w:numPr>
      <w:spacing w:before="120"/>
    </w:pPr>
    <w:rPr>
      <w:rFonts w:ascii="Tunga" w:eastAsia="Arial Unicode MS" w:hAnsi="Tunga" w:cs="Tunga"/>
      <w:snapToGrid w:val="0"/>
      <w:sz w:val="20"/>
      <w:szCs w:val="20"/>
    </w:rPr>
  </w:style>
  <w:style w:type="paragraph" w:customStyle="1" w:styleId="NumPar3">
    <w:name w:val="NumPar 3"/>
    <w:basedOn w:val="Normal"/>
    <w:next w:val="Normal"/>
    <w:rsid w:val="00805B73"/>
    <w:pPr>
      <w:numPr>
        <w:ilvl w:val="2"/>
        <w:numId w:val="28"/>
      </w:numPr>
      <w:spacing w:before="120"/>
    </w:pPr>
    <w:rPr>
      <w:rFonts w:ascii="Tunga" w:eastAsia="Arial Unicode MS" w:hAnsi="Tunga" w:cs="Tunga"/>
      <w:snapToGrid w:val="0"/>
      <w:sz w:val="20"/>
      <w:szCs w:val="20"/>
    </w:rPr>
  </w:style>
  <w:style w:type="paragraph" w:customStyle="1" w:styleId="NumPar4">
    <w:name w:val="NumPar 4"/>
    <w:basedOn w:val="Normal"/>
    <w:next w:val="Normal"/>
    <w:rsid w:val="00805B73"/>
    <w:pPr>
      <w:numPr>
        <w:ilvl w:val="3"/>
        <w:numId w:val="28"/>
      </w:numPr>
      <w:spacing w:before="120"/>
    </w:pPr>
    <w:rPr>
      <w:rFonts w:ascii="Tunga" w:eastAsia="Arial Unicode MS" w:hAnsi="Tunga" w:cs="Tunga"/>
      <w:snapToGrid w:val="0"/>
      <w:sz w:val="20"/>
      <w:szCs w:val="20"/>
    </w:rPr>
  </w:style>
  <w:style w:type="paragraph" w:customStyle="1" w:styleId="FootnotesrefssChar">
    <w:name w:val="Footnotes refss Char"/>
    <w:aliases w:val="16 Point Char,Superscript 6 Point Char,Footnote Reference Number Char,nota pié di pagina Char,Times 10 Point Char, Exposant 3 Point Char,Footnote symbol Char,Footnote reference number Char"/>
    <w:basedOn w:val="Normal"/>
    <w:uiPriority w:val="99"/>
    <w:rsid w:val="00480BCD"/>
    <w:pPr>
      <w:spacing w:after="160" w:line="240" w:lineRule="exact"/>
      <w:jc w:val="left"/>
    </w:pPr>
    <w:rPr>
      <w:rFonts w:asciiTheme="minorHAnsi" w:hAnsiTheme="minorHAnsi"/>
      <w:sz w:val="22"/>
      <w:vertAlign w:val="superscript"/>
    </w:rPr>
  </w:style>
  <w:style w:type="table" w:customStyle="1" w:styleId="TableGrid8">
    <w:name w:val="Table Grid8"/>
    <w:basedOn w:val="TableNormal"/>
    <w:next w:val="TableGrid"/>
    <w:uiPriority w:val="39"/>
    <w:rsid w:val="000F7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6D0778"/>
  </w:style>
  <w:style w:type="numbering" w:customStyle="1" w:styleId="NoList14">
    <w:name w:val="No List14"/>
    <w:next w:val="NoList"/>
    <w:uiPriority w:val="99"/>
    <w:semiHidden/>
    <w:unhideWhenUsed/>
    <w:rsid w:val="006D0778"/>
  </w:style>
  <w:style w:type="table" w:customStyle="1" w:styleId="TableGrid9">
    <w:name w:val="Table Grid9"/>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4">
    <w:name w:val="Financial Table4"/>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3">
    <w:name w:val="Light Shading13"/>
    <w:basedOn w:val="TableNormal"/>
    <w:next w:val="LightShading"/>
    <w:uiPriority w:val="60"/>
    <w:rsid w:val="006D0778"/>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8">
    <w:name w:val="Grid Table 6 Colorful - Accent 518"/>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9">
    <w:name w:val="Light Shading - Accent 129"/>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4">
    <w:name w:val="Grid Table 6 Colorful - Accent 5114"/>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5">
    <w:name w:val="Light Shading - Accent 1215"/>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3">
    <w:name w:val="Grid Table 6 Colorful - Accent 113"/>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4">
    <w:name w:val="Light Shading - Accent 1224"/>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4">
    <w:name w:val="Grid Table 6 Colorful - Accent 524"/>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8">
    <w:name w:val="tabele 38"/>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8">
    <w:name w:val="Light Shading - Accent 1118"/>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8">
    <w:name w:val="Light Shading - Accent 38"/>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8">
    <w:name w:val="Light List - Accent 58"/>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8">
    <w:name w:val="Light Shading - Accent 318"/>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9">
    <w:name w:val="Light List - Accent 319"/>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6">
    <w:name w:val="Table Grid16"/>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8">
    <w:name w:val="Light List - Accent 518"/>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5">
    <w:name w:val="Medium List 1 - Accent 515"/>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6">
    <w:name w:val="Medium List 1 - Accent 56"/>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4">
    <w:name w:val="No List114"/>
    <w:next w:val="NoList"/>
    <w:uiPriority w:val="99"/>
    <w:semiHidden/>
    <w:unhideWhenUsed/>
    <w:rsid w:val="006D0778"/>
  </w:style>
  <w:style w:type="table" w:customStyle="1" w:styleId="LightGrid-Accent519">
    <w:name w:val="Light Grid - Accent 519"/>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80">
    <w:name w:val="Светло сенчење – наглашавање 118"/>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10">
    <w:name w:val="Light Grid - Accent 510"/>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4">
    <w:name w:val="tabele za ifs4"/>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4">
    <w:name w:val="tabele za ifs 14"/>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4">
    <w:name w:val="Colorful List - Accent 14"/>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4">
    <w:name w:val="No List24"/>
    <w:next w:val="NoList"/>
    <w:uiPriority w:val="99"/>
    <w:semiHidden/>
    <w:unhideWhenUsed/>
    <w:rsid w:val="006D0778"/>
  </w:style>
  <w:style w:type="table" w:customStyle="1" w:styleId="LightList-Accent327">
    <w:name w:val="Light List - Accent 327"/>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8">
    <w:name w:val="Light List - Accent 3118"/>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7">
    <w:name w:val="Light Shading - Accent 1327"/>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5">
    <w:name w:val="Light Shading - Accent 13115"/>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8">
    <w:name w:val="Light Shading - Accent 1328"/>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5">
    <w:name w:val="tabele 315"/>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9">
    <w:name w:val="Light Shading - Accent 1119"/>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5">
    <w:name w:val="Light Shading - Accent 325"/>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5">
    <w:name w:val="Light List - Accent 525"/>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5">
    <w:name w:val="Light Shading - Accent 3115"/>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5">
    <w:name w:val="Light List - Accent 312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5">
    <w:name w:val="Light List - Accent 5115"/>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6">
    <w:name w:val="Light Grid - Accent 5116"/>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5">
    <w:name w:val="Светло сенчење – наглашавање 1115"/>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6">
    <w:name w:val="Light Grid - Accent 526"/>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4">
    <w:name w:val="Light List - Accent 3214"/>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5">
    <w:name w:val="Light List - Accent 3111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4">
    <w:name w:val="Light Shading - Accent 133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6">
    <w:name w:val="Light Shading - Accent 13116"/>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4">
    <w:name w:val="Light Shading - Accent 1321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5">
    <w:name w:val="Light Shading - Accent 112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4">
    <w:name w:val="Light Shading - Accent 134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5">
    <w:name w:val="Light Shading - Accent 113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4">
    <w:name w:val="Light Shading - Accent 135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5">
    <w:name w:val="Light Shading - Accent 1365"/>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4">
    <w:name w:val="Light Shading - Accent 137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5">
    <w:name w:val="tabele 325"/>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5">
    <w:name w:val="Light Shading - Accent 114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0">
    <w:name w:val="Light Shading - Accent 3310"/>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4">
    <w:name w:val="Light List - Accent 534"/>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5">
    <w:name w:val="Light Shading - Accent 3125"/>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5">
    <w:name w:val="Light List - Accent 313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5">
    <w:name w:val="Light List - Accent 5125"/>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6">
    <w:name w:val="Light Grid - Accent 5126"/>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4">
    <w:name w:val="Светло сенчење – наглашавање 1124"/>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6">
    <w:name w:val="Light Grid - Accent 536"/>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4">
    <w:name w:val="Light List - Accent 3224"/>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5">
    <w:name w:val="Light List - Accent 3112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5">
    <w:name w:val="Light Shading - Accent 1385"/>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4">
    <w:name w:val="Light Shading - Accent 1312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4">
    <w:name w:val="Light Shading - Accent 1322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5">
    <w:name w:val="Light Shading - Accent 115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5">
    <w:name w:val="Light Shading - Accent 1395"/>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6">
    <w:name w:val="Light Shading - Accent 1166"/>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5">
    <w:name w:val="Light Shading - Accent 13105"/>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4">
    <w:name w:val="Light Shading - Accent 1313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5">
    <w:name w:val="tabele 335"/>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5">
    <w:name w:val="Light Shading - Accent 117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6">
    <w:name w:val="Light Shading - Accent 346"/>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4">
    <w:name w:val="Light List - Accent 544"/>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5">
    <w:name w:val="Light Shading - Accent 3135"/>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5">
    <w:name w:val="Light List - Accent 314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5">
    <w:name w:val="Light List - Accent 5135"/>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6">
    <w:name w:val="Light Grid - Accent 5136"/>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4">
    <w:name w:val="Светло сенчење – наглашавање 1134"/>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6">
    <w:name w:val="Light Grid - Accent 546"/>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4">
    <w:name w:val="Light Shading - Accent 1234"/>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4">
    <w:name w:val="Light List - Accent 3234"/>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5">
    <w:name w:val="Light List - Accent 3113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4">
    <w:name w:val="Light Shading - Accent 1314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4">
    <w:name w:val="Light Shading - Accent 1315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4">
    <w:name w:val="Light Shading - Accent 1323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4">
    <w:name w:val="Light Shading - Accent 1316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4">
    <w:name w:val="Light Shading - Accent 1381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5">
    <w:name w:val="Light Shading - Accent 118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4">
    <w:name w:val="Light Shading - Accent 1391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5">
    <w:name w:val="Light Shading - Accent 1161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4">
    <w:name w:val="Light Shading - Accent 13101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4">
    <w:name w:val="Light Shading - Accent 1361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4">
    <w:name w:val="Light Shading - Accent 119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3">
    <w:name w:val="Light Shading - Accent 143"/>
    <w:basedOn w:val="TableNormal"/>
    <w:next w:val="LightShading-Accent1"/>
    <w:uiPriority w:val="60"/>
    <w:rsid w:val="006D0778"/>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4">
    <w:name w:val="Light Shading - Accent 331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4">
    <w:name w:val="Light Shading - Accent 332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4">
    <w:name w:val="Light Shading - Accent 333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4">
    <w:name w:val="Light Shading - Accent 341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4">
    <w:name w:val="Light Shading - Accent 342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4">
    <w:name w:val="Light Grid - Accent 5144"/>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4">
    <w:name w:val="Light Grid - Accent 554"/>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4">
    <w:name w:val="Light Grid - Accent 51114"/>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4">
    <w:name w:val="Light Grid - Accent 5214"/>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4">
    <w:name w:val="Light Grid - Accent 51214"/>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4">
    <w:name w:val="Light Grid - Accent 5314"/>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4">
    <w:name w:val="Light Grid - Accent 51314"/>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4">
    <w:name w:val="Light Grid - Accent 5414"/>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4">
    <w:name w:val="Light Shading - Accent 614"/>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4">
    <w:name w:val="Grid Table 6 Colorful - Accent 414"/>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3">
    <w:name w:val="Light Shading - Accent 6113"/>
    <w:basedOn w:val="TableNormal"/>
    <w:next w:val="LightShading-Accent6"/>
    <w:uiPriority w:val="60"/>
    <w:rsid w:val="006D0778"/>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4">
    <w:name w:val="Grid Table 6 Colorful - Accent 314"/>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3">
    <w:name w:val="Grid Table 4 - Accent 513"/>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3">
    <w:name w:val="Grid Table 5 Dark - Accent 513"/>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40">
    <w:name w:val="ФС4"/>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13">
    <w:name w:val="List Table 6 Colorful - Accent 313"/>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3">
    <w:name w:val="Grid Table 1 Light - Accent 113"/>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3">
    <w:name w:val="List Table 1 Light - Accent 113"/>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3">
    <w:name w:val="List Table 2 - Accent 113"/>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3">
    <w:name w:val="List Table 2 - Accent 513"/>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3">
    <w:name w:val="Grid Table 2 - Accent 513"/>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5">
    <w:name w:val="Table Grid25"/>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4">
    <w:name w:val="Light Shading - Accent 1244"/>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3">
    <w:name w:val="Grid Table 6 Colorful - Accent 5123"/>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3">
    <w:name w:val="Grid Table 6 Colorful - Accent 5133"/>
    <w:basedOn w:val="TableNormal"/>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3">
    <w:name w:val="No List33"/>
    <w:next w:val="NoList"/>
    <w:uiPriority w:val="99"/>
    <w:semiHidden/>
    <w:unhideWhenUsed/>
    <w:rsid w:val="006D0778"/>
  </w:style>
  <w:style w:type="table" w:customStyle="1" w:styleId="TableGrid34">
    <w:name w:val="Table Grid34"/>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3">
    <w:name w:val="Financial Table13"/>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3">
    <w:name w:val="Grid Table 6 Colorful - Accent 533"/>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4">
    <w:name w:val="Light Shading - Accent 1254"/>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3">
    <w:name w:val="Grid Table 6 Colorful - Accent 5143"/>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3">
    <w:name w:val="Light Shading - Accent 12113"/>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3">
    <w:name w:val="Grid Table 6 Colorful - Accent 51113"/>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3">
    <w:name w:val="Grid Table 6 Colorful - Accent 123"/>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3">
    <w:name w:val="Light Shading - Accent 12213"/>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3">
    <w:name w:val="Grid Table 6 Colorful - Accent 5213"/>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3">
    <w:name w:val="tabele 343"/>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3">
    <w:name w:val="Light Shading - Accent 1110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4">
    <w:name w:val="Light Shading - Accent 35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3">
    <w:name w:val="Light List - Accent 553"/>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3">
    <w:name w:val="Light Shading - Accent 3143"/>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3">
    <w:name w:val="Light List - Accent 315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3">
    <w:name w:val="Table Grid113"/>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3">
    <w:name w:val="Light List - Accent 5143"/>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3">
    <w:name w:val="Medium List 1 - Accent 5113"/>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3">
    <w:name w:val="Medium List 1 - Accent 523"/>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3">
    <w:name w:val="No List1113"/>
    <w:next w:val="NoList"/>
    <w:uiPriority w:val="99"/>
    <w:semiHidden/>
    <w:unhideWhenUsed/>
    <w:rsid w:val="006D0778"/>
  </w:style>
  <w:style w:type="table" w:customStyle="1" w:styleId="LightGrid-Accent5153">
    <w:name w:val="Light Grid - Accent 515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3">
    <w:name w:val="Светло сенчење – наглашавање 1143"/>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3">
    <w:name w:val="Light Grid - Accent 56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30">
    <w:name w:val="tabele za ifs13"/>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13">
    <w:name w:val="tabele za ifs 113"/>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3">
    <w:name w:val="Colorful List - Accent 113"/>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3">
    <w:name w:val="No List213"/>
    <w:next w:val="NoList"/>
    <w:uiPriority w:val="99"/>
    <w:semiHidden/>
    <w:unhideWhenUsed/>
    <w:rsid w:val="006D0778"/>
  </w:style>
  <w:style w:type="table" w:customStyle="1" w:styleId="LightList-Accent3243">
    <w:name w:val="Light List - Accent 3243"/>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3">
    <w:name w:val="Light List - Accent 3114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3">
    <w:name w:val="Light Shading - Accent 1317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3">
    <w:name w:val="Light Shading - Accent 1318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3">
    <w:name w:val="Light Shading - Accent 1324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3">
    <w:name w:val="tabele 3113"/>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3">
    <w:name w:val="Light Shading - Accent 111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3">
    <w:name w:val="Light Shading - Accent 32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3">
    <w:name w:val="Light List - Accent 5213"/>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3">
    <w:name w:val="Light Shading - Accent 31113"/>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3">
    <w:name w:val="Light List - Accent 312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3">
    <w:name w:val="Light List - Accent 51113"/>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3">
    <w:name w:val="Light Grid - Accent 5112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3">
    <w:name w:val="Светло сенчење – наглашавање 11113"/>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3">
    <w:name w:val="Light Grid - Accent 522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3">
    <w:name w:val="Light List - Accent 32113"/>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3">
    <w:name w:val="Light List - Accent 3111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3">
    <w:name w:val="Light Shading - Accent 133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3">
    <w:name w:val="Light Shading - Accent 131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3">
    <w:name w:val="Light Shading - Accent 132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3">
    <w:name w:val="Light Shading - Accent 112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3">
    <w:name w:val="Light Shading - Accent 134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3">
    <w:name w:val="Light Shading - Accent 113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3">
    <w:name w:val="Light Shading - Accent 135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3">
    <w:name w:val="Light Shading - Accent 1362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3">
    <w:name w:val="Light Shading - Accent 137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3">
    <w:name w:val="tabele 3213"/>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3">
    <w:name w:val="Light Shading - Accent 114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3">
    <w:name w:val="Light Shading - Accent 3343"/>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3">
    <w:name w:val="Light List - Accent 5313"/>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3">
    <w:name w:val="Light Shading - Accent 31213"/>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3">
    <w:name w:val="Light List - Accent 313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3">
    <w:name w:val="Light List - Accent 51213"/>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3">
    <w:name w:val="Light Grid - Accent 5122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3">
    <w:name w:val="Светло сенчење – наглашавање 11213"/>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3">
    <w:name w:val="Light Grid - Accent 532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3">
    <w:name w:val="Light List - Accent 32213"/>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3">
    <w:name w:val="Light List - Accent 3112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3">
    <w:name w:val="Light Shading - Accent 1382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3">
    <w:name w:val="Light Shading - Accent 1312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3">
    <w:name w:val="Light Shading - Accent 1322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3">
    <w:name w:val="Light Shading - Accent 115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3">
    <w:name w:val="Light Shading - Accent 1392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3">
    <w:name w:val="Light Shading - Accent 1162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3">
    <w:name w:val="Light Shading - Accent 13102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3">
    <w:name w:val="Light Shading - Accent 1313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3">
    <w:name w:val="tabele 3313"/>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3">
    <w:name w:val="Light Shading - Accent 117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3">
    <w:name w:val="Light Shading - Accent 343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3">
    <w:name w:val="Light List - Accent 5413"/>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3">
    <w:name w:val="Light Shading - Accent 31313"/>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3">
    <w:name w:val="Light List - Accent 314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3">
    <w:name w:val="Light List - Accent 51313"/>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3">
    <w:name w:val="Light Grid - Accent 5132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3">
    <w:name w:val="Светло сенчење – наглашавање 11313"/>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3">
    <w:name w:val="Light Grid - Accent 542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3">
    <w:name w:val="Light Shading - Accent 12313"/>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3">
    <w:name w:val="Light List - Accent 32313"/>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3">
    <w:name w:val="Light List - Accent 3113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3">
    <w:name w:val="Light Shading - Accent 1314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3">
    <w:name w:val="Light Shading - Accent 1315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3">
    <w:name w:val="Light Shading - Accent 1323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3">
    <w:name w:val="Light Shading - Accent 1316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3">
    <w:name w:val="Light Shading - Accent 138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3">
    <w:name w:val="Light Shading - Accent 118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3">
    <w:name w:val="Light Shading - Accent 139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3">
    <w:name w:val="Light Shading - Accent 1161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3">
    <w:name w:val="Light Shading - Accent 1310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3">
    <w:name w:val="Light Shading - Accent 136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3">
    <w:name w:val="Light Shading - Accent 119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3">
    <w:name w:val="Light Shading - Accent 331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3">
    <w:name w:val="Light Shading - Accent 332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3">
    <w:name w:val="Light Shading - Accent 333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3">
    <w:name w:val="Light Shading - Accent 341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3">
    <w:name w:val="Light Shading - Accent 342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3">
    <w:name w:val="Light Grid - Accent 5141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3">
    <w:name w:val="Light Grid - Accent 551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3">
    <w:name w:val="Light Grid - Accent 51111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3">
    <w:name w:val="Light Grid - Accent 5211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3">
    <w:name w:val="Light Grid - Accent 51211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3">
    <w:name w:val="Light Grid - Accent 5311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3">
    <w:name w:val="Light Grid - Accent 51311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3">
    <w:name w:val="Light Grid - Accent 5411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3">
    <w:name w:val="Light Shading - Accent 623"/>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3">
    <w:name w:val="Grid Table 6 Colorful - Accent 423"/>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3">
    <w:name w:val="Grid Table 6 Colorful - Accent 323"/>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3">
    <w:name w:val="Grid Table 4 - Accent 523"/>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3">
    <w:name w:val="Grid Table 5 Dark - Accent 523"/>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30">
    <w:name w:val="ФС13"/>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23">
    <w:name w:val="List Table 6 Colorful - Accent 323"/>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3">
    <w:name w:val="Grid Table 1 Light - Accent 123"/>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3">
    <w:name w:val="List Table 1 Light - Accent 123"/>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3">
    <w:name w:val="List Table 2 - Accent 123"/>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3">
    <w:name w:val="List Table 2 - Accent 523"/>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3">
    <w:name w:val="Grid Table 2 - Accent 523"/>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3">
    <w:name w:val="Grid Table 6 Colorful - Accent 4113"/>
    <w:basedOn w:val="TableNormal"/>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3">
    <w:name w:val="Grid Table 6 Colorful - Accent 3113"/>
    <w:basedOn w:val="TableNormal"/>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3">
    <w:name w:val="Table Grid213"/>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3">
    <w:name w:val="Light Shading - Accent 12413"/>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3">
    <w:name w:val="Light Shading - Accent 12513"/>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4">
    <w:name w:val="Light Shading4"/>
    <w:basedOn w:val="TableNormal"/>
    <w:next w:val="LightShading"/>
    <w:uiPriority w:val="60"/>
    <w:unhideWhenUsed/>
    <w:rsid w:val="006D077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1">
    <w:name w:val="Grid Table 6 Colorful - Accent 541"/>
    <w:basedOn w:val="TableNormal"/>
    <w:uiPriority w:val="51"/>
    <w:rsid w:val="006D077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1">
    <w:name w:val="Grid Table 6 Colorful - Accent 131"/>
    <w:basedOn w:val="TableNormal"/>
    <w:uiPriority w:val="51"/>
    <w:rsid w:val="006D077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8">
    <w:name w:val="Light Shading - Accent 18"/>
    <w:basedOn w:val="TableNormal"/>
    <w:next w:val="LightShading-Accent1"/>
    <w:uiPriority w:val="60"/>
    <w:unhideWhenUsed/>
    <w:rsid w:val="006D077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5">
    <w:name w:val="Light Shading - Accent 65"/>
    <w:basedOn w:val="TableNormal"/>
    <w:next w:val="LightShading-Accent6"/>
    <w:uiPriority w:val="60"/>
    <w:unhideWhenUsed/>
    <w:rsid w:val="006D077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1">
    <w:name w:val="Grid Table 6 Colorful - Accent 431"/>
    <w:basedOn w:val="TableNormal"/>
    <w:uiPriority w:val="51"/>
    <w:rsid w:val="006D077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1">
    <w:name w:val="Grid Table 6 Colorful - Accent 331"/>
    <w:basedOn w:val="TableNormal"/>
    <w:uiPriority w:val="51"/>
    <w:rsid w:val="006D077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1">
    <w:name w:val="Grid Table 4 - Accent 531"/>
    <w:basedOn w:val="TableNormal"/>
    <w:uiPriority w:val="49"/>
    <w:rsid w:val="006D077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1">
    <w:name w:val="Grid Table 5 Dark - Accent 531"/>
    <w:basedOn w:val="TableNormal"/>
    <w:uiPriority w:val="50"/>
    <w:rsid w:val="006D0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1">
    <w:name w:val="List Table 6 Colorful - Accent 331"/>
    <w:basedOn w:val="TableNormal"/>
    <w:uiPriority w:val="51"/>
    <w:rsid w:val="006D077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1">
    <w:name w:val="Grid Table 1 Light - Accent 131"/>
    <w:basedOn w:val="TableNormal"/>
    <w:uiPriority w:val="46"/>
    <w:rsid w:val="006D077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1">
    <w:name w:val="List Table 1 Light - Accent 131"/>
    <w:basedOn w:val="TableNormal"/>
    <w:uiPriority w:val="46"/>
    <w:rsid w:val="006D0778"/>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1">
    <w:name w:val="List Table 2 - Accent 131"/>
    <w:basedOn w:val="TableNormal"/>
    <w:uiPriority w:val="47"/>
    <w:rsid w:val="006D0778"/>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1">
    <w:name w:val="List Table 2 - Accent 531"/>
    <w:basedOn w:val="TableNormal"/>
    <w:uiPriority w:val="47"/>
    <w:rsid w:val="006D0778"/>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1">
    <w:name w:val="Grid Table 2 - Accent 531"/>
    <w:basedOn w:val="TableNormal"/>
    <w:uiPriority w:val="47"/>
    <w:rsid w:val="006D077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22">
    <w:name w:val="Table Grid222"/>
    <w:basedOn w:val="TableNormal"/>
    <w:next w:val="TableGrid"/>
    <w:uiPriority w:val="39"/>
    <w:rsid w:val="006D0778"/>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numbering" w:customStyle="1" w:styleId="NoList41">
    <w:name w:val="No List41"/>
    <w:next w:val="NoList"/>
    <w:uiPriority w:val="99"/>
    <w:semiHidden/>
    <w:unhideWhenUsed/>
    <w:rsid w:val="006D0778"/>
  </w:style>
  <w:style w:type="numbering" w:customStyle="1" w:styleId="NoList121">
    <w:name w:val="No List121"/>
    <w:next w:val="NoList"/>
    <w:uiPriority w:val="99"/>
    <w:semiHidden/>
    <w:unhideWhenUsed/>
    <w:rsid w:val="006D0778"/>
  </w:style>
  <w:style w:type="table" w:customStyle="1" w:styleId="TableGrid42">
    <w:name w:val="Table Grid42"/>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1">
    <w:name w:val="Financial Table21"/>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1">
    <w:name w:val="Light Shading111"/>
    <w:basedOn w:val="TableNormal"/>
    <w:next w:val="LightShading"/>
    <w:uiPriority w:val="60"/>
    <w:rsid w:val="006D0778"/>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1">
    <w:name w:val="Grid Table 6 Colorful - Accent 5151"/>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1">
    <w:name w:val="Light Shading - Accent 126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1">
    <w:name w:val="Grid Table 6 Colorful - Accent 5112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1">
    <w:name w:val="Light Shading - Accent 1212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1">
    <w:name w:val="Grid Table 6 Colorful - Accent 1111"/>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1">
    <w:name w:val="Light Shading - Accent 1222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1">
    <w:name w:val="Grid Table 6 Colorful - Accent 522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1">
    <w:name w:val="tabele 35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1">
    <w:name w:val="Light Shading - Accent 11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1">
    <w:name w:val="Light Shading - Accent 36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1">
    <w:name w:val="Light List - Accent 56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1">
    <w:name w:val="Light Shading - Accent 315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1">
    <w:name w:val="Light List - Accent 316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1">
    <w:name w:val="Table Grid121"/>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1">
    <w:name w:val="Light List - Accent 515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1">
    <w:name w:val="Medium List 1 - Accent 5121"/>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1">
    <w:name w:val="Medium List 1 - Accent 531"/>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1">
    <w:name w:val="No List1121"/>
    <w:next w:val="NoList"/>
    <w:uiPriority w:val="99"/>
    <w:semiHidden/>
    <w:unhideWhenUsed/>
    <w:rsid w:val="006D0778"/>
  </w:style>
  <w:style w:type="table" w:customStyle="1" w:styleId="LightGrid-Accent5161">
    <w:name w:val="Light Grid - Accent 516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1">
    <w:name w:val="Светло сенчење – наглашавање 115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1">
    <w:name w:val="Light Grid - Accent 57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1">
    <w:name w:val="tabele za ifs21"/>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21">
    <w:name w:val="tabele za ifs 121"/>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1">
    <w:name w:val="Colorful List - Accent 121"/>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1">
    <w:name w:val="No List221"/>
    <w:next w:val="NoList"/>
    <w:uiPriority w:val="99"/>
    <w:semiHidden/>
    <w:unhideWhenUsed/>
    <w:rsid w:val="006D0778"/>
  </w:style>
  <w:style w:type="table" w:customStyle="1" w:styleId="LightList-Accent3251">
    <w:name w:val="Light List - Accent 325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1">
    <w:name w:val="Light List - Accent 3115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1">
    <w:name w:val="Light Shading - Accent 1319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1">
    <w:name w:val="Light Shading - Accent 13110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1">
    <w:name w:val="Light Shading - Accent 1325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1">
    <w:name w:val="tabele 31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1">
    <w:name w:val="Light Shading - Accent 111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1">
    <w:name w:val="Light Shading - Accent 32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1">
    <w:name w:val="Light List - Accent 52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1">
    <w:name w:val="Light Shading - Accent 311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1">
    <w:name w:val="Light List - Accent 312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1">
    <w:name w:val="Light List - Accent 511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1">
    <w:name w:val="Light Grid - Accent 511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1">
    <w:name w:val="Светло сенчење – наглашавање 111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1">
    <w:name w:val="Light Grid - Accent 52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1">
    <w:name w:val="Light List - Accent 321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1">
    <w:name w:val="Light List - Accent 311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1">
    <w:name w:val="Light Shading - Accent 133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1">
    <w:name w:val="Light Shading - Accent 13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1">
    <w:name w:val="Light Shading - Accent 132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1">
    <w:name w:val="Light Shading - Accent 112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1">
    <w:name w:val="Light Shading - Accent 134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1">
    <w:name w:val="Light Shading - Accent 113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1">
    <w:name w:val="Light Shading - Accent 135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1">
    <w:name w:val="Light Shading - Accent 136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1">
    <w:name w:val="Light Shading - Accent 137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1">
    <w:name w:val="tabele 32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1">
    <w:name w:val="Light Shading - Accent 114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3">
    <w:name w:val="Light Shading - Accent 3353"/>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1">
    <w:name w:val="Light List - Accent 53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1">
    <w:name w:val="Light Shading - Accent 312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1">
    <w:name w:val="Light List - Accent 313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1">
    <w:name w:val="Light List - Accent 512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1">
    <w:name w:val="Light Grid - Accent 512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1">
    <w:name w:val="Светло сенчење – наглашавање 112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1">
    <w:name w:val="Light Grid - Accent 53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1">
    <w:name w:val="Light List - Accent 322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1">
    <w:name w:val="Light List - Accent 3112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1">
    <w:name w:val="Light Shading - Accent 138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1">
    <w:name w:val="Light Shading - Accent 131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1">
    <w:name w:val="Light Shading - Accent 132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1">
    <w:name w:val="Light Shading - Accent 115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1">
    <w:name w:val="Light Shading - Accent 139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1">
    <w:name w:val="Light Shading - Accent 116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1">
    <w:name w:val="Light Shading - Accent 1310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1">
    <w:name w:val="Light Shading - Accent 1313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1">
    <w:name w:val="tabele 33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1">
    <w:name w:val="Light Shading - Accent 117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1">
    <w:name w:val="Light Shading - Accent 344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1">
    <w:name w:val="Light List - Accent 54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1">
    <w:name w:val="Light Shading - Accent 313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1">
    <w:name w:val="Light List - Accent 314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1">
    <w:name w:val="Light List - Accent 513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1">
    <w:name w:val="Light Grid - Accent 513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1">
    <w:name w:val="Светло сенчење – наглашавање 113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1">
    <w:name w:val="Light Grid - Accent 54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1">
    <w:name w:val="Light Shading - Accent 1232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1">
    <w:name w:val="Light List - Accent 323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1">
    <w:name w:val="Light List - Accent 3113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1">
    <w:name w:val="Light Shading - Accent 1314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1">
    <w:name w:val="Light Shading - Accent 1315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1">
    <w:name w:val="Light Shading - Accent 1323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1">
    <w:name w:val="Light Shading - Accent 1316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1">
    <w:name w:val="Light Shading - Accent 138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1">
    <w:name w:val="Light Shading - Accent 118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1">
    <w:name w:val="Light Shading - Accent 139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1">
    <w:name w:val="Light Shading - Accent 116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1">
    <w:name w:val="Light Shading - Accent 1310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1">
    <w:name w:val="Light Shading - Accent 136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1">
    <w:name w:val="Light Shading - Accent 119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1">
    <w:name w:val="Light Shading - Accent 1411"/>
    <w:basedOn w:val="TableNormal"/>
    <w:next w:val="LightShading-Accent1"/>
    <w:uiPriority w:val="60"/>
    <w:rsid w:val="006D0778"/>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1">
    <w:name w:val="Light Shading - Accent 33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1">
    <w:name w:val="Light Shading - Accent 332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1">
    <w:name w:val="Light Shading - Accent 333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1">
    <w:name w:val="Light Shading - Accent 34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1">
    <w:name w:val="Light Shading - Accent 342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1">
    <w:name w:val="Light Grid - Accent 514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1">
    <w:name w:val="Light Grid - Accent 55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1">
    <w:name w:val="Light Grid - Accent 511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1">
    <w:name w:val="Light Grid - Accent 52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1">
    <w:name w:val="Light Grid - Accent 512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1">
    <w:name w:val="Light Grid - Accent 53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1">
    <w:name w:val="Light Grid - Accent 513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1">
    <w:name w:val="Light Grid - Accent 54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1">
    <w:name w:val="Light Shading - Accent 6121"/>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1">
    <w:name w:val="Grid Table 6 Colorful - Accent 4121"/>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1">
    <w:name w:val="Light Shading - Accent 61111"/>
    <w:basedOn w:val="TableNormal"/>
    <w:next w:val="LightShading-Accent6"/>
    <w:uiPriority w:val="60"/>
    <w:rsid w:val="006D0778"/>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1">
    <w:name w:val="Grid Table 6 Colorful - Accent 3121"/>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1">
    <w:name w:val="Grid Table 4 - Accent 5111"/>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1">
    <w:name w:val="Grid Table 5 Dark - Accent 5111"/>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10">
    <w:name w:val="ФС21"/>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111">
    <w:name w:val="List Table 6 Colorful - Accent 3111"/>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1">
    <w:name w:val="Grid Table 1 Light - Accent 1111"/>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1">
    <w:name w:val="List Table 1 Light - Accent 1111"/>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1">
    <w:name w:val="List Table 2 - Accent 1111"/>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1">
    <w:name w:val="List Table 2 - Accent 5111"/>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1">
    <w:name w:val="Grid Table 2 - Accent 5111"/>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1">
    <w:name w:val="Table Grid221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1">
    <w:name w:val="Light Shading - Accent 1242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1">
    <w:name w:val="Grid Table 6 Colorful - Accent 5121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1">
    <w:name w:val="Grid Table 6 Colorful - Accent 51311"/>
    <w:basedOn w:val="TableNormal"/>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1">
    <w:name w:val="No List311"/>
    <w:next w:val="NoList"/>
    <w:uiPriority w:val="99"/>
    <w:semiHidden/>
    <w:unhideWhenUsed/>
    <w:rsid w:val="006D0778"/>
  </w:style>
  <w:style w:type="table" w:customStyle="1" w:styleId="TableGrid312">
    <w:name w:val="Table Grid312"/>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1">
    <w:name w:val="Financial Table111"/>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1">
    <w:name w:val="Grid Table 6 Colorful - Accent 5311"/>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1">
    <w:name w:val="Light Shading - Accent 1252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1">
    <w:name w:val="Grid Table 6 Colorful - Accent 5141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1">
    <w:name w:val="Light Shading - Accent 12111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1">
    <w:name w:val="Grid Table 6 Colorful - Accent 51111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1">
    <w:name w:val="Grid Table 6 Colorful - Accent 1211"/>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1">
    <w:name w:val="Light Shading - Accent 12211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1">
    <w:name w:val="Grid Table 6 Colorful - Accent 5211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1">
    <w:name w:val="tabele 341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1">
    <w:name w:val="Light Shading - Accent 1110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1">
    <w:name w:val="Light Shading - Accent 35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1">
    <w:name w:val="Light List - Accent 551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1">
    <w:name w:val="Light Shading - Accent 3141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1">
    <w:name w:val="Light List - Accent 315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1">
    <w:name w:val="Table Grid1111"/>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1">
    <w:name w:val="Light List - Accent 5141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1">
    <w:name w:val="Medium List 1 - Accent 51111"/>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1">
    <w:name w:val="Medium List 1 - Accent 5211"/>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1">
    <w:name w:val="No List11111"/>
    <w:next w:val="NoList"/>
    <w:uiPriority w:val="99"/>
    <w:semiHidden/>
    <w:unhideWhenUsed/>
    <w:rsid w:val="006D0778"/>
  </w:style>
  <w:style w:type="table" w:customStyle="1" w:styleId="LightGrid-Accent51511">
    <w:name w:val="Light Grid - Accent 515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1">
    <w:name w:val="Светло сенчење – наглашавање 1141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1">
    <w:name w:val="Light Grid - Accent 56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10">
    <w:name w:val="tabele za ifs111"/>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111">
    <w:name w:val="tabele za ifs 1111"/>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1">
    <w:name w:val="Colorful List - Accent 1111"/>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1">
    <w:name w:val="No List2111"/>
    <w:next w:val="NoList"/>
    <w:uiPriority w:val="99"/>
    <w:semiHidden/>
    <w:unhideWhenUsed/>
    <w:rsid w:val="006D0778"/>
  </w:style>
  <w:style w:type="table" w:customStyle="1" w:styleId="LightList-Accent32411">
    <w:name w:val="Light List - Accent 3241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1">
    <w:name w:val="Light List - Accent 3114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1">
    <w:name w:val="Light Shading - Accent 1317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1">
    <w:name w:val="Light Shading - Accent 1318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1">
    <w:name w:val="Light Shading - Accent 1324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1">
    <w:name w:val="tabele 3111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1">
    <w:name w:val="Light Shading - Accent 111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1">
    <w:name w:val="Light Shading - Accent 32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1">
    <w:name w:val="Light List - Accent 5211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1">
    <w:name w:val="Light Shading - Accent 31111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1">
    <w:name w:val="Light List - Accent 312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1">
    <w:name w:val="Light List - Accent 51111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1">
    <w:name w:val="Light Grid - Accent 5112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1">
    <w:name w:val="Светло сенчење – наглашавање 11111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1">
    <w:name w:val="Light Grid - Accent 522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1">
    <w:name w:val="Light List - Accent 32111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1">
    <w:name w:val="Light List - Accent 3111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1">
    <w:name w:val="Light Shading - Accent 133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1">
    <w:name w:val="Light Shading - Accent 131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1">
    <w:name w:val="Light Shading - Accent 132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1">
    <w:name w:val="Light Shading - Accent 112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1">
    <w:name w:val="Light Shading - Accent 134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1">
    <w:name w:val="Light Shading - Accent 113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1">
    <w:name w:val="Light Shading - Accent 135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1">
    <w:name w:val="Light Shading - Accent 1362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1">
    <w:name w:val="Light Shading - Accent 137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1">
    <w:name w:val="tabele 3211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1">
    <w:name w:val="Light Shading - Accent 114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1">
    <w:name w:val="Light Shading - Accent 3341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1">
    <w:name w:val="Light List - Accent 5311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1">
    <w:name w:val="Light Shading - Accent 31211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1">
    <w:name w:val="Light List - Accent 313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1">
    <w:name w:val="Light List - Accent 51211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1">
    <w:name w:val="Light Grid - Accent 5122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1">
    <w:name w:val="Светло сенчење – наглашавање 11211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1">
    <w:name w:val="Light Grid - Accent 532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1">
    <w:name w:val="Light List - Accent 32211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1">
    <w:name w:val="Light List - Accent 3112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1">
    <w:name w:val="Light Shading - Accent 1382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1">
    <w:name w:val="Light Shading - Accent 1312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1">
    <w:name w:val="Light Shading - Accent 1322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1">
    <w:name w:val="Light Shading - Accent 115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1">
    <w:name w:val="Light Shading - Accent 1392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1">
    <w:name w:val="Light Shading - Accent 1162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1">
    <w:name w:val="Light Shading - Accent 13102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1">
    <w:name w:val="Light Shading - Accent 1313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1">
    <w:name w:val="tabele 3311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1">
    <w:name w:val="Light Shading - Accent 117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1">
    <w:name w:val="Light Shading - Accent 343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1">
    <w:name w:val="Light List - Accent 5411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1">
    <w:name w:val="Light Shading - Accent 31311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1">
    <w:name w:val="Light List - Accent 314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1">
    <w:name w:val="Light List - Accent 51311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1">
    <w:name w:val="Light Grid - Accent 5132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1">
    <w:name w:val="Светло сенчење – наглашавање 11311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1">
    <w:name w:val="Light Grid - Accent 542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1">
    <w:name w:val="Light Shading - Accent 12311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1">
    <w:name w:val="Light List - Accent 32311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1">
    <w:name w:val="Light List - Accent 3113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1">
    <w:name w:val="Light Shading - Accent 1314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1">
    <w:name w:val="Light Shading - Accent 1315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1">
    <w:name w:val="Light Shading - Accent 1323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1">
    <w:name w:val="Light Shading - Accent 1316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1">
    <w:name w:val="Light Shading - Accent 138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1">
    <w:name w:val="Light Shading - Accent 118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1">
    <w:name w:val="Light Shading - Accent 139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1">
    <w:name w:val="Light Shading - Accent 1161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1">
    <w:name w:val="Light Shading - Accent 1310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1">
    <w:name w:val="Light Shading - Accent 136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1">
    <w:name w:val="Light Shading - Accent 119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1">
    <w:name w:val="Light Shading - Accent 331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1">
    <w:name w:val="Light Shading - Accent 332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1">
    <w:name w:val="Light Shading - Accent 333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1">
    <w:name w:val="Light Shading - Accent 341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1">
    <w:name w:val="Light Shading - Accent 342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1">
    <w:name w:val="Light Grid - Accent 5141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1">
    <w:name w:val="Light Grid - Accent 551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1">
    <w:name w:val="Light Grid - Accent 51111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1">
    <w:name w:val="Light Grid - Accent 5211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1">
    <w:name w:val="Light Grid - Accent 51211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1">
    <w:name w:val="Light Grid - Accent 5311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1">
    <w:name w:val="Light Grid - Accent 51311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1">
    <w:name w:val="Light Grid - Accent 5411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1">
    <w:name w:val="Light Shading - Accent 6211"/>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1">
    <w:name w:val="Grid Table 6 Colorful - Accent 4211"/>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1">
    <w:name w:val="Grid Table 6 Colorful - Accent 3211"/>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1">
    <w:name w:val="Grid Table 4 - Accent 5211"/>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1">
    <w:name w:val="Grid Table 5 Dark - Accent 5211"/>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10">
    <w:name w:val="ФС111"/>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211">
    <w:name w:val="List Table 6 Colorful - Accent 3211"/>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1">
    <w:name w:val="Grid Table 1 Light - Accent 1211"/>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1">
    <w:name w:val="List Table 1 Light - Accent 1211"/>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1">
    <w:name w:val="List Table 2 - Accent 1211"/>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1">
    <w:name w:val="List Table 2 - Accent 5211"/>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1">
    <w:name w:val="Grid Table 2 - Accent 5211"/>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1">
    <w:name w:val="Grid Table 6 Colorful - Accent 41111"/>
    <w:basedOn w:val="TableNormal"/>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1">
    <w:name w:val="Grid Table 6 Colorful - Accent 31111"/>
    <w:basedOn w:val="TableNormal"/>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1">
    <w:name w:val="Table Grid211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1">
    <w:name w:val="Light Shading - Accent 12411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1">
    <w:name w:val="Light Shading - Accent 12511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1">
    <w:name w:val="Light Shading21"/>
    <w:basedOn w:val="TableNormal"/>
    <w:next w:val="LightShading"/>
    <w:uiPriority w:val="60"/>
    <w:semiHidden/>
    <w:unhideWhenUsed/>
    <w:rsid w:val="006D077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1">
    <w:name w:val="Light Shading - Accent 151"/>
    <w:basedOn w:val="TableNormal"/>
    <w:next w:val="LightShading-Accent1"/>
    <w:uiPriority w:val="60"/>
    <w:semiHidden/>
    <w:unhideWhenUsed/>
    <w:rsid w:val="006D077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1">
    <w:name w:val="Light Shading - Accent 631"/>
    <w:basedOn w:val="TableNormal"/>
    <w:next w:val="LightShading-Accent6"/>
    <w:uiPriority w:val="60"/>
    <w:semiHidden/>
    <w:unhideWhenUsed/>
    <w:rsid w:val="006D077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stTable1Light-Accent611">
    <w:name w:val="List Table 1 Light - Accent 611"/>
    <w:basedOn w:val="TableNormal"/>
    <w:uiPriority w:val="46"/>
    <w:rsid w:val="006D077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1">
    <w:name w:val="No List51"/>
    <w:next w:val="NoList"/>
    <w:uiPriority w:val="99"/>
    <w:semiHidden/>
    <w:unhideWhenUsed/>
    <w:rsid w:val="006D0778"/>
  </w:style>
  <w:style w:type="numbering" w:customStyle="1" w:styleId="NoList131">
    <w:name w:val="No List131"/>
    <w:next w:val="NoList"/>
    <w:uiPriority w:val="99"/>
    <w:semiHidden/>
    <w:unhideWhenUsed/>
    <w:rsid w:val="006D0778"/>
  </w:style>
  <w:style w:type="table" w:customStyle="1" w:styleId="TableGrid51">
    <w:name w:val="Table Grid5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1">
    <w:name w:val="Financial Table31"/>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1">
    <w:name w:val="Light Shading121"/>
    <w:basedOn w:val="TableNormal"/>
    <w:next w:val="LightShading"/>
    <w:uiPriority w:val="60"/>
    <w:rsid w:val="006D0778"/>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1">
    <w:name w:val="Grid Table 6 Colorful - Accent 5161"/>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1">
    <w:name w:val="Light Shading - Accent 127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1">
    <w:name w:val="Grid Table 6 Colorful - Accent 5113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1">
    <w:name w:val="Light Shading - Accent 1213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1">
    <w:name w:val="Grid Table 6 Colorful - Accent 1121"/>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1">
    <w:name w:val="Light Shading - Accent 1223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1">
    <w:name w:val="Grid Table 6 Colorful - Accent 523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1">
    <w:name w:val="tabele 36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1">
    <w:name w:val="Light Shading - Accent 1114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1">
    <w:name w:val="Light Shading - Accent 37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1">
    <w:name w:val="Light List - Accent 57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1">
    <w:name w:val="Light Shading - Accent 316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1">
    <w:name w:val="Light List - Accent 317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1">
    <w:name w:val="Table Grid131"/>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1">
    <w:name w:val="Light List - Accent 516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1">
    <w:name w:val="Medium List 1 - Accent 5131"/>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1">
    <w:name w:val="Medium List 1 - Accent 541"/>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1">
    <w:name w:val="No List1131"/>
    <w:next w:val="NoList"/>
    <w:uiPriority w:val="99"/>
    <w:semiHidden/>
    <w:unhideWhenUsed/>
    <w:rsid w:val="006D0778"/>
  </w:style>
  <w:style w:type="table" w:customStyle="1" w:styleId="LightGrid-Accent5171">
    <w:name w:val="Light Grid - Accent 517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1">
    <w:name w:val="Светло сенчење – наглашавање 116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1">
    <w:name w:val="Light Grid - Accent 58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1">
    <w:name w:val="tabele za ifs31"/>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31">
    <w:name w:val="tabele za ifs 131"/>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1">
    <w:name w:val="Colorful List - Accent 131"/>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1">
    <w:name w:val="No List231"/>
    <w:next w:val="NoList"/>
    <w:uiPriority w:val="99"/>
    <w:semiHidden/>
    <w:unhideWhenUsed/>
    <w:rsid w:val="006D0778"/>
  </w:style>
  <w:style w:type="table" w:customStyle="1" w:styleId="LightList-Accent3261">
    <w:name w:val="Light List - Accent 326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1">
    <w:name w:val="Light List - Accent 3116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1">
    <w:name w:val="Light Shading - Accent 1320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1">
    <w:name w:val="Light Shading - Accent 131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1">
    <w:name w:val="Light Shading - Accent 1326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1">
    <w:name w:val="tabele 313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1">
    <w:name w:val="Light Shading - Accent 1115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1">
    <w:name w:val="Light Shading - Accent 32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1">
    <w:name w:val="Light List - Accent 523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1">
    <w:name w:val="Light Shading - Accent 3113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1">
    <w:name w:val="Light List - Accent 312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1">
    <w:name w:val="Light List - Accent 5113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1">
    <w:name w:val="Light Grid - Accent 5114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1">
    <w:name w:val="Светло сенчење – наглашавање 1113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1">
    <w:name w:val="Light Grid - Accent 524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1">
    <w:name w:val="Light List - Accent 3213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1">
    <w:name w:val="Light List - Accent 3111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1">
    <w:name w:val="Light Shading - Accent 133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1">
    <w:name w:val="Light Shading - Accent 13114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1">
    <w:name w:val="Light Shading - Accent 132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1">
    <w:name w:val="Light Shading - Accent 112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1">
    <w:name w:val="Light Shading - Accent 134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1">
    <w:name w:val="Light Shading - Accent 113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1">
    <w:name w:val="Light Shading - Accent 135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1">
    <w:name w:val="Light Shading - Accent 1364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1">
    <w:name w:val="Light Shading - Accent 137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1">
    <w:name w:val="tabele 323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1">
    <w:name w:val="Light Shading - Accent 114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1">
    <w:name w:val="Light Shading - Accent 336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1">
    <w:name w:val="Light List - Accent 533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1">
    <w:name w:val="Light Shading - Accent 3123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1">
    <w:name w:val="Light List - Accent 313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1">
    <w:name w:val="Light List - Accent 5123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1">
    <w:name w:val="Light Grid - Accent 5124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1">
    <w:name w:val="Светло сенчење – наглашавање 1123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1">
    <w:name w:val="Light Grid - Accent 534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1">
    <w:name w:val="Light List - Accent 3223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1">
    <w:name w:val="Light List - Accent 3112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1">
    <w:name w:val="Light Shading - Accent 1384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1">
    <w:name w:val="Light Shading - Accent 1312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1">
    <w:name w:val="Light Shading - Accent 1322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1">
    <w:name w:val="Light Shading - Accent 115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1">
    <w:name w:val="Light Shading - Accent 1394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1">
    <w:name w:val="Light Shading - Accent 1164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1">
    <w:name w:val="Light Shading - Accent 13104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1">
    <w:name w:val="Light Shading - Accent 1313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1">
    <w:name w:val="tabele 333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1">
    <w:name w:val="Light Shading - Accent 117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1">
    <w:name w:val="Light Shading - Accent 345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1">
    <w:name w:val="Light List - Accent 543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1">
    <w:name w:val="Light Shading - Accent 3133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1">
    <w:name w:val="Light List - Accent 314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1">
    <w:name w:val="Light List - Accent 5133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1">
    <w:name w:val="Light Grid - Accent 5134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1">
    <w:name w:val="Светло сенчење – наглашавање 1133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1">
    <w:name w:val="Light Grid - Accent 544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1">
    <w:name w:val="Light Shading - Accent 1233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1">
    <w:name w:val="Light List - Accent 3233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1">
    <w:name w:val="Light List - Accent 3113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1">
    <w:name w:val="Light Shading - Accent 1314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1">
    <w:name w:val="Light Shading - Accent 1315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1">
    <w:name w:val="Light Shading - Accent 1323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1">
    <w:name w:val="Light Shading - Accent 1316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1">
    <w:name w:val="Light Shading - Accent 138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1">
    <w:name w:val="Light Shading - Accent 118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1">
    <w:name w:val="Light Shading - Accent 139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1">
    <w:name w:val="Light Shading - Accent 1161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1">
    <w:name w:val="Light Shading - Accent 1310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1">
    <w:name w:val="Light Shading - Accent 136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1">
    <w:name w:val="Light Shading - Accent 119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1">
    <w:name w:val="Light Shading - Accent 1421"/>
    <w:basedOn w:val="TableNormal"/>
    <w:next w:val="LightShading-Accent1"/>
    <w:uiPriority w:val="60"/>
    <w:rsid w:val="006D0778"/>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1">
    <w:name w:val="Light Shading - Accent 331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1">
    <w:name w:val="Light Shading - Accent 332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1">
    <w:name w:val="Light Shading - Accent 333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1">
    <w:name w:val="Light Shading - Accent 341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1">
    <w:name w:val="Light Shading - Accent 342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1">
    <w:name w:val="Light Grid - Accent 514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1">
    <w:name w:val="Light Grid - Accent 55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1">
    <w:name w:val="Light Grid - Accent 5111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1">
    <w:name w:val="Light Grid - Accent 521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1">
    <w:name w:val="Light Grid - Accent 5121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1">
    <w:name w:val="Light Grid - Accent 531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1">
    <w:name w:val="Light Grid - Accent 5131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1">
    <w:name w:val="Light Grid - Accent 541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1">
    <w:name w:val="Light Shading - Accent 6131"/>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1">
    <w:name w:val="Grid Table 6 Colorful - Accent 4131"/>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1">
    <w:name w:val="Light Shading - Accent 61121"/>
    <w:basedOn w:val="TableNormal"/>
    <w:next w:val="LightShading-Accent6"/>
    <w:uiPriority w:val="60"/>
    <w:rsid w:val="006D0778"/>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1">
    <w:name w:val="Grid Table 6 Colorful - Accent 3131"/>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1">
    <w:name w:val="Grid Table 4 - Accent 5121"/>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1">
    <w:name w:val="Grid Table 5 Dark - Accent 5121"/>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1">
    <w:name w:val="ФС31"/>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121">
    <w:name w:val="List Table 6 Colorful - Accent 3121"/>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1">
    <w:name w:val="Grid Table 1 Light - Accent 1121"/>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1">
    <w:name w:val="List Table 1 Light - Accent 1121"/>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1">
    <w:name w:val="List Table 2 - Accent 1121"/>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1">
    <w:name w:val="List Table 2 - Accent 5121"/>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1">
    <w:name w:val="Grid Table 2 - Accent 5121"/>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1">
    <w:name w:val="Table Grid23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1">
    <w:name w:val="Light Shading - Accent 1243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1">
    <w:name w:val="Grid Table 6 Colorful - Accent 5122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1">
    <w:name w:val="Grid Table 6 Colorful - Accent 51321"/>
    <w:basedOn w:val="TableNormal"/>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1">
    <w:name w:val="No List321"/>
    <w:next w:val="NoList"/>
    <w:uiPriority w:val="99"/>
    <w:semiHidden/>
    <w:unhideWhenUsed/>
    <w:rsid w:val="006D0778"/>
  </w:style>
  <w:style w:type="table" w:customStyle="1" w:styleId="TableGrid321">
    <w:name w:val="Table Grid32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1">
    <w:name w:val="Financial Table121"/>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1">
    <w:name w:val="Grid Table 6 Colorful - Accent 5321"/>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1">
    <w:name w:val="Light Shading - Accent 1253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1">
    <w:name w:val="Grid Table 6 Colorful - Accent 5142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1">
    <w:name w:val="Light Shading - Accent 12112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1">
    <w:name w:val="Grid Table 6 Colorful - Accent 51112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1">
    <w:name w:val="Grid Table 6 Colorful - Accent 1221"/>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1">
    <w:name w:val="Light Shading - Accent 12212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1">
    <w:name w:val="Grid Table 6 Colorful - Accent 5212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1">
    <w:name w:val="tabele 34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1">
    <w:name w:val="Light Shading - Accent 1110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1">
    <w:name w:val="Light Shading - Accent 35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1">
    <w:name w:val="Light List - Accent 55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1">
    <w:name w:val="Light Shading - Accent 314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1">
    <w:name w:val="Light List - Accent 315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1">
    <w:name w:val="Table Grid1121"/>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1">
    <w:name w:val="Light List - Accent 514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1">
    <w:name w:val="Medium List 1 - Accent 51121"/>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1">
    <w:name w:val="Medium List 1 - Accent 5221"/>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1">
    <w:name w:val="No List11121"/>
    <w:next w:val="NoList"/>
    <w:uiPriority w:val="99"/>
    <w:semiHidden/>
    <w:unhideWhenUsed/>
    <w:rsid w:val="006D0778"/>
  </w:style>
  <w:style w:type="table" w:customStyle="1" w:styleId="LightGrid-Accent51521">
    <w:name w:val="Light Grid - Accent 515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1">
    <w:name w:val="Светло сенчење – наглашавање 114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1">
    <w:name w:val="Light Grid - Accent 56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10">
    <w:name w:val="tabele za ifs121"/>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121">
    <w:name w:val="tabele za ifs 1121"/>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1">
    <w:name w:val="Colorful List - Accent 1121"/>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1">
    <w:name w:val="No List2121"/>
    <w:next w:val="NoList"/>
    <w:uiPriority w:val="99"/>
    <w:semiHidden/>
    <w:unhideWhenUsed/>
    <w:rsid w:val="006D0778"/>
  </w:style>
  <w:style w:type="table" w:customStyle="1" w:styleId="LightList-Accent32421">
    <w:name w:val="Light List - Accent 324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1">
    <w:name w:val="Light List - Accent 3114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1">
    <w:name w:val="Light Shading - Accent 1317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1">
    <w:name w:val="Light Shading - Accent 1318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1">
    <w:name w:val="Light Shading - Accent 1324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1">
    <w:name w:val="tabele 311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1">
    <w:name w:val="Light Shading - Accent 111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1">
    <w:name w:val="Light Shading - Accent 32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1">
    <w:name w:val="Light List - Accent 521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1">
    <w:name w:val="Light Shading - Accent 3111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1">
    <w:name w:val="Light List - Accent 312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1">
    <w:name w:val="Light List - Accent 5111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1">
    <w:name w:val="Light Grid - Accent 5112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1">
    <w:name w:val="Светло сенчење – наглашавање 1111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1">
    <w:name w:val="Light Grid - Accent 522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1">
    <w:name w:val="Light List - Accent 3211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1">
    <w:name w:val="Light List - Accent 3111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1">
    <w:name w:val="Light Shading - Accent 133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1">
    <w:name w:val="Light Shading - Accent 131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1">
    <w:name w:val="Light Shading - Accent 132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1">
    <w:name w:val="Light Shading - Accent 112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1">
    <w:name w:val="Light Shading - Accent 134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1">
    <w:name w:val="Light Shading - Accent 113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1">
    <w:name w:val="Light Shading - Accent 135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1">
    <w:name w:val="Light Shading - Accent 136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1">
    <w:name w:val="Light Shading - Accent 137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1">
    <w:name w:val="tabele 321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1">
    <w:name w:val="Light Shading - Accent 114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1">
    <w:name w:val="Light Shading - Accent 3342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1">
    <w:name w:val="Light List - Accent 531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1">
    <w:name w:val="Light Shading - Accent 3121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1">
    <w:name w:val="Light List - Accent 313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1">
    <w:name w:val="Light List - Accent 5121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1">
    <w:name w:val="Light Grid - Accent 5122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1">
    <w:name w:val="Светло сенчење – наглашавање 1121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1">
    <w:name w:val="Light Grid - Accent 532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1">
    <w:name w:val="Light List - Accent 3221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1">
    <w:name w:val="Light List - Accent 3112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1">
    <w:name w:val="Light Shading - Accent 138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1">
    <w:name w:val="Light Shading - Accent 1312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1">
    <w:name w:val="Light Shading - Accent 1322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1">
    <w:name w:val="Light Shading - Accent 115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1">
    <w:name w:val="Light Shading - Accent 139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1">
    <w:name w:val="Light Shading - Accent 1162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1">
    <w:name w:val="Light Shading - Accent 1310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1">
    <w:name w:val="Light Shading - Accent 1313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1">
    <w:name w:val="tabele 331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1">
    <w:name w:val="Light Shading - Accent 117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1">
    <w:name w:val="Light Shading - Accent 343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1">
    <w:name w:val="Light List - Accent 541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1">
    <w:name w:val="Light Shading - Accent 3131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1">
    <w:name w:val="Light List - Accent 314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1">
    <w:name w:val="Light List - Accent 5131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1">
    <w:name w:val="Light Grid - Accent 5132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1">
    <w:name w:val="Светло сенчење – наглашавање 1131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1">
    <w:name w:val="Light Grid - Accent 542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1">
    <w:name w:val="Light Shading - Accent 12312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1">
    <w:name w:val="Light List - Accent 3231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1">
    <w:name w:val="Light List - Accent 3113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1">
    <w:name w:val="Light Shading - Accent 1314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1">
    <w:name w:val="Light Shading - Accent 1315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1">
    <w:name w:val="Light Shading - Accent 1323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1">
    <w:name w:val="Light Shading - Accent 1316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1">
    <w:name w:val="Light Shading - Accent 138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1">
    <w:name w:val="Light Shading - Accent 118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1">
    <w:name w:val="Light Shading - Accent 139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1">
    <w:name w:val="Light Shading - Accent 1161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1">
    <w:name w:val="Light Shading - Accent 1310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1">
    <w:name w:val="Light Shading - Accent 136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1">
    <w:name w:val="Light Shading - Accent 119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1">
    <w:name w:val="Light Shading - Accent 331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1">
    <w:name w:val="Light Shading - Accent 332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1">
    <w:name w:val="Light Shading - Accent 333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1">
    <w:name w:val="Light Shading - Accent 341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1">
    <w:name w:val="Light Shading - Accent 342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1">
    <w:name w:val="Light Grid - Accent 514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1">
    <w:name w:val="Light Grid - Accent 55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1">
    <w:name w:val="Light Grid - Accent 5111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1">
    <w:name w:val="Light Grid - Accent 521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1">
    <w:name w:val="Light Grid - Accent 5121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1">
    <w:name w:val="Light Grid - Accent 531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1">
    <w:name w:val="Light Grid - Accent 5131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1">
    <w:name w:val="Light Grid - Accent 541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1">
    <w:name w:val="Light Shading - Accent 6221"/>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1">
    <w:name w:val="Grid Table 6 Colorful - Accent 4221"/>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1">
    <w:name w:val="Grid Table 6 Colorful - Accent 3221"/>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1">
    <w:name w:val="Grid Table 4 - Accent 5221"/>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1">
    <w:name w:val="Grid Table 5 Dark - Accent 5221"/>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1">
    <w:name w:val="ФС121"/>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221">
    <w:name w:val="List Table 6 Colorful - Accent 3221"/>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1">
    <w:name w:val="Grid Table 1 Light - Accent 1221"/>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1">
    <w:name w:val="List Table 1 Light - Accent 1221"/>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1">
    <w:name w:val="List Table 2 - Accent 1221"/>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1">
    <w:name w:val="List Table 2 - Accent 5221"/>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1">
    <w:name w:val="Grid Table 2 - Accent 5221"/>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1">
    <w:name w:val="Grid Table 6 Colorful - Accent 41121"/>
    <w:basedOn w:val="TableNormal"/>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1">
    <w:name w:val="Grid Table 6 Colorful - Accent 31121"/>
    <w:basedOn w:val="TableNormal"/>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1">
    <w:name w:val="Table Grid212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1">
    <w:name w:val="Light Shading - Accent 12412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1">
    <w:name w:val="Light Shading - Accent 12512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1">
    <w:name w:val="Light Shading31"/>
    <w:basedOn w:val="TableNormal"/>
    <w:next w:val="LightShading"/>
    <w:uiPriority w:val="60"/>
    <w:semiHidden/>
    <w:unhideWhenUsed/>
    <w:rsid w:val="006D077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1">
    <w:name w:val="Grid Table 6 Colorful - Accent 551"/>
    <w:basedOn w:val="TableNormal"/>
    <w:next w:val="GridTable6Colorful-Accent540"/>
    <w:uiPriority w:val="51"/>
    <w:rsid w:val="006D077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1">
    <w:name w:val="Grid Table 6 Colorful - Accent 141"/>
    <w:basedOn w:val="TableNormal"/>
    <w:next w:val="GridTable6Colorful-Accent130"/>
    <w:uiPriority w:val="51"/>
    <w:rsid w:val="006D077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1">
    <w:name w:val="Light Shading - Accent 161"/>
    <w:basedOn w:val="TableNormal"/>
    <w:next w:val="LightShading-Accent1"/>
    <w:uiPriority w:val="60"/>
    <w:semiHidden/>
    <w:unhideWhenUsed/>
    <w:rsid w:val="006D077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1">
    <w:name w:val="Light Shading - Accent 641"/>
    <w:basedOn w:val="TableNormal"/>
    <w:next w:val="LightShading-Accent6"/>
    <w:uiPriority w:val="60"/>
    <w:semiHidden/>
    <w:unhideWhenUsed/>
    <w:rsid w:val="006D077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1">
    <w:name w:val="Grid Table 6 Colorful - Accent 441"/>
    <w:basedOn w:val="TableNormal"/>
    <w:next w:val="GridTable6Colorful-Accent430"/>
    <w:uiPriority w:val="51"/>
    <w:rsid w:val="006D077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1">
    <w:name w:val="Grid Table 6 Colorful - Accent 341"/>
    <w:basedOn w:val="TableNormal"/>
    <w:next w:val="GridTable6Colorful-Accent330"/>
    <w:uiPriority w:val="51"/>
    <w:rsid w:val="006D077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1">
    <w:name w:val="Grid Table 4 - Accent 541"/>
    <w:basedOn w:val="TableNormal"/>
    <w:next w:val="GridTable4-Accent530"/>
    <w:uiPriority w:val="49"/>
    <w:rsid w:val="006D077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1">
    <w:name w:val="Grid Table 5 Dark - Accent 541"/>
    <w:basedOn w:val="TableNormal"/>
    <w:next w:val="GridTable5Dark-Accent530"/>
    <w:uiPriority w:val="50"/>
    <w:rsid w:val="006D0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1">
    <w:name w:val="List Table 6 Colorful - Accent 341"/>
    <w:basedOn w:val="TableNormal"/>
    <w:next w:val="ListTable6Colorful-Accent330"/>
    <w:uiPriority w:val="51"/>
    <w:rsid w:val="006D077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1">
    <w:name w:val="Grid Table 1 Light - Accent 141"/>
    <w:basedOn w:val="TableNormal"/>
    <w:next w:val="GridTable1Light-Accent130"/>
    <w:uiPriority w:val="46"/>
    <w:rsid w:val="006D077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1">
    <w:name w:val="List Table 1 Light - Accent 141"/>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1">
    <w:name w:val="List Table 2 - Accent 141"/>
    <w:basedOn w:val="TableNormal"/>
    <w:next w:val="ListTable2-Accent130"/>
    <w:uiPriority w:val="47"/>
    <w:rsid w:val="006D0778"/>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1">
    <w:name w:val="List Table 2 - Accent 541"/>
    <w:basedOn w:val="TableNormal"/>
    <w:next w:val="ListTable2-Accent530"/>
    <w:uiPriority w:val="47"/>
    <w:rsid w:val="006D0778"/>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1">
    <w:name w:val="Grid Table 2 - Accent 541"/>
    <w:basedOn w:val="TableNormal"/>
    <w:next w:val="GridTable2-Accent530"/>
    <w:uiPriority w:val="47"/>
    <w:rsid w:val="006D077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1">
    <w:name w:val="Light Shading - Accent 337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1">
    <w:name w:val="Light Shading - Accent 338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11">
    <w:name w:val="List Table 6 Colorful - Accent 611"/>
    <w:basedOn w:val="TableNormal"/>
    <w:uiPriority w:val="51"/>
    <w:rsid w:val="006D077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61">
    <w:name w:val="Table Grid61"/>
    <w:basedOn w:val="TableNormal"/>
    <w:next w:val="TableGrid"/>
    <w:uiPriority w:val="39"/>
    <w:rsid w:val="006D0778"/>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71">
    <w:name w:val="tabele 371"/>
    <w:basedOn w:val="TableNormal"/>
    <w:next w:val="LightList-Accent3"/>
    <w:uiPriority w:val="61"/>
    <w:rsid w:val="006D0778"/>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1">
    <w:name w:val="Light Shading - Accent 1116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1">
    <w:name w:val="Light Shading - Accent 3171"/>
    <w:basedOn w:val="TableNormal"/>
    <w:next w:val="LightShading-Accent3"/>
    <w:uiPriority w:val="60"/>
    <w:rsid w:val="006D0778"/>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1">
    <w:name w:val="Light List - Accent 318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1">
    <w:name w:val="Table Grid141"/>
    <w:basedOn w:val="TableNormal"/>
    <w:next w:val="TableGrid"/>
    <w:uiPriority w:val="39"/>
    <w:rsid w:val="006D0778"/>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1">
    <w:name w:val="Light List - Accent 5171"/>
    <w:basedOn w:val="TableNormal"/>
    <w:next w:val="LightList-Accent5"/>
    <w:uiPriority w:val="61"/>
    <w:rsid w:val="006D0778"/>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1">
    <w:name w:val="Medium List 1 - Accent 5141"/>
    <w:basedOn w:val="TableNormal"/>
    <w:next w:val="MediumList1-Accent5"/>
    <w:uiPriority w:val="65"/>
    <w:rsid w:val="006D0778"/>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1">
    <w:name w:val="Medium List 1 - Accent 551"/>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1">
    <w:name w:val="Light Grid - Accent 5181"/>
    <w:basedOn w:val="TableNormal"/>
    <w:next w:val="LightGrid-Accent5"/>
    <w:uiPriority w:val="62"/>
    <w:rsid w:val="006D0778"/>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1">
    <w:name w:val="Светло сенчење – наглашавање 1171"/>
    <w:basedOn w:val="TableNormal"/>
    <w:uiPriority w:val="60"/>
    <w:rsid w:val="006D0778"/>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1">
    <w:name w:val="Light Grid - Accent 59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1">
    <w:name w:val="Light Shading - Accent 1281"/>
    <w:basedOn w:val="TableNormal"/>
    <w:uiPriority w:val="60"/>
    <w:rsid w:val="006D0778"/>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1">
    <w:name w:val="Light List - Accent 3117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1">
    <w:name w:val="Light List - Accent 3111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1">
    <w:name w:val="Table Grid241"/>
    <w:basedOn w:val="TableNormal"/>
    <w:next w:val="TableGrid"/>
    <w:uiPriority w:val="39"/>
    <w:rsid w:val="006D0778"/>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1">
    <w:name w:val="tabele 3141"/>
    <w:basedOn w:val="TableNormal"/>
    <w:next w:val="LightList-Accent3"/>
    <w:uiPriority w:val="61"/>
    <w:rsid w:val="006D0778"/>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1">
    <w:name w:val="Light Shading - Accent 1117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1">
    <w:name w:val="Light Shading - Accent 3241"/>
    <w:basedOn w:val="TableNormal"/>
    <w:next w:val="LightShading-Accent3"/>
    <w:uiPriority w:val="60"/>
    <w:rsid w:val="006D0778"/>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1">
    <w:name w:val="Light List - Accent 524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1">
    <w:name w:val="Light Shading - Accent 31141"/>
    <w:basedOn w:val="TableNormal"/>
    <w:next w:val="LightShading-Accent3"/>
    <w:uiPriority w:val="60"/>
    <w:rsid w:val="006D0778"/>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1">
    <w:name w:val="Light List - Accent 312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1">
    <w:name w:val="Light List - Accent 51141"/>
    <w:basedOn w:val="TableNormal"/>
    <w:next w:val="LightList-Accent5"/>
    <w:uiPriority w:val="61"/>
    <w:rsid w:val="006D0778"/>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1">
    <w:name w:val="Light Grid - Accent 51151"/>
    <w:basedOn w:val="TableNormal"/>
    <w:next w:val="LightGrid-Accent5"/>
    <w:uiPriority w:val="62"/>
    <w:rsid w:val="006D0778"/>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1">
    <w:name w:val="Светло сенчење – наглашавање 11141"/>
    <w:basedOn w:val="TableNormal"/>
    <w:uiPriority w:val="60"/>
    <w:rsid w:val="006D0778"/>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1">
    <w:name w:val="Light Grid - Accent 525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1">
    <w:name w:val="Light Shading - Accent 12141"/>
    <w:basedOn w:val="TableNormal"/>
    <w:uiPriority w:val="60"/>
    <w:rsid w:val="006D0778"/>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1">
    <w:name w:val="Light List - Accent 3112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1">
    <w:name w:val="Light Shading - Accent 112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1">
    <w:name w:val="Light Shading - Accent 113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1">
    <w:name w:val="tabele 3241"/>
    <w:basedOn w:val="TableNormal"/>
    <w:next w:val="LightList-Accent3"/>
    <w:uiPriority w:val="61"/>
    <w:rsid w:val="006D0778"/>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1">
    <w:name w:val="Light Shading - Accent 114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1">
    <w:name w:val="Light Shading - Accent 339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1">
    <w:name w:val="Light Shading - Accent 31241"/>
    <w:basedOn w:val="TableNormal"/>
    <w:next w:val="LightShading-Accent3"/>
    <w:uiPriority w:val="60"/>
    <w:rsid w:val="006D0778"/>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1">
    <w:name w:val="Light List - Accent 313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1">
    <w:name w:val="Light List - Accent 51241"/>
    <w:basedOn w:val="TableNormal"/>
    <w:next w:val="LightList-Accent5"/>
    <w:uiPriority w:val="61"/>
    <w:rsid w:val="006D0778"/>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1">
    <w:name w:val="Light Grid - Accent 5125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1">
    <w:name w:val="Light Grid - Accent 535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1">
    <w:name w:val="Light Shading - Accent 115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1">
    <w:name w:val="Light Shading - Accent 1165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1">
    <w:name w:val="tabele 3341"/>
    <w:basedOn w:val="TableNormal"/>
    <w:next w:val="LightList-Accent3"/>
    <w:uiPriority w:val="61"/>
    <w:rsid w:val="006D0778"/>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1">
    <w:name w:val="Light Shading - Accent 117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1">
    <w:name w:val="Light Shading - Accent 31341"/>
    <w:basedOn w:val="TableNormal"/>
    <w:next w:val="LightShading-Accent3"/>
    <w:uiPriority w:val="60"/>
    <w:rsid w:val="006D0778"/>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1">
    <w:name w:val="Light List - Accent 314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1">
    <w:name w:val="Light List - Accent 51341"/>
    <w:basedOn w:val="TableNormal"/>
    <w:next w:val="LightList-Accent5"/>
    <w:uiPriority w:val="61"/>
    <w:rsid w:val="006D0778"/>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1">
    <w:name w:val="Light Grid - Accent 5135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1">
    <w:name w:val="Light Grid - Accent 545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1">
    <w:name w:val="Light List - Accent 3113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1">
    <w:name w:val="Light Shading - Accent 118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1">
    <w:name w:val="Light Shading - Accent 1161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1">
    <w:name w:val="Light Shading - Accent 171"/>
    <w:basedOn w:val="TableNormal"/>
    <w:next w:val="LightShading-Accent1"/>
    <w:uiPriority w:val="60"/>
    <w:rsid w:val="006D0778"/>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1">
    <w:name w:val="No List61"/>
    <w:next w:val="NoList"/>
    <w:uiPriority w:val="99"/>
    <w:semiHidden/>
    <w:unhideWhenUsed/>
    <w:rsid w:val="006D0778"/>
  </w:style>
  <w:style w:type="table" w:customStyle="1" w:styleId="TableGrid331">
    <w:name w:val="Table Grid331"/>
    <w:basedOn w:val="TableNormal"/>
    <w:next w:val="TableGrid"/>
    <w:uiPriority w:val="39"/>
    <w:rsid w:val="006D0778"/>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1">
    <w:name w:val="Grid Table 6 Colorful - Accent 5171"/>
    <w:basedOn w:val="TableNormal"/>
    <w:uiPriority w:val="51"/>
    <w:rsid w:val="006D0778"/>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1">
    <w:name w:val="Grid Table 7 Colorful11"/>
    <w:basedOn w:val="TableNormal"/>
    <w:uiPriority w:val="52"/>
    <w:rsid w:val="006D0778"/>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1">
    <w:name w:val="Plain Table 311"/>
    <w:basedOn w:val="TableNormal"/>
    <w:uiPriority w:val="43"/>
    <w:rsid w:val="006D0778"/>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45"/>
    <w:rsid w:val="006D0778"/>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1">
    <w:name w:val="Grid Table 7 Colorful - Accent 311"/>
    <w:basedOn w:val="TableNormal"/>
    <w:uiPriority w:val="52"/>
    <w:rsid w:val="006D0778"/>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1">
    <w:name w:val="Grid Table 211"/>
    <w:basedOn w:val="TableNormal"/>
    <w:uiPriority w:val="47"/>
    <w:rsid w:val="006D0778"/>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71">
    <w:name w:val="No List71"/>
    <w:next w:val="NoList"/>
    <w:uiPriority w:val="99"/>
    <w:semiHidden/>
    <w:unhideWhenUsed/>
    <w:rsid w:val="006D0778"/>
  </w:style>
  <w:style w:type="table" w:customStyle="1" w:styleId="LightShading-Accent3531">
    <w:name w:val="Light Shading - Accent 3531"/>
    <w:basedOn w:val="TableNormal"/>
    <w:next w:val="LightShading-Accent3"/>
    <w:uiPriority w:val="60"/>
    <w:rsid w:val="006D0778"/>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1">
    <w:name w:val="21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1">
    <w:name w:val="201"/>
    <w:basedOn w:val="TableNormal"/>
    <w:rsid w:val="006D0778"/>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1">
    <w:name w:val="19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1">
    <w:name w:val="18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1">
    <w:name w:val="17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1">
    <w:name w:val="16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1">
    <w:name w:val="15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1">
    <w:name w:val="14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1">
    <w:name w:val="13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10">
    <w:name w:val="12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16">
    <w:name w:val="11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1">
    <w:name w:val="10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1">
    <w:name w:val="9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1">
    <w:name w:val="8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1">
    <w:name w:val="7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1">
    <w:name w:val="6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1">
    <w:name w:val="5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1">
    <w:name w:val="4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10">
    <w:name w:val="3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0">
    <w:name w:val="22"/>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00">
    <w:name w:val="110"/>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TableGrid411">
    <w:name w:val="Table Grid411"/>
    <w:basedOn w:val="TableNormal"/>
    <w:next w:val="TableGrid"/>
    <w:uiPriority w:val="39"/>
    <w:rsid w:val="006D0778"/>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6D0778"/>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1">
    <w:name w:val="Grid Table 5 Dark - Accent 551"/>
    <w:basedOn w:val="TableNormal"/>
    <w:uiPriority w:val="50"/>
    <w:rsid w:val="006D0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ghtShading-Accent33511">
    <w:name w:val="Light Shading - Accent 3351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1">
    <w:name w:val="List Table 6 Colorful - Accent 621"/>
    <w:basedOn w:val="TableNormal"/>
    <w:uiPriority w:val="51"/>
    <w:rsid w:val="006D077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151">
    <w:name w:val="Grid Table 1 Light - Accent 151"/>
    <w:basedOn w:val="TableNormal"/>
    <w:uiPriority w:val="46"/>
    <w:rsid w:val="006D077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1">
    <w:name w:val="Table Grid71"/>
    <w:basedOn w:val="TableNormal"/>
    <w:next w:val="TableGrid"/>
    <w:uiPriority w:val="39"/>
    <w:rsid w:val="006D0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1">
    <w:name w:val="Plain Table 411"/>
    <w:basedOn w:val="TableNormal"/>
    <w:uiPriority w:val="44"/>
    <w:rsid w:val="006D077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Accent33521">
    <w:name w:val="Light Shading - Accent 3352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1">
    <w:name w:val="Grid Table 6 Colorful - Accent 151"/>
    <w:basedOn w:val="TableNormal"/>
    <w:next w:val="GridTable6Colorful-Accent1"/>
    <w:uiPriority w:val="51"/>
    <w:rsid w:val="006D0778"/>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6">
    <w:name w:val="Grid Table 6 Colorful - Accent 16"/>
    <w:basedOn w:val="TableNormal"/>
    <w:next w:val="GridTable6Colorful-Accent1"/>
    <w:uiPriority w:val="51"/>
    <w:rsid w:val="006D077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2214">
    <w:name w:val="Light Shading - Accent 12214"/>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114">
    <w:name w:val="Light Shading - Accent 12114"/>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styleId="PlainTable2">
    <w:name w:val="Plain Table 2"/>
    <w:basedOn w:val="TableNormal"/>
    <w:uiPriority w:val="42"/>
    <w:rsid w:val="006D07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9">
    <w:name w:val="No List9"/>
    <w:next w:val="NoList"/>
    <w:uiPriority w:val="99"/>
    <w:semiHidden/>
    <w:unhideWhenUsed/>
    <w:rsid w:val="009B5DE5"/>
  </w:style>
  <w:style w:type="paragraph" w:styleId="TOC6">
    <w:name w:val="toc 6"/>
    <w:basedOn w:val="Normal"/>
    <w:next w:val="Normal"/>
    <w:autoRedefine/>
    <w:uiPriority w:val="39"/>
    <w:unhideWhenUsed/>
    <w:rsid w:val="001B3328"/>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1B3328"/>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1B3328"/>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1B3328"/>
    <w:pPr>
      <w:spacing w:after="100" w:line="259" w:lineRule="auto"/>
      <w:ind w:left="1760"/>
      <w:jc w:val="left"/>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402">
      <w:bodyDiv w:val="1"/>
      <w:marLeft w:val="0"/>
      <w:marRight w:val="0"/>
      <w:marTop w:val="0"/>
      <w:marBottom w:val="0"/>
      <w:divBdr>
        <w:top w:val="none" w:sz="0" w:space="0" w:color="auto"/>
        <w:left w:val="none" w:sz="0" w:space="0" w:color="auto"/>
        <w:bottom w:val="none" w:sz="0" w:space="0" w:color="auto"/>
        <w:right w:val="none" w:sz="0" w:space="0" w:color="auto"/>
      </w:divBdr>
    </w:div>
    <w:div w:id="20474277">
      <w:bodyDiv w:val="1"/>
      <w:marLeft w:val="0"/>
      <w:marRight w:val="0"/>
      <w:marTop w:val="0"/>
      <w:marBottom w:val="0"/>
      <w:divBdr>
        <w:top w:val="none" w:sz="0" w:space="0" w:color="auto"/>
        <w:left w:val="none" w:sz="0" w:space="0" w:color="auto"/>
        <w:bottom w:val="none" w:sz="0" w:space="0" w:color="auto"/>
        <w:right w:val="none" w:sz="0" w:space="0" w:color="auto"/>
      </w:divBdr>
    </w:div>
    <w:div w:id="50809628">
      <w:bodyDiv w:val="1"/>
      <w:marLeft w:val="0"/>
      <w:marRight w:val="0"/>
      <w:marTop w:val="0"/>
      <w:marBottom w:val="0"/>
      <w:divBdr>
        <w:top w:val="none" w:sz="0" w:space="0" w:color="auto"/>
        <w:left w:val="none" w:sz="0" w:space="0" w:color="auto"/>
        <w:bottom w:val="none" w:sz="0" w:space="0" w:color="auto"/>
        <w:right w:val="none" w:sz="0" w:space="0" w:color="auto"/>
      </w:divBdr>
    </w:div>
    <w:div w:id="79062107">
      <w:bodyDiv w:val="1"/>
      <w:marLeft w:val="0"/>
      <w:marRight w:val="0"/>
      <w:marTop w:val="0"/>
      <w:marBottom w:val="0"/>
      <w:divBdr>
        <w:top w:val="none" w:sz="0" w:space="0" w:color="auto"/>
        <w:left w:val="none" w:sz="0" w:space="0" w:color="auto"/>
        <w:bottom w:val="none" w:sz="0" w:space="0" w:color="auto"/>
        <w:right w:val="none" w:sz="0" w:space="0" w:color="auto"/>
      </w:divBdr>
    </w:div>
    <w:div w:id="93288477">
      <w:bodyDiv w:val="1"/>
      <w:marLeft w:val="0"/>
      <w:marRight w:val="0"/>
      <w:marTop w:val="0"/>
      <w:marBottom w:val="0"/>
      <w:divBdr>
        <w:top w:val="none" w:sz="0" w:space="0" w:color="auto"/>
        <w:left w:val="none" w:sz="0" w:space="0" w:color="auto"/>
        <w:bottom w:val="none" w:sz="0" w:space="0" w:color="auto"/>
        <w:right w:val="none" w:sz="0" w:space="0" w:color="auto"/>
      </w:divBdr>
    </w:div>
    <w:div w:id="141506954">
      <w:bodyDiv w:val="1"/>
      <w:marLeft w:val="0"/>
      <w:marRight w:val="0"/>
      <w:marTop w:val="0"/>
      <w:marBottom w:val="0"/>
      <w:divBdr>
        <w:top w:val="none" w:sz="0" w:space="0" w:color="auto"/>
        <w:left w:val="none" w:sz="0" w:space="0" w:color="auto"/>
        <w:bottom w:val="none" w:sz="0" w:space="0" w:color="auto"/>
        <w:right w:val="none" w:sz="0" w:space="0" w:color="auto"/>
      </w:divBdr>
    </w:div>
    <w:div w:id="154272206">
      <w:bodyDiv w:val="1"/>
      <w:marLeft w:val="0"/>
      <w:marRight w:val="0"/>
      <w:marTop w:val="0"/>
      <w:marBottom w:val="0"/>
      <w:divBdr>
        <w:top w:val="none" w:sz="0" w:space="0" w:color="auto"/>
        <w:left w:val="none" w:sz="0" w:space="0" w:color="auto"/>
        <w:bottom w:val="none" w:sz="0" w:space="0" w:color="auto"/>
        <w:right w:val="none" w:sz="0" w:space="0" w:color="auto"/>
      </w:divBdr>
    </w:div>
    <w:div w:id="200441218">
      <w:bodyDiv w:val="1"/>
      <w:marLeft w:val="0"/>
      <w:marRight w:val="0"/>
      <w:marTop w:val="0"/>
      <w:marBottom w:val="0"/>
      <w:divBdr>
        <w:top w:val="none" w:sz="0" w:space="0" w:color="auto"/>
        <w:left w:val="none" w:sz="0" w:space="0" w:color="auto"/>
        <w:bottom w:val="none" w:sz="0" w:space="0" w:color="auto"/>
        <w:right w:val="none" w:sz="0" w:space="0" w:color="auto"/>
      </w:divBdr>
    </w:div>
    <w:div w:id="210726543">
      <w:bodyDiv w:val="1"/>
      <w:marLeft w:val="0"/>
      <w:marRight w:val="0"/>
      <w:marTop w:val="0"/>
      <w:marBottom w:val="0"/>
      <w:divBdr>
        <w:top w:val="none" w:sz="0" w:space="0" w:color="auto"/>
        <w:left w:val="none" w:sz="0" w:space="0" w:color="auto"/>
        <w:bottom w:val="none" w:sz="0" w:space="0" w:color="auto"/>
        <w:right w:val="none" w:sz="0" w:space="0" w:color="auto"/>
      </w:divBdr>
    </w:div>
    <w:div w:id="218439936">
      <w:bodyDiv w:val="1"/>
      <w:marLeft w:val="0"/>
      <w:marRight w:val="0"/>
      <w:marTop w:val="0"/>
      <w:marBottom w:val="0"/>
      <w:divBdr>
        <w:top w:val="none" w:sz="0" w:space="0" w:color="auto"/>
        <w:left w:val="none" w:sz="0" w:space="0" w:color="auto"/>
        <w:bottom w:val="none" w:sz="0" w:space="0" w:color="auto"/>
        <w:right w:val="none" w:sz="0" w:space="0" w:color="auto"/>
      </w:divBdr>
    </w:div>
    <w:div w:id="266814993">
      <w:bodyDiv w:val="1"/>
      <w:marLeft w:val="0"/>
      <w:marRight w:val="0"/>
      <w:marTop w:val="0"/>
      <w:marBottom w:val="0"/>
      <w:divBdr>
        <w:top w:val="none" w:sz="0" w:space="0" w:color="auto"/>
        <w:left w:val="none" w:sz="0" w:space="0" w:color="auto"/>
        <w:bottom w:val="none" w:sz="0" w:space="0" w:color="auto"/>
        <w:right w:val="none" w:sz="0" w:space="0" w:color="auto"/>
      </w:divBdr>
    </w:div>
    <w:div w:id="266887248">
      <w:bodyDiv w:val="1"/>
      <w:marLeft w:val="0"/>
      <w:marRight w:val="0"/>
      <w:marTop w:val="0"/>
      <w:marBottom w:val="0"/>
      <w:divBdr>
        <w:top w:val="none" w:sz="0" w:space="0" w:color="auto"/>
        <w:left w:val="none" w:sz="0" w:space="0" w:color="auto"/>
        <w:bottom w:val="none" w:sz="0" w:space="0" w:color="auto"/>
        <w:right w:val="none" w:sz="0" w:space="0" w:color="auto"/>
      </w:divBdr>
    </w:div>
    <w:div w:id="303194465">
      <w:bodyDiv w:val="1"/>
      <w:marLeft w:val="0"/>
      <w:marRight w:val="0"/>
      <w:marTop w:val="0"/>
      <w:marBottom w:val="0"/>
      <w:divBdr>
        <w:top w:val="none" w:sz="0" w:space="0" w:color="auto"/>
        <w:left w:val="none" w:sz="0" w:space="0" w:color="auto"/>
        <w:bottom w:val="none" w:sz="0" w:space="0" w:color="auto"/>
        <w:right w:val="none" w:sz="0" w:space="0" w:color="auto"/>
      </w:divBdr>
    </w:div>
    <w:div w:id="323054084">
      <w:bodyDiv w:val="1"/>
      <w:marLeft w:val="0"/>
      <w:marRight w:val="0"/>
      <w:marTop w:val="0"/>
      <w:marBottom w:val="0"/>
      <w:divBdr>
        <w:top w:val="none" w:sz="0" w:space="0" w:color="auto"/>
        <w:left w:val="none" w:sz="0" w:space="0" w:color="auto"/>
        <w:bottom w:val="none" w:sz="0" w:space="0" w:color="auto"/>
        <w:right w:val="none" w:sz="0" w:space="0" w:color="auto"/>
      </w:divBdr>
    </w:div>
    <w:div w:id="328600047">
      <w:bodyDiv w:val="1"/>
      <w:marLeft w:val="0"/>
      <w:marRight w:val="0"/>
      <w:marTop w:val="0"/>
      <w:marBottom w:val="0"/>
      <w:divBdr>
        <w:top w:val="none" w:sz="0" w:space="0" w:color="auto"/>
        <w:left w:val="none" w:sz="0" w:space="0" w:color="auto"/>
        <w:bottom w:val="none" w:sz="0" w:space="0" w:color="auto"/>
        <w:right w:val="none" w:sz="0" w:space="0" w:color="auto"/>
      </w:divBdr>
    </w:div>
    <w:div w:id="384571740">
      <w:bodyDiv w:val="1"/>
      <w:marLeft w:val="0"/>
      <w:marRight w:val="0"/>
      <w:marTop w:val="0"/>
      <w:marBottom w:val="0"/>
      <w:divBdr>
        <w:top w:val="none" w:sz="0" w:space="0" w:color="auto"/>
        <w:left w:val="none" w:sz="0" w:space="0" w:color="auto"/>
        <w:bottom w:val="none" w:sz="0" w:space="0" w:color="auto"/>
        <w:right w:val="none" w:sz="0" w:space="0" w:color="auto"/>
      </w:divBdr>
    </w:div>
    <w:div w:id="514613021">
      <w:bodyDiv w:val="1"/>
      <w:marLeft w:val="0"/>
      <w:marRight w:val="0"/>
      <w:marTop w:val="0"/>
      <w:marBottom w:val="0"/>
      <w:divBdr>
        <w:top w:val="none" w:sz="0" w:space="0" w:color="auto"/>
        <w:left w:val="none" w:sz="0" w:space="0" w:color="auto"/>
        <w:bottom w:val="none" w:sz="0" w:space="0" w:color="auto"/>
        <w:right w:val="none" w:sz="0" w:space="0" w:color="auto"/>
      </w:divBdr>
    </w:div>
    <w:div w:id="518468070">
      <w:bodyDiv w:val="1"/>
      <w:marLeft w:val="0"/>
      <w:marRight w:val="0"/>
      <w:marTop w:val="0"/>
      <w:marBottom w:val="0"/>
      <w:divBdr>
        <w:top w:val="none" w:sz="0" w:space="0" w:color="auto"/>
        <w:left w:val="none" w:sz="0" w:space="0" w:color="auto"/>
        <w:bottom w:val="none" w:sz="0" w:space="0" w:color="auto"/>
        <w:right w:val="none" w:sz="0" w:space="0" w:color="auto"/>
      </w:divBdr>
    </w:div>
    <w:div w:id="582371865">
      <w:bodyDiv w:val="1"/>
      <w:marLeft w:val="0"/>
      <w:marRight w:val="0"/>
      <w:marTop w:val="0"/>
      <w:marBottom w:val="0"/>
      <w:divBdr>
        <w:top w:val="none" w:sz="0" w:space="0" w:color="auto"/>
        <w:left w:val="none" w:sz="0" w:space="0" w:color="auto"/>
        <w:bottom w:val="none" w:sz="0" w:space="0" w:color="auto"/>
        <w:right w:val="none" w:sz="0" w:space="0" w:color="auto"/>
      </w:divBdr>
    </w:div>
    <w:div w:id="598753934">
      <w:bodyDiv w:val="1"/>
      <w:marLeft w:val="0"/>
      <w:marRight w:val="0"/>
      <w:marTop w:val="0"/>
      <w:marBottom w:val="0"/>
      <w:divBdr>
        <w:top w:val="none" w:sz="0" w:space="0" w:color="auto"/>
        <w:left w:val="none" w:sz="0" w:space="0" w:color="auto"/>
        <w:bottom w:val="none" w:sz="0" w:space="0" w:color="auto"/>
        <w:right w:val="none" w:sz="0" w:space="0" w:color="auto"/>
      </w:divBdr>
    </w:div>
    <w:div w:id="650141731">
      <w:bodyDiv w:val="1"/>
      <w:marLeft w:val="0"/>
      <w:marRight w:val="0"/>
      <w:marTop w:val="0"/>
      <w:marBottom w:val="0"/>
      <w:divBdr>
        <w:top w:val="none" w:sz="0" w:space="0" w:color="auto"/>
        <w:left w:val="none" w:sz="0" w:space="0" w:color="auto"/>
        <w:bottom w:val="none" w:sz="0" w:space="0" w:color="auto"/>
        <w:right w:val="none" w:sz="0" w:space="0" w:color="auto"/>
      </w:divBdr>
    </w:div>
    <w:div w:id="748312666">
      <w:bodyDiv w:val="1"/>
      <w:marLeft w:val="0"/>
      <w:marRight w:val="0"/>
      <w:marTop w:val="0"/>
      <w:marBottom w:val="0"/>
      <w:divBdr>
        <w:top w:val="none" w:sz="0" w:space="0" w:color="auto"/>
        <w:left w:val="none" w:sz="0" w:space="0" w:color="auto"/>
        <w:bottom w:val="none" w:sz="0" w:space="0" w:color="auto"/>
        <w:right w:val="none" w:sz="0" w:space="0" w:color="auto"/>
      </w:divBdr>
    </w:div>
    <w:div w:id="755639195">
      <w:bodyDiv w:val="1"/>
      <w:marLeft w:val="0"/>
      <w:marRight w:val="0"/>
      <w:marTop w:val="0"/>
      <w:marBottom w:val="0"/>
      <w:divBdr>
        <w:top w:val="none" w:sz="0" w:space="0" w:color="auto"/>
        <w:left w:val="none" w:sz="0" w:space="0" w:color="auto"/>
        <w:bottom w:val="none" w:sz="0" w:space="0" w:color="auto"/>
        <w:right w:val="none" w:sz="0" w:space="0" w:color="auto"/>
      </w:divBdr>
    </w:div>
    <w:div w:id="772938253">
      <w:bodyDiv w:val="1"/>
      <w:marLeft w:val="0"/>
      <w:marRight w:val="0"/>
      <w:marTop w:val="0"/>
      <w:marBottom w:val="0"/>
      <w:divBdr>
        <w:top w:val="none" w:sz="0" w:space="0" w:color="auto"/>
        <w:left w:val="none" w:sz="0" w:space="0" w:color="auto"/>
        <w:bottom w:val="none" w:sz="0" w:space="0" w:color="auto"/>
        <w:right w:val="none" w:sz="0" w:space="0" w:color="auto"/>
      </w:divBdr>
    </w:div>
    <w:div w:id="774441337">
      <w:bodyDiv w:val="1"/>
      <w:marLeft w:val="0"/>
      <w:marRight w:val="0"/>
      <w:marTop w:val="0"/>
      <w:marBottom w:val="0"/>
      <w:divBdr>
        <w:top w:val="none" w:sz="0" w:space="0" w:color="auto"/>
        <w:left w:val="none" w:sz="0" w:space="0" w:color="auto"/>
        <w:bottom w:val="none" w:sz="0" w:space="0" w:color="auto"/>
        <w:right w:val="none" w:sz="0" w:space="0" w:color="auto"/>
      </w:divBdr>
    </w:div>
    <w:div w:id="784886753">
      <w:bodyDiv w:val="1"/>
      <w:marLeft w:val="0"/>
      <w:marRight w:val="0"/>
      <w:marTop w:val="0"/>
      <w:marBottom w:val="0"/>
      <w:divBdr>
        <w:top w:val="none" w:sz="0" w:space="0" w:color="auto"/>
        <w:left w:val="none" w:sz="0" w:space="0" w:color="auto"/>
        <w:bottom w:val="none" w:sz="0" w:space="0" w:color="auto"/>
        <w:right w:val="none" w:sz="0" w:space="0" w:color="auto"/>
      </w:divBdr>
    </w:div>
    <w:div w:id="876628529">
      <w:bodyDiv w:val="1"/>
      <w:marLeft w:val="0"/>
      <w:marRight w:val="0"/>
      <w:marTop w:val="0"/>
      <w:marBottom w:val="0"/>
      <w:divBdr>
        <w:top w:val="none" w:sz="0" w:space="0" w:color="auto"/>
        <w:left w:val="none" w:sz="0" w:space="0" w:color="auto"/>
        <w:bottom w:val="none" w:sz="0" w:space="0" w:color="auto"/>
        <w:right w:val="none" w:sz="0" w:space="0" w:color="auto"/>
      </w:divBdr>
    </w:div>
    <w:div w:id="883255591">
      <w:bodyDiv w:val="1"/>
      <w:marLeft w:val="0"/>
      <w:marRight w:val="0"/>
      <w:marTop w:val="0"/>
      <w:marBottom w:val="0"/>
      <w:divBdr>
        <w:top w:val="none" w:sz="0" w:space="0" w:color="auto"/>
        <w:left w:val="none" w:sz="0" w:space="0" w:color="auto"/>
        <w:bottom w:val="none" w:sz="0" w:space="0" w:color="auto"/>
        <w:right w:val="none" w:sz="0" w:space="0" w:color="auto"/>
      </w:divBdr>
    </w:div>
    <w:div w:id="901065476">
      <w:bodyDiv w:val="1"/>
      <w:marLeft w:val="0"/>
      <w:marRight w:val="0"/>
      <w:marTop w:val="0"/>
      <w:marBottom w:val="0"/>
      <w:divBdr>
        <w:top w:val="none" w:sz="0" w:space="0" w:color="auto"/>
        <w:left w:val="none" w:sz="0" w:space="0" w:color="auto"/>
        <w:bottom w:val="none" w:sz="0" w:space="0" w:color="auto"/>
        <w:right w:val="none" w:sz="0" w:space="0" w:color="auto"/>
      </w:divBdr>
    </w:div>
    <w:div w:id="923689658">
      <w:bodyDiv w:val="1"/>
      <w:marLeft w:val="0"/>
      <w:marRight w:val="0"/>
      <w:marTop w:val="0"/>
      <w:marBottom w:val="0"/>
      <w:divBdr>
        <w:top w:val="none" w:sz="0" w:space="0" w:color="auto"/>
        <w:left w:val="none" w:sz="0" w:space="0" w:color="auto"/>
        <w:bottom w:val="none" w:sz="0" w:space="0" w:color="auto"/>
        <w:right w:val="none" w:sz="0" w:space="0" w:color="auto"/>
      </w:divBdr>
    </w:div>
    <w:div w:id="983240602">
      <w:bodyDiv w:val="1"/>
      <w:marLeft w:val="0"/>
      <w:marRight w:val="0"/>
      <w:marTop w:val="0"/>
      <w:marBottom w:val="0"/>
      <w:divBdr>
        <w:top w:val="none" w:sz="0" w:space="0" w:color="auto"/>
        <w:left w:val="none" w:sz="0" w:space="0" w:color="auto"/>
        <w:bottom w:val="none" w:sz="0" w:space="0" w:color="auto"/>
        <w:right w:val="none" w:sz="0" w:space="0" w:color="auto"/>
      </w:divBdr>
    </w:div>
    <w:div w:id="993023830">
      <w:bodyDiv w:val="1"/>
      <w:marLeft w:val="0"/>
      <w:marRight w:val="0"/>
      <w:marTop w:val="0"/>
      <w:marBottom w:val="0"/>
      <w:divBdr>
        <w:top w:val="none" w:sz="0" w:space="0" w:color="auto"/>
        <w:left w:val="none" w:sz="0" w:space="0" w:color="auto"/>
        <w:bottom w:val="none" w:sz="0" w:space="0" w:color="auto"/>
        <w:right w:val="none" w:sz="0" w:space="0" w:color="auto"/>
      </w:divBdr>
    </w:div>
    <w:div w:id="1051686351">
      <w:bodyDiv w:val="1"/>
      <w:marLeft w:val="0"/>
      <w:marRight w:val="0"/>
      <w:marTop w:val="0"/>
      <w:marBottom w:val="0"/>
      <w:divBdr>
        <w:top w:val="none" w:sz="0" w:space="0" w:color="auto"/>
        <w:left w:val="none" w:sz="0" w:space="0" w:color="auto"/>
        <w:bottom w:val="none" w:sz="0" w:space="0" w:color="auto"/>
        <w:right w:val="none" w:sz="0" w:space="0" w:color="auto"/>
      </w:divBdr>
    </w:div>
    <w:div w:id="1055549555">
      <w:bodyDiv w:val="1"/>
      <w:marLeft w:val="0"/>
      <w:marRight w:val="0"/>
      <w:marTop w:val="0"/>
      <w:marBottom w:val="0"/>
      <w:divBdr>
        <w:top w:val="none" w:sz="0" w:space="0" w:color="auto"/>
        <w:left w:val="none" w:sz="0" w:space="0" w:color="auto"/>
        <w:bottom w:val="none" w:sz="0" w:space="0" w:color="auto"/>
        <w:right w:val="none" w:sz="0" w:space="0" w:color="auto"/>
      </w:divBdr>
    </w:div>
    <w:div w:id="1073312674">
      <w:bodyDiv w:val="1"/>
      <w:marLeft w:val="0"/>
      <w:marRight w:val="0"/>
      <w:marTop w:val="0"/>
      <w:marBottom w:val="0"/>
      <w:divBdr>
        <w:top w:val="none" w:sz="0" w:space="0" w:color="auto"/>
        <w:left w:val="none" w:sz="0" w:space="0" w:color="auto"/>
        <w:bottom w:val="none" w:sz="0" w:space="0" w:color="auto"/>
        <w:right w:val="none" w:sz="0" w:space="0" w:color="auto"/>
      </w:divBdr>
    </w:div>
    <w:div w:id="1100565709">
      <w:bodyDiv w:val="1"/>
      <w:marLeft w:val="0"/>
      <w:marRight w:val="0"/>
      <w:marTop w:val="0"/>
      <w:marBottom w:val="0"/>
      <w:divBdr>
        <w:top w:val="none" w:sz="0" w:space="0" w:color="auto"/>
        <w:left w:val="none" w:sz="0" w:space="0" w:color="auto"/>
        <w:bottom w:val="none" w:sz="0" w:space="0" w:color="auto"/>
        <w:right w:val="none" w:sz="0" w:space="0" w:color="auto"/>
      </w:divBdr>
    </w:div>
    <w:div w:id="1111129084">
      <w:bodyDiv w:val="1"/>
      <w:marLeft w:val="0"/>
      <w:marRight w:val="0"/>
      <w:marTop w:val="0"/>
      <w:marBottom w:val="0"/>
      <w:divBdr>
        <w:top w:val="none" w:sz="0" w:space="0" w:color="auto"/>
        <w:left w:val="none" w:sz="0" w:space="0" w:color="auto"/>
        <w:bottom w:val="none" w:sz="0" w:space="0" w:color="auto"/>
        <w:right w:val="none" w:sz="0" w:space="0" w:color="auto"/>
      </w:divBdr>
    </w:div>
    <w:div w:id="1143543158">
      <w:bodyDiv w:val="1"/>
      <w:marLeft w:val="0"/>
      <w:marRight w:val="0"/>
      <w:marTop w:val="0"/>
      <w:marBottom w:val="0"/>
      <w:divBdr>
        <w:top w:val="none" w:sz="0" w:space="0" w:color="auto"/>
        <w:left w:val="none" w:sz="0" w:space="0" w:color="auto"/>
        <w:bottom w:val="none" w:sz="0" w:space="0" w:color="auto"/>
        <w:right w:val="none" w:sz="0" w:space="0" w:color="auto"/>
      </w:divBdr>
    </w:div>
    <w:div w:id="1144783239">
      <w:bodyDiv w:val="1"/>
      <w:marLeft w:val="0"/>
      <w:marRight w:val="0"/>
      <w:marTop w:val="0"/>
      <w:marBottom w:val="0"/>
      <w:divBdr>
        <w:top w:val="none" w:sz="0" w:space="0" w:color="auto"/>
        <w:left w:val="none" w:sz="0" w:space="0" w:color="auto"/>
        <w:bottom w:val="none" w:sz="0" w:space="0" w:color="auto"/>
        <w:right w:val="none" w:sz="0" w:space="0" w:color="auto"/>
      </w:divBdr>
    </w:div>
    <w:div w:id="1223179149">
      <w:bodyDiv w:val="1"/>
      <w:marLeft w:val="0"/>
      <w:marRight w:val="0"/>
      <w:marTop w:val="0"/>
      <w:marBottom w:val="0"/>
      <w:divBdr>
        <w:top w:val="none" w:sz="0" w:space="0" w:color="auto"/>
        <w:left w:val="none" w:sz="0" w:space="0" w:color="auto"/>
        <w:bottom w:val="none" w:sz="0" w:space="0" w:color="auto"/>
        <w:right w:val="none" w:sz="0" w:space="0" w:color="auto"/>
      </w:divBdr>
    </w:div>
    <w:div w:id="1225992667">
      <w:bodyDiv w:val="1"/>
      <w:marLeft w:val="0"/>
      <w:marRight w:val="0"/>
      <w:marTop w:val="0"/>
      <w:marBottom w:val="0"/>
      <w:divBdr>
        <w:top w:val="none" w:sz="0" w:space="0" w:color="auto"/>
        <w:left w:val="none" w:sz="0" w:space="0" w:color="auto"/>
        <w:bottom w:val="none" w:sz="0" w:space="0" w:color="auto"/>
        <w:right w:val="none" w:sz="0" w:space="0" w:color="auto"/>
      </w:divBdr>
    </w:div>
    <w:div w:id="1291940089">
      <w:bodyDiv w:val="1"/>
      <w:marLeft w:val="0"/>
      <w:marRight w:val="0"/>
      <w:marTop w:val="0"/>
      <w:marBottom w:val="0"/>
      <w:divBdr>
        <w:top w:val="none" w:sz="0" w:space="0" w:color="auto"/>
        <w:left w:val="none" w:sz="0" w:space="0" w:color="auto"/>
        <w:bottom w:val="none" w:sz="0" w:space="0" w:color="auto"/>
        <w:right w:val="none" w:sz="0" w:space="0" w:color="auto"/>
      </w:divBdr>
      <w:divsChild>
        <w:div w:id="627316389">
          <w:marLeft w:val="173"/>
          <w:marRight w:val="0"/>
          <w:marTop w:val="0"/>
          <w:marBottom w:val="60"/>
          <w:divBdr>
            <w:top w:val="none" w:sz="0" w:space="0" w:color="auto"/>
            <w:left w:val="none" w:sz="0" w:space="0" w:color="auto"/>
            <w:bottom w:val="none" w:sz="0" w:space="0" w:color="auto"/>
            <w:right w:val="none" w:sz="0" w:space="0" w:color="auto"/>
          </w:divBdr>
        </w:div>
      </w:divsChild>
    </w:div>
    <w:div w:id="1350717053">
      <w:bodyDiv w:val="1"/>
      <w:marLeft w:val="0"/>
      <w:marRight w:val="0"/>
      <w:marTop w:val="0"/>
      <w:marBottom w:val="0"/>
      <w:divBdr>
        <w:top w:val="none" w:sz="0" w:space="0" w:color="auto"/>
        <w:left w:val="none" w:sz="0" w:space="0" w:color="auto"/>
        <w:bottom w:val="none" w:sz="0" w:space="0" w:color="auto"/>
        <w:right w:val="none" w:sz="0" w:space="0" w:color="auto"/>
      </w:divBdr>
    </w:div>
    <w:div w:id="1354070450">
      <w:bodyDiv w:val="1"/>
      <w:marLeft w:val="0"/>
      <w:marRight w:val="0"/>
      <w:marTop w:val="0"/>
      <w:marBottom w:val="0"/>
      <w:divBdr>
        <w:top w:val="none" w:sz="0" w:space="0" w:color="auto"/>
        <w:left w:val="none" w:sz="0" w:space="0" w:color="auto"/>
        <w:bottom w:val="none" w:sz="0" w:space="0" w:color="auto"/>
        <w:right w:val="none" w:sz="0" w:space="0" w:color="auto"/>
      </w:divBdr>
    </w:div>
    <w:div w:id="1415592691">
      <w:bodyDiv w:val="1"/>
      <w:marLeft w:val="0"/>
      <w:marRight w:val="0"/>
      <w:marTop w:val="0"/>
      <w:marBottom w:val="0"/>
      <w:divBdr>
        <w:top w:val="none" w:sz="0" w:space="0" w:color="auto"/>
        <w:left w:val="none" w:sz="0" w:space="0" w:color="auto"/>
        <w:bottom w:val="none" w:sz="0" w:space="0" w:color="auto"/>
        <w:right w:val="none" w:sz="0" w:space="0" w:color="auto"/>
      </w:divBdr>
    </w:div>
    <w:div w:id="1461411673">
      <w:bodyDiv w:val="1"/>
      <w:marLeft w:val="0"/>
      <w:marRight w:val="0"/>
      <w:marTop w:val="0"/>
      <w:marBottom w:val="0"/>
      <w:divBdr>
        <w:top w:val="none" w:sz="0" w:space="0" w:color="auto"/>
        <w:left w:val="none" w:sz="0" w:space="0" w:color="auto"/>
        <w:bottom w:val="none" w:sz="0" w:space="0" w:color="auto"/>
        <w:right w:val="none" w:sz="0" w:space="0" w:color="auto"/>
      </w:divBdr>
    </w:div>
    <w:div w:id="1541085903">
      <w:bodyDiv w:val="1"/>
      <w:marLeft w:val="0"/>
      <w:marRight w:val="0"/>
      <w:marTop w:val="0"/>
      <w:marBottom w:val="0"/>
      <w:divBdr>
        <w:top w:val="none" w:sz="0" w:space="0" w:color="auto"/>
        <w:left w:val="none" w:sz="0" w:space="0" w:color="auto"/>
        <w:bottom w:val="none" w:sz="0" w:space="0" w:color="auto"/>
        <w:right w:val="none" w:sz="0" w:space="0" w:color="auto"/>
      </w:divBdr>
    </w:div>
    <w:div w:id="1561137472">
      <w:bodyDiv w:val="1"/>
      <w:marLeft w:val="0"/>
      <w:marRight w:val="0"/>
      <w:marTop w:val="0"/>
      <w:marBottom w:val="0"/>
      <w:divBdr>
        <w:top w:val="none" w:sz="0" w:space="0" w:color="auto"/>
        <w:left w:val="none" w:sz="0" w:space="0" w:color="auto"/>
        <w:bottom w:val="none" w:sz="0" w:space="0" w:color="auto"/>
        <w:right w:val="none" w:sz="0" w:space="0" w:color="auto"/>
      </w:divBdr>
    </w:div>
    <w:div w:id="1629162040">
      <w:bodyDiv w:val="1"/>
      <w:marLeft w:val="0"/>
      <w:marRight w:val="0"/>
      <w:marTop w:val="0"/>
      <w:marBottom w:val="0"/>
      <w:divBdr>
        <w:top w:val="none" w:sz="0" w:space="0" w:color="auto"/>
        <w:left w:val="none" w:sz="0" w:space="0" w:color="auto"/>
        <w:bottom w:val="none" w:sz="0" w:space="0" w:color="auto"/>
        <w:right w:val="none" w:sz="0" w:space="0" w:color="auto"/>
      </w:divBdr>
    </w:div>
    <w:div w:id="1646158595">
      <w:bodyDiv w:val="1"/>
      <w:marLeft w:val="0"/>
      <w:marRight w:val="0"/>
      <w:marTop w:val="0"/>
      <w:marBottom w:val="0"/>
      <w:divBdr>
        <w:top w:val="none" w:sz="0" w:space="0" w:color="auto"/>
        <w:left w:val="none" w:sz="0" w:space="0" w:color="auto"/>
        <w:bottom w:val="none" w:sz="0" w:space="0" w:color="auto"/>
        <w:right w:val="none" w:sz="0" w:space="0" w:color="auto"/>
      </w:divBdr>
    </w:div>
    <w:div w:id="1667587295">
      <w:bodyDiv w:val="1"/>
      <w:marLeft w:val="0"/>
      <w:marRight w:val="0"/>
      <w:marTop w:val="0"/>
      <w:marBottom w:val="0"/>
      <w:divBdr>
        <w:top w:val="none" w:sz="0" w:space="0" w:color="auto"/>
        <w:left w:val="none" w:sz="0" w:space="0" w:color="auto"/>
        <w:bottom w:val="none" w:sz="0" w:space="0" w:color="auto"/>
        <w:right w:val="none" w:sz="0" w:space="0" w:color="auto"/>
      </w:divBdr>
    </w:div>
    <w:div w:id="1672484975">
      <w:bodyDiv w:val="1"/>
      <w:marLeft w:val="0"/>
      <w:marRight w:val="0"/>
      <w:marTop w:val="0"/>
      <w:marBottom w:val="0"/>
      <w:divBdr>
        <w:top w:val="none" w:sz="0" w:space="0" w:color="auto"/>
        <w:left w:val="none" w:sz="0" w:space="0" w:color="auto"/>
        <w:bottom w:val="none" w:sz="0" w:space="0" w:color="auto"/>
        <w:right w:val="none" w:sz="0" w:space="0" w:color="auto"/>
      </w:divBdr>
    </w:div>
    <w:div w:id="1729106179">
      <w:bodyDiv w:val="1"/>
      <w:marLeft w:val="0"/>
      <w:marRight w:val="0"/>
      <w:marTop w:val="0"/>
      <w:marBottom w:val="0"/>
      <w:divBdr>
        <w:top w:val="none" w:sz="0" w:space="0" w:color="auto"/>
        <w:left w:val="none" w:sz="0" w:space="0" w:color="auto"/>
        <w:bottom w:val="none" w:sz="0" w:space="0" w:color="auto"/>
        <w:right w:val="none" w:sz="0" w:space="0" w:color="auto"/>
      </w:divBdr>
    </w:div>
    <w:div w:id="1744257551">
      <w:bodyDiv w:val="1"/>
      <w:marLeft w:val="0"/>
      <w:marRight w:val="0"/>
      <w:marTop w:val="0"/>
      <w:marBottom w:val="0"/>
      <w:divBdr>
        <w:top w:val="none" w:sz="0" w:space="0" w:color="auto"/>
        <w:left w:val="none" w:sz="0" w:space="0" w:color="auto"/>
        <w:bottom w:val="none" w:sz="0" w:space="0" w:color="auto"/>
        <w:right w:val="none" w:sz="0" w:space="0" w:color="auto"/>
      </w:divBdr>
    </w:div>
    <w:div w:id="1756513969">
      <w:bodyDiv w:val="1"/>
      <w:marLeft w:val="0"/>
      <w:marRight w:val="0"/>
      <w:marTop w:val="0"/>
      <w:marBottom w:val="0"/>
      <w:divBdr>
        <w:top w:val="none" w:sz="0" w:space="0" w:color="auto"/>
        <w:left w:val="none" w:sz="0" w:space="0" w:color="auto"/>
        <w:bottom w:val="none" w:sz="0" w:space="0" w:color="auto"/>
        <w:right w:val="none" w:sz="0" w:space="0" w:color="auto"/>
      </w:divBdr>
    </w:div>
    <w:div w:id="1757481316">
      <w:bodyDiv w:val="1"/>
      <w:marLeft w:val="0"/>
      <w:marRight w:val="0"/>
      <w:marTop w:val="0"/>
      <w:marBottom w:val="0"/>
      <w:divBdr>
        <w:top w:val="none" w:sz="0" w:space="0" w:color="auto"/>
        <w:left w:val="none" w:sz="0" w:space="0" w:color="auto"/>
        <w:bottom w:val="none" w:sz="0" w:space="0" w:color="auto"/>
        <w:right w:val="none" w:sz="0" w:space="0" w:color="auto"/>
      </w:divBdr>
    </w:div>
    <w:div w:id="1772554748">
      <w:bodyDiv w:val="1"/>
      <w:marLeft w:val="0"/>
      <w:marRight w:val="0"/>
      <w:marTop w:val="0"/>
      <w:marBottom w:val="0"/>
      <w:divBdr>
        <w:top w:val="none" w:sz="0" w:space="0" w:color="auto"/>
        <w:left w:val="none" w:sz="0" w:space="0" w:color="auto"/>
        <w:bottom w:val="none" w:sz="0" w:space="0" w:color="auto"/>
        <w:right w:val="none" w:sz="0" w:space="0" w:color="auto"/>
      </w:divBdr>
    </w:div>
    <w:div w:id="1852596844">
      <w:bodyDiv w:val="1"/>
      <w:marLeft w:val="0"/>
      <w:marRight w:val="0"/>
      <w:marTop w:val="0"/>
      <w:marBottom w:val="0"/>
      <w:divBdr>
        <w:top w:val="none" w:sz="0" w:space="0" w:color="auto"/>
        <w:left w:val="none" w:sz="0" w:space="0" w:color="auto"/>
        <w:bottom w:val="none" w:sz="0" w:space="0" w:color="auto"/>
        <w:right w:val="none" w:sz="0" w:space="0" w:color="auto"/>
      </w:divBdr>
    </w:div>
    <w:div w:id="1923296398">
      <w:bodyDiv w:val="1"/>
      <w:marLeft w:val="0"/>
      <w:marRight w:val="0"/>
      <w:marTop w:val="0"/>
      <w:marBottom w:val="0"/>
      <w:divBdr>
        <w:top w:val="none" w:sz="0" w:space="0" w:color="auto"/>
        <w:left w:val="none" w:sz="0" w:space="0" w:color="auto"/>
        <w:bottom w:val="none" w:sz="0" w:space="0" w:color="auto"/>
        <w:right w:val="none" w:sz="0" w:space="0" w:color="auto"/>
      </w:divBdr>
    </w:div>
    <w:div w:id="1953316654">
      <w:bodyDiv w:val="1"/>
      <w:marLeft w:val="0"/>
      <w:marRight w:val="0"/>
      <w:marTop w:val="0"/>
      <w:marBottom w:val="0"/>
      <w:divBdr>
        <w:top w:val="none" w:sz="0" w:space="0" w:color="auto"/>
        <w:left w:val="none" w:sz="0" w:space="0" w:color="auto"/>
        <w:bottom w:val="none" w:sz="0" w:space="0" w:color="auto"/>
        <w:right w:val="none" w:sz="0" w:space="0" w:color="auto"/>
      </w:divBdr>
    </w:div>
    <w:div w:id="1959950204">
      <w:bodyDiv w:val="1"/>
      <w:marLeft w:val="0"/>
      <w:marRight w:val="0"/>
      <w:marTop w:val="0"/>
      <w:marBottom w:val="0"/>
      <w:divBdr>
        <w:top w:val="none" w:sz="0" w:space="0" w:color="auto"/>
        <w:left w:val="none" w:sz="0" w:space="0" w:color="auto"/>
        <w:bottom w:val="none" w:sz="0" w:space="0" w:color="auto"/>
        <w:right w:val="none" w:sz="0" w:space="0" w:color="auto"/>
      </w:divBdr>
    </w:div>
    <w:div w:id="2012248842">
      <w:bodyDiv w:val="1"/>
      <w:marLeft w:val="0"/>
      <w:marRight w:val="0"/>
      <w:marTop w:val="0"/>
      <w:marBottom w:val="0"/>
      <w:divBdr>
        <w:top w:val="none" w:sz="0" w:space="0" w:color="auto"/>
        <w:left w:val="none" w:sz="0" w:space="0" w:color="auto"/>
        <w:bottom w:val="none" w:sz="0" w:space="0" w:color="auto"/>
        <w:right w:val="none" w:sz="0" w:space="0" w:color="auto"/>
      </w:divBdr>
    </w:div>
    <w:div w:id="209153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yperlink" Target="file:///C:\Users\ognjen.jancic\Documents\kopija\Ognjen\memorandum\ERP%202025-2027\engleska%20verzija-ubacivanje%20tabela\2025_ERP_Annex_tables_RS.xlsx" TargetMode="External"/><Relationship Id="rId21" Type="http://schemas.openxmlformats.org/officeDocument/2006/relationships/chart" Target="charts/chart12.xml"/><Relationship Id="rId34" Type="http://schemas.openxmlformats.org/officeDocument/2006/relationships/hyperlink" Target="file:///C:\Users\ognjen.jancic\Documents\kopija\Ognjen\memorandum\ERP%202025-2027\engleska%20verzija-ubacivanje%20tabela\2025_ERP_Annex_tables_RS.xlsx" TargetMode="External"/><Relationship Id="rId42" Type="http://schemas.openxmlformats.org/officeDocument/2006/relationships/hyperlink" Target="file:///C:\Users\ognjen.jancic\Documents\kopija\Ognjen\memorandum\ERP%202025-2027\engleska%20verzija-ubacivanje%20tabela\2025_ERP_Annex_tables_RS.xlsx" TargetMode="External"/><Relationship Id="rId47" Type="http://schemas.openxmlformats.org/officeDocument/2006/relationships/hyperlink" Target="file:///C:\Users\ognjen.jancic\Documents\kopija\Ognjen\memorandum\ERP%202025-2027\engleska%20verzija-ubacivanje%20tabela\2025_ERP_Annex_tables_RS.xlsx" TargetMode="External"/><Relationship Id="rId50" Type="http://schemas.openxmlformats.org/officeDocument/2006/relationships/hyperlink" Target="mailto:ts@transparentnost.org.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8.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image" Target="media/image4.emf"/><Relationship Id="rId37" Type="http://schemas.openxmlformats.org/officeDocument/2006/relationships/hyperlink" Target="file:///C:\Users\ognjen.jancic\Documents\kopija\Ognjen\memorandum\ERP%202025-2027\engleska%20verzija-ubacivanje%20tabela\2025_ERP_Annex_tables_RS.xlsx" TargetMode="External"/><Relationship Id="rId40" Type="http://schemas.openxmlformats.org/officeDocument/2006/relationships/hyperlink" Target="file:///C:\Users\ognjen.jancic\Documents\kopija\Ognjen\memorandum\ERP%202025-2027\engleska%20verzija-ubacivanje%20tabela\2025_ERP_Annex_tables_RS.xlsx" TargetMode="External"/><Relationship Id="rId45" Type="http://schemas.openxmlformats.org/officeDocument/2006/relationships/hyperlink" Target="file:///C:\Users\ognjen.jancic\Documents\kopija\Ognjen\memorandum\ERP%202025-2027\engleska%20verzija-ubacivanje%20tabela\2025_ERP_Annex_tables_RS.xlsx" TargetMode="Externa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image" Target="media/image3.emf"/><Relationship Id="rId44" Type="http://schemas.openxmlformats.org/officeDocument/2006/relationships/hyperlink" Target="file:///C:\Users\ognjen.jancic\Documents\kopija\Ognjen\memorandum\ERP%202025-2027\engleska%20verzija-ubacivanje%20tabela\2025_ERP_Annex_tables_RS.xlsx"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footer" Target="footer2.xml"/><Relationship Id="rId30" Type="http://schemas.openxmlformats.org/officeDocument/2006/relationships/image" Target="media/image2.emf"/><Relationship Id="rId35" Type="http://schemas.openxmlformats.org/officeDocument/2006/relationships/hyperlink" Target="file:///C:\Users\ognjen.jancic\Documents\kopija\Ognjen\memorandum\ERP%202025-2027\engleska%20verzija-ubacivanje%20tabela\2025_ERP_Annex_tables_RS.xlsx" TargetMode="External"/><Relationship Id="rId43" Type="http://schemas.openxmlformats.org/officeDocument/2006/relationships/hyperlink" Target="file:///C:\Users\ognjen.jancic\Documents\kopija\Ognjen\memorandum\ERP%202025-2027\engleska%20verzija-ubacivanje%20tabela\2025_ERP_Annex_tables_RS.xlsx" TargetMode="External"/><Relationship Id="rId48" Type="http://schemas.openxmlformats.org/officeDocument/2006/relationships/hyperlink" Target="file:///C:\Users\ognjen.jancic\Documents\kopija\Ognjen\memorandum\ERP%202025-2027\engleska%20verzija-ubacivanje%20tabela\2025_ERP_Annex_tables_RS.xlsx" TargetMode="External"/><Relationship Id="rId56" Type="http://schemas.microsoft.com/office/2016/09/relationships/commentsIds" Target="commentsIds.xml"/><Relationship Id="rId8" Type="http://schemas.openxmlformats.org/officeDocument/2006/relationships/footer" Target="footer1.xml"/><Relationship Id="rId51" Type="http://schemas.openxmlformats.org/officeDocument/2006/relationships/hyperlink" Target="https://srbija2027.gov.rs/"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file:///C:\Users\ognjen.jancic\Documents\kopija\Ognjen\memorandum\ERP%202025-2027\engleska%20verzija-ubacivanje%20tabela\2025_ERP_Annex_tables_RS.xlsx" TargetMode="External"/><Relationship Id="rId38" Type="http://schemas.openxmlformats.org/officeDocument/2006/relationships/hyperlink" Target="file:///C:\Users\ognjen.jancic\Documents\kopija\Ognjen\memorandum\ERP%202025-2027\engleska%20verzija-ubacivanje%20tabela\2025_ERP_Annex_tables_RS.xlsx" TargetMode="External"/><Relationship Id="rId46" Type="http://schemas.openxmlformats.org/officeDocument/2006/relationships/hyperlink" Target="file:///C:\Users\ognjen.jancic\Documents\kopija\Ognjen\memorandum\ERP%202025-2027\engleska%20verzija-ubacivanje%20tabela\2025_ERP_Annex_tables_RS.xlsx" TargetMode="External"/><Relationship Id="rId20" Type="http://schemas.openxmlformats.org/officeDocument/2006/relationships/chart" Target="charts/chart11.xml"/><Relationship Id="rId41" Type="http://schemas.openxmlformats.org/officeDocument/2006/relationships/hyperlink" Target="file:///C:\Users\ognjen.jancic\Documents\kopija\Ognjen\memorandum\ERP%202025-2027\engleska%20verzija-ubacivanje%20tabela\2025_ERP_Annex_tables_RS.xls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gif"/><Relationship Id="rId23" Type="http://schemas.openxmlformats.org/officeDocument/2006/relationships/chart" Target="charts/chart14.xml"/><Relationship Id="rId28" Type="http://schemas.openxmlformats.org/officeDocument/2006/relationships/image" Target="media/image1.png"/><Relationship Id="rId36" Type="http://schemas.openxmlformats.org/officeDocument/2006/relationships/hyperlink" Target="file:///C:\Users\ognjen.jancic\Documents\kopija\Ognjen\memorandum\ERP%202025-2027\engleska%20verzija-ubacivanje%20tabela\2025_ERP_Annex_tables_RS.xlsx" TargetMode="External"/><Relationship Id="rId49"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sara.radulovic\Dropbox\Makro%20sektor\6.2.1%20Fiskalna%202025-2027%20revidirana\Makro%20radni%20fajlovi\GRAFIKONI_MAKRO_okt24.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8.xml"/><Relationship Id="rId4" Type="http://schemas.openxmlformats.org/officeDocument/2006/relationships/oleObject" Target="file:///C:\Users\danilo.vukojcic\Desktop\Grafikoni%20ciklicnog%20deficita,%20poreske%20elasticnosti%20i%20osetljivost%20balansa%20novi%20BDP.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9.xml"/><Relationship Id="rId4" Type="http://schemas.openxmlformats.org/officeDocument/2006/relationships/oleObject" Target="file:///C:\Users\danilo.vukojcic\Desktop\Grafikoni%20ciklicnog%20deficita,%20poreske%20elasticnosti%20i%20osetljivost%20balansa%20novi%20BDP.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0.xml"/><Relationship Id="rId4" Type="http://schemas.openxmlformats.org/officeDocument/2006/relationships/oleObject" Target="file:///C:\Users\danilo.vukojcic\Desktop\Grafikoni%20ciklicnog%20deficita,%20poreske%20elasticnosti%20i%20osetljivost%20balansa%20novi%20BDP.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Oliver%20Mini&#263;\Desktop\STRATEGIJA%202025-2027\AZURIRANA\STRAT20233-2025.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ognjen.jancic\AppData\Local\Microsoft\Windows\INetCache\Content.Outlook\0308J1K6\Priloz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11.xml"/><Relationship Id="rId4" Type="http://schemas.openxmlformats.org/officeDocument/2006/relationships/oleObject" Target="../embeddings/oleObject4.bin"/></Relationships>
</file>

<file path=word/charts/_rels/chart18.xml.rels><?xml version="1.0" encoding="UTF-8" standalone="yes"?>
<Relationships xmlns="http://schemas.openxmlformats.org/package/2006/relationships"><Relationship Id="rId3" Type="http://schemas.openxmlformats.org/officeDocument/2006/relationships/oleObject" Target="file:///C:\Users\ivan.krstic\Desktop\grafikon%20rade%20ERP%201.2.2%20Calculation.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sara.radulovic\Dropbox\Makro%20sektor\6.2.1%20Fiskalna%202025-2027%20revidirana\Makro%20radni%20fajlovi\GRAFIKONI_MAKRO_okt2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sara.radulovic\Dropbox\Makro%20sektor\6.2.1%20Fiskalna%202025-2027%20revidirana\Makro%20radni%20fajlovi\GRAFIKONI_MAKRO_okt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ade.ciric\Dropbox\Makro%20sektor\1.%20Baze%20makro\BDP\Projekcija\6.%20BDP%20(dynamic%20fan%20char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5.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6.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6.4226765095589625E-2"/>
          <c:w val="0.90740810185185183"/>
          <c:h val="0.67435973878478139"/>
        </c:manualLayout>
      </c:layout>
      <c:barChart>
        <c:barDir val="col"/>
        <c:grouping val="stacked"/>
        <c:varyColors val="0"/>
        <c:ser>
          <c:idx val="0"/>
          <c:order val="0"/>
          <c:tx>
            <c:strRef>
              <c:f>BDP_doprinosi!$Q$34</c:f>
              <c:strCache>
                <c:ptCount val="1"/>
                <c:pt idx="0">
                  <c:v>Agriculture</c:v>
                </c:pt>
              </c:strCache>
            </c:strRef>
          </c:tx>
          <c:spPr>
            <a:solidFill>
              <a:srgbClr val="10103C"/>
            </a:solidFill>
            <a:ln>
              <a:noFill/>
            </a:ln>
            <a:effectLst/>
          </c:spPr>
          <c:invertIfNegative val="0"/>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BDP_doprinosi!$AF$34:$AL$34</c:f>
              <c:numCache>
                <c:formatCode>0.0</c:formatCode>
                <c:ptCount val="7"/>
                <c:pt idx="0">
                  <c:v>-0.12332786204156268</c:v>
                </c:pt>
                <c:pt idx="1">
                  <c:v>-0.3905003996335783</c:v>
                </c:pt>
                <c:pt idx="2">
                  <c:v>0.39724555358175428</c:v>
                </c:pt>
                <c:pt idx="3">
                  <c:v>-0.31260656234371642</c:v>
                </c:pt>
                <c:pt idx="4">
                  <c:v>0.22976030023849123</c:v>
                </c:pt>
                <c:pt idx="5">
                  <c:v>0</c:v>
                </c:pt>
                <c:pt idx="6">
                  <c:v>-2.2092336561393387E-3</c:v>
                </c:pt>
              </c:numCache>
            </c:numRef>
          </c:val>
          <c:extLst>
            <c:ext xmlns:c16="http://schemas.microsoft.com/office/drawing/2014/chart" uri="{C3380CC4-5D6E-409C-BE32-E72D297353CC}">
              <c16:uniqueId val="{00000000-AB6E-4623-9B0E-F5827B9401C4}"/>
            </c:ext>
          </c:extLst>
        </c:ser>
        <c:ser>
          <c:idx val="1"/>
          <c:order val="1"/>
          <c:tx>
            <c:strRef>
              <c:f>BDP_doprinosi!$Q$35</c:f>
              <c:strCache>
                <c:ptCount val="1"/>
                <c:pt idx="0">
                  <c:v>Industry</c:v>
                </c:pt>
              </c:strCache>
            </c:strRef>
          </c:tx>
          <c:spPr>
            <a:solidFill>
              <a:srgbClr val="29489A"/>
            </a:solidFill>
            <a:ln>
              <a:noFill/>
            </a:ln>
            <a:effectLst/>
          </c:spPr>
          <c:invertIfNegative val="0"/>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BDP_doprinosi!$AF$35:$AL$35</c:f>
              <c:numCache>
                <c:formatCode>0.0</c:formatCode>
                <c:ptCount val="7"/>
                <c:pt idx="0">
                  <c:v>1.2218163879079065</c:v>
                </c:pt>
                <c:pt idx="1">
                  <c:v>0.81446630973366285</c:v>
                </c:pt>
                <c:pt idx="2">
                  <c:v>0.42758436892858137</c:v>
                </c:pt>
                <c:pt idx="3">
                  <c:v>0.53245571624655363</c:v>
                </c:pt>
                <c:pt idx="4">
                  <c:v>0.80370674150423194</c:v>
                </c:pt>
                <c:pt idx="5">
                  <c:v>0.86398474711704931</c:v>
                </c:pt>
                <c:pt idx="6">
                  <c:v>0.97248515722012063</c:v>
                </c:pt>
              </c:numCache>
            </c:numRef>
          </c:val>
          <c:extLst>
            <c:ext xmlns:c16="http://schemas.microsoft.com/office/drawing/2014/chart" uri="{C3380CC4-5D6E-409C-BE32-E72D297353CC}">
              <c16:uniqueId val="{00000001-AB6E-4623-9B0E-F5827B9401C4}"/>
            </c:ext>
          </c:extLst>
        </c:ser>
        <c:ser>
          <c:idx val="2"/>
          <c:order val="2"/>
          <c:tx>
            <c:strRef>
              <c:f>BDP_doprinosi!$Q$36</c:f>
              <c:strCache>
                <c:ptCount val="1"/>
                <c:pt idx="0">
                  <c:v>Construction</c:v>
                </c:pt>
              </c:strCache>
            </c:strRef>
          </c:tx>
          <c:spPr>
            <a:solidFill>
              <a:srgbClr val="2183C4"/>
            </a:solidFill>
            <a:ln>
              <a:noFill/>
            </a:ln>
            <a:effectLst/>
          </c:spPr>
          <c:invertIfNegative val="0"/>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BDP_doprinosi!$AF$36:$AL$36</c:f>
              <c:numCache>
                <c:formatCode>0.0</c:formatCode>
                <c:ptCount val="7"/>
                <c:pt idx="0">
                  <c:v>0.8785132427906609</c:v>
                </c:pt>
                <c:pt idx="1">
                  <c:v>-0.51995400260096358</c:v>
                </c:pt>
                <c:pt idx="2">
                  <c:v>0.50184602353374486</c:v>
                </c:pt>
                <c:pt idx="3">
                  <c:v>0.46486332912185474</c:v>
                </c:pt>
                <c:pt idx="4">
                  <c:v>0.42722669197194529</c:v>
                </c:pt>
                <c:pt idx="5">
                  <c:v>0.37128033945180955</c:v>
                </c:pt>
                <c:pt idx="6">
                  <c:v>0.36619430740452452</c:v>
                </c:pt>
              </c:numCache>
            </c:numRef>
          </c:val>
          <c:extLst>
            <c:ext xmlns:c16="http://schemas.microsoft.com/office/drawing/2014/chart" uri="{C3380CC4-5D6E-409C-BE32-E72D297353CC}">
              <c16:uniqueId val="{00000002-AB6E-4623-9B0E-F5827B9401C4}"/>
            </c:ext>
          </c:extLst>
        </c:ser>
        <c:ser>
          <c:idx val="3"/>
          <c:order val="3"/>
          <c:tx>
            <c:strRef>
              <c:f>BDP_doprinosi!$Q$37</c:f>
              <c:strCache>
                <c:ptCount val="1"/>
                <c:pt idx="0">
                  <c:v>Services</c:v>
                </c:pt>
              </c:strCache>
            </c:strRef>
          </c:tx>
          <c:spPr>
            <a:solidFill>
              <a:srgbClr val="51BBE7"/>
            </a:solidFill>
            <a:ln>
              <a:noFill/>
            </a:ln>
            <a:effectLst/>
          </c:spPr>
          <c:invertIfNegative val="0"/>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BDP_doprinosi!$AF$37:$AL$37</c:f>
              <c:numCache>
                <c:formatCode>0.0</c:formatCode>
                <c:ptCount val="7"/>
                <c:pt idx="0">
                  <c:v>4.6475232521804202</c:v>
                </c:pt>
                <c:pt idx="1">
                  <c:v>2.2070509475026205</c:v>
                </c:pt>
                <c:pt idx="2">
                  <c:v>2.7753935944784551</c:v>
                </c:pt>
                <c:pt idx="3">
                  <c:v>2.384230656617937</c:v>
                </c:pt>
                <c:pt idx="4">
                  <c:v>2.2084348478350475</c:v>
                </c:pt>
                <c:pt idx="5">
                  <c:v>2.274358276128631</c:v>
                </c:pt>
                <c:pt idx="6">
                  <c:v>2.9885287493091193</c:v>
                </c:pt>
              </c:numCache>
            </c:numRef>
          </c:val>
          <c:extLst>
            <c:ext xmlns:c16="http://schemas.microsoft.com/office/drawing/2014/chart" uri="{C3380CC4-5D6E-409C-BE32-E72D297353CC}">
              <c16:uniqueId val="{00000003-AB6E-4623-9B0E-F5827B9401C4}"/>
            </c:ext>
          </c:extLst>
        </c:ser>
        <c:ser>
          <c:idx val="4"/>
          <c:order val="4"/>
          <c:tx>
            <c:strRef>
              <c:f>BDP_doprinosi!$Q$38</c:f>
              <c:strCache>
                <c:ptCount val="1"/>
                <c:pt idx="0">
                  <c:v>Net taxes</c:v>
                </c:pt>
              </c:strCache>
            </c:strRef>
          </c:tx>
          <c:spPr>
            <a:solidFill>
              <a:srgbClr val="9ED1E6"/>
            </a:solidFill>
            <a:ln>
              <a:noFill/>
            </a:ln>
            <a:effectLst/>
          </c:spPr>
          <c:invertIfNegative val="0"/>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BDP_doprinosi!$AF$38:$AL$38</c:f>
              <c:numCache>
                <c:formatCode>0.0</c:formatCode>
                <c:ptCount val="7"/>
                <c:pt idx="0">
                  <c:v>1.3245271512478285</c:v>
                </c:pt>
                <c:pt idx="1">
                  <c:v>0.51992206841094535</c:v>
                </c:pt>
                <c:pt idx="2">
                  <c:v>-0.25460123616495017</c:v>
                </c:pt>
                <c:pt idx="3">
                  <c:v>0.7</c:v>
                </c:pt>
                <c:pt idx="4">
                  <c:v>0.55437406649441945</c:v>
                </c:pt>
                <c:pt idx="5">
                  <c:v>0.52565002159833563</c:v>
                </c:pt>
                <c:pt idx="6">
                  <c:v>0.63623759444825856</c:v>
                </c:pt>
              </c:numCache>
            </c:numRef>
          </c:val>
          <c:extLst>
            <c:ext xmlns:c16="http://schemas.microsoft.com/office/drawing/2014/chart" uri="{C3380CC4-5D6E-409C-BE32-E72D297353CC}">
              <c16:uniqueId val="{00000004-AB6E-4623-9B0E-F5827B9401C4}"/>
            </c:ext>
          </c:extLst>
        </c:ser>
        <c:dLbls>
          <c:showLegendKey val="0"/>
          <c:showVal val="0"/>
          <c:showCatName val="0"/>
          <c:showSerName val="0"/>
          <c:showPercent val="0"/>
          <c:showBubbleSize val="0"/>
        </c:dLbls>
        <c:gapWidth val="60"/>
        <c:overlap val="100"/>
        <c:axId val="1768832224"/>
        <c:axId val="1961445552"/>
      </c:barChart>
      <c:lineChart>
        <c:grouping val="standard"/>
        <c:varyColors val="0"/>
        <c:ser>
          <c:idx val="5"/>
          <c:order val="5"/>
          <c:tx>
            <c:strRef>
              <c:f>BDP_doprinosi!$Q$39</c:f>
              <c:strCache>
                <c:ptCount val="1"/>
                <c:pt idx="0">
                  <c:v>Real GDP growth</c:v>
                </c:pt>
              </c:strCache>
            </c:strRef>
          </c:tx>
          <c:spPr>
            <a:ln w="25400"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BDP_doprinosi!$AF$39:$AL$39</c:f>
              <c:numCache>
                <c:formatCode>0.0</c:formatCode>
                <c:ptCount val="7"/>
                <c:pt idx="0">
                  <c:v>7.9490556418090472</c:v>
                </c:pt>
                <c:pt idx="1">
                  <c:v>2.6309864440884008</c:v>
                </c:pt>
                <c:pt idx="2">
                  <c:v>3.8474723264728401</c:v>
                </c:pt>
                <c:pt idx="3">
                  <c:v>3.7689431396426292</c:v>
                </c:pt>
                <c:pt idx="4">
                  <c:v>4.2235026480441356</c:v>
                </c:pt>
                <c:pt idx="5">
                  <c:v>4.0352733842958255</c:v>
                </c:pt>
                <c:pt idx="6">
                  <c:v>4.9612365747258842</c:v>
                </c:pt>
              </c:numCache>
            </c:numRef>
          </c:val>
          <c:smooth val="0"/>
          <c:extLst>
            <c:ext xmlns:c16="http://schemas.microsoft.com/office/drawing/2014/chart" uri="{C3380CC4-5D6E-409C-BE32-E72D297353CC}">
              <c16:uniqueId val="{00000005-AB6E-4623-9B0E-F5827B9401C4}"/>
            </c:ext>
          </c:extLst>
        </c:ser>
        <c:dLbls>
          <c:showLegendKey val="0"/>
          <c:showVal val="0"/>
          <c:showCatName val="0"/>
          <c:showSerName val="0"/>
          <c:showPercent val="0"/>
          <c:showBubbleSize val="0"/>
        </c:dLbls>
        <c:marker val="1"/>
        <c:smooth val="0"/>
        <c:axId val="1768832224"/>
        <c:axId val="1961445552"/>
      </c:lineChart>
      <c:catAx>
        <c:axId val="1768832224"/>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1961445552"/>
        <c:crosses val="autoZero"/>
        <c:auto val="1"/>
        <c:lblAlgn val="ctr"/>
        <c:lblOffset val="100"/>
        <c:noMultiLvlLbl val="0"/>
      </c:catAx>
      <c:valAx>
        <c:axId val="1961445552"/>
        <c:scaling>
          <c:orientation val="minMax"/>
          <c:max val="9"/>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1768832224"/>
        <c:crosses val="autoZero"/>
        <c:crossBetween val="between"/>
        <c:majorUnit val="2"/>
      </c:valAx>
      <c:spPr>
        <a:noFill/>
        <a:ln>
          <a:noFill/>
        </a:ln>
        <a:effectLst/>
      </c:spPr>
    </c:plotArea>
    <c:legend>
      <c:legendPos val="b"/>
      <c:layout>
        <c:manualLayout>
          <c:xMode val="edge"/>
          <c:yMode val="edge"/>
          <c:x val="4.5115193934091562E-3"/>
          <c:y val="0.84764764338444065"/>
          <c:w val="0.96771070282881311"/>
          <c:h val="0.14815256483058867"/>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033714179804967E-2"/>
          <c:y val="0.10598834128245893"/>
          <c:w val="0.86085801063022016"/>
          <c:h val="0.71439104690610022"/>
        </c:manualLayout>
      </c:layout>
      <c:barChart>
        <c:barDir val="col"/>
        <c:grouping val="clustered"/>
        <c:varyColors val="0"/>
        <c:ser>
          <c:idx val="0"/>
          <c:order val="0"/>
          <c:tx>
            <c:strRef>
              <c:f>'мемо 2011-2016'!$D$50</c:f>
              <c:strCache>
                <c:ptCount val="1"/>
                <c:pt idx="0">
                  <c:v>debt</c:v>
                </c:pt>
              </c:strCache>
            </c:strRef>
          </c:tx>
          <c:spPr>
            <a:solidFill>
              <a:schemeClr val="tx2"/>
            </a:solidFill>
          </c:spPr>
          <c:invertIfNegative val="0"/>
          <c:dLbls>
            <c:numFmt formatCode="#,##0.0" sourceLinked="0"/>
            <c:spPr>
              <a:noFill/>
              <a:ln>
                <a:noFill/>
              </a:ln>
              <a:effectLst/>
            </c:spPr>
            <c:txPr>
              <a:bodyPr/>
              <a:lstStyle/>
              <a:p>
                <a:pPr>
                  <a:defRPr>
                    <a:solidFill>
                      <a:schemeClr val="bg1"/>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2011-2016'!$J$48:$V$48</c:f>
              <c:numCache>
                <c:formatCode>General</c:formatCode>
                <c:ptCount val="13"/>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numCache>
            </c:numRef>
          </c:cat>
          <c:val>
            <c:numRef>
              <c:f>'мемо 2011-2016'!$J$50:$V$50</c:f>
              <c:numCache>
                <c:formatCode>#,##0.0</c:formatCode>
                <c:ptCount val="13"/>
                <c:pt idx="0">
                  <c:v>68.3698246708542</c:v>
                </c:pt>
                <c:pt idx="1">
                  <c:v>66.204612229090003</c:v>
                </c:pt>
                <c:pt idx="2">
                  <c:v>56.328463654534431</c:v>
                </c:pt>
                <c:pt idx="3" formatCode="0.0">
                  <c:v>52.142562046645665</c:v>
                </c:pt>
                <c:pt idx="4" formatCode="0.0">
                  <c:v>50.517490084354399</c:v>
                </c:pt>
                <c:pt idx="5" formatCode="0.0">
                  <c:v>55.189879391575488</c:v>
                </c:pt>
                <c:pt idx="6" formatCode="0.0">
                  <c:v>54.46703770748725</c:v>
                </c:pt>
                <c:pt idx="7" formatCode="0.0">
                  <c:v>52.901616882676905</c:v>
                </c:pt>
                <c:pt idx="8" formatCode="0.0">
                  <c:v>48.386002589196323</c:v>
                </c:pt>
                <c:pt idx="9" formatCode="General">
                  <c:v>47.9</c:v>
                </c:pt>
                <c:pt idx="10" formatCode="General">
                  <c:v>47.5</c:v>
                </c:pt>
                <c:pt idx="11" formatCode="General">
                  <c:v>47</c:v>
                </c:pt>
                <c:pt idx="12" formatCode="General">
                  <c:v>46.5</c:v>
                </c:pt>
              </c:numCache>
            </c:numRef>
          </c:val>
          <c:extLst>
            <c:ext xmlns:c16="http://schemas.microsoft.com/office/drawing/2014/chart" uri="{C3380CC4-5D6E-409C-BE32-E72D297353CC}">
              <c16:uniqueId val="{00000000-FCEA-43E6-A479-EE812F2A44C9}"/>
            </c:ext>
          </c:extLst>
        </c:ser>
        <c:dLbls>
          <c:showLegendKey val="0"/>
          <c:showVal val="0"/>
          <c:showCatName val="0"/>
          <c:showSerName val="0"/>
          <c:showPercent val="0"/>
          <c:showBubbleSize val="0"/>
        </c:dLbls>
        <c:gapWidth val="34"/>
        <c:overlap val="50"/>
        <c:axId val="430644800"/>
        <c:axId val="430645584"/>
      </c:barChart>
      <c:lineChart>
        <c:grouping val="standard"/>
        <c:varyColors val="0"/>
        <c:ser>
          <c:idx val="2"/>
          <c:order val="1"/>
          <c:tx>
            <c:strRef>
              <c:f>'мемо 2011-2016'!$D$49</c:f>
              <c:strCache>
                <c:ptCount val="1"/>
                <c:pt idx="0">
                  <c:v>result (rhs) </c:v>
                </c:pt>
              </c:strCache>
            </c:strRef>
          </c:tx>
          <c:spPr>
            <a:ln>
              <a:solidFill>
                <a:srgbClr val="FF0000"/>
              </a:solidFill>
            </a:ln>
          </c:spPr>
          <c:marker>
            <c:symbol val="none"/>
          </c:marker>
          <c:dLbls>
            <c:dLbl>
              <c:idx val="0"/>
              <c:layout>
                <c:manualLayout>
                  <c:x val="-3.0712772503040119E-2"/>
                  <c:y val="-0.20271333270841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EA-43E6-A479-EE812F2A44C9}"/>
                </c:ext>
              </c:extLst>
            </c:dLbl>
            <c:dLbl>
              <c:idx val="1"/>
              <c:layout>
                <c:manualLayout>
                  <c:x val="-2.0260047399988355E-2"/>
                  <c:y val="3.0716082364704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EA-43E6-A479-EE812F2A44C9}"/>
                </c:ext>
              </c:extLst>
            </c:dLbl>
            <c:dLbl>
              <c:idx val="2"/>
              <c:layout>
                <c:manualLayout>
                  <c:x val="-2.7120391267855901E-2"/>
                  <c:y val="-4.1059320709911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EA-43E6-A479-EE812F2A44C9}"/>
                </c:ext>
              </c:extLst>
            </c:dLbl>
            <c:dLbl>
              <c:idx val="3"/>
              <c:layout>
                <c:manualLayout>
                  <c:x val="-2.9741101802715976E-2"/>
                  <c:y val="-3.480111861017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EA-43E6-A479-EE812F2A44C9}"/>
                </c:ext>
              </c:extLst>
            </c:dLbl>
            <c:dLbl>
              <c:idx val="4"/>
              <c:layout>
                <c:manualLayout>
                  <c:x val="1.2897678417884782E-2"/>
                  <c:y val="3.9840637450199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EA-43E6-A479-EE812F2A44C9}"/>
                </c:ext>
              </c:extLst>
            </c:dLbl>
            <c:dLbl>
              <c:idx val="5"/>
              <c:layout>
                <c:manualLayout>
                  <c:x val="-2.2819738030908168E-2"/>
                  <c:y val="-0.246127437195350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EA-43E6-A479-EE812F2A44C9}"/>
                </c:ext>
              </c:extLst>
            </c:dLbl>
            <c:dLbl>
              <c:idx val="6"/>
              <c:layout>
                <c:manualLayout>
                  <c:x val="-4.8128609256022019E-2"/>
                  <c:y val="-0.100440960504936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EA-43E6-A479-EE812F2A44C9}"/>
                </c:ext>
              </c:extLst>
            </c:dLbl>
            <c:dLbl>
              <c:idx val="7"/>
              <c:layout>
                <c:manualLayout>
                  <c:x val="-3.5962383293181688E-2"/>
                  <c:y val="4.472175353080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EA-43E6-A479-EE812F2A44C9}"/>
                </c:ext>
              </c:extLst>
            </c:dLbl>
            <c:dLbl>
              <c:idx val="8"/>
              <c:layout>
                <c:manualLayout>
                  <c:x val="-4.6972009384891232E-2"/>
                  <c:y val="-5.4563492063492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EA-43E6-A479-EE812F2A44C9}"/>
                </c:ext>
              </c:extLst>
            </c:dLbl>
            <c:dLbl>
              <c:idx val="9"/>
              <c:layout>
                <c:manualLayout>
                  <c:x val="-6.5949176708540794E-2"/>
                  <c:y val="3.968253968253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EA-43E6-A479-EE812F2A44C9}"/>
                </c:ext>
              </c:extLst>
            </c:dLbl>
            <c:dLbl>
              <c:idx val="10"/>
              <c:layout>
                <c:manualLayout>
                  <c:x val="-5.4676837747560297E-2"/>
                  <c:y val="-4.4642857142857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EA-43E6-A479-EE812F2A44C9}"/>
                </c:ext>
              </c:extLst>
            </c:dLbl>
            <c:dLbl>
              <c:idx val="11"/>
              <c:layout>
                <c:manualLayout>
                  <c:x val="-5.0327152912383467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CEA-43E6-A479-EE812F2A44C9}"/>
                </c:ext>
              </c:extLst>
            </c:dLbl>
            <c:dLbl>
              <c:idx val="12"/>
              <c:layout>
                <c:manualLayout>
                  <c:x val="-3.3551435274922312E-2"/>
                  <c:y val="-3.47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CEA-43E6-A479-EE812F2A44C9}"/>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'мемо 2011-2016'!$J$49:$V$49</c:f>
              <c:numCache>
                <c:formatCode>#,##0.0</c:formatCode>
                <c:ptCount val="13"/>
                <c:pt idx="0">
                  <c:v>-2.557417627587272</c:v>
                </c:pt>
                <c:pt idx="1">
                  <c:v>-0.16913184189638014</c:v>
                </c:pt>
                <c:pt idx="2">
                  <c:v>0.68458207492879064</c:v>
                </c:pt>
                <c:pt idx="3" formatCode="0.0">
                  <c:v>0.60862356693344921</c:v>
                </c:pt>
                <c:pt idx="4">
                  <c:v>0.22493517567960261</c:v>
                </c:pt>
                <c:pt idx="5">
                  <c:v>-7.9648699404583674</c:v>
                </c:pt>
                <c:pt idx="6">
                  <c:v>-4.3503022355620589</c:v>
                </c:pt>
                <c:pt idx="7">
                  <c:v>-3.1529011090095045</c:v>
                </c:pt>
                <c:pt idx="8" formatCode="0.0">
                  <c:v>-2.033566199063217</c:v>
                </c:pt>
                <c:pt idx="9" formatCode="General">
                  <c:v>-2.7</c:v>
                </c:pt>
                <c:pt idx="10" formatCode="General">
                  <c:v>-3</c:v>
                </c:pt>
                <c:pt idx="11" formatCode="General">
                  <c:v>-3</c:v>
                </c:pt>
                <c:pt idx="12" formatCode="General">
                  <c:v>-3</c:v>
                </c:pt>
              </c:numCache>
            </c:numRef>
          </c:val>
          <c:smooth val="1"/>
          <c:extLst>
            <c:ext xmlns:c16="http://schemas.microsoft.com/office/drawing/2014/chart" uri="{C3380CC4-5D6E-409C-BE32-E72D297353CC}">
              <c16:uniqueId val="{0000000E-FCEA-43E6-A479-EE812F2A44C9}"/>
            </c:ext>
          </c:extLst>
        </c:ser>
        <c:ser>
          <c:idx val="1"/>
          <c:order val="2"/>
          <c:tx>
            <c:strRef>
              <c:f>'мемо 2011-2016'!$D$51</c:f>
              <c:strCache>
                <c:ptCount val="1"/>
                <c:pt idx="0">
                  <c:v>balance</c:v>
                </c:pt>
              </c:strCache>
            </c:strRef>
          </c:tx>
          <c:spPr>
            <a:ln w="22225">
              <a:solidFill>
                <a:schemeClr val="tx1"/>
              </a:solidFill>
            </a:ln>
          </c:spPr>
          <c:marker>
            <c:symbol val="none"/>
          </c:marker>
          <c:val>
            <c:numRef>
              <c:f>'мемо 2011-2016'!$J$51:$V$51</c:f>
              <c:numCache>
                <c:formatCode>#,##0.0</c:formatCode>
                <c:ptCount val="13"/>
                <c:pt idx="0">
                  <c:v>0</c:v>
                </c:pt>
                <c:pt idx="1">
                  <c:v>0</c:v>
                </c:pt>
                <c:pt idx="2">
                  <c:v>0</c:v>
                </c:pt>
                <c:pt idx="3">
                  <c:v>0</c:v>
                </c:pt>
                <c:pt idx="4">
                  <c:v>0</c:v>
                </c:pt>
                <c:pt idx="5">
                  <c:v>0</c:v>
                </c:pt>
                <c:pt idx="6">
                  <c:v>0</c:v>
                </c:pt>
                <c:pt idx="7">
                  <c:v>0</c:v>
                </c:pt>
                <c:pt idx="8" formatCode="General">
                  <c:v>0</c:v>
                </c:pt>
                <c:pt idx="9" formatCode="General">
                  <c:v>0</c:v>
                </c:pt>
                <c:pt idx="10" formatCode="General">
                  <c:v>0</c:v>
                </c:pt>
                <c:pt idx="11" formatCode="General">
                  <c:v>0</c:v>
                </c:pt>
                <c:pt idx="12" formatCode="General">
                  <c:v>0</c:v>
                </c:pt>
              </c:numCache>
            </c:numRef>
          </c:val>
          <c:smooth val="0"/>
          <c:extLst>
            <c:ext xmlns:c16="http://schemas.microsoft.com/office/drawing/2014/chart" uri="{C3380CC4-5D6E-409C-BE32-E72D297353CC}">
              <c16:uniqueId val="{0000000F-FCEA-43E6-A479-EE812F2A44C9}"/>
            </c:ext>
          </c:extLst>
        </c:ser>
        <c:dLbls>
          <c:showLegendKey val="0"/>
          <c:showVal val="0"/>
          <c:showCatName val="0"/>
          <c:showSerName val="0"/>
          <c:showPercent val="0"/>
          <c:showBubbleSize val="0"/>
        </c:dLbls>
        <c:marker val="1"/>
        <c:smooth val="0"/>
        <c:axId val="426079336"/>
        <c:axId val="426078160"/>
      </c:lineChart>
      <c:catAx>
        <c:axId val="430644800"/>
        <c:scaling>
          <c:orientation val="minMax"/>
        </c:scaling>
        <c:delete val="0"/>
        <c:axPos val="b"/>
        <c:numFmt formatCode="General" sourceLinked="1"/>
        <c:majorTickMark val="out"/>
        <c:minorTickMark val="none"/>
        <c:tickLblPos val="nextTo"/>
        <c:spPr>
          <a:ln>
            <a:noFill/>
          </a:ln>
        </c:spPr>
        <c:crossAx val="430645584"/>
        <c:crossesAt val="0"/>
        <c:auto val="1"/>
        <c:lblAlgn val="ctr"/>
        <c:lblOffset val="100"/>
        <c:noMultiLvlLbl val="0"/>
      </c:catAx>
      <c:valAx>
        <c:axId val="430645584"/>
        <c:scaling>
          <c:orientation val="minMax"/>
          <c:max val="80"/>
          <c:min val="40"/>
        </c:scaling>
        <c:delete val="0"/>
        <c:axPos val="l"/>
        <c:majorGridlines>
          <c:spPr>
            <a:ln>
              <a:noFill/>
            </a:ln>
          </c:spPr>
        </c:majorGridlines>
        <c:numFmt formatCode="#,##0" sourceLinked="0"/>
        <c:majorTickMark val="out"/>
        <c:minorTickMark val="none"/>
        <c:tickLblPos val="nextTo"/>
        <c:spPr>
          <a:ln>
            <a:noFill/>
          </a:ln>
        </c:spPr>
        <c:crossAx val="430644800"/>
        <c:crosses val="autoZero"/>
        <c:crossBetween val="between"/>
        <c:majorUnit val="5"/>
      </c:valAx>
      <c:valAx>
        <c:axId val="426078160"/>
        <c:scaling>
          <c:orientation val="minMax"/>
        </c:scaling>
        <c:delete val="0"/>
        <c:axPos val="r"/>
        <c:numFmt formatCode="#,##0" sourceLinked="0"/>
        <c:majorTickMark val="out"/>
        <c:minorTickMark val="none"/>
        <c:tickLblPos val="nextTo"/>
        <c:spPr>
          <a:ln>
            <a:noFill/>
          </a:ln>
        </c:spPr>
        <c:crossAx val="426079336"/>
        <c:crosses val="max"/>
        <c:crossBetween val="between"/>
      </c:valAx>
      <c:catAx>
        <c:axId val="426079336"/>
        <c:scaling>
          <c:orientation val="minMax"/>
        </c:scaling>
        <c:delete val="1"/>
        <c:axPos val="b"/>
        <c:majorTickMark val="out"/>
        <c:minorTickMark val="none"/>
        <c:tickLblPos val="nextTo"/>
        <c:crossAx val="426078160"/>
        <c:crosses val="autoZero"/>
        <c:auto val="1"/>
        <c:lblAlgn val="ctr"/>
        <c:lblOffset val="100"/>
        <c:noMultiLvlLbl val="0"/>
      </c:catAx>
      <c:spPr>
        <a:noFill/>
        <a:ln>
          <a:noFill/>
        </a:ln>
      </c:spPr>
    </c:plotArea>
    <c:legend>
      <c:legendPos val="b"/>
      <c:overlay val="0"/>
    </c:legend>
    <c:plotVisOnly val="1"/>
    <c:dispBlanksAs val="gap"/>
    <c:showDLblsOverMax val="0"/>
  </c:chart>
  <c:spPr>
    <a:ln>
      <a:noFill/>
    </a:ln>
  </c:spPr>
  <c:txPr>
    <a:bodyPr/>
    <a:lstStyle/>
    <a:p>
      <a:pPr>
        <a:defRPr sz="700" baseline="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694913857576771E-2"/>
          <c:y val="0.12195169524878018"/>
          <c:w val="0.89742630688838176"/>
          <c:h val="0.72252618511373012"/>
        </c:manualLayout>
      </c:layout>
      <c:areaChart>
        <c:grouping val="stacked"/>
        <c:varyColors val="0"/>
        <c:ser>
          <c:idx val="2"/>
          <c:order val="2"/>
          <c:tx>
            <c:strRef>
              <c:f>'Grafikoni, CAB, Karakter'!$G$9</c:f>
              <c:strCache>
                <c:ptCount val="1"/>
                <c:pt idx="0">
                  <c:v>Output gap</c:v>
                </c:pt>
              </c:strCache>
            </c:strRef>
          </c:tx>
          <c:spPr>
            <a:solidFill>
              <a:srgbClr val="29489A"/>
            </a:solidFill>
            <a:ln w="9525" cap="rnd" cmpd="sng" algn="ctr">
              <a:solidFill>
                <a:srgbClr val="29489A"/>
              </a:solidFill>
              <a:prstDash val="solid"/>
              <a:round/>
            </a:ln>
            <a:effectLst/>
          </c:spPr>
          <c:cat>
            <c:numRef>
              <c:f>'Grafikoni, CAB, Karakter'!$F$11:$F$23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Karakter'!$G$11:$G$28,'Grafikoni, CAB, Karakter'!$G$29,'Grafikoni, CAB, Karakter'!$G$30,'Grafikoni, CAB, Karakter'!$G$31,'Grafikoni, CAB, Karakter'!$G$32,'Grafikoni, CAB, Karakter'!$G$33)</c:f>
              <c:numCache>
                <c:formatCode>#,##0.0</c:formatCode>
                <c:ptCount val="23"/>
                <c:pt idx="0">
                  <c:v>3.4939700056136114E-2</c:v>
                </c:pt>
                <c:pt idx="1">
                  <c:v>-3.3305407298974736</c:v>
                </c:pt>
                <c:pt idx="2">
                  <c:v>1.3050262370980286</c:v>
                </c:pt>
                <c:pt idx="3">
                  <c:v>4.1480120629277737</c:v>
                </c:pt>
                <c:pt idx="4">
                  <c:v>-0.52239416685725348</c:v>
                </c:pt>
                <c:pt idx="5">
                  <c:v>0.41026810927007673</c:v>
                </c:pt>
                <c:pt idx="6">
                  <c:v>0.30816389137498656</c:v>
                </c:pt>
                <c:pt idx="7">
                  <c:v>-4.2047696415254333E-2</c:v>
                </c:pt>
                <c:pt idx="8">
                  <c:v>0.44931713815385776</c:v>
                </c:pt>
                <c:pt idx="9">
                  <c:v>-1.6994305213717809</c:v>
                </c:pt>
                <c:pt idx="10">
                  <c:v>-1.4483637557084184</c:v>
                </c:pt>
                <c:pt idx="11">
                  <c:v>-0.37146480294039352</c:v>
                </c:pt>
                <c:pt idx="12">
                  <c:v>-0.60490750659722714</c:v>
                </c:pt>
                <c:pt idx="13">
                  <c:v>0.84074852090008867</c:v>
                </c:pt>
                <c:pt idx="14">
                  <c:v>2.1005160752801477</c:v>
                </c:pt>
                <c:pt idx="15">
                  <c:v>-2.4229218701431403</c:v>
                </c:pt>
                <c:pt idx="16">
                  <c:v>1.4366579762151328</c:v>
                </c:pt>
                <c:pt idx="17">
                  <c:v>0.16991588223105497</c:v>
                </c:pt>
                <c:pt idx="18">
                  <c:v>5.7502423509462011E-2</c:v>
                </c:pt>
                <c:pt idx="19">
                  <c:v>-0.17380968574343295</c:v>
                </c:pt>
                <c:pt idx="20">
                  <c:v>3.1517516398859306E-3</c:v>
                </c:pt>
                <c:pt idx="21">
                  <c:v>0</c:v>
                </c:pt>
                <c:pt idx="22">
                  <c:v>0.7</c:v>
                </c:pt>
              </c:numCache>
            </c:numRef>
          </c:val>
          <c:extLst>
            <c:ext xmlns:c16="http://schemas.microsoft.com/office/drawing/2014/chart" uri="{C3380CC4-5D6E-409C-BE32-E72D297353CC}">
              <c16:uniqueId val="{00000000-37A4-4C0E-8CD9-316CDF913034}"/>
            </c:ext>
          </c:extLst>
        </c:ser>
        <c:dLbls>
          <c:showLegendKey val="0"/>
          <c:showVal val="0"/>
          <c:showCatName val="0"/>
          <c:showSerName val="0"/>
          <c:showPercent val="0"/>
          <c:showBubbleSize val="0"/>
        </c:dLbls>
        <c:axId val="342946768"/>
        <c:axId val="410610880"/>
      </c:areaChart>
      <c:lineChart>
        <c:grouping val="standard"/>
        <c:varyColors val="0"/>
        <c:ser>
          <c:idx val="0"/>
          <c:order val="0"/>
          <c:tx>
            <c:strRef>
              <c:f>'Grafikoni, CAB, Karakter'!$H$9</c:f>
              <c:strCache>
                <c:ptCount val="1"/>
                <c:pt idx="0">
                  <c:v>Fiscal balance</c:v>
                </c:pt>
              </c:strCache>
            </c:strRef>
          </c:tx>
          <c:spPr>
            <a:ln w="25400" cap="rnd" cmpd="sng" algn="ctr">
              <a:solidFill>
                <a:schemeClr val="accent3">
                  <a:shade val="53000"/>
                  <a:shade val="95000"/>
                  <a:satMod val="105000"/>
                </a:schemeClr>
              </a:solidFill>
              <a:prstDash val="solid"/>
              <a:round/>
            </a:ln>
            <a:effectLst/>
          </c:spPr>
          <c:marker>
            <c:symbol val="none"/>
          </c:marker>
          <c:cat>
            <c:numRef>
              <c:f>'Grafikoni, CAB, Karakter'!$F$11:$F$33</c:f>
              <c:numCache>
                <c:formatCode>General</c:formatCode>
                <c:ptCount val="2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numCache>
            </c:numRef>
          </c:cat>
          <c:val>
            <c:numRef>
              <c:f>('Grafikoni, CAB, Karakter'!$H$11:$H$28,'Grafikoni, CAB, Karakter'!$H$29,'Grafikoni, CAB, Karakter'!$H$30,'Grafikoni, CAB, Karakter'!$H$31,'Grafikoni, CAB, Karakter'!$H$32,'Grafikoni, CAB, Karakter'!$H$33)</c:f>
              <c:numCache>
                <c:formatCode>#,##0.0</c:formatCode>
                <c:ptCount val="23"/>
                <c:pt idx="0">
                  <c:v>1.097149537133171</c:v>
                </c:pt>
                <c:pt idx="1">
                  <c:v>-1.3625763034532159</c:v>
                </c:pt>
                <c:pt idx="2">
                  <c:v>-1.7163418836484468</c:v>
                </c:pt>
                <c:pt idx="3">
                  <c:v>-2.3843270097170652</c:v>
                </c:pt>
                <c:pt idx="4">
                  <c:v>-4.0064360419983007</c:v>
                </c:pt>
                <c:pt idx="5">
                  <c:v>-4.1670689119148951</c:v>
                </c:pt>
                <c:pt idx="6">
                  <c:v>-4.3498075491803787</c:v>
                </c:pt>
                <c:pt idx="7">
                  <c:v>-6.1793158693056833</c:v>
                </c:pt>
                <c:pt idx="8">
                  <c:v>-4.9362245543274472</c:v>
                </c:pt>
                <c:pt idx="9">
                  <c:v>-5.9449190577246052</c:v>
                </c:pt>
                <c:pt idx="10">
                  <c:v>-3.3187939284991961</c:v>
                </c:pt>
                <c:pt idx="11">
                  <c:v>-1.149397976075984</c:v>
                </c:pt>
                <c:pt idx="12">
                  <c:v>1.0557686096933128</c:v>
                </c:pt>
                <c:pt idx="13">
                  <c:v>0.60940162463875103</c:v>
                </c:pt>
                <c:pt idx="14">
                  <c:v>-0.196032233371843</c:v>
                </c:pt>
                <c:pt idx="15">
                  <c:v>-7.6817157912618725</c:v>
                </c:pt>
                <c:pt idx="16">
                  <c:v>-3.944488655583605</c:v>
                </c:pt>
                <c:pt idx="17">
                  <c:v>-3.0145095743510497</c:v>
                </c:pt>
                <c:pt idx="18">
                  <c:v>-2.0537459179069364</c:v>
                </c:pt>
                <c:pt idx="19">
                  <c:v>-2.7</c:v>
                </c:pt>
                <c:pt idx="20">
                  <c:v>-3</c:v>
                </c:pt>
                <c:pt idx="21">
                  <c:v>-3</c:v>
                </c:pt>
                <c:pt idx="22">
                  <c:v>-3</c:v>
                </c:pt>
              </c:numCache>
            </c:numRef>
          </c:val>
          <c:smooth val="0"/>
          <c:extLst>
            <c:ext xmlns:c16="http://schemas.microsoft.com/office/drawing/2014/chart" uri="{C3380CC4-5D6E-409C-BE32-E72D297353CC}">
              <c16:uniqueId val="{00000001-37A4-4C0E-8CD9-316CDF913034}"/>
            </c:ext>
          </c:extLst>
        </c:ser>
        <c:ser>
          <c:idx val="1"/>
          <c:order val="1"/>
          <c:tx>
            <c:strRef>
              <c:f>'Grafikoni, CAB, Karakter'!$K$9</c:f>
              <c:strCache>
                <c:ptCount val="1"/>
                <c:pt idx="0">
                  <c:v>Cyclically adjusted fiscal balance</c:v>
                </c:pt>
              </c:strCache>
            </c:strRef>
          </c:tx>
          <c:spPr>
            <a:ln w="25400" cap="rnd" cmpd="sng" algn="ctr">
              <a:solidFill>
                <a:schemeClr val="tx1"/>
              </a:solidFill>
              <a:prstDash val="solid"/>
              <a:round/>
            </a:ln>
            <a:effectLst/>
          </c:spPr>
          <c:marker>
            <c:symbol val="none"/>
          </c:marker>
          <c:cat>
            <c:numRef>
              <c:f>'Grafikoni, CAB, Karakter'!$F$11:$F$33</c:f>
              <c:numCache>
                <c:formatCode>General</c:formatCode>
                <c:ptCount val="2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numCache>
            </c:numRef>
          </c:cat>
          <c:val>
            <c:numRef>
              <c:f>('Grafikoni, CAB, Karakter'!$K$11:$K$28,'Grafikoni, CAB, Karakter'!$K$29,'Grafikoni, CAB, Karakter'!$K$30,'Grafikoni, CAB, Karakter'!$K$31,'Grafikoni, CAB, Karakter'!$K$32,'Grafikoni, CAB, Karakter'!$K$33)</c:f>
              <c:numCache>
                <c:formatCode>#,##0.0</c:formatCode>
                <c:ptCount val="23"/>
                <c:pt idx="0">
                  <c:v>1.0847517432934535</c:v>
                </c:pt>
                <c:pt idx="1">
                  <c:v>-0.1807871845509228</c:v>
                </c:pt>
                <c:pt idx="2">
                  <c:v>-2.1794095750415892</c:v>
                </c:pt>
                <c:pt idx="3">
                  <c:v>-3.8561827588567557</c:v>
                </c:pt>
                <c:pt idx="4">
                  <c:v>-3.82107282556079</c:v>
                </c:pt>
                <c:pt idx="5">
                  <c:v>-4.3126459898396918</c:v>
                </c:pt>
                <c:pt idx="6">
                  <c:v>-4.4591545781466806</c:v>
                </c:pt>
                <c:pt idx="7">
                  <c:v>-6.1643959166228095</c:v>
                </c:pt>
                <c:pt idx="8">
                  <c:v>-5.0956575557136494</c:v>
                </c:pt>
                <c:pt idx="9">
                  <c:v>-5.3419033130261617</c:v>
                </c:pt>
                <c:pt idx="10">
                  <c:v>-2.8048652107557084</c:v>
                </c:pt>
                <c:pt idx="11">
                  <c:v>-1.0175896308936523</c:v>
                </c:pt>
                <c:pt idx="12">
                  <c:v>1.270410365256208</c:v>
                </c:pt>
                <c:pt idx="13">
                  <c:v>0.31107545651424107</c:v>
                </c:pt>
                <c:pt idx="14">
                  <c:v>-0.94136677306439465</c:v>
                </c:pt>
                <c:pt idx="15">
                  <c:v>-6.8219807108943957</c:v>
                </c:pt>
                <c:pt idx="16">
                  <c:v>-4.4542637646625138</c:v>
                </c:pt>
                <c:pt idx="17">
                  <c:v>-3.0748015080141835</c:v>
                </c:pt>
                <c:pt idx="18">
                  <c:v>-2.0741497333606769</c:v>
                </c:pt>
                <c:pt idx="19">
                  <c:v>-2.6383264124268075</c:v>
                </c:pt>
                <c:pt idx="20">
                  <c:v>-3.0011183486693507</c:v>
                </c:pt>
                <c:pt idx="21">
                  <c:v>-3</c:v>
                </c:pt>
                <c:pt idx="22">
                  <c:v>-3.2483838062106725</c:v>
                </c:pt>
              </c:numCache>
            </c:numRef>
          </c:val>
          <c:smooth val="1"/>
          <c:extLst>
            <c:ext xmlns:c16="http://schemas.microsoft.com/office/drawing/2014/chart" uri="{C3380CC4-5D6E-409C-BE32-E72D297353CC}">
              <c16:uniqueId val="{00000002-37A4-4C0E-8CD9-316CDF913034}"/>
            </c:ext>
          </c:extLst>
        </c:ser>
        <c:ser>
          <c:idx val="4"/>
          <c:order val="3"/>
          <c:tx>
            <c:strRef>
              <c:f>'Grafikoni, CAB, Karakter'!$N$9</c:f>
              <c:strCache>
                <c:ptCount val="1"/>
                <c:pt idx="0">
                  <c:v>Structural primary fiscal balance</c:v>
                </c:pt>
              </c:strCache>
            </c:strRef>
          </c:tx>
          <c:spPr>
            <a:ln w="25400" cap="rnd" cmpd="sng" algn="ctr">
              <a:solidFill>
                <a:srgbClr val="FF0000"/>
              </a:solidFill>
              <a:prstDash val="solid"/>
              <a:round/>
            </a:ln>
            <a:effectLst/>
          </c:spPr>
          <c:marker>
            <c:symbol val="none"/>
          </c:marker>
          <c:cat>
            <c:numRef>
              <c:f>'Grafikoni, CAB, Karakter'!$F$11:$F$33</c:f>
              <c:numCache>
                <c:formatCode>General</c:formatCode>
                <c:ptCount val="2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numCache>
            </c:numRef>
          </c:cat>
          <c:val>
            <c:numRef>
              <c:f>('Grafikoni, CAB, Karakter'!$N$11:$N$28,'Grafikoni, CAB, Karakter'!$N$29,'Grafikoni, CAB, Karakter'!$N$30,'Grafikoni, CAB, Karakter'!$N$31,'Grafikoni, CAB, Karakter'!$N$32,'Grafikoni, CAB, Karakter'!$N$33)</c:f>
              <c:numCache>
                <c:formatCode>#,##0.0</c:formatCode>
                <c:ptCount val="23"/>
                <c:pt idx="0">
                  <c:v>2.1796124198770381</c:v>
                </c:pt>
                <c:pt idx="1">
                  <c:v>1.6937991843397544</c:v>
                </c:pt>
                <c:pt idx="2">
                  <c:v>-1.3308754596022945</c:v>
                </c:pt>
                <c:pt idx="3">
                  <c:v>-3.393243275541677</c:v>
                </c:pt>
                <c:pt idx="4">
                  <c:v>-3.3060400176263092</c:v>
                </c:pt>
                <c:pt idx="5">
                  <c:v>-3.5061406706314022</c:v>
                </c:pt>
                <c:pt idx="6">
                  <c:v>-3.5523326208334871</c:v>
                </c:pt>
                <c:pt idx="7">
                  <c:v>-4.4795136915114826</c:v>
                </c:pt>
                <c:pt idx="8">
                  <c:v>-2.733227666564376</c:v>
                </c:pt>
                <c:pt idx="9">
                  <c:v>-1.9552266229578894</c:v>
                </c:pt>
                <c:pt idx="10">
                  <c:v>0.86315519347935765</c:v>
                </c:pt>
                <c:pt idx="11">
                  <c:v>1.8489834156859188</c:v>
                </c:pt>
                <c:pt idx="12">
                  <c:v>3.568310073850709</c:v>
                </c:pt>
                <c:pt idx="13">
                  <c:v>2.1956540477013227</c:v>
                </c:pt>
                <c:pt idx="14">
                  <c:v>0.79347978996048951</c:v>
                </c:pt>
                <c:pt idx="15">
                  <c:v>1.8184134432245775</c:v>
                </c:pt>
                <c:pt idx="16">
                  <c:v>1.0862273591028111</c:v>
                </c:pt>
                <c:pt idx="17">
                  <c:v>1.5742664617676576</c:v>
                </c:pt>
                <c:pt idx="18">
                  <c:v>0.15705740066282092</c:v>
                </c:pt>
                <c:pt idx="19">
                  <c:v>-0.36460403044448758</c:v>
                </c:pt>
                <c:pt idx="20">
                  <c:v>-0.28758524798499585</c:v>
                </c:pt>
                <c:pt idx="21">
                  <c:v>0.31768434865640138</c:v>
                </c:pt>
                <c:pt idx="22">
                  <c:v>0.16498999180799423</c:v>
                </c:pt>
              </c:numCache>
            </c:numRef>
          </c:val>
          <c:smooth val="0"/>
          <c:extLst>
            <c:ext xmlns:c16="http://schemas.microsoft.com/office/drawing/2014/chart" uri="{C3380CC4-5D6E-409C-BE32-E72D297353CC}">
              <c16:uniqueId val="{00000003-37A4-4C0E-8CD9-316CDF913034}"/>
            </c:ext>
          </c:extLst>
        </c:ser>
        <c:ser>
          <c:idx val="3"/>
          <c:order val="4"/>
          <c:tx>
            <c:strRef>
              <c:f>'Grafikoni, CAB, Karakter'!$M$9</c:f>
              <c:strCache>
                <c:ptCount val="1"/>
                <c:pt idx="0">
                  <c:v>Structural fiscal balance</c:v>
                </c:pt>
              </c:strCache>
            </c:strRef>
          </c:tx>
          <c:spPr>
            <a:ln w="22225" cap="rnd" cmpd="sng" algn="ctr">
              <a:solidFill>
                <a:srgbClr val="F79646">
                  <a:lumMod val="75000"/>
                </a:srgbClr>
              </a:solidFill>
              <a:prstDash val="solid"/>
              <a:round/>
            </a:ln>
            <a:effectLst/>
          </c:spPr>
          <c:marker>
            <c:symbol val="none"/>
          </c:marker>
          <c:cat>
            <c:numRef>
              <c:f>'Grafikoni, CAB, Karakter'!$F$11:$F$33</c:f>
              <c:numCache>
                <c:formatCode>General</c:formatCode>
                <c:ptCount val="2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numCache>
            </c:numRef>
          </c:cat>
          <c:val>
            <c:numRef>
              <c:f>('Grafikoni, CAB, Karakter'!$M$11:$M$30,'Grafikoni, CAB, Karakter'!$M$31,'Grafikoni, CAB, Karakter'!$M$32,'Grafikoni, CAB, Karakter'!$M$33)</c:f>
              <c:numCache>
                <c:formatCode>#,##0.0</c:formatCode>
                <c:ptCount val="23"/>
                <c:pt idx="0">
                  <c:v>1.2963599412259406</c:v>
                </c:pt>
                <c:pt idx="1">
                  <c:v>0.47668833523708953</c:v>
                </c:pt>
                <c:pt idx="2">
                  <c:v>-1.8554596650373918</c:v>
                </c:pt>
                <c:pt idx="3">
                  <c:v>-3.9124487380849549</c:v>
                </c:pt>
                <c:pt idx="4">
                  <c:v>-3.8904009881670256</c:v>
                </c:pt>
                <c:pt idx="5">
                  <c:v>-4.4249373323431849</c:v>
                </c:pt>
                <c:pt idx="6">
                  <c:v>-4.6613673535308324</c:v>
                </c:pt>
                <c:pt idx="7">
                  <c:v>-6.1190316812176544</c:v>
                </c:pt>
                <c:pt idx="8">
                  <c:v>-4.8373220100000003</c:v>
                </c:pt>
                <c:pt idx="9">
                  <c:v>-4.5081797387132028</c:v>
                </c:pt>
                <c:pt idx="10">
                  <c:v>-2.0037311791871728</c:v>
                </c:pt>
                <c:pt idx="11">
                  <c:v>-0.94310193244440421</c:v>
                </c:pt>
                <c:pt idx="12">
                  <c:v>1.1311284077734454</c:v>
                </c:pt>
                <c:pt idx="13">
                  <c:v>0.16924472971767737</c:v>
                </c:pt>
                <c:pt idx="14">
                  <c:v>-1.1159935036261699</c:v>
                </c:pt>
                <c:pt idx="15">
                  <c:v>-9.245139346118858E-2</c:v>
                </c:pt>
                <c:pt idx="16">
                  <c:v>-0.56589595792512215</c:v>
                </c:pt>
                <c:pt idx="17">
                  <c:v>0.14154996978111223</c:v>
                </c:pt>
                <c:pt idx="18">
                  <c:v>-1.4277273060170026</c:v>
                </c:pt>
                <c:pt idx="19">
                  <c:v>-2.1646040304444876</c:v>
                </c:pt>
                <c:pt idx="20">
                  <c:v>-2.2875852479849956</c:v>
                </c:pt>
                <c:pt idx="21">
                  <c:v>-1.6823156513435986</c:v>
                </c:pt>
                <c:pt idx="22">
                  <c:v>-1.7350100081920059</c:v>
                </c:pt>
              </c:numCache>
            </c:numRef>
          </c:val>
          <c:smooth val="0"/>
          <c:extLst>
            <c:ext xmlns:c16="http://schemas.microsoft.com/office/drawing/2014/chart" uri="{C3380CC4-5D6E-409C-BE32-E72D297353CC}">
              <c16:uniqueId val="{00000004-37A4-4C0E-8CD9-316CDF913034}"/>
            </c:ext>
          </c:extLst>
        </c:ser>
        <c:dLbls>
          <c:showLegendKey val="0"/>
          <c:showVal val="0"/>
          <c:showCatName val="0"/>
          <c:showSerName val="0"/>
          <c:showPercent val="0"/>
          <c:showBubbleSize val="0"/>
        </c:dLbls>
        <c:marker val="1"/>
        <c:smooth val="0"/>
        <c:axId val="342946768"/>
        <c:axId val="410610880"/>
      </c:lineChart>
      <c:catAx>
        <c:axId val="342946768"/>
        <c:scaling>
          <c:orientation val="minMax"/>
        </c:scaling>
        <c:delete val="0"/>
        <c:axPos val="b"/>
        <c:majorGridlines>
          <c:spPr>
            <a:ln w="9525" cap="flat" cmpd="sng" algn="ctr">
              <a:no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crossAx val="410610880"/>
        <c:crosses val="autoZero"/>
        <c:auto val="1"/>
        <c:lblAlgn val="ctr"/>
        <c:lblOffset val="100"/>
        <c:noMultiLvlLbl val="0"/>
      </c:catAx>
      <c:valAx>
        <c:axId val="410610880"/>
        <c:scaling>
          <c:orientation val="minMax"/>
        </c:scaling>
        <c:delete val="0"/>
        <c:axPos val="l"/>
        <c:majorGridlines>
          <c:spPr>
            <a:ln w="9525" cap="flat" cmpd="sng" algn="ctr">
              <a:noFill/>
              <a:prstDash val="sysDot"/>
              <a:round/>
            </a:ln>
            <a:effectLst/>
          </c:spPr>
        </c:majorGridlines>
        <c:title>
          <c:tx>
            <c:rich>
              <a:bodyPr rot="-5400000" spcFirstLastPara="1" vertOverflow="ellipsis" vert="horz" wrap="square" anchor="ctr" anchorCtr="1"/>
              <a:lstStyle/>
              <a:p>
                <a:pPr>
                  <a:defRPr sz="700" b="1"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en-US"/>
                  <a:t> % GDP</a:t>
                </a:r>
                <a:endParaRPr lang="sr-Cyrl-CS"/>
              </a:p>
            </c:rich>
          </c:tx>
          <c:layout>
            <c:manualLayout>
              <c:xMode val="edge"/>
              <c:yMode val="edge"/>
              <c:x val="1.6842703807376087E-2"/>
              <c:y val="0.38678407410469634"/>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crossAx val="342946768"/>
        <c:crosses val="autoZero"/>
        <c:crossBetween val="between"/>
      </c:valAx>
      <c:spPr>
        <a:noFill/>
        <a:ln>
          <a:noFill/>
        </a:ln>
        <a:effectLst/>
      </c:spPr>
    </c:plotArea>
    <c:legend>
      <c:legendPos val="r"/>
      <c:layout>
        <c:manualLayout>
          <c:xMode val="edge"/>
          <c:yMode val="edge"/>
          <c:x val="0.14650173795843086"/>
          <c:y val="0.80048895097790185"/>
          <c:w val="0.69070440519259413"/>
          <c:h val="0.17847384583878614"/>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700">
          <a:solidFill>
            <a:srgbClr val="44546A"/>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18440989179343E-2"/>
          <c:y val="5.7086964129483823E-2"/>
          <c:w val="0.91635877205946437"/>
          <c:h val="0.82967423338395085"/>
        </c:manualLayout>
      </c:layout>
      <c:barChart>
        <c:barDir val="col"/>
        <c:grouping val="clustered"/>
        <c:varyColors val="0"/>
        <c:ser>
          <c:idx val="0"/>
          <c:order val="0"/>
          <c:tx>
            <c:strRef>
              <c:f>'Grafikoni, CAB, Karakter eng'!$N$10</c:f>
              <c:strCache>
                <c:ptCount val="1"/>
                <c:pt idx="0">
                  <c:v>Fiscal impulse</c:v>
                </c:pt>
              </c:strCache>
            </c:strRef>
          </c:tx>
          <c:spPr>
            <a:solidFill>
              <a:srgbClr val="29489A"/>
            </a:solidFill>
            <a:ln w="9525" cap="flat" cmpd="sng" algn="ctr">
              <a:solidFill>
                <a:schemeClr val="accent3">
                  <a:shade val="50000"/>
                  <a:shade val="95000"/>
                  <a:satMod val="105000"/>
                </a:schemeClr>
              </a:solidFill>
              <a:prstDash val="solid"/>
              <a:round/>
            </a:ln>
            <a:effectLst/>
          </c:spPr>
          <c:invertIfNegative val="0"/>
          <c:cat>
            <c:numRef>
              <c:f>('Grafikoni, CAB, Karakter'!$F$12:$F$29,'Grafikoni, CAB, Karakter'!$F$30,'Grafikoni, CAB, Karakter'!$F$31,'Grafikoni, CAB, Karakter'!$F$32,'Grafikoni, CAB, Karakter'!$F$33)</c:f>
              <c:numCache>
                <c:formatCode>General</c:formatCode>
                <c:ptCount val="22"/>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numCache>
            </c:numRef>
          </c:cat>
          <c:val>
            <c:numRef>
              <c:f>('Grafikoni, CAB, Karakter'!$O$12:$O$29,'Grafikoni, CAB, Karakter'!$O$30,'Grafikoni, CAB, Karakter'!$O$31,'Grafikoni, CAB, Karakter'!$O$32,'Grafikoni, CAB, Karakter'!$O$33)</c:f>
              <c:numCache>
                <c:formatCode>#,##0.0</c:formatCode>
                <c:ptCount val="22"/>
                <c:pt idx="0">
                  <c:v>0.93168055739280864</c:v>
                </c:pt>
                <c:pt idx="1">
                  <c:v>2.6911490341582338</c:v>
                </c:pt>
                <c:pt idx="2">
                  <c:v>1.682151926706986</c:v>
                </c:pt>
                <c:pt idx="3">
                  <c:v>-0.10026544129340431</c:v>
                </c:pt>
                <c:pt idx="4">
                  <c:v>0.1571374731078361</c:v>
                </c:pt>
                <c:pt idx="5">
                  <c:v>-4.3729482678573905E-2</c:v>
                </c:pt>
                <c:pt idx="6">
                  <c:v>1.174758081467302</c:v>
                </c:pt>
                <c:pt idx="7">
                  <c:v>-1.5333147146386121</c:v>
                </c:pt>
                <c:pt idx="8">
                  <c:v>-0.20261301500717721</c:v>
                </c:pt>
                <c:pt idx="9">
                  <c:v>-2.8509713591816706</c:v>
                </c:pt>
                <c:pt idx="10">
                  <c:v>-1.7124745553258487</c:v>
                </c:pt>
                <c:pt idx="11">
                  <c:v>-1.9330963140968005</c:v>
                </c:pt>
                <c:pt idx="12">
                  <c:v>1.3701072568355852</c:v>
                </c:pt>
                <c:pt idx="13">
                  <c:v>1.3693782539756216</c:v>
                </c:pt>
                <c:pt idx="14">
                  <c:v>5.8792223947308946</c:v>
                </c:pt>
                <c:pt idx="15">
                  <c:v>-2.108975426574049</c:v>
                </c:pt>
                <c:pt idx="16">
                  <c:v>-1.1600554316069425</c:v>
                </c:pt>
                <c:pt idx="17">
                  <c:v>-1.1527199893467848</c:v>
                </c:pt>
                <c:pt idx="18">
                  <c:v>0.34896138574595426</c:v>
                </c:pt>
                <c:pt idx="19">
                  <c:v>0.16279193624254329</c:v>
                </c:pt>
                <c:pt idx="20">
                  <c:v>-1.1183486693508993E-3</c:v>
                </c:pt>
                <c:pt idx="21">
                  <c:v>0.34838380621067233</c:v>
                </c:pt>
              </c:numCache>
            </c:numRef>
          </c:val>
          <c:extLst>
            <c:ext xmlns:c16="http://schemas.microsoft.com/office/drawing/2014/chart" uri="{C3380CC4-5D6E-409C-BE32-E72D297353CC}">
              <c16:uniqueId val="{00000000-F02D-4787-89DA-AD053B8780D8}"/>
            </c:ext>
          </c:extLst>
        </c:ser>
        <c:dLbls>
          <c:showLegendKey val="0"/>
          <c:showVal val="0"/>
          <c:showCatName val="0"/>
          <c:showSerName val="0"/>
          <c:showPercent val="0"/>
          <c:showBubbleSize val="0"/>
        </c:dLbls>
        <c:gapWidth val="41"/>
        <c:overlap val="-12"/>
        <c:axId val="467546320"/>
        <c:axId val="467537360"/>
      </c:barChart>
      <c:lineChart>
        <c:grouping val="standard"/>
        <c:varyColors val="0"/>
        <c:ser>
          <c:idx val="1"/>
          <c:order val="1"/>
          <c:tx>
            <c:strRef>
              <c:f>'Grafikoni, CAB, Karakter eng'!$F$10</c:f>
              <c:strCache>
                <c:ptCount val="1"/>
                <c:pt idx="0">
                  <c:v>Output gap</c:v>
                </c:pt>
              </c:strCache>
            </c:strRef>
          </c:tx>
          <c:spPr>
            <a:ln w="31750" cap="rnd" cmpd="sng" algn="ctr">
              <a:solidFill>
                <a:srgbClr val="FF0000"/>
              </a:solidFill>
              <a:prstDash val="solid"/>
              <a:round/>
            </a:ln>
            <a:effectLst/>
          </c:spPr>
          <c:marker>
            <c:symbol val="none"/>
          </c:marker>
          <c:cat>
            <c:numRef>
              <c:f>('Grafikoni, CAB, Karakter'!$F$12:$F$29,'Grafikoni, CAB, Karakter'!$F$30,'Grafikoni, CAB, Karakter'!$F$31,'Grafikoni, CAB, Karakter'!$F$32,'Grafikoni, CAB, Karakter'!$F$33)</c:f>
              <c:numCache>
                <c:formatCode>General</c:formatCode>
                <c:ptCount val="22"/>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numCache>
            </c:numRef>
          </c:cat>
          <c:val>
            <c:numRef>
              <c:f>('Grafikoni, CAB, Karakter'!$G$12:$G$29,'Grafikoni, CAB, Karakter'!$G$30,'Grafikoni, CAB, Karakter'!$G$31,'Grafikoni, CAB, Karakter'!$G$32,'Grafikoni, CAB, Karakter'!$G$33)</c:f>
              <c:numCache>
                <c:formatCode>#,##0.0</c:formatCode>
                <c:ptCount val="22"/>
                <c:pt idx="0">
                  <c:v>-3.3305407298974736</c:v>
                </c:pt>
                <c:pt idx="1">
                  <c:v>1.3050262370980286</c:v>
                </c:pt>
                <c:pt idx="2">
                  <c:v>4.1480120629277737</c:v>
                </c:pt>
                <c:pt idx="3">
                  <c:v>-0.52239416685725348</c:v>
                </c:pt>
                <c:pt idx="4">
                  <c:v>0.41026810927007673</c:v>
                </c:pt>
                <c:pt idx="5">
                  <c:v>0.30816389137498656</c:v>
                </c:pt>
                <c:pt idx="6">
                  <c:v>-4.2047696415254333E-2</c:v>
                </c:pt>
                <c:pt idx="7">
                  <c:v>0.44931713815385776</c:v>
                </c:pt>
                <c:pt idx="8">
                  <c:v>-1.6994305213717809</c:v>
                </c:pt>
                <c:pt idx="9">
                  <c:v>-1.4483637557084184</c:v>
                </c:pt>
                <c:pt idx="10">
                  <c:v>-0.37146480294039352</c:v>
                </c:pt>
                <c:pt idx="11">
                  <c:v>-0.60490750659722714</c:v>
                </c:pt>
                <c:pt idx="12">
                  <c:v>0.84074852090008867</c:v>
                </c:pt>
                <c:pt idx="13">
                  <c:v>2.1005160752801477</c:v>
                </c:pt>
                <c:pt idx="14">
                  <c:v>-2.4229218701431403</c:v>
                </c:pt>
                <c:pt idx="15">
                  <c:v>1.4366579762151328</c:v>
                </c:pt>
                <c:pt idx="16">
                  <c:v>0.16991588223105497</c:v>
                </c:pt>
                <c:pt idx="17">
                  <c:v>5.7502423509462011E-2</c:v>
                </c:pt>
                <c:pt idx="18">
                  <c:v>-0.17380968574343295</c:v>
                </c:pt>
                <c:pt idx="19">
                  <c:v>3.1517516398859306E-3</c:v>
                </c:pt>
                <c:pt idx="20">
                  <c:v>0</c:v>
                </c:pt>
                <c:pt idx="21">
                  <c:v>0.7</c:v>
                </c:pt>
              </c:numCache>
            </c:numRef>
          </c:val>
          <c:smooth val="1"/>
          <c:extLst>
            <c:ext xmlns:c16="http://schemas.microsoft.com/office/drawing/2014/chart" uri="{C3380CC4-5D6E-409C-BE32-E72D297353CC}">
              <c16:uniqueId val="{00000001-F02D-4787-89DA-AD053B8780D8}"/>
            </c:ext>
          </c:extLst>
        </c:ser>
        <c:dLbls>
          <c:showLegendKey val="0"/>
          <c:showVal val="0"/>
          <c:showCatName val="0"/>
          <c:showSerName val="0"/>
          <c:showPercent val="0"/>
          <c:showBubbleSize val="0"/>
        </c:dLbls>
        <c:marker val="1"/>
        <c:smooth val="0"/>
        <c:axId val="467546320"/>
        <c:axId val="467537360"/>
      </c:lineChart>
      <c:catAx>
        <c:axId val="467546320"/>
        <c:scaling>
          <c:orientation val="minMax"/>
        </c:scaling>
        <c:delete val="0"/>
        <c:axPos val="b"/>
        <c:majorGridlines>
          <c:spPr>
            <a:ln w="9525" cap="flat" cmpd="sng" algn="ctr">
              <a:noFill/>
              <a:prstDash val="solid"/>
              <a:round/>
            </a:ln>
            <a:effectLst/>
          </c:spPr>
        </c:majorGridlines>
        <c:numFmt formatCode="General" sourceLinked="1"/>
        <c:majorTickMark val="out"/>
        <c:minorTickMark val="none"/>
        <c:tickLblPos val="low"/>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67537360"/>
        <c:crosses val="autoZero"/>
        <c:auto val="1"/>
        <c:lblAlgn val="ctr"/>
        <c:lblOffset val="100"/>
        <c:noMultiLvlLbl val="0"/>
      </c:catAx>
      <c:valAx>
        <c:axId val="467537360"/>
        <c:scaling>
          <c:orientation val="minMax"/>
          <c:min val="-9"/>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sr-Cyrl-CS"/>
                  <a:t>% </a:t>
                </a:r>
                <a:r>
                  <a:rPr lang="en-US"/>
                  <a:t>GDP</a:t>
                </a:r>
              </a:p>
            </c:rich>
          </c:tx>
          <c:layout>
            <c:manualLayout>
              <c:xMode val="edge"/>
              <c:yMode val="edge"/>
              <c:x val="2.8323249830934376E-3"/>
              <c:y val="0.4292042993340485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3175"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467546320"/>
        <c:crosses val="autoZero"/>
        <c:crossBetween val="between"/>
      </c:valAx>
      <c:spPr>
        <a:noFill/>
        <a:ln>
          <a:noFill/>
        </a:ln>
        <a:effectLst/>
      </c:spPr>
    </c:plotArea>
    <c:legend>
      <c:legendPos val="r"/>
      <c:layout>
        <c:manualLayout>
          <c:xMode val="edge"/>
          <c:yMode val="edge"/>
          <c:x val="0.10033178339629953"/>
          <c:y val="0.78777242925582558"/>
          <c:w val="0.795961068391148"/>
          <c:h val="4.957365623414720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800" baseline="0">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611541564032107E-2"/>
          <c:y val="2.77778975384863E-2"/>
          <c:w val="0.92675826331279698"/>
          <c:h val="0.94679389034703998"/>
        </c:manualLayout>
      </c:layout>
      <c:scatterChart>
        <c:scatterStyle val="smoothMarker"/>
        <c:varyColors val="0"/>
        <c:ser>
          <c:idx val="0"/>
          <c:order val="0"/>
          <c:spPr>
            <a:ln w="15875" cap="rnd">
              <a:solidFill>
                <a:srgbClr val="FF0000"/>
              </a:solidFill>
              <a:round/>
            </a:ln>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scene3d>
                <a:camera prst="orthographicFront">
                  <a:rot lat="0" lon="0" rev="0"/>
                </a:camera>
                <a:lightRig rig="threePt" dir="t">
                  <a:rot lat="0" lon="0" rev="1200000"/>
                </a:lightRig>
              </a:scene3d>
              <a:sp3d>
                <a:bevelT w="63500" h="25400"/>
              </a:sp3d>
            </c:spPr>
          </c:marker>
          <c:dPt>
            <c:idx val="2"/>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scene3d>
                  <a:camera prst="orthographicFront">
                    <a:rot lat="0" lon="0" rev="0"/>
                  </a:camera>
                  <a:lightRig rig="threePt" dir="t">
                    <a:rot lat="0" lon="0" rev="1200000"/>
                  </a:lightRig>
                </a:scene3d>
                <a:sp3d>
                  <a:bevelT w="63500" h="25400"/>
                </a:sp3d>
              </c:spPr>
            </c:marker>
            <c:bubble3D val="0"/>
            <c:spPr>
              <a:ln w="19050" cap="rnd">
                <a:solidFill>
                  <a:srgbClr val="FF0000"/>
                </a:solidFill>
                <a:round/>
              </a:ln>
              <a:effectLst/>
            </c:spPr>
            <c:extLst>
              <c:ext xmlns:c16="http://schemas.microsoft.com/office/drawing/2014/chart" uri="{C3380CC4-5D6E-409C-BE32-E72D297353CC}">
                <c16:uniqueId val="{00000001-F029-444E-ABA9-47626E569AC7}"/>
              </c:ext>
            </c:extLst>
          </c:dPt>
          <c:dLbls>
            <c:dLbl>
              <c:idx val="0"/>
              <c:layout>
                <c:manualLayout>
                  <c:x val="-3.7611954796945811E-2"/>
                  <c:y val="-4.1443278288180223E-2"/>
                </c:manualLayout>
              </c:layout>
              <c:tx>
                <c:rich>
                  <a:bodyPr/>
                  <a:lstStyle/>
                  <a:p>
                    <a:r>
                      <a:rPr lang="en-US"/>
                      <a:t>2006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29-444E-ABA9-47626E569AC7}"/>
                </c:ext>
              </c:extLst>
            </c:dLbl>
            <c:dLbl>
              <c:idx val="1"/>
              <c:layout>
                <c:manualLayout>
                  <c:x val="-5.2817846191389767E-2"/>
                  <c:y val="2.7785486427701504E-2"/>
                </c:manualLayout>
              </c:layout>
              <c:tx>
                <c:rich>
                  <a:bodyPr/>
                  <a:lstStyle/>
                  <a:p>
                    <a:r>
                      <a:rPr lang="en-US"/>
                      <a:t>2007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29-444E-ABA9-47626E569AC7}"/>
                </c:ext>
              </c:extLst>
            </c:dLbl>
            <c:dLbl>
              <c:idx val="2"/>
              <c:layout>
                <c:manualLayout>
                  <c:x val="-2.6685162776341146E-2"/>
                  <c:y val="8.1998240954713211E-2"/>
                </c:manualLayout>
              </c:layout>
              <c:tx>
                <c:rich>
                  <a:bodyPr/>
                  <a:lstStyle/>
                  <a:p>
                    <a:r>
                      <a:rPr lang="en-US"/>
                      <a:t>2008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29-444E-ABA9-47626E569AC7}"/>
                </c:ext>
              </c:extLst>
            </c:dLbl>
            <c:dLbl>
              <c:idx val="4"/>
              <c:layout>
                <c:manualLayout>
                  <c:x val="-8.0575576083646377E-2"/>
                  <c:y val="-4.7413382221798556E-2"/>
                </c:manualLayout>
              </c:layout>
              <c:tx>
                <c:rich>
                  <a:bodyPr/>
                  <a:lstStyle/>
                  <a:p>
                    <a:r>
                      <a:rPr lang="en-US"/>
                      <a:t>2010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29-444E-ABA9-47626E569AC7}"/>
                </c:ext>
              </c:extLst>
            </c:dLbl>
            <c:dLbl>
              <c:idx val="6"/>
              <c:layout>
                <c:manualLayout>
                  <c:x val="6.0462940635759153E-2"/>
                  <c:y val="-5.1670462679768332E-2"/>
                </c:manualLayout>
              </c:layout>
              <c:tx>
                <c:rich>
                  <a:bodyPr/>
                  <a:lstStyle/>
                  <a:p>
                    <a:r>
                      <a:rPr lang="en-US"/>
                      <a:t>2012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29-444E-ABA9-47626E569AC7}"/>
                </c:ext>
              </c:extLst>
            </c:dLbl>
            <c:dLbl>
              <c:idx val="7"/>
              <c:layout>
                <c:manualLayout>
                  <c:x val="-2.1673758659513719E-2"/>
                  <c:y val="2.1077200060736108E-2"/>
                </c:manualLayout>
              </c:layout>
              <c:tx>
                <c:rich>
                  <a:bodyPr/>
                  <a:lstStyle/>
                  <a:p>
                    <a:r>
                      <a:rPr lang="en-US"/>
                      <a:t>2013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29-444E-ABA9-47626E569AC7}"/>
                </c:ext>
              </c:extLst>
            </c:dLbl>
            <c:dLbl>
              <c:idx val="9"/>
              <c:layout>
                <c:manualLayout>
                  <c:x val="-0.11111111111111113"/>
                  <c:y val="9.2592592592590887E-3"/>
                </c:manualLayout>
              </c:layout>
              <c:tx>
                <c:rich>
                  <a:bodyPr/>
                  <a:lstStyle/>
                  <a:p>
                    <a:r>
                      <a:rPr lang="en-US"/>
                      <a:t>2015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29-444E-ABA9-47626E569AC7}"/>
                </c:ext>
              </c:extLst>
            </c:dLbl>
            <c:dLbl>
              <c:idx val="10"/>
              <c:layout>
                <c:manualLayout>
                  <c:x val="-3.1635785769832274E-2"/>
                  <c:y val="6.1850414018919622E-2"/>
                </c:manualLayout>
              </c:layout>
              <c:tx>
                <c:rich>
                  <a:bodyPr/>
                  <a:lstStyle/>
                  <a:p>
                    <a:r>
                      <a:rPr lang="en-US"/>
                      <a:t>2016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29-444E-ABA9-47626E569AC7}"/>
                </c:ext>
              </c:extLst>
            </c:dLbl>
            <c:dLbl>
              <c:idx val="11"/>
              <c:layout>
                <c:manualLayout>
                  <c:x val="-8.883514244118057E-2"/>
                  <c:y val="-3.4142426411574583E-2"/>
                </c:manualLayout>
              </c:layout>
              <c:tx>
                <c:rich>
                  <a:bodyPr/>
                  <a:lstStyle/>
                  <a:p>
                    <a:r>
                      <a:rPr lang="en-US"/>
                      <a:t>2017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29-444E-ABA9-47626E569AC7}"/>
                </c:ext>
              </c:extLst>
            </c:dLbl>
            <c:dLbl>
              <c:idx val="12"/>
              <c:layout>
                <c:manualLayout>
                  <c:x val="-0.12275174877116932"/>
                  <c:y val="-7.9029763417869259E-3"/>
                </c:manualLayout>
              </c:layout>
              <c:tx>
                <c:rich>
                  <a:bodyPr/>
                  <a:lstStyle/>
                  <a:p>
                    <a:r>
                      <a:rPr lang="en-US"/>
                      <a:t>2018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29-444E-ABA9-47626E569AC7}"/>
                </c:ext>
              </c:extLst>
            </c:dLbl>
            <c:dLbl>
              <c:idx val="14"/>
              <c:layout>
                <c:manualLayout>
                  <c:x val="-1.5044781918778316E-2"/>
                  <c:y val="-2.5287137184959244E-2"/>
                </c:manualLayout>
              </c:layout>
              <c:tx>
                <c:rich>
                  <a:bodyPr/>
                  <a:lstStyle/>
                  <a:p>
                    <a:r>
                      <a:rPr lang="en-US"/>
                      <a:t>2020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29-444E-ABA9-47626E569AC7}"/>
                </c:ext>
              </c:extLst>
            </c:dLbl>
            <c:dLbl>
              <c:idx val="15"/>
              <c:tx>
                <c:rich>
                  <a:bodyPr/>
                  <a:lstStyle/>
                  <a:p>
                    <a:r>
                      <a:rPr lang="en-US"/>
                      <a:t>2021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29-444E-ABA9-47626E569AC7}"/>
                </c:ext>
              </c:extLst>
            </c:dLbl>
            <c:dLbl>
              <c:idx val="16"/>
              <c:layout>
                <c:manualLayout>
                  <c:x val="3.5972811710762727E-2"/>
                  <c:y val="2.4363896661676611E-3"/>
                </c:manualLayout>
              </c:layout>
              <c:tx>
                <c:rich>
                  <a:bodyPr/>
                  <a:lstStyle/>
                  <a:p>
                    <a:r>
                      <a:rPr lang="en-US"/>
                      <a:t>2022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29-444E-ABA9-47626E569AC7}"/>
                </c:ext>
              </c:extLst>
            </c:dLbl>
            <c:dLbl>
              <c:idx val="17"/>
              <c:layout>
                <c:manualLayout>
                  <c:x val="-6.0588765340551722E-2"/>
                  <c:y val="4.642589097850372E-2"/>
                </c:manualLayout>
              </c:layout>
              <c:tx>
                <c:rich>
                  <a:bodyPr/>
                  <a:lstStyle/>
                  <a:p>
                    <a:r>
                      <a:rPr lang="en-US"/>
                      <a:t>2023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029-444E-ABA9-47626E569AC7}"/>
                </c:ext>
              </c:extLst>
            </c:dLbl>
            <c:dLbl>
              <c:idx val="18"/>
              <c:layout>
                <c:manualLayout>
                  <c:x val="6.9076675109371405E-2"/>
                  <c:y val="-2.7548209366391185E-2"/>
                </c:manualLayout>
              </c:layout>
              <c:tx>
                <c:rich>
                  <a:bodyPr/>
                  <a:lstStyle/>
                  <a:p>
                    <a:r>
                      <a:rPr lang="en-US"/>
                      <a:t>2024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029-444E-ABA9-47626E569AC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'Grafikoni, CAB, Karakter eng'!$X$12:$X$30</c:f>
              <c:numCache>
                <c:formatCode>#,##0.0</c:formatCode>
                <c:ptCount val="19"/>
                <c:pt idx="0">
                  <c:v>-3.3305407298974736</c:v>
                </c:pt>
                <c:pt idx="1">
                  <c:v>1.3050262370980286</c:v>
                </c:pt>
                <c:pt idx="2">
                  <c:v>4.1480120629277737</c:v>
                </c:pt>
                <c:pt idx="3">
                  <c:v>-0.52239416685725348</c:v>
                </c:pt>
                <c:pt idx="4">
                  <c:v>0.41026810927007673</c:v>
                </c:pt>
                <c:pt idx="5">
                  <c:v>0.30816389137498656</c:v>
                </c:pt>
                <c:pt idx="6">
                  <c:v>-4.2047696415254333E-2</c:v>
                </c:pt>
                <c:pt idx="7">
                  <c:v>0.44931713815385776</c:v>
                </c:pt>
                <c:pt idx="8">
                  <c:v>-1.6994305213717809</c:v>
                </c:pt>
                <c:pt idx="9">
                  <c:v>-1.4483637557084184</c:v>
                </c:pt>
                <c:pt idx="10">
                  <c:v>-0.37146480294039352</c:v>
                </c:pt>
                <c:pt idx="11">
                  <c:v>-0.60490750659722714</c:v>
                </c:pt>
                <c:pt idx="12">
                  <c:v>0.84074852090008867</c:v>
                </c:pt>
                <c:pt idx="13">
                  <c:v>2.1005160752801477</c:v>
                </c:pt>
                <c:pt idx="14">
                  <c:v>-2.4229218701431403</c:v>
                </c:pt>
                <c:pt idx="15">
                  <c:v>1.4366579762151328</c:v>
                </c:pt>
                <c:pt idx="16">
                  <c:v>0.16991588223105497</c:v>
                </c:pt>
                <c:pt idx="17">
                  <c:v>5.7502423509462011E-2</c:v>
                </c:pt>
                <c:pt idx="18">
                  <c:v>-0.17380968574343295</c:v>
                </c:pt>
              </c:numCache>
            </c:numRef>
          </c:xVal>
          <c:yVal>
            <c:numRef>
              <c:f>'Grafikoni, CAB, Karakter eng'!$Y$12:$Y$30</c:f>
              <c:numCache>
                <c:formatCode>#,##0.0</c:formatCode>
                <c:ptCount val="19"/>
                <c:pt idx="0">
                  <c:v>0.93168055739280864</c:v>
                </c:pt>
                <c:pt idx="1">
                  <c:v>2.6911490341582338</c:v>
                </c:pt>
                <c:pt idx="2">
                  <c:v>1.682151926706986</c:v>
                </c:pt>
                <c:pt idx="3">
                  <c:v>-0.10026544129340431</c:v>
                </c:pt>
                <c:pt idx="4">
                  <c:v>0.1571374731078361</c:v>
                </c:pt>
                <c:pt idx="5">
                  <c:v>-4.3729482678573905E-2</c:v>
                </c:pt>
                <c:pt idx="6">
                  <c:v>1.174758081467302</c:v>
                </c:pt>
                <c:pt idx="7">
                  <c:v>-1.5333147146386121</c:v>
                </c:pt>
                <c:pt idx="8">
                  <c:v>-0.20261301500717721</c:v>
                </c:pt>
                <c:pt idx="9">
                  <c:v>-2.8509713591816706</c:v>
                </c:pt>
                <c:pt idx="10">
                  <c:v>-1.7124745553258487</c:v>
                </c:pt>
                <c:pt idx="11">
                  <c:v>-1.9330963140968005</c:v>
                </c:pt>
                <c:pt idx="12">
                  <c:v>1.3701072568355852</c:v>
                </c:pt>
                <c:pt idx="13">
                  <c:v>1.3693782539756216</c:v>
                </c:pt>
                <c:pt idx="14">
                  <c:v>5.8792223947308946</c:v>
                </c:pt>
                <c:pt idx="15">
                  <c:v>-2.108975426574049</c:v>
                </c:pt>
                <c:pt idx="16">
                  <c:v>-1.1600554316069425</c:v>
                </c:pt>
                <c:pt idx="17">
                  <c:v>-1.1527199893467848</c:v>
                </c:pt>
                <c:pt idx="18">
                  <c:v>0.34896138574595426</c:v>
                </c:pt>
              </c:numCache>
            </c:numRef>
          </c:yVal>
          <c:smooth val="1"/>
          <c:extLst>
            <c:ext xmlns:c16="http://schemas.microsoft.com/office/drawing/2014/chart" uri="{C3380CC4-5D6E-409C-BE32-E72D297353CC}">
              <c16:uniqueId val="{00000010-F029-444E-ABA9-47626E569AC7}"/>
            </c:ext>
          </c:extLst>
        </c:ser>
        <c:dLbls>
          <c:showLegendKey val="0"/>
          <c:showVal val="0"/>
          <c:showCatName val="0"/>
          <c:showSerName val="0"/>
          <c:showPercent val="0"/>
          <c:showBubbleSize val="0"/>
        </c:dLbls>
        <c:axId val="499508480"/>
        <c:axId val="499509040"/>
      </c:scatterChart>
      <c:valAx>
        <c:axId val="499508480"/>
        <c:scaling>
          <c:orientation val="minMax"/>
          <c:max val="5"/>
          <c:min val="-4"/>
        </c:scaling>
        <c:delete val="0"/>
        <c:axPos val="b"/>
        <c:majorGridlines>
          <c:spPr>
            <a:ln w="12700"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output gap</a:t>
                </a:r>
                <a:endParaRPr lang="sr-Cyrl-CS"/>
              </a:p>
            </c:rich>
          </c:tx>
          <c:layout>
            <c:manualLayout>
              <c:xMode val="edge"/>
              <c:yMode val="edge"/>
              <c:x val="0.83014725797345312"/>
              <c:y val="0.531992276871428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19050" cap="flat" cmpd="sng" algn="ctr">
            <a:solidFill>
              <a:srgbClr val="44546A"/>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9509040"/>
        <c:crosses val="autoZero"/>
        <c:crossBetween val="midCat"/>
      </c:valAx>
      <c:valAx>
        <c:axId val="499509040"/>
        <c:scaling>
          <c:orientation val="minMax"/>
          <c:max val="8"/>
          <c:min val="-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fiscal impulse</a:t>
                </a:r>
                <a:endParaRPr lang="en-GB"/>
              </a:p>
            </c:rich>
          </c:tx>
          <c:layout>
            <c:manualLayout>
              <c:xMode val="edge"/>
              <c:yMode val="edge"/>
              <c:x val="1.2807611001171004E-2"/>
              <c:y val="0.3697952613000027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15875">
            <a:solidFill>
              <a:srgbClr val="44546A"/>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9508480"/>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68051268925991E-2"/>
          <c:y val="2.4498269896193772E-2"/>
          <c:w val="0.9372012977727866"/>
          <c:h val="0.90122138542350005"/>
        </c:manualLayout>
      </c:layout>
      <c:lineChart>
        <c:grouping val="standard"/>
        <c:varyColors val="0"/>
        <c:ser>
          <c:idx val="0"/>
          <c:order val="0"/>
          <c:spPr>
            <a:ln w="28575" cap="rnd" cmpd="sng" algn="ctr">
              <a:solidFill>
                <a:schemeClr val="accent1">
                  <a:shade val="40000"/>
                  <a:shade val="95000"/>
                  <a:satMod val="105000"/>
                </a:schemeClr>
              </a:solidFill>
              <a:prstDash val="solid"/>
              <a:round/>
            </a:ln>
            <a:effectLst/>
          </c:spPr>
          <c:marker>
            <c:spPr>
              <a:solidFill>
                <a:schemeClr val="accent1">
                  <a:shade val="38000"/>
                </a:schemeClr>
              </a:solidFill>
              <a:ln w="9525" cap="flat" cmpd="sng" algn="ctr">
                <a:solidFill>
                  <a:schemeClr val="accent1">
                    <a:shade val="38000"/>
                    <a:shade val="95000"/>
                    <a:satMod val="105000"/>
                  </a:schemeClr>
                </a:solidFill>
                <a:prstDash val="solid"/>
                <a:round/>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kursa'!$H$50:$Q$50</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val>
          <c:smooth val="0"/>
          <c:extLst>
            <c:ext xmlns:c16="http://schemas.microsoft.com/office/drawing/2014/chart" uri="{C3380CC4-5D6E-409C-BE32-E72D297353CC}">
              <c16:uniqueId val="{00000000-8141-45A6-907C-C56F20AF0B6C}"/>
            </c:ext>
          </c:extLst>
        </c:ser>
        <c:ser>
          <c:idx val="1"/>
          <c:order val="1"/>
          <c:spPr>
            <a:ln w="28575" cap="rnd" cmpd="sng" algn="ctr">
              <a:solidFill>
                <a:schemeClr val="accent1">
                  <a:shade val="51000"/>
                  <a:shade val="95000"/>
                  <a:satMod val="105000"/>
                </a:schemeClr>
              </a:solidFill>
              <a:prstDash val="solid"/>
              <a:round/>
            </a:ln>
            <a:effectLst/>
          </c:spPr>
          <c:marker>
            <c:symbol val="diamond"/>
            <c:size val="10"/>
            <c:spPr>
              <a:solidFill>
                <a:schemeClr val="accent1">
                  <a:shade val="45000"/>
                </a:schemeClr>
              </a:solidFill>
              <a:ln w="9525" cap="flat" cmpd="sng" algn="ctr">
                <a:solidFill>
                  <a:schemeClr val="accent1">
                    <a:shade val="45000"/>
                    <a:shade val="95000"/>
                    <a:satMod val="105000"/>
                  </a:schemeClr>
                </a:solidFill>
                <a:prstDash val="solid"/>
                <a:round/>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kursa'!$H$51:$R$51</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47.458964621404704</c:v>
                </c:pt>
                <c:pt idx="8">
                  <c:v>46.997657706772344</c:v>
                </c:pt>
                <c:pt idx="9">
                  <c:v>46.460300779916849</c:v>
                </c:pt>
                <c:pt idx="10">
                  <c:v>46.039196865895306</c:v>
                </c:pt>
              </c:numCache>
            </c:numRef>
          </c:val>
          <c:smooth val="0"/>
          <c:extLst>
            <c:ext xmlns:c16="http://schemas.microsoft.com/office/drawing/2014/chart" uri="{C3380CC4-5D6E-409C-BE32-E72D297353CC}">
              <c16:uniqueId val="{00000001-8141-45A6-907C-C56F20AF0B6C}"/>
            </c:ext>
          </c:extLst>
        </c:ser>
        <c:ser>
          <c:idx val="2"/>
          <c:order val="2"/>
          <c:spPr>
            <a:ln w="28575" cap="rnd" cmpd="sng" algn="ctr">
              <a:solidFill>
                <a:schemeClr val="accent1">
                  <a:shade val="62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kursa'!$H$52:$R$52</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48.208816262422893</c:v>
                </c:pt>
                <c:pt idx="8">
                  <c:v>47.749620230080701</c:v>
                </c:pt>
                <c:pt idx="9">
                  <c:v>47.203665592395524</c:v>
                </c:pt>
                <c:pt idx="10">
                  <c:v>46.766616176376445</c:v>
                </c:pt>
              </c:numCache>
            </c:numRef>
          </c:val>
          <c:smooth val="0"/>
          <c:extLst>
            <c:ext xmlns:c16="http://schemas.microsoft.com/office/drawing/2014/chart" uri="{C3380CC4-5D6E-409C-BE32-E72D297353CC}">
              <c16:uniqueId val="{00000002-8141-45A6-907C-C56F20AF0B6C}"/>
            </c:ext>
          </c:extLst>
        </c:ser>
        <c:ser>
          <c:idx val="3"/>
          <c:order val="3"/>
          <c:spPr>
            <a:ln w="28575" cap="rnd" cmpd="sng" algn="ctr">
              <a:solidFill>
                <a:schemeClr val="accent1">
                  <a:shade val="73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kursa'!$H$53:$R$53</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48.958667903441096</c:v>
                </c:pt>
                <c:pt idx="8">
                  <c:v>48.501582753389059</c:v>
                </c:pt>
                <c:pt idx="9">
                  <c:v>47.947030404874191</c:v>
                </c:pt>
                <c:pt idx="10">
                  <c:v>47.494035486857591</c:v>
                </c:pt>
              </c:numCache>
            </c:numRef>
          </c:val>
          <c:smooth val="0"/>
          <c:extLst>
            <c:ext xmlns:c16="http://schemas.microsoft.com/office/drawing/2014/chart" uri="{C3380CC4-5D6E-409C-BE32-E72D297353CC}">
              <c16:uniqueId val="{00000003-8141-45A6-907C-C56F20AF0B6C}"/>
            </c:ext>
          </c:extLst>
        </c:ser>
        <c:ser>
          <c:idx val="4"/>
          <c:order val="4"/>
          <c:spPr>
            <a:ln w="28575" cap="rnd" cmpd="sng" algn="ctr">
              <a:solidFill>
                <a:schemeClr val="accent1">
                  <a:shade val="83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kursa'!$H$54:$R$54</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49.708519544459293</c:v>
                </c:pt>
                <c:pt idx="8">
                  <c:v>49.253545276697416</c:v>
                </c:pt>
                <c:pt idx="9">
                  <c:v>48.690395217352858</c:v>
                </c:pt>
                <c:pt idx="10">
                  <c:v>48.221454797338751</c:v>
                </c:pt>
              </c:numCache>
            </c:numRef>
          </c:val>
          <c:smooth val="0"/>
          <c:extLst>
            <c:ext xmlns:c16="http://schemas.microsoft.com/office/drawing/2014/chart" uri="{C3380CC4-5D6E-409C-BE32-E72D297353CC}">
              <c16:uniqueId val="{00000004-8141-45A6-907C-C56F20AF0B6C}"/>
            </c:ext>
          </c:extLst>
        </c:ser>
        <c:ser>
          <c:idx val="5"/>
          <c:order val="5"/>
          <c:spPr>
            <a:ln w="28575" cap="rnd" cmpd="sng" algn="ctr">
              <a:solidFill>
                <a:schemeClr val="accent1">
                  <a:shade val="94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kursa'!$H$55:$R$55</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50.458371185477482</c:v>
                </c:pt>
                <c:pt idx="8">
                  <c:v>50.00550780000578</c:v>
                </c:pt>
                <c:pt idx="9">
                  <c:v>49.433760029831539</c:v>
                </c:pt>
                <c:pt idx="10">
                  <c:v>48.94887410781989</c:v>
                </c:pt>
              </c:numCache>
            </c:numRef>
          </c:val>
          <c:smooth val="0"/>
          <c:extLst>
            <c:ext xmlns:c16="http://schemas.microsoft.com/office/drawing/2014/chart" uri="{C3380CC4-5D6E-409C-BE32-E72D297353CC}">
              <c16:uniqueId val="{00000005-8141-45A6-907C-C56F20AF0B6C}"/>
            </c:ext>
          </c:extLst>
        </c:ser>
        <c:ser>
          <c:idx val="6"/>
          <c:order val="6"/>
          <c:spPr>
            <a:ln w="28575" cap="rnd" cmpd="sng" algn="ctr">
              <a:solidFill>
                <a:schemeClr val="accent1">
                  <a:tint val="95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8141-45A6-907C-C56F20AF0B6C}"/>
                </c:ext>
              </c:extLst>
            </c:dLbl>
            <c:dLbl>
              <c:idx val="1"/>
              <c:delete val="1"/>
              <c:extLst>
                <c:ext xmlns:c15="http://schemas.microsoft.com/office/drawing/2012/chart" uri="{CE6537A1-D6FC-4f65-9D91-7224C49458BB}"/>
                <c:ext xmlns:c16="http://schemas.microsoft.com/office/drawing/2014/chart" uri="{C3380CC4-5D6E-409C-BE32-E72D297353CC}">
                  <c16:uniqueId val="{00000007-8141-45A6-907C-C56F20AF0B6C}"/>
                </c:ext>
              </c:extLst>
            </c:dLbl>
            <c:dLbl>
              <c:idx val="2"/>
              <c:delete val="1"/>
              <c:extLst>
                <c:ext xmlns:c15="http://schemas.microsoft.com/office/drawing/2012/chart" uri="{CE6537A1-D6FC-4f65-9D91-7224C49458BB}"/>
                <c:ext xmlns:c16="http://schemas.microsoft.com/office/drawing/2014/chart" uri="{C3380CC4-5D6E-409C-BE32-E72D297353CC}">
                  <c16:uniqueId val="{00000008-8141-45A6-907C-C56F20AF0B6C}"/>
                </c:ext>
              </c:extLst>
            </c:dLbl>
            <c:dLbl>
              <c:idx val="3"/>
              <c:delete val="1"/>
              <c:extLst>
                <c:ext xmlns:c15="http://schemas.microsoft.com/office/drawing/2012/chart" uri="{CE6537A1-D6FC-4f65-9D91-7224C49458BB}"/>
                <c:ext xmlns:c16="http://schemas.microsoft.com/office/drawing/2014/chart" uri="{C3380CC4-5D6E-409C-BE32-E72D297353CC}">
                  <c16:uniqueId val="{00000009-8141-45A6-907C-C56F20AF0B6C}"/>
                </c:ext>
              </c:extLst>
            </c:dLbl>
            <c:dLbl>
              <c:idx val="4"/>
              <c:delete val="1"/>
              <c:extLst>
                <c:ext xmlns:c15="http://schemas.microsoft.com/office/drawing/2012/chart" uri="{CE6537A1-D6FC-4f65-9D91-7224C49458BB}"/>
                <c:ext xmlns:c16="http://schemas.microsoft.com/office/drawing/2014/chart" uri="{C3380CC4-5D6E-409C-BE32-E72D297353CC}">
                  <c16:uniqueId val="{0000000A-8141-45A6-907C-C56F20AF0B6C}"/>
                </c:ext>
              </c:extLst>
            </c:dLbl>
            <c:dLbl>
              <c:idx val="5"/>
              <c:delete val="1"/>
              <c:extLst>
                <c:ext xmlns:c15="http://schemas.microsoft.com/office/drawing/2012/chart" uri="{CE6537A1-D6FC-4f65-9D91-7224C49458BB}"/>
                <c:ext xmlns:c16="http://schemas.microsoft.com/office/drawing/2014/chart" uri="{C3380CC4-5D6E-409C-BE32-E72D297353CC}">
                  <c16:uniqueId val="{0000000B-8141-45A6-907C-C56F20AF0B6C}"/>
                </c:ext>
              </c:extLst>
            </c:dLbl>
            <c:dLbl>
              <c:idx val="6"/>
              <c:delete val="1"/>
              <c:extLst>
                <c:ext xmlns:c15="http://schemas.microsoft.com/office/drawing/2012/chart" uri="{CE6537A1-D6FC-4f65-9D91-7224C49458BB}"/>
                <c:ext xmlns:c16="http://schemas.microsoft.com/office/drawing/2014/chart" uri="{C3380CC4-5D6E-409C-BE32-E72D297353CC}">
                  <c16:uniqueId val="{0000000C-8141-45A6-907C-C56F20AF0B6C}"/>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kursa'!$H$56:$R$56</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51.208222826495678</c:v>
                </c:pt>
                <c:pt idx="8">
                  <c:v>50.757470323314138</c:v>
                </c:pt>
                <c:pt idx="9">
                  <c:v>50.177124842310214</c:v>
                </c:pt>
                <c:pt idx="10">
                  <c:v>49.676293418301029</c:v>
                </c:pt>
              </c:numCache>
            </c:numRef>
          </c:val>
          <c:smooth val="0"/>
          <c:extLst>
            <c:ext xmlns:c16="http://schemas.microsoft.com/office/drawing/2014/chart" uri="{C3380CC4-5D6E-409C-BE32-E72D297353CC}">
              <c16:uniqueId val="{0000000D-8141-45A6-907C-C56F20AF0B6C}"/>
            </c:ext>
          </c:extLst>
        </c:ser>
        <c:ser>
          <c:idx val="7"/>
          <c:order val="7"/>
          <c:spPr>
            <a:ln w="28575" cap="rnd" cmpd="sng" algn="ctr">
              <a:solidFill>
                <a:schemeClr val="accent1">
                  <a:tint val="84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kursa'!$H$57:$R$57</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46.709112980386507</c:v>
                </c:pt>
                <c:pt idx="8">
                  <c:v>46.245695183463987</c:v>
                </c:pt>
                <c:pt idx="9">
                  <c:v>45.716935967438182</c:v>
                </c:pt>
                <c:pt idx="10">
                  <c:v>45.31177755541416</c:v>
                </c:pt>
              </c:numCache>
            </c:numRef>
          </c:val>
          <c:smooth val="0"/>
          <c:extLst>
            <c:ext xmlns:c16="http://schemas.microsoft.com/office/drawing/2014/chart" uri="{C3380CC4-5D6E-409C-BE32-E72D297353CC}">
              <c16:uniqueId val="{0000000E-8141-45A6-907C-C56F20AF0B6C}"/>
            </c:ext>
          </c:extLst>
        </c:ser>
        <c:ser>
          <c:idx val="8"/>
          <c:order val="8"/>
          <c:spPr>
            <a:ln w="28575" cap="rnd" cmpd="sng" algn="ctr">
              <a:solidFill>
                <a:schemeClr val="accent1">
                  <a:tint val="74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kursa'!$H$58:$R$58</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45.959261339368304</c:v>
                </c:pt>
                <c:pt idx="8">
                  <c:v>45.493732660155629</c:v>
                </c:pt>
                <c:pt idx="9">
                  <c:v>44.973571154959515</c:v>
                </c:pt>
                <c:pt idx="10">
                  <c:v>44.584358244933007</c:v>
                </c:pt>
              </c:numCache>
            </c:numRef>
          </c:val>
          <c:smooth val="0"/>
          <c:extLst>
            <c:ext xmlns:c16="http://schemas.microsoft.com/office/drawing/2014/chart" uri="{C3380CC4-5D6E-409C-BE32-E72D297353CC}">
              <c16:uniqueId val="{0000000F-8141-45A6-907C-C56F20AF0B6C}"/>
            </c:ext>
          </c:extLst>
        </c:ser>
        <c:ser>
          <c:idx val="9"/>
          <c:order val="9"/>
          <c:spPr>
            <a:ln w="28575" cap="rnd" cmpd="sng" algn="ctr">
              <a:solidFill>
                <a:schemeClr val="accent1">
                  <a:tint val="63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kursa'!$H$59:$R$59</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45.209409698350115</c:v>
                </c:pt>
                <c:pt idx="8">
                  <c:v>44.741770136847272</c:v>
                </c:pt>
                <c:pt idx="9">
                  <c:v>44.230206342480841</c:v>
                </c:pt>
                <c:pt idx="10">
                  <c:v>43.856938934451854</c:v>
                </c:pt>
              </c:numCache>
            </c:numRef>
          </c:val>
          <c:smooth val="0"/>
          <c:extLst>
            <c:ext xmlns:c16="http://schemas.microsoft.com/office/drawing/2014/chart" uri="{C3380CC4-5D6E-409C-BE32-E72D297353CC}">
              <c16:uniqueId val="{00000010-8141-45A6-907C-C56F20AF0B6C}"/>
            </c:ext>
          </c:extLst>
        </c:ser>
        <c:ser>
          <c:idx val="10"/>
          <c:order val="10"/>
          <c:spPr>
            <a:ln w="28575" cap="rnd" cmpd="sng" algn="ctr">
              <a:solidFill>
                <a:schemeClr val="accent1">
                  <a:tint val="52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kursa'!$H$60:$R$60</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44.459558057331918</c:v>
                </c:pt>
                <c:pt idx="8">
                  <c:v>43.989807613538922</c:v>
                </c:pt>
                <c:pt idx="9">
                  <c:v>43.486841530002181</c:v>
                </c:pt>
                <c:pt idx="10">
                  <c:v>43.129519623970715</c:v>
                </c:pt>
              </c:numCache>
            </c:numRef>
          </c:val>
          <c:smooth val="0"/>
          <c:extLst>
            <c:ext xmlns:c16="http://schemas.microsoft.com/office/drawing/2014/chart" uri="{C3380CC4-5D6E-409C-BE32-E72D297353CC}">
              <c16:uniqueId val="{00000011-8141-45A6-907C-C56F20AF0B6C}"/>
            </c:ext>
          </c:extLst>
        </c:ser>
        <c:ser>
          <c:idx val="11"/>
          <c:order val="11"/>
          <c:spPr>
            <a:ln w="28575" cap="rnd" cmpd="sng" algn="ctr">
              <a:solidFill>
                <a:schemeClr val="accent1">
                  <a:tint val="41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2-8141-45A6-907C-C56F20AF0B6C}"/>
                </c:ext>
              </c:extLst>
            </c:dLbl>
            <c:dLbl>
              <c:idx val="1"/>
              <c:delete val="1"/>
              <c:extLst>
                <c:ext xmlns:c15="http://schemas.microsoft.com/office/drawing/2012/chart" uri="{CE6537A1-D6FC-4f65-9D91-7224C49458BB}"/>
                <c:ext xmlns:c16="http://schemas.microsoft.com/office/drawing/2014/chart" uri="{C3380CC4-5D6E-409C-BE32-E72D297353CC}">
                  <c16:uniqueId val="{00000013-8141-45A6-907C-C56F20AF0B6C}"/>
                </c:ext>
              </c:extLst>
            </c:dLbl>
            <c:dLbl>
              <c:idx val="2"/>
              <c:delete val="1"/>
              <c:extLst>
                <c:ext xmlns:c15="http://schemas.microsoft.com/office/drawing/2012/chart" uri="{CE6537A1-D6FC-4f65-9D91-7224C49458BB}"/>
                <c:ext xmlns:c16="http://schemas.microsoft.com/office/drawing/2014/chart" uri="{C3380CC4-5D6E-409C-BE32-E72D297353CC}">
                  <c16:uniqueId val="{00000014-8141-45A6-907C-C56F20AF0B6C}"/>
                </c:ext>
              </c:extLst>
            </c:dLbl>
            <c:dLbl>
              <c:idx val="3"/>
              <c:delete val="1"/>
              <c:extLst>
                <c:ext xmlns:c15="http://schemas.microsoft.com/office/drawing/2012/chart" uri="{CE6537A1-D6FC-4f65-9D91-7224C49458BB}"/>
                <c:ext xmlns:c16="http://schemas.microsoft.com/office/drawing/2014/chart" uri="{C3380CC4-5D6E-409C-BE32-E72D297353CC}">
                  <c16:uniqueId val="{00000015-8141-45A6-907C-C56F20AF0B6C}"/>
                </c:ext>
              </c:extLst>
            </c:dLbl>
            <c:dLbl>
              <c:idx val="4"/>
              <c:delete val="1"/>
              <c:extLst>
                <c:ext xmlns:c15="http://schemas.microsoft.com/office/drawing/2012/chart" uri="{CE6537A1-D6FC-4f65-9D91-7224C49458BB}"/>
                <c:ext xmlns:c16="http://schemas.microsoft.com/office/drawing/2014/chart" uri="{C3380CC4-5D6E-409C-BE32-E72D297353CC}">
                  <c16:uniqueId val="{00000016-8141-45A6-907C-C56F20AF0B6C}"/>
                </c:ext>
              </c:extLst>
            </c:dLbl>
            <c:dLbl>
              <c:idx val="5"/>
              <c:delete val="1"/>
              <c:extLst>
                <c:ext xmlns:c15="http://schemas.microsoft.com/office/drawing/2012/chart" uri="{CE6537A1-D6FC-4f65-9D91-7224C49458BB}"/>
                <c:ext xmlns:c16="http://schemas.microsoft.com/office/drawing/2014/chart" uri="{C3380CC4-5D6E-409C-BE32-E72D297353CC}">
                  <c16:uniqueId val="{00000017-8141-45A6-907C-C56F20AF0B6C}"/>
                </c:ext>
              </c:extLst>
            </c:dLbl>
            <c:dLbl>
              <c:idx val="6"/>
              <c:delete val="1"/>
              <c:extLst>
                <c:ext xmlns:c15="http://schemas.microsoft.com/office/drawing/2012/chart" uri="{CE6537A1-D6FC-4f65-9D91-7224C49458BB}"/>
                <c:ext xmlns:c16="http://schemas.microsoft.com/office/drawing/2014/chart" uri="{C3380CC4-5D6E-409C-BE32-E72D297353CC}">
                  <c16:uniqueId val="{00000018-8141-45A6-907C-C56F20AF0B6C}"/>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kursa'!$H$61:$R$61</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43.709706416313729</c:v>
                </c:pt>
                <c:pt idx="8">
                  <c:v>43.23784509023055</c:v>
                </c:pt>
                <c:pt idx="9">
                  <c:v>42.743476717523507</c:v>
                </c:pt>
                <c:pt idx="10">
                  <c:v>42.402100313489569</c:v>
                </c:pt>
              </c:numCache>
            </c:numRef>
          </c:val>
          <c:smooth val="0"/>
          <c:extLst>
            <c:ext xmlns:c16="http://schemas.microsoft.com/office/drawing/2014/chart" uri="{C3380CC4-5D6E-409C-BE32-E72D297353CC}">
              <c16:uniqueId val="{00000019-8141-45A6-907C-C56F20AF0B6C}"/>
            </c:ext>
          </c:extLst>
        </c:ser>
        <c:dLbls>
          <c:showLegendKey val="0"/>
          <c:showVal val="0"/>
          <c:showCatName val="0"/>
          <c:showSerName val="0"/>
          <c:showPercent val="0"/>
          <c:showBubbleSize val="0"/>
        </c:dLbls>
        <c:marker val="1"/>
        <c:smooth val="0"/>
        <c:axId val="75069312"/>
        <c:axId val="75070848"/>
      </c:lineChart>
      <c:catAx>
        <c:axId val="75069312"/>
        <c:scaling>
          <c:orientation val="minMax"/>
        </c:scaling>
        <c:delete val="0"/>
        <c:axPos val="b"/>
        <c:majorGridlines>
          <c:spPr>
            <a:ln w="9525" cap="flat" cmpd="sng" algn="ctr">
              <a:noFill/>
              <a:prstDash val="solid"/>
              <a:round/>
            </a:ln>
            <a:effectLst/>
          </c:spPr>
        </c:majorGridlines>
        <c:minorGridlines>
          <c:spPr>
            <a:ln w="9525" cap="flat" cmpd="sng" algn="ctr">
              <a:noFill/>
              <a:prstDash val="solid"/>
              <a:round/>
            </a:ln>
            <a:effectLst/>
          </c:spPr>
        </c:min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crossAx val="75070848"/>
        <c:crosses val="autoZero"/>
        <c:auto val="0"/>
        <c:lblAlgn val="ctr"/>
        <c:lblOffset val="100"/>
        <c:noMultiLvlLbl val="0"/>
      </c:catAx>
      <c:valAx>
        <c:axId val="75070848"/>
        <c:scaling>
          <c:orientation val="minMax"/>
          <c:max val="60"/>
          <c:min val="40"/>
        </c:scaling>
        <c:delete val="0"/>
        <c:axPos val="l"/>
        <c:majorGridlines>
          <c:spPr>
            <a:ln w="9525" cap="flat" cmpd="sng" algn="ctr">
              <a:noFill/>
              <a:prstDash val="solid"/>
              <a:round/>
            </a:ln>
            <a:effectLst/>
          </c:spPr>
        </c:majorGridlines>
        <c:numFmt formatCode="#,##0.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crossAx val="75069312"/>
        <c:crosses val="autoZero"/>
        <c:crossBetween val="between"/>
        <c:majorUnit val="5"/>
        <c:minorUnit val="2"/>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rot="5400000" vert="horz"/>
    <a:lstStyle/>
    <a:p>
      <a:pPr>
        <a:defRPr sz="700"/>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98671539777668E-2"/>
          <c:y val="6.2678062678062682E-2"/>
          <c:w val="0.88987288704952838"/>
          <c:h val="0.82266819211701114"/>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'[Prilozi.xlsx]Ucesce ind duga'!$B$3:$B$12</c:f>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f>'[Prilozi.xlsx]Ucesce ind duga'!$G$3:$G$12</c:f>
              <c:numCache>
                <c:formatCode>0.0%</c:formatCode>
                <c:ptCount val="10"/>
                <c:pt idx="0">
                  <c:v>9.4899104808150933E-2</c:v>
                </c:pt>
                <c:pt idx="1">
                  <c:v>8.5111910741428626E-2</c:v>
                </c:pt>
                <c:pt idx="2">
                  <c:v>7.4846461096448672E-2</c:v>
                </c:pt>
                <c:pt idx="3">
                  <c:v>6.5330701534005345E-2</c:v>
                </c:pt>
                <c:pt idx="4">
                  <c:v>6.1105887904304074E-2</c:v>
                </c:pt>
                <c:pt idx="5">
                  <c:v>5.2600687485065384E-2</c:v>
                </c:pt>
                <c:pt idx="6">
                  <c:v>4.5373884092513889E-2</c:v>
                </c:pt>
                <c:pt idx="7">
                  <c:v>4.5966213245846536E-2</c:v>
                </c:pt>
                <c:pt idx="8">
                  <c:v>4.9875474153556594E-2</c:v>
                </c:pt>
                <c:pt idx="9">
                  <c:v>4.6769709774268878E-2</c:v>
                </c:pt>
              </c:numCache>
            </c:numRef>
          </c:val>
          <c:smooth val="0"/>
          <c:extLst>
            <c:ext xmlns:c16="http://schemas.microsoft.com/office/drawing/2014/chart" uri="{C3380CC4-5D6E-409C-BE32-E72D297353CC}">
              <c16:uniqueId val="{00000000-17F2-4159-96CC-4688FDF86ECE}"/>
            </c:ext>
          </c:extLst>
        </c:ser>
        <c:dLbls>
          <c:dLblPos val="t"/>
          <c:showLegendKey val="0"/>
          <c:showVal val="1"/>
          <c:showCatName val="0"/>
          <c:showSerName val="0"/>
          <c:showPercent val="0"/>
          <c:showBubbleSize val="0"/>
        </c:dLbls>
        <c:smooth val="0"/>
        <c:axId val="271573488"/>
        <c:axId val="271586384"/>
      </c:lineChart>
      <c:catAx>
        <c:axId val="27157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1586384"/>
        <c:crosses val="autoZero"/>
        <c:auto val="1"/>
        <c:lblAlgn val="ctr"/>
        <c:lblOffset val="100"/>
        <c:noMultiLvlLbl val="0"/>
      </c:catAx>
      <c:valAx>
        <c:axId val="2715863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1573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9943854237365"/>
          <c:y val="5.8201058201058198E-2"/>
          <c:w val="0.85763158399793427"/>
          <c:h val="0.599145940090822"/>
        </c:manualLayout>
      </c:layout>
      <c:barChart>
        <c:barDir val="col"/>
        <c:grouping val="clustered"/>
        <c:varyColors val="0"/>
        <c:ser>
          <c:idx val="0"/>
          <c:order val="0"/>
          <c:tx>
            <c:strRef>
              <c:f>Гаранције!$C$53</c:f>
              <c:strCache>
                <c:ptCount val="1"/>
                <c:pt idx="0">
                  <c:v>The total repayment under guarantees (principal + interest)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Гаранције!$B$54:$B$63</c:f>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f>Гаранције!$C$54:$C$63</c:f>
              <c:numCache>
                <c:formatCode>#,##0.0</c:formatCode>
                <c:ptCount val="10"/>
                <c:pt idx="0">
                  <c:v>47.2</c:v>
                </c:pt>
                <c:pt idx="1">
                  <c:v>55.3</c:v>
                </c:pt>
                <c:pt idx="2">
                  <c:v>36.700000000000003</c:v>
                </c:pt>
                <c:pt idx="3">
                  <c:v>26</c:v>
                </c:pt>
                <c:pt idx="4">
                  <c:v>17.100000000000001</c:v>
                </c:pt>
                <c:pt idx="5">
                  <c:v>13.2</c:v>
                </c:pt>
                <c:pt idx="6">
                  <c:v>12.9</c:v>
                </c:pt>
                <c:pt idx="7">
                  <c:v>23.3</c:v>
                </c:pt>
                <c:pt idx="8" formatCode="0.0">
                  <c:v>33.74</c:v>
                </c:pt>
                <c:pt idx="9" formatCode="General">
                  <c:v>28.6</c:v>
                </c:pt>
              </c:numCache>
            </c:numRef>
          </c:val>
          <c:extLst>
            <c:ext xmlns:c16="http://schemas.microsoft.com/office/drawing/2014/chart" uri="{C3380CC4-5D6E-409C-BE32-E72D297353CC}">
              <c16:uniqueId val="{00000000-78E7-4BAF-B209-9A11BEB739BC}"/>
            </c:ext>
          </c:extLst>
        </c:ser>
        <c:ser>
          <c:idx val="1"/>
          <c:order val="1"/>
          <c:tx>
            <c:strRef>
              <c:f>Гаранције!$D$53</c:f>
              <c:strCache>
                <c:ptCount val="1"/>
                <c:pt idx="0">
                  <c:v>Repayment of guarantees (principal) included in expenditures (affects the deficit)</c:v>
                </c:pt>
              </c:strCache>
            </c:strRef>
          </c:tx>
          <c:spPr>
            <a:solidFill>
              <a:srgbClr val="FF0000"/>
            </a:solidFill>
            <a:ln>
              <a:noFill/>
            </a:ln>
            <a:effectLst/>
          </c:spPr>
          <c:invertIfNegative val="0"/>
          <c:cat>
            <c:strRef>
              <c:f>Гаранције!$B$54:$B$63</c:f>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f>Гаранције!$D$54:$D$63</c:f>
              <c:numCache>
                <c:formatCode>#,##0.0</c:formatCode>
                <c:ptCount val="10"/>
                <c:pt idx="0">
                  <c:v>30.099999999999998</c:v>
                </c:pt>
                <c:pt idx="1">
                  <c:v>39.116</c:v>
                </c:pt>
                <c:pt idx="2">
                  <c:v>28.8</c:v>
                </c:pt>
                <c:pt idx="3">
                  <c:v>19.727</c:v>
                </c:pt>
                <c:pt idx="4">
                  <c:v>10.8</c:v>
                </c:pt>
                <c:pt idx="5">
                  <c:v>7.5</c:v>
                </c:pt>
                <c:pt idx="6">
                  <c:v>7.7</c:v>
                </c:pt>
                <c:pt idx="7">
                  <c:v>17.744700000000002</c:v>
                </c:pt>
                <c:pt idx="8" formatCode="General">
                  <c:v>23.8</c:v>
                </c:pt>
                <c:pt idx="9" formatCode="General">
                  <c:v>20.3</c:v>
                </c:pt>
              </c:numCache>
            </c:numRef>
          </c:val>
          <c:extLst>
            <c:ext xmlns:c16="http://schemas.microsoft.com/office/drawing/2014/chart" uri="{C3380CC4-5D6E-409C-BE32-E72D297353CC}">
              <c16:uniqueId val="{00000001-78E7-4BAF-B209-9A11BEB739BC}"/>
            </c:ext>
          </c:extLst>
        </c:ser>
        <c:dLbls>
          <c:showLegendKey val="0"/>
          <c:showVal val="0"/>
          <c:showCatName val="0"/>
          <c:showSerName val="0"/>
          <c:showPercent val="0"/>
          <c:showBubbleSize val="0"/>
        </c:dLbls>
        <c:gapWidth val="100"/>
        <c:overlap val="-24"/>
        <c:axId val="499205263"/>
        <c:axId val="499199855"/>
        <c:extLst>
          <c:ext xmlns:c15="http://schemas.microsoft.com/office/drawing/2012/chart" uri="{02D57815-91ED-43cb-92C2-25804820EDAC}">
            <c15:filteredBarSeries>
              <c15:ser>
                <c:idx val="2"/>
                <c:order val="2"/>
                <c:tx>
                  <c:strRef>
                    <c:extLst>
                      <c:ext uri="{02D57815-91ED-43cb-92C2-25804820EDAC}">
                        <c15:formulaRef>
                          <c15:sqref>Гаранције!$E$53</c15:sqref>
                        </c15:formulaRef>
                      </c:ext>
                    </c:extLst>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extLst>
                      <c:ext uri="{02D57815-91ED-43cb-92C2-25804820EDAC}">
                        <c15:formulaRef>
                          <c15:sqref>Гаранције!$B$54:$B$63</c15:sqref>
                        </c15:formulaRef>
                      </c:ext>
                    </c:extLst>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extLst>
                      <c:ext uri="{02D57815-91ED-43cb-92C2-25804820EDAC}">
                        <c15:formulaRef>
                          <c15:sqref>Гаранције!$E$54:$E$62</c15:sqref>
                        </c15:formulaRef>
                      </c:ext>
                    </c:extLst>
                    <c:numCache>
                      <c:formatCode>General</c:formatCode>
                      <c:ptCount val="9"/>
                    </c:numCache>
                  </c:numRef>
                </c:val>
                <c:extLst>
                  <c:ext xmlns:c16="http://schemas.microsoft.com/office/drawing/2014/chart" uri="{C3380CC4-5D6E-409C-BE32-E72D297353CC}">
                    <c16:uniqueId val="{00000002-78E7-4BAF-B209-9A11BEB739B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Гаранције!$F$53</c15:sqref>
                        </c15:formulaRef>
                      </c:ext>
                    </c:extLst>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Гаранције!$B$54:$B$63</c15:sqref>
                        </c15:formulaRef>
                      </c:ext>
                    </c:extLst>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extLst xmlns:c15="http://schemas.microsoft.com/office/drawing/2012/chart">
                      <c:ext xmlns:c15="http://schemas.microsoft.com/office/drawing/2012/chart" uri="{02D57815-91ED-43cb-92C2-25804820EDAC}">
                        <c15:formulaRef>
                          <c15:sqref>Гаранције!$F$54:$F$62</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3-78E7-4BAF-B209-9A11BEB739B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Гаранције!$G$53</c15:sqref>
                        </c15:formulaRef>
                      </c:ext>
                    </c:extLst>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Гаранције!$B$54:$B$63</c15:sqref>
                        </c15:formulaRef>
                      </c:ext>
                    </c:extLst>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extLst xmlns:c15="http://schemas.microsoft.com/office/drawing/2012/chart">
                      <c:ext xmlns:c15="http://schemas.microsoft.com/office/drawing/2012/chart" uri="{02D57815-91ED-43cb-92C2-25804820EDAC}">
                        <c15:formulaRef>
                          <c15:sqref>Гаранције!$G$54:$G$62</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4-78E7-4BAF-B209-9A11BEB739BC}"/>
                  </c:ext>
                </c:extLst>
              </c15:ser>
            </c15:filteredBarSeries>
          </c:ext>
        </c:extLst>
      </c:barChart>
      <c:catAx>
        <c:axId val="49920526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mn-cs"/>
              </a:defRPr>
            </a:pPr>
            <a:endParaRPr lang="en-US"/>
          </a:p>
        </c:txPr>
        <c:crossAx val="499199855"/>
        <c:crosses val="autoZero"/>
        <c:auto val="1"/>
        <c:lblAlgn val="ctr"/>
        <c:lblOffset val="100"/>
        <c:noMultiLvlLbl val="0"/>
      </c:catAx>
      <c:valAx>
        <c:axId val="49919985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mn-cs"/>
                  </a:defRPr>
                </a:pPr>
                <a:r>
                  <a:rPr lang="en-US" b="0" baseline="0">
                    <a:latin typeface="Times New Roman" panose="02020603050405020304" pitchFamily="18" charset="0"/>
                  </a:rPr>
                  <a:t>RSD Billions</a:t>
                </a:r>
                <a:endParaRPr lang="en-US" baseline="0">
                  <a:latin typeface="Times New Roman" panose="02020603050405020304" pitchFamily="18" charset="0"/>
                </a:endParaRPr>
              </a:p>
            </c:rich>
          </c:tx>
          <c:layout>
            <c:manualLayout>
              <c:xMode val="edge"/>
              <c:yMode val="edge"/>
              <c:x val="1.1079104808331486E-2"/>
              <c:y val="0.1918770777315324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mn-cs"/>
              </a:defRPr>
            </a:pPr>
            <a:endParaRPr lang="en-US"/>
          </a:p>
        </c:txPr>
        <c:crossAx val="499205263"/>
        <c:crosses val="autoZero"/>
        <c:crossBetween val="between"/>
      </c:valAx>
      <c:spPr>
        <a:noFill/>
        <a:ln>
          <a:noFill/>
        </a:ln>
        <a:effectLst/>
      </c:spPr>
    </c:plotArea>
    <c:legend>
      <c:legendPos val="b"/>
      <c:layout>
        <c:manualLayout>
          <c:xMode val="edge"/>
          <c:yMode val="edge"/>
          <c:x val="5.679864468525745E-2"/>
          <c:y val="0.83890788041738684"/>
          <c:w val="0.89526599447615041"/>
          <c:h val="0.150851631350959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33714179804967E-2"/>
          <c:y val="6.0313404132223677E-2"/>
          <c:w val="0.86085801063022016"/>
          <c:h val="0.76006604038907821"/>
        </c:manualLayout>
      </c:layout>
      <c:barChart>
        <c:barDir val="col"/>
        <c:grouping val="clustered"/>
        <c:varyColors val="0"/>
        <c:ser>
          <c:idx val="0"/>
          <c:order val="0"/>
          <c:tx>
            <c:strRef>
              <c:f>'[Chart 2 in Microsoft Word]grafikoni'!$D$50</c:f>
              <c:strCache>
                <c:ptCount val="1"/>
                <c:pt idx="0">
                  <c:v>public debt – baseline scenario</c:v>
                </c:pt>
              </c:strCache>
            </c:strRef>
          </c:tx>
          <c:spPr>
            <a:solidFill>
              <a:srgbClr val="7030A0"/>
            </a:solidFill>
            <a:ln w="9525" cap="flat" cmpd="sng" algn="ctr">
              <a:solidFill>
                <a:schemeClr val="accent6">
                  <a:shade val="50000"/>
                  <a:shade val="95000"/>
                  <a:satMod val="105000"/>
                </a:schemeClr>
              </a:solidFill>
              <a:prstDash val="solid"/>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Word]grafikoni'!$F$48:$J$48</c:f>
              <c:numCache>
                <c:formatCode>General</c:formatCode>
                <c:ptCount val="5"/>
                <c:pt idx="0">
                  <c:v>2024</c:v>
                </c:pt>
                <c:pt idx="1">
                  <c:v>2025</c:v>
                </c:pt>
                <c:pt idx="2">
                  <c:v>2026</c:v>
                </c:pt>
                <c:pt idx="3">
                  <c:v>2027</c:v>
                </c:pt>
              </c:numCache>
            </c:numRef>
          </c:cat>
          <c:val>
            <c:numRef>
              <c:f>'[Chart 2 in Microsoft Word]grafikoni'!$F$50:$I$50</c:f>
              <c:numCache>
                <c:formatCode>#,##0.0</c:formatCode>
                <c:ptCount val="4"/>
                <c:pt idx="0">
                  <c:v>47.858964621404702</c:v>
                </c:pt>
                <c:pt idx="1">
                  <c:v>47.497657706772344</c:v>
                </c:pt>
                <c:pt idx="2">
                  <c:v>46.960300779916849</c:v>
                </c:pt>
                <c:pt idx="3">
                  <c:v>46.539196865895306</c:v>
                </c:pt>
              </c:numCache>
            </c:numRef>
          </c:val>
          <c:extLst>
            <c:ext xmlns:c16="http://schemas.microsoft.com/office/drawing/2014/chart" uri="{C3380CC4-5D6E-409C-BE32-E72D297353CC}">
              <c16:uniqueId val="{00000000-0D4F-4B80-B87A-E2696E080179}"/>
            </c:ext>
          </c:extLst>
        </c:ser>
        <c:ser>
          <c:idx val="1"/>
          <c:order val="1"/>
          <c:tx>
            <c:strRef>
              <c:f>'[Chart 2 in Microsoft Word]grafikoni'!$D$52</c:f>
              <c:strCache>
                <c:ptCount val="1"/>
                <c:pt idx="0">
                  <c:v>public debt – alternative scenario</c:v>
                </c:pt>
              </c:strCache>
            </c:strRef>
          </c:tx>
          <c:spPr>
            <a:solidFill>
              <a:srgbClr val="E3A8FE"/>
            </a:solidFill>
            <a:ln w="9525" cap="flat" cmpd="sng" algn="ctr">
              <a:solidFill>
                <a:schemeClr val="accent6">
                  <a:shade val="50000"/>
                  <a:shade val="95000"/>
                  <a:satMod val="105000"/>
                </a:schemeClr>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Word]grafikoni'!$F$48:$J$48</c:f>
              <c:numCache>
                <c:formatCode>General</c:formatCode>
                <c:ptCount val="5"/>
                <c:pt idx="0">
                  <c:v>2024</c:v>
                </c:pt>
                <c:pt idx="1">
                  <c:v>2025</c:v>
                </c:pt>
                <c:pt idx="2">
                  <c:v>2026</c:v>
                </c:pt>
                <c:pt idx="3">
                  <c:v>2027</c:v>
                </c:pt>
              </c:numCache>
            </c:numRef>
          </c:cat>
          <c:val>
            <c:numRef>
              <c:f>'[Chart 2 in Microsoft Word]grafikoni'!$F$52:$I$52</c:f>
              <c:numCache>
                <c:formatCode>#,##0.0</c:formatCode>
                <c:ptCount val="4"/>
                <c:pt idx="0">
                  <c:v>47.858964621404702</c:v>
                </c:pt>
                <c:pt idx="1">
                  <c:v>48.121302927047239</c:v>
                </c:pt>
                <c:pt idx="2">
                  <c:v>48.287051956697525</c:v>
                </c:pt>
                <c:pt idx="3">
                  <c:v>49.028894151597768</c:v>
                </c:pt>
              </c:numCache>
            </c:numRef>
          </c:val>
          <c:extLst>
            <c:ext xmlns:c16="http://schemas.microsoft.com/office/drawing/2014/chart" uri="{C3380CC4-5D6E-409C-BE32-E72D297353CC}">
              <c16:uniqueId val="{00000001-0D4F-4B80-B87A-E2696E080179}"/>
            </c:ext>
          </c:extLst>
        </c:ser>
        <c:dLbls>
          <c:showLegendKey val="0"/>
          <c:showVal val="0"/>
          <c:showCatName val="0"/>
          <c:showSerName val="0"/>
          <c:showPercent val="0"/>
          <c:showBubbleSize val="0"/>
        </c:dLbls>
        <c:gapWidth val="150"/>
        <c:axId val="275282616"/>
        <c:axId val="275282224"/>
      </c:barChart>
      <c:lineChart>
        <c:grouping val="standard"/>
        <c:varyColors val="0"/>
        <c:ser>
          <c:idx val="2"/>
          <c:order val="2"/>
          <c:tx>
            <c:strRef>
              <c:f>'[Chart 2 in Microsoft Word]grafikoni'!$D$49</c:f>
              <c:strCache>
                <c:ptCount val="1"/>
                <c:pt idx="0">
                  <c:v>deficit (RHS) – baseline scenario</c:v>
                </c:pt>
              </c:strCache>
            </c:strRef>
          </c:tx>
          <c:spPr>
            <a:ln w="47625" cap="rnd" cmpd="sng" algn="ctr">
              <a:solidFill>
                <a:schemeClr val="tx1"/>
              </a:solidFill>
              <a:prstDash val="solid"/>
              <a:round/>
            </a:ln>
            <a:effectLst/>
          </c:spPr>
          <c:marker>
            <c:spPr>
              <a:solidFill>
                <a:schemeClr val="tx1"/>
              </a:solidFill>
              <a:ln w="9525" cap="flat" cmpd="sng" algn="ctr">
                <a:solidFill>
                  <a:schemeClr val="tx1"/>
                </a:solidFill>
                <a:prstDash val="solid"/>
                <a:round/>
              </a:ln>
              <a:effectLst/>
            </c:spPr>
          </c:marker>
          <c:dPt>
            <c:idx val="1"/>
            <c:bubble3D val="0"/>
            <c:extLst>
              <c:ext xmlns:c16="http://schemas.microsoft.com/office/drawing/2014/chart" uri="{C3380CC4-5D6E-409C-BE32-E72D297353CC}">
                <c16:uniqueId val="{00000002-0D4F-4B80-B87A-E2696E080179}"/>
              </c:ext>
            </c:extLst>
          </c:dPt>
          <c:dLbls>
            <c:dLbl>
              <c:idx val="0"/>
              <c:delete val="1"/>
              <c:extLst>
                <c:ext xmlns:c15="http://schemas.microsoft.com/office/drawing/2012/chart" uri="{CE6537A1-D6FC-4f65-9D91-7224C49458BB}"/>
                <c:ext xmlns:c16="http://schemas.microsoft.com/office/drawing/2014/chart" uri="{C3380CC4-5D6E-409C-BE32-E72D297353CC}">
                  <c16:uniqueId val="{00000003-0D4F-4B80-B87A-E2696E080179}"/>
                </c:ext>
              </c:extLst>
            </c:dLbl>
            <c:dLbl>
              <c:idx val="1"/>
              <c:layout>
                <c:manualLayout>
                  <c:x val="-3.7799604415026666E-3"/>
                  <c:y val="4.6965151193414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4F-4B80-B87A-E2696E080179}"/>
                </c:ext>
              </c:extLst>
            </c:dLbl>
            <c:dLbl>
              <c:idx val="2"/>
              <c:layout>
                <c:manualLayout>
                  <c:x val="7.358924893024216E-17"/>
                  <c:y val="-3.9375638159524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4F-4B80-B87A-E2696E0801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prstDash val="solid"/>
                      <a:round/>
                    </a:ln>
                    <a:effectLst/>
                  </c:spPr>
                </c15:leaderLines>
              </c:ext>
            </c:extLst>
          </c:dLbls>
          <c:cat>
            <c:numRef>
              <c:f>'[Chart 2 in Microsoft Word]grafikoni'!$F$48:$I$48</c:f>
              <c:numCache>
                <c:formatCode>General</c:formatCode>
                <c:ptCount val="4"/>
                <c:pt idx="0">
                  <c:v>2024</c:v>
                </c:pt>
                <c:pt idx="1">
                  <c:v>2025</c:v>
                </c:pt>
                <c:pt idx="2">
                  <c:v>2026</c:v>
                </c:pt>
                <c:pt idx="3">
                  <c:v>2027</c:v>
                </c:pt>
              </c:numCache>
            </c:numRef>
          </c:cat>
          <c:val>
            <c:numRef>
              <c:f>'[Chart 2 in Microsoft Word]grafikoni'!$F$49:$I$49</c:f>
              <c:numCache>
                <c:formatCode>#,##0.0</c:formatCode>
                <c:ptCount val="4"/>
                <c:pt idx="0">
                  <c:v>-2.7</c:v>
                </c:pt>
                <c:pt idx="1">
                  <c:v>-3</c:v>
                </c:pt>
                <c:pt idx="2">
                  <c:v>-3</c:v>
                </c:pt>
                <c:pt idx="3">
                  <c:v>-3</c:v>
                </c:pt>
              </c:numCache>
            </c:numRef>
          </c:val>
          <c:smooth val="0"/>
          <c:extLst>
            <c:ext xmlns:c16="http://schemas.microsoft.com/office/drawing/2014/chart" uri="{C3380CC4-5D6E-409C-BE32-E72D297353CC}">
              <c16:uniqueId val="{00000005-0D4F-4B80-B87A-E2696E080179}"/>
            </c:ext>
          </c:extLst>
        </c:ser>
        <c:ser>
          <c:idx val="3"/>
          <c:order val="3"/>
          <c:tx>
            <c:strRef>
              <c:f>'[Chart 2 in Microsoft Word]grafikoni'!$D$51</c:f>
              <c:strCache>
                <c:ptCount val="1"/>
                <c:pt idx="0">
                  <c:v>deficit (RHS) – alternative scenario</c:v>
                </c:pt>
              </c:strCache>
            </c:strRef>
          </c:tx>
          <c:spPr>
            <a:ln w="47625" cap="rnd" cmpd="sng" algn="ctr">
              <a:solidFill>
                <a:srgbClr val="5297AC"/>
              </a:solidFill>
              <a:prstDash val="solid"/>
              <a:round/>
            </a:ln>
            <a:effectLst/>
          </c:spPr>
          <c:marker>
            <c:symbol val="diamond"/>
            <c:size val="9"/>
            <c:spPr>
              <a:solidFill>
                <a:srgbClr val="5297AC"/>
              </a:solidFill>
              <a:ln w="9525" cap="flat" cmpd="sng" algn="ctr">
                <a:solidFill>
                  <a:srgbClr val="5297AC"/>
                </a:solidFill>
                <a:prstDash val="solid"/>
                <a:round/>
              </a:ln>
              <a:effectLst/>
            </c:spPr>
          </c:marker>
          <c:dLbls>
            <c:dLbl>
              <c:idx val="0"/>
              <c:layout>
                <c:manualLayout>
                  <c:x val="8.5427200796985518E-3"/>
                  <c:y val="-2.635518630444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4F-4B80-B87A-E2696E080179}"/>
                </c:ext>
              </c:extLst>
            </c:dLbl>
            <c:dLbl>
              <c:idx val="1"/>
              <c:layout>
                <c:manualLayout>
                  <c:x val="-1.3658996650359901E-2"/>
                  <c:y val="-0.20566720766210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4F-4B80-B87A-E2696E080179}"/>
                </c:ext>
              </c:extLst>
            </c:dLbl>
            <c:dLbl>
              <c:idx val="2"/>
              <c:layout>
                <c:manualLayout>
                  <c:x val="-9.7230589123246409E-3"/>
                  <c:y val="-4.528574897924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4F-4B80-B87A-E2696E080179}"/>
                </c:ext>
              </c:extLst>
            </c:dLbl>
            <c:dLbl>
              <c:idx val="3"/>
              <c:layout>
                <c:manualLayout>
                  <c:x val="-8.9431724296616666E-3"/>
                  <c:y val="-6.9166383578274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4F-4B80-B87A-E2696E080179}"/>
                </c:ext>
              </c:extLst>
            </c:dLbl>
            <c:dLbl>
              <c:idx val="4"/>
              <c:layout>
                <c:manualLayout>
                  <c:x val="-3.7342767295597629E-2"/>
                  <c:y val="-6.640106241699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4F-4B80-B87A-E2696E08017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2 in Microsoft Word]grafikoni'!$F$48:$I$48</c:f>
              <c:numCache>
                <c:formatCode>General</c:formatCode>
                <c:ptCount val="4"/>
                <c:pt idx="0">
                  <c:v>2024</c:v>
                </c:pt>
                <c:pt idx="1">
                  <c:v>2025</c:v>
                </c:pt>
                <c:pt idx="2">
                  <c:v>2026</c:v>
                </c:pt>
                <c:pt idx="3">
                  <c:v>2027</c:v>
                </c:pt>
              </c:numCache>
            </c:numRef>
          </c:cat>
          <c:val>
            <c:numRef>
              <c:f>'[Chart 2 in Microsoft Word]grafikoni'!$F$51:$I$51</c:f>
              <c:numCache>
                <c:formatCode>#,##0.0</c:formatCode>
                <c:ptCount val="4"/>
                <c:pt idx="0">
                  <c:v>-2.7</c:v>
                </c:pt>
                <c:pt idx="1">
                  <c:v>-3.4454410320346782</c:v>
                </c:pt>
                <c:pt idx="2">
                  <c:v>-3.8240702482335167</c:v>
                </c:pt>
                <c:pt idx="3">
                  <c:v>-4.4227456385031942</c:v>
                </c:pt>
              </c:numCache>
            </c:numRef>
          </c:val>
          <c:smooth val="0"/>
          <c:extLst>
            <c:ext xmlns:c16="http://schemas.microsoft.com/office/drawing/2014/chart" uri="{C3380CC4-5D6E-409C-BE32-E72D297353CC}">
              <c16:uniqueId val="{0000000B-0D4F-4B80-B87A-E2696E080179}"/>
            </c:ext>
          </c:extLst>
        </c:ser>
        <c:dLbls>
          <c:showLegendKey val="0"/>
          <c:showVal val="0"/>
          <c:showCatName val="0"/>
          <c:showSerName val="0"/>
          <c:showPercent val="0"/>
          <c:showBubbleSize val="0"/>
        </c:dLbls>
        <c:marker val="1"/>
        <c:smooth val="0"/>
        <c:axId val="275283008"/>
        <c:axId val="275281832"/>
      </c:lineChart>
      <c:catAx>
        <c:axId val="275282616"/>
        <c:scaling>
          <c:orientation val="minMax"/>
        </c:scaling>
        <c:delete val="0"/>
        <c:axPos val="b"/>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75282224"/>
        <c:crosses val="autoZero"/>
        <c:auto val="1"/>
        <c:lblAlgn val="ctr"/>
        <c:lblOffset val="100"/>
        <c:noMultiLvlLbl val="0"/>
      </c:catAx>
      <c:valAx>
        <c:axId val="275282224"/>
        <c:scaling>
          <c:orientation val="minMax"/>
          <c:max val="70"/>
        </c:scaling>
        <c:delete val="0"/>
        <c:axPos val="l"/>
        <c:majorGridlines>
          <c:spPr>
            <a:ln w="9525" cap="flat" cmpd="sng" algn="ctr">
              <a:noFill/>
              <a:prstDash val="solid"/>
              <a:round/>
            </a:ln>
            <a:effectLst/>
          </c:spPr>
        </c:majorGridlines>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75282616"/>
        <c:crosses val="autoZero"/>
        <c:crossBetween val="between"/>
      </c:valAx>
      <c:valAx>
        <c:axId val="275281832"/>
        <c:scaling>
          <c:orientation val="minMax"/>
        </c:scaling>
        <c:delete val="0"/>
        <c:axPos val="r"/>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75283008"/>
        <c:crosses val="max"/>
        <c:crossBetween val="between"/>
      </c:valAx>
      <c:catAx>
        <c:axId val="275283008"/>
        <c:scaling>
          <c:orientation val="minMax"/>
        </c:scaling>
        <c:delete val="1"/>
        <c:axPos val="b"/>
        <c:numFmt formatCode="General" sourceLinked="1"/>
        <c:majorTickMark val="out"/>
        <c:minorTickMark val="none"/>
        <c:tickLblPos val="nextTo"/>
        <c:crossAx val="275281832"/>
        <c:crosses val="autoZero"/>
        <c:auto val="1"/>
        <c:lblAlgn val="ctr"/>
        <c:lblOffset val="100"/>
        <c:noMultiLvlLbl val="0"/>
      </c:catAx>
      <c:spPr>
        <a:noFill/>
        <a:ln>
          <a:noFill/>
        </a:ln>
        <a:effectLst/>
      </c:spPr>
    </c:plotArea>
    <c:legend>
      <c:legendPos val="b"/>
      <c:layout>
        <c:manualLayout>
          <c:xMode val="edge"/>
          <c:yMode val="edge"/>
          <c:x val="2.9179570479681619E-2"/>
          <c:y val="0.86666872254545202"/>
          <c:w val="0.93825420315954267"/>
          <c:h val="0.130817465601766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0" i="0" u="none" strike="noStrike" baseline="0"/>
              <a:t>Impact of reforms on private sector participation in GDP on GDP growth (baseline and reform scenario)</a:t>
            </a:r>
            <a:endParaRPr lang="en-US" sz="1050"/>
          </a:p>
        </c:rich>
      </c:tx>
      <c:layout>
        <c:manualLayout>
          <c:xMode val="edge"/>
          <c:yMode val="edge"/>
          <c:x val="0.1301215943139851"/>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520735713250568"/>
          <c:y val="0.16442333069411452"/>
          <c:w val="0.73003518348549989"/>
          <c:h val="0.60770028449531699"/>
        </c:manualLayout>
      </c:layout>
      <c:lineChart>
        <c:grouping val="standard"/>
        <c:varyColors val="0"/>
        <c:ser>
          <c:idx val="0"/>
          <c:order val="0"/>
          <c:tx>
            <c:strRef>
              <c:f>'Sheet 1'!$A$33</c:f>
              <c:strCache>
                <c:ptCount val="1"/>
                <c:pt idx="0">
                  <c:v>Reform scenario</c:v>
                </c:pt>
              </c:strCache>
            </c:strRef>
          </c:tx>
          <c:spPr>
            <a:ln w="28575" cap="rnd">
              <a:solidFill>
                <a:schemeClr val="accent1"/>
              </a:solidFill>
              <a:round/>
            </a:ln>
            <a:effectLst/>
          </c:spPr>
          <c:marker>
            <c:symbol val="none"/>
          </c:marker>
          <c:dLbls>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C6-45C4-AF06-5B2643EB84F2}"/>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C6-45C4-AF06-5B2643EB84F2}"/>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1'!$C$32:$J$32</c:f>
              <c:numCache>
                <c:formatCode>General</c:formatCode>
                <c:ptCount val="8"/>
                <c:pt idx="0">
                  <c:v>2019</c:v>
                </c:pt>
                <c:pt idx="1">
                  <c:v>2020</c:v>
                </c:pt>
                <c:pt idx="2">
                  <c:v>2021</c:v>
                </c:pt>
                <c:pt idx="3">
                  <c:v>2022</c:v>
                </c:pt>
                <c:pt idx="4">
                  <c:v>2023</c:v>
                </c:pt>
                <c:pt idx="5">
                  <c:v>2024</c:v>
                </c:pt>
                <c:pt idx="6">
                  <c:v>2025</c:v>
                </c:pt>
                <c:pt idx="7">
                  <c:v>2026</c:v>
                </c:pt>
              </c:numCache>
            </c:numRef>
          </c:cat>
          <c:val>
            <c:numRef>
              <c:f>'Sheet 1'!$C$33:$J$33</c:f>
              <c:numCache>
                <c:formatCode>0.0%</c:formatCode>
                <c:ptCount val="8"/>
                <c:pt idx="0">
                  <c:v>0.39530910592454122</c:v>
                </c:pt>
                <c:pt idx="1">
                  <c:v>0.39000827570179963</c:v>
                </c:pt>
                <c:pt idx="2">
                  <c:v>0.45160124890438819</c:v>
                </c:pt>
                <c:pt idx="3">
                  <c:v>0.43729272386267604</c:v>
                </c:pt>
                <c:pt idx="4">
                  <c:v>0.44621456350243199</c:v>
                </c:pt>
                <c:pt idx="5">
                  <c:v>0.45365377651569405</c:v>
                </c:pt>
                <c:pt idx="6">
                  <c:v>0.49773122678536585</c:v>
                </c:pt>
                <c:pt idx="7">
                  <c:v>0.50026295750222194</c:v>
                </c:pt>
              </c:numCache>
            </c:numRef>
          </c:val>
          <c:smooth val="0"/>
          <c:extLst>
            <c:ext xmlns:c16="http://schemas.microsoft.com/office/drawing/2014/chart" uri="{C3380CC4-5D6E-409C-BE32-E72D297353CC}">
              <c16:uniqueId val="{00000002-B3C6-45C4-AF06-5B2643EB84F2}"/>
            </c:ext>
          </c:extLst>
        </c:ser>
        <c:ser>
          <c:idx val="1"/>
          <c:order val="1"/>
          <c:tx>
            <c:strRef>
              <c:f>'Sheet 1'!$A$34</c:f>
              <c:strCache>
                <c:ptCount val="1"/>
                <c:pt idx="0">
                  <c:v>Baseline scenario</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1'!$C$32:$J$32</c:f>
              <c:numCache>
                <c:formatCode>General</c:formatCode>
                <c:ptCount val="8"/>
                <c:pt idx="0">
                  <c:v>2019</c:v>
                </c:pt>
                <c:pt idx="1">
                  <c:v>2020</c:v>
                </c:pt>
                <c:pt idx="2">
                  <c:v>2021</c:v>
                </c:pt>
                <c:pt idx="3">
                  <c:v>2022</c:v>
                </c:pt>
                <c:pt idx="4">
                  <c:v>2023</c:v>
                </c:pt>
                <c:pt idx="5">
                  <c:v>2024</c:v>
                </c:pt>
                <c:pt idx="6">
                  <c:v>2025</c:v>
                </c:pt>
                <c:pt idx="7">
                  <c:v>2026</c:v>
                </c:pt>
              </c:numCache>
            </c:numRef>
          </c:cat>
          <c:val>
            <c:numRef>
              <c:f>'Sheet 1'!$C$34:$J$34</c:f>
              <c:numCache>
                <c:formatCode>0.0%</c:formatCode>
                <c:ptCount val="8"/>
                <c:pt idx="0">
                  <c:v>0.39530910592454122</c:v>
                </c:pt>
                <c:pt idx="1">
                  <c:v>0.39000827570179963</c:v>
                </c:pt>
                <c:pt idx="2">
                  <c:v>0.45160124890438819</c:v>
                </c:pt>
                <c:pt idx="3">
                  <c:v>0.43729272386267604</c:v>
                </c:pt>
                <c:pt idx="4">
                  <c:v>0.44621456350243199</c:v>
                </c:pt>
                <c:pt idx="5">
                  <c:v>0.45365377651569405</c:v>
                </c:pt>
                <c:pt idx="6">
                  <c:v>0.45995158409459447</c:v>
                </c:pt>
                <c:pt idx="7">
                  <c:v>0.46535196003538187</c:v>
                </c:pt>
              </c:numCache>
            </c:numRef>
          </c:val>
          <c:smooth val="0"/>
          <c:extLst>
            <c:ext xmlns:c16="http://schemas.microsoft.com/office/drawing/2014/chart" uri="{C3380CC4-5D6E-409C-BE32-E72D297353CC}">
              <c16:uniqueId val="{00000003-B3C6-45C4-AF06-5B2643EB84F2}"/>
            </c:ext>
          </c:extLst>
        </c:ser>
        <c:dLbls>
          <c:showLegendKey val="0"/>
          <c:showVal val="0"/>
          <c:showCatName val="0"/>
          <c:showSerName val="0"/>
          <c:showPercent val="0"/>
          <c:showBubbleSize val="0"/>
        </c:dLbls>
        <c:marker val="1"/>
        <c:smooth val="0"/>
        <c:axId val="1167201088"/>
        <c:axId val="1167198592"/>
      </c:lineChart>
      <c:scatterChart>
        <c:scatterStyle val="lineMarker"/>
        <c:varyColors val="0"/>
        <c:ser>
          <c:idx val="2"/>
          <c:order val="2"/>
          <c:tx>
            <c:strRef>
              <c:f>'Sheet 1'!$A$35</c:f>
              <c:strCache>
                <c:ptCount val="1"/>
                <c:pt idx="0">
                  <c:v>Lower limit of impact on GDP</c:v>
                </c:pt>
              </c:strCache>
            </c:strRef>
          </c:tx>
          <c:spPr>
            <a:ln w="25400" cap="rnd">
              <a:noFill/>
              <a:round/>
            </a:ln>
            <a:effectLst/>
          </c:spPr>
          <c:marker>
            <c:symbol val="circle"/>
            <c:size val="8"/>
            <c:spPr>
              <a:solidFill>
                <a:srgbClr val="FF0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'Sheet 1'!$C$35:$J$35</c:f>
              <c:numCache>
                <c:formatCode>General</c:formatCode>
                <c:ptCount val="8"/>
                <c:pt idx="7">
                  <c:v>6.7000000000000004E-2</c:v>
                </c:pt>
              </c:numCache>
            </c:numRef>
          </c:yVal>
          <c:smooth val="0"/>
          <c:extLst>
            <c:ext xmlns:c16="http://schemas.microsoft.com/office/drawing/2014/chart" uri="{C3380CC4-5D6E-409C-BE32-E72D297353CC}">
              <c16:uniqueId val="{00000004-B3C6-45C4-AF06-5B2643EB84F2}"/>
            </c:ext>
          </c:extLst>
        </c:ser>
        <c:ser>
          <c:idx val="3"/>
          <c:order val="3"/>
          <c:tx>
            <c:strRef>
              <c:f>'Sheet 1'!$A$36</c:f>
              <c:strCache>
                <c:ptCount val="1"/>
                <c:pt idx="0">
                  <c:v>Upper limit of impact on GDP</c:v>
                </c:pt>
              </c:strCache>
            </c:strRef>
          </c:tx>
          <c:spPr>
            <a:ln w="25400" cap="rnd">
              <a:noFill/>
              <a:round/>
            </a:ln>
            <a:effectLst/>
          </c:spPr>
          <c:marker>
            <c:symbol val="circle"/>
            <c:size val="8"/>
            <c:spPr>
              <a:solidFill>
                <a:schemeClr val="accent6"/>
              </a:solidFill>
              <a:ln w="9525">
                <a:solidFill>
                  <a:schemeClr val="accent4"/>
                </a:solidFill>
              </a:ln>
              <a:effectLst/>
            </c:spPr>
          </c:marker>
          <c:dLbls>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C6-45C4-AF06-5B2643EB84F2}"/>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'Sheet 1'!$C$36:$J$36</c:f>
              <c:numCache>
                <c:formatCode>General</c:formatCode>
                <c:ptCount val="8"/>
                <c:pt idx="7">
                  <c:v>0.13700000000000001</c:v>
                </c:pt>
              </c:numCache>
            </c:numRef>
          </c:yVal>
          <c:smooth val="0"/>
          <c:extLst>
            <c:ext xmlns:c16="http://schemas.microsoft.com/office/drawing/2014/chart" uri="{C3380CC4-5D6E-409C-BE32-E72D297353CC}">
              <c16:uniqueId val="{00000006-B3C6-45C4-AF06-5B2643EB84F2}"/>
            </c:ext>
          </c:extLst>
        </c:ser>
        <c:dLbls>
          <c:showLegendKey val="0"/>
          <c:showVal val="0"/>
          <c:showCatName val="0"/>
          <c:showSerName val="0"/>
          <c:showPercent val="0"/>
          <c:showBubbleSize val="0"/>
        </c:dLbls>
        <c:axId val="1167194016"/>
        <c:axId val="1167187360"/>
      </c:scatterChart>
      <c:catAx>
        <c:axId val="11672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67198592"/>
        <c:crosses val="autoZero"/>
        <c:auto val="1"/>
        <c:lblAlgn val="ctr"/>
        <c:lblOffset val="100"/>
        <c:noMultiLvlLbl val="0"/>
      </c:catAx>
      <c:valAx>
        <c:axId val="1167198592"/>
        <c:scaling>
          <c:orientation val="minMax"/>
          <c:max val="0.55000000000000004"/>
          <c:min val="0.3500000000000000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700" b="0" i="0" u="none" strike="noStrike" baseline="0"/>
                  <a:t>Private sector share in GDP (in %)</a:t>
                </a:r>
                <a:endParaRPr lang="en-US" sz="700"/>
              </a:p>
            </c:rich>
          </c:tx>
          <c:layout>
            <c:manualLayout>
              <c:xMode val="edge"/>
              <c:yMode val="edge"/>
              <c:x val="1.0369410945335106E-2"/>
              <c:y val="0.22834120734908137"/>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67201088"/>
        <c:crosses val="autoZero"/>
        <c:crossBetween val="between"/>
        <c:majorUnit val="5.000000000000001E-2"/>
      </c:valAx>
      <c:valAx>
        <c:axId val="1167187360"/>
        <c:scaling>
          <c:orientation val="minMax"/>
        </c:scaling>
        <c:delete val="0"/>
        <c:axPos val="r"/>
        <c:title>
          <c:tx>
            <c:rich>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700" b="0" i="0" u="none" strike="noStrike" baseline="0"/>
                  <a:t>Impact of reforms on GDP growth (in pp)</a:t>
                </a:r>
                <a:endParaRPr lang="en-US" sz="700"/>
              </a:p>
            </c:rich>
          </c:tx>
          <c:layout>
            <c:manualLayout>
              <c:xMode val="edge"/>
              <c:yMode val="edge"/>
              <c:x val="0.96976401179941008"/>
              <c:y val="0.23308720186067819"/>
            </c:manualLayout>
          </c:layout>
          <c:overlay val="0"/>
          <c:spPr>
            <a:noFill/>
            <a:ln>
              <a:noFill/>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67194016"/>
        <c:crosses val="max"/>
        <c:crossBetween val="midCat"/>
      </c:valAx>
      <c:valAx>
        <c:axId val="1167194016"/>
        <c:scaling>
          <c:orientation val="minMax"/>
        </c:scaling>
        <c:delete val="1"/>
        <c:axPos val="b"/>
        <c:majorTickMark val="out"/>
        <c:minorTickMark val="none"/>
        <c:tickLblPos val="nextTo"/>
        <c:crossAx val="1167187360"/>
        <c:crosses val="autoZero"/>
        <c:crossBetween val="midCat"/>
      </c:valAx>
      <c:spPr>
        <a:noFill/>
        <a:ln>
          <a:noFill/>
        </a:ln>
        <a:effectLst/>
      </c:spPr>
    </c:plotArea>
    <c:legend>
      <c:legendPos val="b"/>
      <c:layout>
        <c:manualLayout>
          <c:xMode val="edge"/>
          <c:yMode val="edge"/>
          <c:x val="1.3648913281781262E-2"/>
          <c:y val="0.87283038551297476"/>
          <c:w val="0.93258891246428077"/>
          <c:h val="9.5498988992171713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96981627296587E-2"/>
          <c:y val="4.6197089947089945E-2"/>
          <c:w val="0.90277850685330996"/>
          <c:h val="0.58430427462007817"/>
        </c:manualLayout>
      </c:layout>
      <c:barChart>
        <c:barDir val="col"/>
        <c:grouping val="stacked"/>
        <c:varyColors val="0"/>
        <c:ser>
          <c:idx val="2"/>
          <c:order val="0"/>
          <c:tx>
            <c:strRef>
              <c:f>BDP_doprinosi!$Q$8</c:f>
              <c:strCache>
                <c:ptCount val="1"/>
                <c:pt idx="0">
                  <c:v>Private consumption</c:v>
                </c:pt>
              </c:strCache>
            </c:strRef>
          </c:tx>
          <c:spPr>
            <a:solidFill>
              <a:srgbClr val="10103C"/>
            </a:solidFill>
            <a:ln>
              <a:noFill/>
            </a:ln>
            <a:effectLst/>
          </c:spPr>
          <c:invertIfNegative val="0"/>
          <c:cat>
            <c:numRef>
              <c:f>BDP_doprinosi!$AE$6:$AL$6</c:f>
              <c:numCache>
                <c:formatCode>General</c:formatCode>
                <c:ptCount val="7"/>
                <c:pt idx="0">
                  <c:v>2021</c:v>
                </c:pt>
                <c:pt idx="1">
                  <c:v>2022</c:v>
                </c:pt>
                <c:pt idx="2">
                  <c:v>2023</c:v>
                </c:pt>
                <c:pt idx="3">
                  <c:v>2024</c:v>
                </c:pt>
                <c:pt idx="4">
                  <c:v>2025</c:v>
                </c:pt>
                <c:pt idx="5">
                  <c:v>2026</c:v>
                </c:pt>
                <c:pt idx="6">
                  <c:v>2027</c:v>
                </c:pt>
              </c:numCache>
            </c:numRef>
          </c:cat>
          <c:val>
            <c:numRef>
              <c:f>BDP_doprinosi!$AE$8:$AL$8</c:f>
              <c:numCache>
                <c:formatCode>0.0</c:formatCode>
                <c:ptCount val="7"/>
                <c:pt idx="0">
                  <c:v>4.9855144939129037</c:v>
                </c:pt>
                <c:pt idx="1">
                  <c:v>2.2066920500920113</c:v>
                </c:pt>
                <c:pt idx="2">
                  <c:v>0.33183102897687944</c:v>
                </c:pt>
                <c:pt idx="3">
                  <c:v>2.8380089567087738</c:v>
                </c:pt>
                <c:pt idx="4">
                  <c:v>2.6027349496918468</c:v>
                </c:pt>
                <c:pt idx="5">
                  <c:v>2.0421889228859427</c:v>
                </c:pt>
                <c:pt idx="6">
                  <c:v>1.8350608094368033</c:v>
                </c:pt>
              </c:numCache>
            </c:numRef>
          </c:val>
          <c:extLst>
            <c:ext xmlns:c16="http://schemas.microsoft.com/office/drawing/2014/chart" uri="{C3380CC4-5D6E-409C-BE32-E72D297353CC}">
              <c16:uniqueId val="{00000000-E9EC-4E93-8DE4-9CD489B0B7D1}"/>
            </c:ext>
          </c:extLst>
        </c:ser>
        <c:ser>
          <c:idx val="3"/>
          <c:order val="1"/>
          <c:tx>
            <c:strRef>
              <c:f>BDP_doprinosi!$Q$9</c:f>
              <c:strCache>
                <c:ptCount val="1"/>
                <c:pt idx="0">
                  <c:v>Government consumption</c:v>
                </c:pt>
              </c:strCache>
            </c:strRef>
          </c:tx>
          <c:spPr>
            <a:solidFill>
              <a:srgbClr val="29489A"/>
            </a:solidFill>
            <a:ln>
              <a:noFill/>
            </a:ln>
            <a:effectLst/>
          </c:spPr>
          <c:invertIfNegative val="0"/>
          <c:cat>
            <c:numRef>
              <c:f>BDP_doprinosi!$AE$6:$AL$6</c:f>
              <c:numCache>
                <c:formatCode>General</c:formatCode>
                <c:ptCount val="7"/>
                <c:pt idx="0">
                  <c:v>2021</c:v>
                </c:pt>
                <c:pt idx="1">
                  <c:v>2022</c:v>
                </c:pt>
                <c:pt idx="2">
                  <c:v>2023</c:v>
                </c:pt>
                <c:pt idx="3">
                  <c:v>2024</c:v>
                </c:pt>
                <c:pt idx="4">
                  <c:v>2025</c:v>
                </c:pt>
                <c:pt idx="5">
                  <c:v>2026</c:v>
                </c:pt>
                <c:pt idx="6">
                  <c:v>2027</c:v>
                </c:pt>
              </c:numCache>
            </c:numRef>
          </c:cat>
          <c:val>
            <c:numRef>
              <c:f>BDP_doprinosi!$AE$9:$AL$9</c:f>
              <c:numCache>
                <c:formatCode>0.0</c:formatCode>
                <c:ptCount val="7"/>
                <c:pt idx="0">
                  <c:v>0.80633949006526828</c:v>
                </c:pt>
                <c:pt idx="1">
                  <c:v>0.24535717484312647</c:v>
                </c:pt>
                <c:pt idx="2">
                  <c:v>-0.44215128061637587</c:v>
                </c:pt>
                <c:pt idx="3">
                  <c:v>0.5396159959686283</c:v>
                </c:pt>
                <c:pt idx="4">
                  <c:v>0.38747322681066226</c:v>
                </c:pt>
                <c:pt idx="5">
                  <c:v>0.3803308631828145</c:v>
                </c:pt>
                <c:pt idx="6">
                  <c:v>0.33391463823559087</c:v>
                </c:pt>
              </c:numCache>
            </c:numRef>
          </c:val>
          <c:extLst>
            <c:ext xmlns:c16="http://schemas.microsoft.com/office/drawing/2014/chart" uri="{C3380CC4-5D6E-409C-BE32-E72D297353CC}">
              <c16:uniqueId val="{00000001-E9EC-4E93-8DE4-9CD489B0B7D1}"/>
            </c:ext>
          </c:extLst>
        </c:ser>
        <c:ser>
          <c:idx val="1"/>
          <c:order val="2"/>
          <c:tx>
            <c:strRef>
              <c:f>BDP_doprinosi!$Q$10</c:f>
              <c:strCache>
                <c:ptCount val="1"/>
                <c:pt idx="0">
                  <c:v>Gross fixed capital formation</c:v>
                </c:pt>
              </c:strCache>
            </c:strRef>
          </c:tx>
          <c:spPr>
            <a:solidFill>
              <a:srgbClr val="2183C4"/>
            </a:solidFill>
            <a:ln>
              <a:noFill/>
            </a:ln>
            <a:effectLst/>
          </c:spPr>
          <c:invertIfNegative val="0"/>
          <c:cat>
            <c:numRef>
              <c:f>BDP_doprinosi!$AE$6:$AL$6</c:f>
              <c:numCache>
                <c:formatCode>General</c:formatCode>
                <c:ptCount val="7"/>
                <c:pt idx="0">
                  <c:v>2021</c:v>
                </c:pt>
                <c:pt idx="1">
                  <c:v>2022</c:v>
                </c:pt>
                <c:pt idx="2">
                  <c:v>2023</c:v>
                </c:pt>
                <c:pt idx="3">
                  <c:v>2024</c:v>
                </c:pt>
                <c:pt idx="4">
                  <c:v>2025</c:v>
                </c:pt>
                <c:pt idx="5">
                  <c:v>2026</c:v>
                </c:pt>
                <c:pt idx="6">
                  <c:v>2027</c:v>
                </c:pt>
              </c:numCache>
            </c:numRef>
          </c:cat>
          <c:val>
            <c:numRef>
              <c:f>BDP_doprinosi!$AE$10:$AL$10</c:f>
              <c:numCache>
                <c:formatCode>0.0</c:formatCode>
                <c:ptCount val="7"/>
                <c:pt idx="0">
                  <c:v>3.1469786984236165</c:v>
                </c:pt>
                <c:pt idx="1">
                  <c:v>0.5017158770996798</c:v>
                </c:pt>
                <c:pt idx="2">
                  <c:v>2.3213659464193923</c:v>
                </c:pt>
                <c:pt idx="3">
                  <c:v>2.2401409499740748</c:v>
                </c:pt>
                <c:pt idx="4">
                  <c:v>1.9783294058775911</c:v>
                </c:pt>
                <c:pt idx="5">
                  <c:v>1.9910612003078265</c:v>
                </c:pt>
                <c:pt idx="6">
                  <c:v>1.911843798362221</c:v>
                </c:pt>
              </c:numCache>
            </c:numRef>
          </c:val>
          <c:extLst>
            <c:ext xmlns:c16="http://schemas.microsoft.com/office/drawing/2014/chart" uri="{C3380CC4-5D6E-409C-BE32-E72D297353CC}">
              <c16:uniqueId val="{00000002-E9EC-4E93-8DE4-9CD489B0B7D1}"/>
            </c:ext>
          </c:extLst>
        </c:ser>
        <c:ser>
          <c:idx val="0"/>
          <c:order val="3"/>
          <c:tx>
            <c:strRef>
              <c:f>BDP_doprinosi!$Q$11</c:f>
              <c:strCache>
                <c:ptCount val="1"/>
                <c:pt idx="0">
                  <c:v>Net exports</c:v>
                </c:pt>
              </c:strCache>
            </c:strRef>
          </c:tx>
          <c:spPr>
            <a:solidFill>
              <a:srgbClr val="51BBE7"/>
            </a:solidFill>
            <a:ln>
              <a:noFill/>
            </a:ln>
            <a:effectLst/>
          </c:spPr>
          <c:invertIfNegative val="0"/>
          <c:cat>
            <c:numRef>
              <c:f>BDP_doprinosi!$AE$6:$AL$6</c:f>
              <c:numCache>
                <c:formatCode>General</c:formatCode>
                <c:ptCount val="7"/>
                <c:pt idx="0">
                  <c:v>2021</c:v>
                </c:pt>
                <c:pt idx="1">
                  <c:v>2022</c:v>
                </c:pt>
                <c:pt idx="2">
                  <c:v>2023</c:v>
                </c:pt>
                <c:pt idx="3">
                  <c:v>2024</c:v>
                </c:pt>
                <c:pt idx="4">
                  <c:v>2025</c:v>
                </c:pt>
                <c:pt idx="5">
                  <c:v>2026</c:v>
                </c:pt>
                <c:pt idx="6">
                  <c:v>2027</c:v>
                </c:pt>
              </c:numCache>
            </c:numRef>
          </c:cat>
          <c:val>
            <c:numRef>
              <c:f>BDP_doprinosi!$AE$11:$AL$11</c:f>
              <c:numCache>
                <c:formatCode>0.0</c:formatCode>
                <c:ptCount val="7"/>
                <c:pt idx="0">
                  <c:v>-0.16502558242154691</c:v>
                </c:pt>
                <c:pt idx="1">
                  <c:v>-0.77659463953919172</c:v>
                </c:pt>
                <c:pt idx="2">
                  <c:v>2.8186404350303107</c:v>
                </c:pt>
                <c:pt idx="3">
                  <c:v>-2.5346390870821311</c:v>
                </c:pt>
                <c:pt idx="4">
                  <c:v>-0.85589776983835286</c:v>
                </c:pt>
                <c:pt idx="5">
                  <c:v>-0.48334199442912079</c:v>
                </c:pt>
                <c:pt idx="6">
                  <c:v>0.96700298187008515</c:v>
                </c:pt>
              </c:numCache>
            </c:numRef>
          </c:val>
          <c:extLst>
            <c:ext xmlns:c16="http://schemas.microsoft.com/office/drawing/2014/chart" uri="{C3380CC4-5D6E-409C-BE32-E72D297353CC}">
              <c16:uniqueId val="{00000003-E9EC-4E93-8DE4-9CD489B0B7D1}"/>
            </c:ext>
          </c:extLst>
        </c:ser>
        <c:ser>
          <c:idx val="4"/>
          <c:order val="4"/>
          <c:tx>
            <c:strRef>
              <c:f>BDP_doprinosi!$Q$12</c:f>
              <c:strCache>
                <c:ptCount val="1"/>
                <c:pt idx="0">
                  <c:v>Change in inventories</c:v>
                </c:pt>
              </c:strCache>
            </c:strRef>
          </c:tx>
          <c:spPr>
            <a:solidFill>
              <a:srgbClr val="9ED1E6"/>
            </a:solidFill>
            <a:ln>
              <a:noFill/>
            </a:ln>
            <a:effectLst/>
          </c:spPr>
          <c:invertIfNegative val="0"/>
          <c:cat>
            <c:numRef>
              <c:f>BDP_doprinosi!$AE$6:$AL$6</c:f>
              <c:numCache>
                <c:formatCode>General</c:formatCode>
                <c:ptCount val="7"/>
                <c:pt idx="0">
                  <c:v>2021</c:v>
                </c:pt>
                <c:pt idx="1">
                  <c:v>2022</c:v>
                </c:pt>
                <c:pt idx="2">
                  <c:v>2023</c:v>
                </c:pt>
                <c:pt idx="3">
                  <c:v>2024</c:v>
                </c:pt>
                <c:pt idx="4">
                  <c:v>2025</c:v>
                </c:pt>
                <c:pt idx="5">
                  <c:v>2026</c:v>
                </c:pt>
                <c:pt idx="6">
                  <c:v>2027</c:v>
                </c:pt>
              </c:numCache>
            </c:numRef>
          </c:cat>
          <c:val>
            <c:numRef>
              <c:f>BDP_doprinosi!$AE$12:$AL$12</c:f>
              <c:numCache>
                <c:formatCode>0.0</c:formatCode>
                <c:ptCount val="7"/>
                <c:pt idx="0">
                  <c:v>-0.82475029626915608</c:v>
                </c:pt>
                <c:pt idx="1">
                  <c:v>0.45381595902653044</c:v>
                </c:pt>
                <c:pt idx="2">
                  <c:v>-1.1822141759975731</c:v>
                </c:pt>
                <c:pt idx="3">
                  <c:v>0.6668731844306689</c:v>
                </c:pt>
                <c:pt idx="4">
                  <c:v>4.7360187458251768E-2</c:v>
                </c:pt>
                <c:pt idx="5">
                  <c:v>4.4761008052521221E-2</c:v>
                </c:pt>
                <c:pt idx="6">
                  <c:v>-4.7822227904700733E-2</c:v>
                </c:pt>
              </c:numCache>
            </c:numRef>
          </c:val>
          <c:extLst>
            <c:ext xmlns:c16="http://schemas.microsoft.com/office/drawing/2014/chart" uri="{C3380CC4-5D6E-409C-BE32-E72D297353CC}">
              <c16:uniqueId val="{00000004-E9EC-4E93-8DE4-9CD489B0B7D1}"/>
            </c:ext>
          </c:extLst>
        </c:ser>
        <c:dLbls>
          <c:showLegendKey val="0"/>
          <c:showVal val="0"/>
          <c:showCatName val="0"/>
          <c:showSerName val="0"/>
          <c:showPercent val="0"/>
          <c:showBubbleSize val="0"/>
        </c:dLbls>
        <c:gapWidth val="60"/>
        <c:overlap val="100"/>
        <c:axId val="1768846368"/>
        <c:axId val="1768847456"/>
      </c:barChart>
      <c:lineChart>
        <c:grouping val="standard"/>
        <c:varyColors val="0"/>
        <c:ser>
          <c:idx val="5"/>
          <c:order val="5"/>
          <c:tx>
            <c:strRef>
              <c:f>BDP_doprinosi!$Q$13</c:f>
              <c:strCache>
                <c:ptCount val="1"/>
                <c:pt idx="0">
                  <c:v>Real GDP growth</c:v>
                </c:pt>
              </c:strCache>
            </c:strRef>
          </c:tx>
          <c:spPr>
            <a:ln w="25400"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BDP_doprinosi!$AE$6:$AL$6</c:f>
              <c:numCache>
                <c:formatCode>General</c:formatCode>
                <c:ptCount val="7"/>
                <c:pt idx="0">
                  <c:v>2021</c:v>
                </c:pt>
                <c:pt idx="1">
                  <c:v>2022</c:v>
                </c:pt>
                <c:pt idx="2">
                  <c:v>2023</c:v>
                </c:pt>
                <c:pt idx="3">
                  <c:v>2024</c:v>
                </c:pt>
                <c:pt idx="4">
                  <c:v>2025</c:v>
                </c:pt>
                <c:pt idx="5">
                  <c:v>2026</c:v>
                </c:pt>
                <c:pt idx="6">
                  <c:v>2027</c:v>
                </c:pt>
              </c:numCache>
            </c:numRef>
          </c:cat>
          <c:val>
            <c:numRef>
              <c:f>BDP_doprinosi!$AE$13:$AL$13</c:f>
              <c:numCache>
                <c:formatCode>0.0</c:formatCode>
                <c:ptCount val="7"/>
                <c:pt idx="0">
                  <c:v>7.9490568037111009</c:v>
                </c:pt>
                <c:pt idx="1">
                  <c:v>2.6309864215221368</c:v>
                </c:pt>
                <c:pt idx="2">
                  <c:v>3.8474719538126321</c:v>
                </c:pt>
                <c:pt idx="3">
                  <c:v>3.8</c:v>
                </c:pt>
                <c:pt idx="4">
                  <c:v>4.2</c:v>
                </c:pt>
                <c:pt idx="5">
                  <c:v>4</c:v>
                </c:pt>
                <c:pt idx="6">
                  <c:v>5</c:v>
                </c:pt>
              </c:numCache>
            </c:numRef>
          </c:val>
          <c:smooth val="0"/>
          <c:extLst>
            <c:ext xmlns:c16="http://schemas.microsoft.com/office/drawing/2014/chart" uri="{C3380CC4-5D6E-409C-BE32-E72D297353CC}">
              <c16:uniqueId val="{00000005-E9EC-4E93-8DE4-9CD489B0B7D1}"/>
            </c:ext>
          </c:extLst>
        </c:ser>
        <c:dLbls>
          <c:showLegendKey val="0"/>
          <c:showVal val="0"/>
          <c:showCatName val="0"/>
          <c:showSerName val="0"/>
          <c:showPercent val="0"/>
          <c:showBubbleSize val="0"/>
        </c:dLbls>
        <c:marker val="1"/>
        <c:smooth val="0"/>
        <c:axId val="1768846368"/>
        <c:axId val="1768847456"/>
      </c:lineChart>
      <c:catAx>
        <c:axId val="1768846368"/>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1768847456"/>
        <c:crosses val="autoZero"/>
        <c:auto val="1"/>
        <c:lblAlgn val="ctr"/>
        <c:lblOffset val="100"/>
        <c:noMultiLvlLbl val="0"/>
      </c:catAx>
      <c:valAx>
        <c:axId val="1768847456"/>
        <c:scaling>
          <c:orientation val="minMax"/>
          <c:max val="10"/>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1768846368"/>
        <c:crosses val="autoZero"/>
        <c:crossBetween val="between"/>
        <c:majorUnit val="2"/>
      </c:valAx>
      <c:spPr>
        <a:noFill/>
        <a:ln>
          <a:noFill/>
        </a:ln>
        <a:effectLst/>
      </c:spPr>
    </c:plotArea>
    <c:legend>
      <c:legendPos val="b"/>
      <c:layout>
        <c:manualLayout>
          <c:xMode val="edge"/>
          <c:yMode val="edge"/>
          <c:x val="0"/>
          <c:y val="0.71133464891140596"/>
          <c:w val="1"/>
          <c:h val="0.28446573192899338"/>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890798861412E-2"/>
          <c:y val="0.12259765625000001"/>
          <c:w val="0.90740810185185183"/>
          <c:h val="0.56714843749999999"/>
        </c:manualLayout>
      </c:layout>
      <c:barChart>
        <c:barDir val="col"/>
        <c:grouping val="stacked"/>
        <c:varyColors val="0"/>
        <c:ser>
          <c:idx val="2"/>
          <c:order val="1"/>
          <c:tx>
            <c:strRef>
              <c:f>'потенцијални BDP'!$D$4</c:f>
              <c:strCache>
                <c:ptCount val="1"/>
                <c:pt idx="0">
                  <c:v>Contribution of labour factor, pp</c:v>
                </c:pt>
              </c:strCache>
            </c:strRef>
          </c:tx>
          <c:spPr>
            <a:solidFill>
              <a:srgbClr val="10103C"/>
            </a:solidFill>
            <a:ln>
              <a:noFill/>
            </a:ln>
            <a:effectLst/>
          </c:spPr>
          <c:invertIfNegative val="0"/>
          <c:cat>
            <c:numRef>
              <c:f>'потенцијални BDP'!$B$14:$B$18</c:f>
              <c:numCache>
                <c:formatCode>General</c:formatCode>
                <c:ptCount val="5"/>
                <c:pt idx="0">
                  <c:v>2023</c:v>
                </c:pt>
                <c:pt idx="1">
                  <c:v>2024</c:v>
                </c:pt>
                <c:pt idx="2">
                  <c:v>2025</c:v>
                </c:pt>
                <c:pt idx="3">
                  <c:v>2026</c:v>
                </c:pt>
                <c:pt idx="4">
                  <c:v>2027</c:v>
                </c:pt>
              </c:numCache>
            </c:numRef>
          </c:cat>
          <c:val>
            <c:numRef>
              <c:f>'потенцијални BDP'!$D$14:$D$18</c:f>
              <c:numCache>
                <c:formatCode>0.0</c:formatCode>
                <c:ptCount val="5"/>
                <c:pt idx="0">
                  <c:v>0.75785409701585982</c:v>
                </c:pt>
                <c:pt idx="1">
                  <c:v>0.75734754324752851</c:v>
                </c:pt>
                <c:pt idx="2">
                  <c:v>0.56563013064137913</c:v>
                </c:pt>
                <c:pt idx="3">
                  <c:v>0.51530138875533704</c:v>
                </c:pt>
                <c:pt idx="4">
                  <c:v>0.43322461127278555</c:v>
                </c:pt>
              </c:numCache>
            </c:numRef>
          </c:val>
          <c:extLst>
            <c:ext xmlns:c16="http://schemas.microsoft.com/office/drawing/2014/chart" uri="{C3380CC4-5D6E-409C-BE32-E72D297353CC}">
              <c16:uniqueId val="{00000000-26AE-480C-8918-781B30D3B589}"/>
            </c:ext>
          </c:extLst>
        </c:ser>
        <c:ser>
          <c:idx val="1"/>
          <c:order val="2"/>
          <c:tx>
            <c:strRef>
              <c:f>'потенцијални BDP'!$E$4</c:f>
              <c:strCache>
                <c:ptCount val="1"/>
                <c:pt idx="0">
                  <c:v>Capital contribution, pp</c:v>
                </c:pt>
              </c:strCache>
            </c:strRef>
          </c:tx>
          <c:spPr>
            <a:solidFill>
              <a:srgbClr val="29489A"/>
            </a:solidFill>
            <a:ln>
              <a:noFill/>
            </a:ln>
            <a:effectLst/>
          </c:spPr>
          <c:invertIfNegative val="0"/>
          <c:cat>
            <c:numRef>
              <c:f>'потенцијални BDP'!$B$14:$B$18</c:f>
              <c:numCache>
                <c:formatCode>General</c:formatCode>
                <c:ptCount val="5"/>
                <c:pt idx="0">
                  <c:v>2023</c:v>
                </c:pt>
                <c:pt idx="1">
                  <c:v>2024</c:v>
                </c:pt>
                <c:pt idx="2">
                  <c:v>2025</c:v>
                </c:pt>
                <c:pt idx="3">
                  <c:v>2026</c:v>
                </c:pt>
                <c:pt idx="4">
                  <c:v>2027</c:v>
                </c:pt>
              </c:numCache>
            </c:numRef>
          </c:cat>
          <c:val>
            <c:numRef>
              <c:f>'потенцијални BDP'!$E$14:$E$18</c:f>
              <c:numCache>
                <c:formatCode>0.0</c:formatCode>
                <c:ptCount val="5"/>
                <c:pt idx="0">
                  <c:v>1.6616053399226458</c:v>
                </c:pt>
                <c:pt idx="1">
                  <c:v>1.8440653836107743</c:v>
                </c:pt>
                <c:pt idx="2">
                  <c:v>1.9486397777409556</c:v>
                </c:pt>
                <c:pt idx="3">
                  <c:v>2.0334896181511097</c:v>
                </c:pt>
                <c:pt idx="4">
                  <c:v>2.0855185057317405</c:v>
                </c:pt>
              </c:numCache>
            </c:numRef>
          </c:val>
          <c:extLst>
            <c:ext xmlns:c16="http://schemas.microsoft.com/office/drawing/2014/chart" uri="{C3380CC4-5D6E-409C-BE32-E72D297353CC}">
              <c16:uniqueId val="{00000001-26AE-480C-8918-781B30D3B589}"/>
            </c:ext>
          </c:extLst>
        </c:ser>
        <c:ser>
          <c:idx val="3"/>
          <c:order val="3"/>
          <c:tx>
            <c:strRef>
              <c:f>'потенцијални BDP'!$F$4</c:f>
              <c:strCache>
                <c:ptCount val="1"/>
                <c:pt idx="0">
                  <c:v>TFP, pp</c:v>
                </c:pt>
              </c:strCache>
            </c:strRef>
          </c:tx>
          <c:spPr>
            <a:solidFill>
              <a:srgbClr val="51BBE7"/>
            </a:solidFill>
            <a:ln>
              <a:noFill/>
            </a:ln>
            <a:effectLst/>
          </c:spPr>
          <c:invertIfNegative val="0"/>
          <c:cat>
            <c:numRef>
              <c:f>'потенцијални BDP'!$B$14:$B$18</c:f>
              <c:numCache>
                <c:formatCode>General</c:formatCode>
                <c:ptCount val="5"/>
                <c:pt idx="0">
                  <c:v>2023</c:v>
                </c:pt>
                <c:pt idx="1">
                  <c:v>2024</c:v>
                </c:pt>
                <c:pt idx="2">
                  <c:v>2025</c:v>
                </c:pt>
                <c:pt idx="3">
                  <c:v>2026</c:v>
                </c:pt>
                <c:pt idx="4">
                  <c:v>2027</c:v>
                </c:pt>
              </c:numCache>
            </c:numRef>
          </c:cat>
          <c:val>
            <c:numRef>
              <c:f>'потенцијални BDP'!$F$14:$F$18</c:f>
              <c:numCache>
                <c:formatCode>0.0</c:formatCode>
                <c:ptCount val="5"/>
                <c:pt idx="0">
                  <c:v>1.5446839629835762</c:v>
                </c:pt>
                <c:pt idx="1">
                  <c:v>1.4117272984149343</c:v>
                </c:pt>
                <c:pt idx="2">
                  <c:v>1.553052549374049</c:v>
                </c:pt>
                <c:pt idx="3">
                  <c:v>1.5572220880842322</c:v>
                </c:pt>
                <c:pt idx="4">
                  <c:v>1.5903046929206779</c:v>
                </c:pt>
              </c:numCache>
            </c:numRef>
          </c:val>
          <c:extLst>
            <c:ext xmlns:c16="http://schemas.microsoft.com/office/drawing/2014/chart" uri="{C3380CC4-5D6E-409C-BE32-E72D297353CC}">
              <c16:uniqueId val="{00000002-26AE-480C-8918-781B30D3B589}"/>
            </c:ext>
          </c:extLst>
        </c:ser>
        <c:dLbls>
          <c:showLegendKey val="0"/>
          <c:showVal val="0"/>
          <c:showCatName val="0"/>
          <c:showSerName val="0"/>
          <c:showPercent val="0"/>
          <c:showBubbleSize val="0"/>
        </c:dLbls>
        <c:gapWidth val="60"/>
        <c:overlap val="100"/>
        <c:axId val="1961427600"/>
        <c:axId val="1961420528"/>
      </c:barChart>
      <c:lineChart>
        <c:grouping val="standard"/>
        <c:varyColors val="0"/>
        <c:ser>
          <c:idx val="0"/>
          <c:order val="0"/>
          <c:tx>
            <c:strRef>
              <c:f>'потенцијални BDP'!$C$4</c:f>
              <c:strCache>
                <c:ptCount val="1"/>
                <c:pt idx="0">
                  <c:v>Potential GDP growth, %</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rgbClr val="FF0000"/>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'потенцијални BDP'!$B$14:$B$18</c:f>
              <c:numCache>
                <c:formatCode>General</c:formatCode>
                <c:ptCount val="5"/>
                <c:pt idx="0">
                  <c:v>2023</c:v>
                </c:pt>
                <c:pt idx="1">
                  <c:v>2024</c:v>
                </c:pt>
                <c:pt idx="2">
                  <c:v>2025</c:v>
                </c:pt>
                <c:pt idx="3">
                  <c:v>2026</c:v>
                </c:pt>
                <c:pt idx="4">
                  <c:v>2027</c:v>
                </c:pt>
              </c:numCache>
            </c:numRef>
          </c:cat>
          <c:val>
            <c:numRef>
              <c:f>'потенцијални BDP'!$C$14:$C$18</c:f>
              <c:numCache>
                <c:formatCode>0.0</c:formatCode>
                <c:ptCount val="5"/>
                <c:pt idx="0">
                  <c:v>3.9641433999220821</c:v>
                </c:pt>
                <c:pt idx="1">
                  <c:v>4.0131402252732373</c:v>
                </c:pt>
                <c:pt idx="2">
                  <c:v>4.0673224577563838</c:v>
                </c:pt>
                <c:pt idx="3">
                  <c:v>4.1060130949906792</c:v>
                </c:pt>
                <c:pt idx="4">
                  <c:v>4.1090478099252037</c:v>
                </c:pt>
              </c:numCache>
            </c:numRef>
          </c:val>
          <c:smooth val="0"/>
          <c:extLst>
            <c:ext xmlns:c16="http://schemas.microsoft.com/office/drawing/2014/chart" uri="{C3380CC4-5D6E-409C-BE32-E72D297353CC}">
              <c16:uniqueId val="{00000003-26AE-480C-8918-781B30D3B589}"/>
            </c:ext>
          </c:extLst>
        </c:ser>
        <c:dLbls>
          <c:showLegendKey val="0"/>
          <c:showVal val="0"/>
          <c:showCatName val="0"/>
          <c:showSerName val="0"/>
          <c:showPercent val="0"/>
          <c:showBubbleSize val="0"/>
        </c:dLbls>
        <c:marker val="1"/>
        <c:smooth val="0"/>
        <c:axId val="1961427600"/>
        <c:axId val="1961420528"/>
      </c:lineChart>
      <c:catAx>
        <c:axId val="1961427600"/>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1961420528"/>
        <c:crosses val="autoZero"/>
        <c:auto val="1"/>
        <c:lblAlgn val="ctr"/>
        <c:lblOffset val="100"/>
        <c:noMultiLvlLbl val="0"/>
      </c:catAx>
      <c:valAx>
        <c:axId val="1961420528"/>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1961427600"/>
        <c:crosses val="autoZero"/>
        <c:crossBetween val="between"/>
        <c:majorUnit val="1"/>
      </c:valAx>
      <c:spPr>
        <a:noFill/>
        <a:ln>
          <a:noFill/>
        </a:ln>
        <a:effectLst/>
      </c:spPr>
    </c:plotArea>
    <c:legend>
      <c:legendPos val="b"/>
      <c:layout>
        <c:manualLayout>
          <c:xMode val="edge"/>
          <c:yMode val="edge"/>
          <c:x val="1.4346234889652889E-3"/>
          <c:y val="0.80765942718698625"/>
          <c:w val="0.99827437063324831"/>
          <c:h val="0.17888610077586456"/>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'Yearly GDP chart fan'!$AE$16</c:f>
              <c:strCache>
                <c:ptCount val="1"/>
                <c:pt idx="0">
                  <c:v>Baza</c:v>
                </c:pt>
              </c:strCache>
            </c:strRef>
          </c:tx>
          <c:spPr>
            <a:noFill/>
            <a:ln>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fan'!$AE$17:$AE$25</c:f>
              <c:numCache>
                <c:formatCode>0.00</c:formatCode>
                <c:ptCount val="8"/>
                <c:pt idx="0">
                  <c:v>-0.95002358986207014</c:v>
                </c:pt>
                <c:pt idx="1">
                  <c:v>7.9490568037111018</c:v>
                </c:pt>
                <c:pt idx="2">
                  <c:v>2.6309864215221239</c:v>
                </c:pt>
                <c:pt idx="3">
                  <c:v>3.8474719538126294</c:v>
                </c:pt>
                <c:pt idx="4">
                  <c:v>2.6999999999999997</c:v>
                </c:pt>
                <c:pt idx="5">
                  <c:v>2.5666666666666673</c:v>
                </c:pt>
                <c:pt idx="6">
                  <c:v>1.8333333333333328</c:v>
                </c:pt>
                <c:pt idx="7">
                  <c:v>2.2999999999999998</c:v>
                </c:pt>
              </c:numCache>
              <c:extLst/>
            </c:numRef>
          </c:val>
          <c:extLst>
            <c:ext xmlns:c16="http://schemas.microsoft.com/office/drawing/2014/chart" uri="{C3380CC4-5D6E-409C-BE32-E72D297353CC}">
              <c16:uniqueId val="{00000000-E281-4DD0-89D7-876AFFB4AF47}"/>
            </c:ext>
          </c:extLst>
        </c:ser>
        <c:ser>
          <c:idx val="1"/>
          <c:order val="1"/>
          <c:tx>
            <c:strRef>
              <c:f>'Yearly GDP chart fan'!$AF$16</c:f>
              <c:strCache>
                <c:ptCount val="1"/>
                <c:pt idx="0">
                  <c:v>Lower 10</c:v>
                </c:pt>
              </c:strCache>
            </c:strRef>
          </c:tx>
          <c:spPr>
            <a:solidFill>
              <a:srgbClr val="C00000">
                <a:alpha val="1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fan'!$AF$17:$AF$25</c:f>
              <c:numCache>
                <c:formatCode>0.00</c:formatCode>
                <c:ptCount val="8"/>
                <c:pt idx="0">
                  <c:v>0</c:v>
                </c:pt>
                <c:pt idx="1">
                  <c:v>0</c:v>
                </c:pt>
                <c:pt idx="2">
                  <c:v>0</c:v>
                </c:pt>
                <c:pt idx="3" formatCode="0.0000">
                  <c:v>0</c:v>
                </c:pt>
                <c:pt idx="4" formatCode="0.0000">
                  <c:v>0.20952380952380967</c:v>
                </c:pt>
                <c:pt idx="5" formatCode="0.0000">
                  <c:v>0.31111111111111089</c:v>
                </c:pt>
                <c:pt idx="6" formatCode="0.0000">
                  <c:v>0.41269841269841279</c:v>
                </c:pt>
                <c:pt idx="7" formatCode="0.0000">
                  <c:v>0.51428571428571423</c:v>
                </c:pt>
              </c:numCache>
              <c:extLst/>
            </c:numRef>
          </c:val>
          <c:extLst>
            <c:ext xmlns:c16="http://schemas.microsoft.com/office/drawing/2014/chart" uri="{C3380CC4-5D6E-409C-BE32-E72D297353CC}">
              <c16:uniqueId val="{00000001-E281-4DD0-89D7-876AFFB4AF47}"/>
            </c:ext>
          </c:extLst>
        </c:ser>
        <c:ser>
          <c:idx val="2"/>
          <c:order val="2"/>
          <c:tx>
            <c:strRef>
              <c:f>'Yearly GDP chart fan'!$AG$16</c:f>
              <c:strCache>
                <c:ptCount val="1"/>
                <c:pt idx="0">
                  <c:v>Lower 9</c:v>
                </c:pt>
              </c:strCache>
            </c:strRef>
          </c:tx>
          <c:spPr>
            <a:solidFill>
              <a:srgbClr val="C00000">
                <a:alpha val="2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fan'!$AG$17:$AG$25</c:f>
              <c:numCache>
                <c:formatCode>0.00</c:formatCode>
                <c:ptCount val="8"/>
                <c:pt idx="0">
                  <c:v>0</c:v>
                </c:pt>
                <c:pt idx="1">
                  <c:v>0</c:v>
                </c:pt>
                <c:pt idx="2">
                  <c:v>0</c:v>
                </c:pt>
                <c:pt idx="3" formatCode="0.0000">
                  <c:v>0</c:v>
                </c:pt>
                <c:pt idx="4" formatCode="0.0000">
                  <c:v>0.18740740740740724</c:v>
                </c:pt>
                <c:pt idx="5" formatCode="0.0000">
                  <c:v>0.27827160493827163</c:v>
                </c:pt>
                <c:pt idx="6" formatCode="0.0000">
                  <c:v>0.36913580246913602</c:v>
                </c:pt>
                <c:pt idx="7" formatCode="0.0000">
                  <c:v>0.45999999999999996</c:v>
                </c:pt>
              </c:numCache>
              <c:extLst/>
            </c:numRef>
          </c:val>
          <c:extLst>
            <c:ext xmlns:c16="http://schemas.microsoft.com/office/drawing/2014/chart" uri="{C3380CC4-5D6E-409C-BE32-E72D297353CC}">
              <c16:uniqueId val="{00000002-E281-4DD0-89D7-876AFFB4AF47}"/>
            </c:ext>
          </c:extLst>
        </c:ser>
        <c:ser>
          <c:idx val="3"/>
          <c:order val="3"/>
          <c:tx>
            <c:strRef>
              <c:f>'Yearly GDP chart fan'!$AH$16</c:f>
              <c:strCache>
                <c:ptCount val="1"/>
                <c:pt idx="0">
                  <c:v>Lower 8</c:v>
                </c:pt>
              </c:strCache>
            </c:strRef>
          </c:tx>
          <c:spPr>
            <a:solidFill>
              <a:srgbClr val="C00000">
                <a:alpha val="3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fan'!$AH$17:$AH$25</c:f>
              <c:numCache>
                <c:formatCode>0.00</c:formatCode>
                <c:ptCount val="8"/>
                <c:pt idx="0">
                  <c:v>0</c:v>
                </c:pt>
                <c:pt idx="1">
                  <c:v>0</c:v>
                </c:pt>
                <c:pt idx="2">
                  <c:v>0</c:v>
                </c:pt>
                <c:pt idx="3" formatCode="0.0000">
                  <c:v>0</c:v>
                </c:pt>
                <c:pt idx="4" formatCode="0.0000">
                  <c:v>0.16529100529100527</c:v>
                </c:pt>
                <c:pt idx="5" formatCode="0.0000">
                  <c:v>0.24543209876543193</c:v>
                </c:pt>
                <c:pt idx="6" formatCode="0.0000">
                  <c:v>0.32557319223985903</c:v>
                </c:pt>
                <c:pt idx="7" formatCode="0.0000">
                  <c:v>0.40571428571428569</c:v>
                </c:pt>
              </c:numCache>
              <c:extLst/>
            </c:numRef>
          </c:val>
          <c:extLst>
            <c:ext xmlns:c16="http://schemas.microsoft.com/office/drawing/2014/chart" uri="{C3380CC4-5D6E-409C-BE32-E72D297353CC}">
              <c16:uniqueId val="{00000003-E281-4DD0-89D7-876AFFB4AF47}"/>
            </c:ext>
          </c:extLst>
        </c:ser>
        <c:ser>
          <c:idx val="4"/>
          <c:order val="4"/>
          <c:tx>
            <c:strRef>
              <c:f>'Yearly GDP chart fan'!$AI$16</c:f>
              <c:strCache>
                <c:ptCount val="1"/>
                <c:pt idx="0">
                  <c:v>Lower 7</c:v>
                </c:pt>
              </c:strCache>
            </c:strRef>
          </c:tx>
          <c:spPr>
            <a:solidFill>
              <a:srgbClr val="C00000">
                <a:alpha val="4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fan'!$AI$17:$AI$25</c:f>
              <c:numCache>
                <c:formatCode>0.00</c:formatCode>
                <c:ptCount val="8"/>
                <c:pt idx="0">
                  <c:v>0</c:v>
                </c:pt>
                <c:pt idx="1">
                  <c:v>0</c:v>
                </c:pt>
                <c:pt idx="2">
                  <c:v>0</c:v>
                </c:pt>
                <c:pt idx="3" formatCode="0.0000">
                  <c:v>0</c:v>
                </c:pt>
                <c:pt idx="4" formatCode="0.0000">
                  <c:v>0.14317460317460329</c:v>
                </c:pt>
                <c:pt idx="5" formatCode="0.0000">
                  <c:v>0.21259259259259267</c:v>
                </c:pt>
                <c:pt idx="6" formatCode="0.0000">
                  <c:v>0.28201058201058204</c:v>
                </c:pt>
                <c:pt idx="7" formatCode="0.0000">
                  <c:v>0.35142857142857142</c:v>
                </c:pt>
              </c:numCache>
              <c:extLst/>
            </c:numRef>
          </c:val>
          <c:extLst>
            <c:ext xmlns:c16="http://schemas.microsoft.com/office/drawing/2014/chart" uri="{C3380CC4-5D6E-409C-BE32-E72D297353CC}">
              <c16:uniqueId val="{00000004-E281-4DD0-89D7-876AFFB4AF47}"/>
            </c:ext>
          </c:extLst>
        </c:ser>
        <c:ser>
          <c:idx val="5"/>
          <c:order val="5"/>
          <c:tx>
            <c:strRef>
              <c:f>'Yearly GDP chart fan'!$AJ$16</c:f>
              <c:strCache>
                <c:ptCount val="1"/>
                <c:pt idx="0">
                  <c:v>Lower 6</c:v>
                </c:pt>
              </c:strCache>
            </c:strRef>
          </c:tx>
          <c:spPr>
            <a:solidFill>
              <a:srgbClr val="C00000">
                <a:alpha val="5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fan'!$AJ$17:$AJ$25</c:f>
              <c:numCache>
                <c:formatCode>0.00</c:formatCode>
                <c:ptCount val="8"/>
                <c:pt idx="0">
                  <c:v>0</c:v>
                </c:pt>
                <c:pt idx="1">
                  <c:v>0</c:v>
                </c:pt>
                <c:pt idx="2">
                  <c:v>0</c:v>
                </c:pt>
                <c:pt idx="3" formatCode="0.0000">
                  <c:v>0</c:v>
                </c:pt>
                <c:pt idx="4" formatCode="0.0000">
                  <c:v>0.12105820105820086</c:v>
                </c:pt>
                <c:pt idx="5" formatCode="0.0000">
                  <c:v>0.17975308641975296</c:v>
                </c:pt>
                <c:pt idx="6" formatCode="0.0000">
                  <c:v>0.23844797178130506</c:v>
                </c:pt>
                <c:pt idx="7" formatCode="0.0000">
                  <c:v>0.29714285714285715</c:v>
                </c:pt>
              </c:numCache>
              <c:extLst/>
            </c:numRef>
          </c:val>
          <c:extLst>
            <c:ext xmlns:c16="http://schemas.microsoft.com/office/drawing/2014/chart" uri="{C3380CC4-5D6E-409C-BE32-E72D297353CC}">
              <c16:uniqueId val="{00000005-E281-4DD0-89D7-876AFFB4AF47}"/>
            </c:ext>
          </c:extLst>
        </c:ser>
        <c:ser>
          <c:idx val="6"/>
          <c:order val="6"/>
          <c:tx>
            <c:strRef>
              <c:f>'Yearly GDP chart fan'!$AK$16</c:f>
              <c:strCache>
                <c:ptCount val="1"/>
                <c:pt idx="0">
                  <c:v>Lower 5</c:v>
                </c:pt>
              </c:strCache>
            </c:strRef>
          </c:tx>
          <c:spPr>
            <a:solidFill>
              <a:srgbClr val="C00000">
                <a:alpha val="6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fan'!$AK$17:$AK$25</c:f>
              <c:numCache>
                <c:formatCode>0.00</c:formatCode>
                <c:ptCount val="8"/>
                <c:pt idx="0">
                  <c:v>0</c:v>
                </c:pt>
                <c:pt idx="1">
                  <c:v>0</c:v>
                </c:pt>
                <c:pt idx="2">
                  <c:v>0</c:v>
                </c:pt>
                <c:pt idx="3" formatCode="0.0000">
                  <c:v>0</c:v>
                </c:pt>
                <c:pt idx="4" formatCode="0.0000">
                  <c:v>9.8941798941798886E-2</c:v>
                </c:pt>
                <c:pt idx="5" formatCode="0.0000">
                  <c:v>0.1469135802469137</c:v>
                </c:pt>
                <c:pt idx="6" formatCode="0.0000">
                  <c:v>0.19488536155202807</c:v>
                </c:pt>
                <c:pt idx="7" formatCode="0.0000">
                  <c:v>0.24285714285714288</c:v>
                </c:pt>
              </c:numCache>
              <c:extLst/>
            </c:numRef>
          </c:val>
          <c:extLst>
            <c:ext xmlns:c16="http://schemas.microsoft.com/office/drawing/2014/chart" uri="{C3380CC4-5D6E-409C-BE32-E72D297353CC}">
              <c16:uniqueId val="{00000006-E281-4DD0-89D7-876AFFB4AF47}"/>
            </c:ext>
          </c:extLst>
        </c:ser>
        <c:ser>
          <c:idx val="7"/>
          <c:order val="7"/>
          <c:tx>
            <c:strRef>
              <c:f>'Yearly GDP chart fan'!$AL$16</c:f>
              <c:strCache>
                <c:ptCount val="1"/>
                <c:pt idx="0">
                  <c:v>Lower 4</c:v>
                </c:pt>
              </c:strCache>
            </c:strRef>
          </c:tx>
          <c:spPr>
            <a:solidFill>
              <a:srgbClr val="C00000">
                <a:alpha val="7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fan'!$AL$17:$AL$25</c:f>
              <c:numCache>
                <c:formatCode>0.00</c:formatCode>
                <c:ptCount val="8"/>
                <c:pt idx="0">
                  <c:v>0</c:v>
                </c:pt>
                <c:pt idx="1">
                  <c:v>0</c:v>
                </c:pt>
                <c:pt idx="2">
                  <c:v>0</c:v>
                </c:pt>
                <c:pt idx="3" formatCode="0.0000">
                  <c:v>0</c:v>
                </c:pt>
                <c:pt idx="4" formatCode="0.0000">
                  <c:v>7.6825396825396908E-2</c:v>
                </c:pt>
                <c:pt idx="5" formatCode="0.0000">
                  <c:v>0.11407407407407399</c:v>
                </c:pt>
                <c:pt idx="6" formatCode="0.0000">
                  <c:v>0.15132275132275153</c:v>
                </c:pt>
                <c:pt idx="7" formatCode="0.0000">
                  <c:v>0.18857142857142861</c:v>
                </c:pt>
              </c:numCache>
              <c:extLst/>
            </c:numRef>
          </c:val>
          <c:extLst>
            <c:ext xmlns:c16="http://schemas.microsoft.com/office/drawing/2014/chart" uri="{C3380CC4-5D6E-409C-BE32-E72D297353CC}">
              <c16:uniqueId val="{00000007-E281-4DD0-89D7-876AFFB4AF47}"/>
            </c:ext>
          </c:extLst>
        </c:ser>
        <c:ser>
          <c:idx val="8"/>
          <c:order val="8"/>
          <c:tx>
            <c:strRef>
              <c:f>'Yearly GDP chart fan'!$AM$16</c:f>
              <c:strCache>
                <c:ptCount val="1"/>
                <c:pt idx="0">
                  <c:v>Lower 3</c:v>
                </c:pt>
              </c:strCache>
            </c:strRef>
          </c:tx>
          <c:spPr>
            <a:solidFill>
              <a:srgbClr val="C00000">
                <a:alpha val="8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fan'!$AM$17:$AM$25</c:f>
              <c:numCache>
                <c:formatCode>0.00</c:formatCode>
                <c:ptCount val="8"/>
                <c:pt idx="0">
                  <c:v>0</c:v>
                </c:pt>
                <c:pt idx="1">
                  <c:v>0</c:v>
                </c:pt>
                <c:pt idx="2">
                  <c:v>0</c:v>
                </c:pt>
                <c:pt idx="3" formatCode="0.0000">
                  <c:v>0</c:v>
                </c:pt>
                <c:pt idx="4" formatCode="0.0000">
                  <c:v>5.4708994708994929E-2</c:v>
                </c:pt>
                <c:pt idx="5" formatCode="0.0000">
                  <c:v>8.1234567901234733E-2</c:v>
                </c:pt>
                <c:pt idx="6" formatCode="0.0000">
                  <c:v>0.10776014109347454</c:v>
                </c:pt>
                <c:pt idx="7" formatCode="0.0000">
                  <c:v>0.13428571428571434</c:v>
                </c:pt>
              </c:numCache>
              <c:extLst/>
            </c:numRef>
          </c:val>
          <c:extLst>
            <c:ext xmlns:c16="http://schemas.microsoft.com/office/drawing/2014/chart" uri="{C3380CC4-5D6E-409C-BE32-E72D297353CC}">
              <c16:uniqueId val="{00000008-E281-4DD0-89D7-876AFFB4AF47}"/>
            </c:ext>
          </c:extLst>
        </c:ser>
        <c:ser>
          <c:idx val="9"/>
          <c:order val="9"/>
          <c:tx>
            <c:strRef>
              <c:f>'Yearly GDP chart fan'!$AN$16</c:f>
              <c:strCache>
                <c:ptCount val="1"/>
                <c:pt idx="0">
                  <c:v>Lower 2</c:v>
                </c:pt>
              </c:strCache>
            </c:strRef>
          </c:tx>
          <c:spPr>
            <a:solidFill>
              <a:srgbClr val="C00000">
                <a:alpha val="9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fan'!$AN$17:$AN$25</c:f>
              <c:numCache>
                <c:formatCode>0.00</c:formatCode>
                <c:ptCount val="8"/>
                <c:pt idx="0">
                  <c:v>0</c:v>
                </c:pt>
                <c:pt idx="1">
                  <c:v>0</c:v>
                </c:pt>
                <c:pt idx="2">
                  <c:v>0</c:v>
                </c:pt>
                <c:pt idx="3" formatCode="0.0000">
                  <c:v>0</c:v>
                </c:pt>
                <c:pt idx="4" formatCode="0.0000">
                  <c:v>3.2592592592592506E-2</c:v>
                </c:pt>
                <c:pt idx="5" formatCode="0.0000">
                  <c:v>4.8395061728395028E-2</c:v>
                </c:pt>
                <c:pt idx="6" formatCode="0.0000">
                  <c:v>6.419753086419755E-2</c:v>
                </c:pt>
                <c:pt idx="7" formatCode="0.0000">
                  <c:v>8.0000000000000071E-2</c:v>
                </c:pt>
              </c:numCache>
              <c:extLst/>
            </c:numRef>
          </c:val>
          <c:extLst>
            <c:ext xmlns:c16="http://schemas.microsoft.com/office/drawing/2014/chart" uri="{C3380CC4-5D6E-409C-BE32-E72D297353CC}">
              <c16:uniqueId val="{00000009-E281-4DD0-89D7-876AFFB4AF47}"/>
            </c:ext>
          </c:extLst>
        </c:ser>
        <c:ser>
          <c:idx val="10"/>
          <c:order val="10"/>
          <c:tx>
            <c:strRef>
              <c:f>'Yearly GDP chart fan'!$AO$16</c:f>
              <c:strCache>
                <c:ptCount val="1"/>
                <c:pt idx="0">
                  <c:v>Lower 1</c:v>
                </c:pt>
              </c:strCache>
            </c:strRef>
          </c:tx>
          <c:spPr>
            <a:solidFill>
              <a:srgbClr val="C00000"/>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fan'!$AO$17:$AO$25</c:f>
              <c:numCache>
                <c:formatCode>0.00</c:formatCode>
                <c:ptCount val="8"/>
                <c:pt idx="0">
                  <c:v>0</c:v>
                </c:pt>
                <c:pt idx="1">
                  <c:v>0</c:v>
                </c:pt>
                <c:pt idx="2">
                  <c:v>0</c:v>
                </c:pt>
                <c:pt idx="3" formatCode="0.0000">
                  <c:v>0</c:v>
                </c:pt>
                <c:pt idx="4" formatCode="0.0000">
                  <c:v>1.0476190476190528E-2</c:v>
                </c:pt>
                <c:pt idx="5" formatCode="0.0000">
                  <c:v>1.5555555555555323E-2</c:v>
                </c:pt>
                <c:pt idx="6" formatCode="0.0000">
                  <c:v>2.0634920634920562E-2</c:v>
                </c:pt>
                <c:pt idx="7" formatCode="0.0000">
                  <c:v>2.5714285714285801E-2</c:v>
                </c:pt>
              </c:numCache>
              <c:extLst/>
            </c:numRef>
          </c:val>
          <c:extLst>
            <c:ext xmlns:c16="http://schemas.microsoft.com/office/drawing/2014/chart" uri="{C3380CC4-5D6E-409C-BE32-E72D297353CC}">
              <c16:uniqueId val="{0000000A-E281-4DD0-89D7-876AFFB4AF47}"/>
            </c:ext>
          </c:extLst>
        </c:ser>
        <c:ser>
          <c:idx val="11"/>
          <c:order val="11"/>
          <c:tx>
            <c:strRef>
              <c:f>'Yearly GDP chart fan'!$AP$16</c:f>
              <c:strCache>
                <c:ptCount val="1"/>
                <c:pt idx="0">
                  <c:v>Upper 1</c:v>
                </c:pt>
              </c:strCache>
            </c:strRef>
          </c:tx>
          <c:spPr>
            <a:solidFill>
              <a:srgbClr val="C00000"/>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fan'!$AP$17:$AP$25</c:f>
              <c:numCache>
                <c:formatCode>0.0000</c:formatCode>
                <c:ptCount val="8"/>
                <c:pt idx="0">
                  <c:v>0</c:v>
                </c:pt>
                <c:pt idx="1">
                  <c:v>0</c:v>
                </c:pt>
                <c:pt idx="2">
                  <c:v>0</c:v>
                </c:pt>
                <c:pt idx="3">
                  <c:v>0</c:v>
                </c:pt>
                <c:pt idx="4">
                  <c:v>1.2380952380952159E-2</c:v>
                </c:pt>
                <c:pt idx="5">
                  <c:v>1.7460317460317398E-2</c:v>
                </c:pt>
                <c:pt idx="6">
                  <c:v>2.2539682539682637E-2</c:v>
                </c:pt>
                <c:pt idx="7">
                  <c:v>2.7619047619047876E-2</c:v>
                </c:pt>
              </c:numCache>
              <c:extLst/>
            </c:numRef>
          </c:val>
          <c:extLst>
            <c:ext xmlns:c16="http://schemas.microsoft.com/office/drawing/2014/chart" uri="{C3380CC4-5D6E-409C-BE32-E72D297353CC}">
              <c16:uniqueId val="{0000000B-E281-4DD0-89D7-876AFFB4AF47}"/>
            </c:ext>
          </c:extLst>
        </c:ser>
        <c:ser>
          <c:idx val="12"/>
          <c:order val="12"/>
          <c:tx>
            <c:strRef>
              <c:f>'Yearly GDP chart fan'!$AQ$16</c:f>
              <c:strCache>
                <c:ptCount val="1"/>
                <c:pt idx="0">
                  <c:v>Upper 2</c:v>
                </c:pt>
              </c:strCache>
            </c:strRef>
          </c:tx>
          <c:spPr>
            <a:solidFill>
              <a:srgbClr val="C00000">
                <a:alpha val="9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fan'!$AQ$17:$AQ$25</c:f>
              <c:numCache>
                <c:formatCode>0.0000</c:formatCode>
                <c:ptCount val="8"/>
                <c:pt idx="0">
                  <c:v>0</c:v>
                </c:pt>
                <c:pt idx="1">
                  <c:v>0</c:v>
                </c:pt>
                <c:pt idx="2">
                  <c:v>0</c:v>
                </c:pt>
                <c:pt idx="3">
                  <c:v>0</c:v>
                </c:pt>
                <c:pt idx="4">
                  <c:v>3.8518518518518619E-2</c:v>
                </c:pt>
                <c:pt idx="5">
                  <c:v>5.4320987654320696E-2</c:v>
                </c:pt>
                <c:pt idx="6">
                  <c:v>7.0123456790123662E-2</c:v>
                </c:pt>
                <c:pt idx="7">
                  <c:v>8.5925925925925739E-2</c:v>
                </c:pt>
              </c:numCache>
              <c:extLst/>
            </c:numRef>
          </c:val>
          <c:extLst>
            <c:ext xmlns:c16="http://schemas.microsoft.com/office/drawing/2014/chart" uri="{C3380CC4-5D6E-409C-BE32-E72D297353CC}">
              <c16:uniqueId val="{0000000C-E281-4DD0-89D7-876AFFB4AF47}"/>
            </c:ext>
          </c:extLst>
        </c:ser>
        <c:ser>
          <c:idx val="13"/>
          <c:order val="13"/>
          <c:tx>
            <c:strRef>
              <c:f>'Yearly GDP chart fan'!$AR$16</c:f>
              <c:strCache>
                <c:ptCount val="1"/>
                <c:pt idx="0">
                  <c:v>Upper 3</c:v>
                </c:pt>
              </c:strCache>
            </c:strRef>
          </c:tx>
          <c:spPr>
            <a:solidFill>
              <a:srgbClr val="C00000">
                <a:alpha val="8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fan'!$AR$17:$AR$25</c:f>
              <c:numCache>
                <c:formatCode>0.0000</c:formatCode>
                <c:ptCount val="8"/>
                <c:pt idx="0">
                  <c:v>0</c:v>
                </c:pt>
                <c:pt idx="1">
                  <c:v>0</c:v>
                </c:pt>
                <c:pt idx="2">
                  <c:v>0</c:v>
                </c:pt>
                <c:pt idx="3">
                  <c:v>0</c:v>
                </c:pt>
                <c:pt idx="4">
                  <c:v>6.4656084656084634E-2</c:v>
                </c:pt>
                <c:pt idx="5">
                  <c:v>9.1181657848324882E-2</c:v>
                </c:pt>
                <c:pt idx="6">
                  <c:v>0.11770723104056469</c:v>
                </c:pt>
                <c:pt idx="7">
                  <c:v>0.14423280423280449</c:v>
                </c:pt>
              </c:numCache>
              <c:extLst/>
            </c:numRef>
          </c:val>
          <c:extLst>
            <c:ext xmlns:c16="http://schemas.microsoft.com/office/drawing/2014/chart" uri="{C3380CC4-5D6E-409C-BE32-E72D297353CC}">
              <c16:uniqueId val="{0000000D-E281-4DD0-89D7-876AFFB4AF47}"/>
            </c:ext>
          </c:extLst>
        </c:ser>
        <c:ser>
          <c:idx val="14"/>
          <c:order val="14"/>
          <c:tx>
            <c:strRef>
              <c:f>'Yearly GDP chart fan'!$AS$16</c:f>
              <c:strCache>
                <c:ptCount val="1"/>
                <c:pt idx="0">
                  <c:v>Upper 4</c:v>
                </c:pt>
              </c:strCache>
            </c:strRef>
          </c:tx>
          <c:spPr>
            <a:solidFill>
              <a:srgbClr val="C00000">
                <a:alpha val="7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fan'!$AS$17:$AS$25</c:f>
              <c:numCache>
                <c:formatCode>0.0000</c:formatCode>
                <c:ptCount val="8"/>
                <c:pt idx="0">
                  <c:v>0</c:v>
                </c:pt>
                <c:pt idx="1">
                  <c:v>0</c:v>
                </c:pt>
                <c:pt idx="2">
                  <c:v>0</c:v>
                </c:pt>
                <c:pt idx="3">
                  <c:v>0</c:v>
                </c:pt>
                <c:pt idx="4">
                  <c:v>9.0793650793651093E-2</c:v>
                </c:pt>
                <c:pt idx="5">
                  <c:v>0.12804232804232818</c:v>
                </c:pt>
                <c:pt idx="6">
                  <c:v>0.16529100529100571</c:v>
                </c:pt>
                <c:pt idx="7">
                  <c:v>0.20253968253968235</c:v>
                </c:pt>
              </c:numCache>
              <c:extLst/>
            </c:numRef>
          </c:val>
          <c:extLst>
            <c:ext xmlns:c16="http://schemas.microsoft.com/office/drawing/2014/chart" uri="{C3380CC4-5D6E-409C-BE32-E72D297353CC}">
              <c16:uniqueId val="{0000000E-E281-4DD0-89D7-876AFFB4AF47}"/>
            </c:ext>
          </c:extLst>
        </c:ser>
        <c:ser>
          <c:idx val="15"/>
          <c:order val="15"/>
          <c:tx>
            <c:strRef>
              <c:f>'Yearly GDP chart fan'!$AT$16</c:f>
              <c:strCache>
                <c:ptCount val="1"/>
                <c:pt idx="0">
                  <c:v>Upper 5</c:v>
                </c:pt>
              </c:strCache>
            </c:strRef>
          </c:tx>
          <c:spPr>
            <a:solidFill>
              <a:srgbClr val="C00000">
                <a:alpha val="6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fan'!$AT$17:$AT$25</c:f>
              <c:numCache>
                <c:formatCode>0.0000</c:formatCode>
                <c:ptCount val="8"/>
                <c:pt idx="0">
                  <c:v>0</c:v>
                </c:pt>
                <c:pt idx="1">
                  <c:v>0</c:v>
                </c:pt>
                <c:pt idx="2">
                  <c:v>0</c:v>
                </c:pt>
                <c:pt idx="3">
                  <c:v>0</c:v>
                </c:pt>
                <c:pt idx="4">
                  <c:v>0.11693121693121711</c:v>
                </c:pt>
                <c:pt idx="5">
                  <c:v>0.16490299823633148</c:v>
                </c:pt>
                <c:pt idx="6">
                  <c:v>0.21287477954144585</c:v>
                </c:pt>
                <c:pt idx="7">
                  <c:v>0.2608465608465611</c:v>
                </c:pt>
              </c:numCache>
              <c:extLst/>
            </c:numRef>
          </c:val>
          <c:extLst>
            <c:ext xmlns:c16="http://schemas.microsoft.com/office/drawing/2014/chart" uri="{C3380CC4-5D6E-409C-BE32-E72D297353CC}">
              <c16:uniqueId val="{0000000F-E281-4DD0-89D7-876AFFB4AF47}"/>
            </c:ext>
          </c:extLst>
        </c:ser>
        <c:ser>
          <c:idx val="16"/>
          <c:order val="16"/>
          <c:tx>
            <c:strRef>
              <c:f>'Yearly GDP chart fan'!$AU$16</c:f>
              <c:strCache>
                <c:ptCount val="1"/>
                <c:pt idx="0">
                  <c:v>Upper 6</c:v>
                </c:pt>
              </c:strCache>
            </c:strRef>
          </c:tx>
          <c:spPr>
            <a:solidFill>
              <a:srgbClr val="C00000">
                <a:alpha val="5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fan'!$AU$17:$AU$25</c:f>
              <c:numCache>
                <c:formatCode>0.0000</c:formatCode>
                <c:ptCount val="8"/>
                <c:pt idx="0">
                  <c:v>0</c:v>
                </c:pt>
                <c:pt idx="1">
                  <c:v>0</c:v>
                </c:pt>
                <c:pt idx="2">
                  <c:v>0</c:v>
                </c:pt>
                <c:pt idx="3">
                  <c:v>0</c:v>
                </c:pt>
                <c:pt idx="4">
                  <c:v>0.14306878306878268</c:v>
                </c:pt>
                <c:pt idx="5">
                  <c:v>0.20176366843033477</c:v>
                </c:pt>
                <c:pt idx="6">
                  <c:v>0.26045855379188687</c:v>
                </c:pt>
                <c:pt idx="7">
                  <c:v>0.31915343915343897</c:v>
                </c:pt>
              </c:numCache>
              <c:extLst/>
            </c:numRef>
          </c:val>
          <c:extLst>
            <c:ext xmlns:c16="http://schemas.microsoft.com/office/drawing/2014/chart" uri="{C3380CC4-5D6E-409C-BE32-E72D297353CC}">
              <c16:uniqueId val="{00000010-E281-4DD0-89D7-876AFFB4AF47}"/>
            </c:ext>
          </c:extLst>
        </c:ser>
        <c:ser>
          <c:idx val="17"/>
          <c:order val="17"/>
          <c:tx>
            <c:strRef>
              <c:f>'Yearly GDP chart fan'!$AV$16</c:f>
              <c:strCache>
                <c:ptCount val="1"/>
                <c:pt idx="0">
                  <c:v>Upper 7</c:v>
                </c:pt>
              </c:strCache>
            </c:strRef>
          </c:tx>
          <c:spPr>
            <a:solidFill>
              <a:srgbClr val="C00000">
                <a:alpha val="4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fan'!$AV$17:$AV$25</c:f>
              <c:numCache>
                <c:formatCode>0.0000</c:formatCode>
                <c:ptCount val="8"/>
                <c:pt idx="0">
                  <c:v>0</c:v>
                </c:pt>
                <c:pt idx="1">
                  <c:v>0</c:v>
                </c:pt>
                <c:pt idx="2">
                  <c:v>0</c:v>
                </c:pt>
                <c:pt idx="3">
                  <c:v>0</c:v>
                </c:pt>
                <c:pt idx="4">
                  <c:v>0.16920634920634914</c:v>
                </c:pt>
                <c:pt idx="5">
                  <c:v>0.23862433862433896</c:v>
                </c:pt>
                <c:pt idx="6">
                  <c:v>0.3080423280423279</c:v>
                </c:pt>
                <c:pt idx="7">
                  <c:v>0.37746031746031772</c:v>
                </c:pt>
              </c:numCache>
              <c:extLst/>
            </c:numRef>
          </c:val>
          <c:extLst>
            <c:ext xmlns:c16="http://schemas.microsoft.com/office/drawing/2014/chart" uri="{C3380CC4-5D6E-409C-BE32-E72D297353CC}">
              <c16:uniqueId val="{00000011-E281-4DD0-89D7-876AFFB4AF47}"/>
            </c:ext>
          </c:extLst>
        </c:ser>
        <c:ser>
          <c:idx val="18"/>
          <c:order val="18"/>
          <c:tx>
            <c:strRef>
              <c:f>'Yearly GDP chart fan'!$AW$16</c:f>
              <c:strCache>
                <c:ptCount val="1"/>
                <c:pt idx="0">
                  <c:v>Upper 8</c:v>
                </c:pt>
              </c:strCache>
            </c:strRef>
          </c:tx>
          <c:spPr>
            <a:solidFill>
              <a:srgbClr val="C00000">
                <a:alpha val="3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fan'!$AW$17:$AW$25</c:f>
              <c:numCache>
                <c:formatCode>0.0000</c:formatCode>
                <c:ptCount val="8"/>
                <c:pt idx="0">
                  <c:v>0</c:v>
                </c:pt>
                <c:pt idx="1">
                  <c:v>0</c:v>
                </c:pt>
                <c:pt idx="2">
                  <c:v>0</c:v>
                </c:pt>
                <c:pt idx="3">
                  <c:v>0</c:v>
                </c:pt>
                <c:pt idx="4">
                  <c:v>0.1953439153439156</c:v>
                </c:pt>
                <c:pt idx="5">
                  <c:v>0.27548500881834226</c:v>
                </c:pt>
                <c:pt idx="6">
                  <c:v>0.35562610229276892</c:v>
                </c:pt>
                <c:pt idx="7">
                  <c:v>0.43576719576719558</c:v>
                </c:pt>
              </c:numCache>
              <c:extLst/>
            </c:numRef>
          </c:val>
          <c:extLst>
            <c:ext xmlns:c16="http://schemas.microsoft.com/office/drawing/2014/chart" uri="{C3380CC4-5D6E-409C-BE32-E72D297353CC}">
              <c16:uniqueId val="{00000012-E281-4DD0-89D7-876AFFB4AF47}"/>
            </c:ext>
          </c:extLst>
        </c:ser>
        <c:ser>
          <c:idx val="19"/>
          <c:order val="19"/>
          <c:tx>
            <c:strRef>
              <c:f>'Yearly GDP chart fan'!$AX$16</c:f>
              <c:strCache>
                <c:ptCount val="1"/>
                <c:pt idx="0">
                  <c:v>Upper 9</c:v>
                </c:pt>
              </c:strCache>
            </c:strRef>
          </c:tx>
          <c:spPr>
            <a:solidFill>
              <a:srgbClr val="C00000">
                <a:alpha val="2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fan'!$AX$17:$AX$25</c:f>
              <c:numCache>
                <c:formatCode>0.0000</c:formatCode>
                <c:ptCount val="8"/>
                <c:pt idx="0">
                  <c:v>0</c:v>
                </c:pt>
                <c:pt idx="1">
                  <c:v>0</c:v>
                </c:pt>
                <c:pt idx="2">
                  <c:v>0</c:v>
                </c:pt>
                <c:pt idx="3">
                  <c:v>0</c:v>
                </c:pt>
                <c:pt idx="4">
                  <c:v>0.22148148148148117</c:v>
                </c:pt>
                <c:pt idx="5">
                  <c:v>0.31234567901234556</c:v>
                </c:pt>
                <c:pt idx="6">
                  <c:v>0.40320987654320994</c:v>
                </c:pt>
                <c:pt idx="7">
                  <c:v>0.49407407407407433</c:v>
                </c:pt>
              </c:numCache>
              <c:extLst/>
            </c:numRef>
          </c:val>
          <c:extLst>
            <c:ext xmlns:c16="http://schemas.microsoft.com/office/drawing/2014/chart" uri="{C3380CC4-5D6E-409C-BE32-E72D297353CC}">
              <c16:uniqueId val="{00000013-E281-4DD0-89D7-876AFFB4AF47}"/>
            </c:ext>
          </c:extLst>
        </c:ser>
        <c:ser>
          <c:idx val="20"/>
          <c:order val="20"/>
          <c:tx>
            <c:strRef>
              <c:f>'Yearly GDP chart fan'!$AY$16</c:f>
              <c:strCache>
                <c:ptCount val="1"/>
                <c:pt idx="0">
                  <c:v>Upper 10</c:v>
                </c:pt>
              </c:strCache>
            </c:strRef>
          </c:tx>
          <c:spPr>
            <a:solidFill>
              <a:srgbClr val="C00000">
                <a:alpha val="1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fan'!$AY$17:$AY$25</c:f>
              <c:numCache>
                <c:formatCode>0.0000</c:formatCode>
                <c:ptCount val="8"/>
                <c:pt idx="0">
                  <c:v>0</c:v>
                </c:pt>
                <c:pt idx="1">
                  <c:v>0</c:v>
                </c:pt>
                <c:pt idx="2">
                  <c:v>0</c:v>
                </c:pt>
                <c:pt idx="3">
                  <c:v>0</c:v>
                </c:pt>
                <c:pt idx="4">
                  <c:v>0.24761904761904763</c:v>
                </c:pt>
                <c:pt idx="5">
                  <c:v>0.34920634920634885</c:v>
                </c:pt>
                <c:pt idx="6">
                  <c:v>0.45079365079365097</c:v>
                </c:pt>
                <c:pt idx="7">
                  <c:v>0.55238095238095219</c:v>
                </c:pt>
              </c:numCache>
              <c:extLst/>
            </c:numRef>
          </c:val>
          <c:extLst>
            <c:ext xmlns:c16="http://schemas.microsoft.com/office/drawing/2014/chart" uri="{C3380CC4-5D6E-409C-BE32-E72D297353CC}">
              <c16:uniqueId val="{00000014-E281-4DD0-89D7-876AFFB4AF47}"/>
            </c:ext>
          </c:extLst>
        </c:ser>
        <c:dLbls>
          <c:showLegendKey val="0"/>
          <c:showVal val="0"/>
          <c:showCatName val="0"/>
          <c:showSerName val="0"/>
          <c:showPercent val="0"/>
          <c:showBubbleSize val="0"/>
        </c:dLbls>
        <c:axId val="136355472"/>
        <c:axId val="136350480"/>
      </c:areaChart>
      <c:lineChart>
        <c:grouping val="standard"/>
        <c:varyColors val="0"/>
        <c:ser>
          <c:idx val="21"/>
          <c:order val="21"/>
          <c:tx>
            <c:strRef>
              <c:f>'Yearly GDP chart fan'!$J$16</c:f>
              <c:strCache>
                <c:ptCount val="1"/>
                <c:pt idx="0">
                  <c:v>Kombinovana</c:v>
                </c:pt>
              </c:strCache>
            </c:strRef>
          </c:tx>
          <c:spPr>
            <a:ln w="12700" cap="rnd">
              <a:solidFill>
                <a:schemeClr val="tx1"/>
              </a:solidFill>
              <a:round/>
            </a:ln>
            <a:effectLst/>
          </c:spPr>
          <c:marker>
            <c:symbol val="none"/>
          </c:marker>
          <c:dLbls>
            <c:dLbl>
              <c:idx val="0"/>
              <c:layout>
                <c:manualLayout>
                  <c:x val="-0.10577573636628755"/>
                  <c:y val="7.38869905412651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81-4DD0-89D7-876AFFB4AF4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8"/>
              <c:pt idx="0">
                <c:v>2020</c:v>
              </c:pt>
              <c:pt idx="1">
                <c:v>2021</c:v>
              </c:pt>
              <c:pt idx="2">
                <c:v>2022</c:v>
              </c:pt>
              <c:pt idx="3">
                <c:v>2023</c:v>
              </c:pt>
              <c:pt idx="4">
                <c:v>2024</c:v>
              </c:pt>
              <c:pt idx="5">
                <c:v>2025</c:v>
              </c:pt>
              <c:pt idx="6">
                <c:v>2026</c:v>
              </c:pt>
              <c:pt idx="7">
                <c:v>2027</c:v>
              </c:pt>
              <c:extLst>
                <c:ext xmlns:c15="http://schemas.microsoft.com/office/drawing/2012/chart" uri="{02D57815-91ED-43cb-92C2-25804820EDAC}">
                  <c15:autoCat val="1"/>
                </c:ext>
              </c:extLst>
            </c:strLit>
          </c:cat>
          <c:val>
            <c:numRef>
              <c:f>'Yearly GDP chart fan'!$J$17:$J$25</c:f>
              <c:numCache>
                <c:formatCode>0.0</c:formatCode>
                <c:ptCount val="8"/>
                <c:pt idx="0">
                  <c:v>-0.95002358986207014</c:v>
                </c:pt>
                <c:pt idx="1">
                  <c:v>7.9490568037111018</c:v>
                </c:pt>
                <c:pt idx="2">
                  <c:v>2.6309864215221239</c:v>
                </c:pt>
                <c:pt idx="3">
                  <c:v>3.8474719538126294</c:v>
                </c:pt>
                <c:pt idx="4">
                  <c:v>3.8</c:v>
                </c:pt>
                <c:pt idx="5">
                  <c:v>4.2</c:v>
                </c:pt>
                <c:pt idx="6">
                  <c:v>4</c:v>
                </c:pt>
                <c:pt idx="7">
                  <c:v>5</c:v>
                </c:pt>
              </c:numCache>
              <c:extLst/>
            </c:numRef>
          </c:val>
          <c:smooth val="0"/>
          <c:extLst>
            <c:ext xmlns:c16="http://schemas.microsoft.com/office/drawing/2014/chart" uri="{C3380CC4-5D6E-409C-BE32-E72D297353CC}">
              <c16:uniqueId val="{00000016-E281-4DD0-89D7-876AFFB4AF47}"/>
            </c:ext>
          </c:extLst>
        </c:ser>
        <c:dLbls>
          <c:showLegendKey val="0"/>
          <c:showVal val="0"/>
          <c:showCatName val="0"/>
          <c:showSerName val="0"/>
          <c:showPercent val="0"/>
          <c:showBubbleSize val="0"/>
        </c:dLbls>
        <c:marker val="1"/>
        <c:smooth val="0"/>
        <c:axId val="136355472"/>
        <c:axId val="136350480"/>
      </c:lineChart>
      <c:catAx>
        <c:axId val="13635547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700" b="0" i="0" u="none" strike="noStrike" kern="1200" baseline="0">
                <a:solidFill>
                  <a:schemeClr val="tx2"/>
                </a:solidFill>
                <a:latin typeface="Times New Roman" panose="02020603050405020304" pitchFamily="18" charset="0"/>
                <a:ea typeface="+mn-ea"/>
                <a:cs typeface="+mn-cs"/>
              </a:defRPr>
            </a:pPr>
            <a:endParaRPr lang="en-US"/>
          </a:p>
        </c:txPr>
        <c:crossAx val="136350480"/>
        <c:crosses val="autoZero"/>
        <c:auto val="1"/>
        <c:lblAlgn val="ctr"/>
        <c:lblOffset val="100"/>
        <c:noMultiLvlLbl val="0"/>
      </c:catAx>
      <c:valAx>
        <c:axId val="13635048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Times New Roman" panose="02020603050405020304" pitchFamily="18" charset="0"/>
                <a:ea typeface="+mn-ea"/>
                <a:cs typeface="+mn-cs"/>
              </a:defRPr>
            </a:pPr>
            <a:endParaRPr lang="en-US"/>
          </a:p>
        </c:txPr>
        <c:crossAx val="136355472"/>
        <c:crosses val="autoZero"/>
        <c:crossBetween val="between"/>
        <c:majorUnit val="2"/>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8435239489954"/>
          <c:y val="6.842061127661922E-2"/>
          <c:w val="0.858350771542297"/>
          <c:h val="0.89994549266247381"/>
        </c:manualLayout>
      </c:layout>
      <c:barChart>
        <c:barDir val="col"/>
        <c:grouping val="clustered"/>
        <c:varyColors val="0"/>
        <c:ser>
          <c:idx val="0"/>
          <c:order val="0"/>
          <c:tx>
            <c:v>Fiscal result</c:v>
          </c:tx>
          <c:spPr>
            <a:solidFill>
              <a:schemeClr val="accent1">
                <a:shade val="7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Yearly'!$CQ$7:$CX$8,'Quaterly, Yearly'!$CY$7:$CY$8,'Quaterly, Yearly'!$CZ$7:$CZ$8)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('Quaterly, Yearly'!$CQ$78:$CW$78,'Quaterly, Yearly'!$CX$78,'Quaterly, Yearly'!$CY$78,'Quaterly, Yearly'!$CZ$78)</c:f>
              <c:numCache>
                <c:formatCode>#,##0.00</c:formatCode>
                <c:ptCount val="10"/>
                <c:pt idx="0">
                  <c:v>-3.3187939284991961</c:v>
                </c:pt>
                <c:pt idx="1">
                  <c:v>-1.149397976075984</c:v>
                </c:pt>
                <c:pt idx="2">
                  <c:v>1.0557686096933128</c:v>
                </c:pt>
                <c:pt idx="3">
                  <c:v>0.60940162463875103</c:v>
                </c:pt>
                <c:pt idx="4">
                  <c:v>-0.196032233371843</c:v>
                </c:pt>
                <c:pt idx="5">
                  <c:v>-7.6817157912618725</c:v>
                </c:pt>
                <c:pt idx="6">
                  <c:v>-3.944488655583605</c:v>
                </c:pt>
                <c:pt idx="7">
                  <c:v>-3.0145095743510497</c:v>
                </c:pt>
                <c:pt idx="8">
                  <c:v>-2.0537459179069364</c:v>
                </c:pt>
                <c:pt idx="9">
                  <c:v>-2.7</c:v>
                </c:pt>
              </c:numCache>
            </c:numRef>
          </c:val>
          <c:extLst>
            <c:ext xmlns:c16="http://schemas.microsoft.com/office/drawing/2014/chart" uri="{C3380CC4-5D6E-409C-BE32-E72D297353CC}">
              <c16:uniqueId val="{00000000-62B4-4D68-B4B2-89474A8FD2AD}"/>
            </c:ext>
          </c:extLst>
        </c:ser>
        <c:ser>
          <c:idx val="1"/>
          <c:order val="1"/>
          <c:tx>
            <c:v>Primary fiscal result</c:v>
          </c:tx>
          <c:spPr>
            <a:solidFill>
              <a:schemeClr val="accent1">
                <a:tint val="77000"/>
              </a:schemeClr>
            </a:solidFill>
            <a:ln>
              <a:noFill/>
            </a:ln>
            <a:effectLst/>
          </c:spPr>
          <c:invertIfNegative val="0"/>
          <c:dLbls>
            <c:dLbl>
              <c:idx val="0"/>
              <c:layout>
                <c:manualLayout>
                  <c:x val="1.132097084431951E-2"/>
                  <c:y val="-2.723380778991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B4-4D68-B4B2-89474A8FD2AD}"/>
                </c:ext>
              </c:extLst>
            </c:dLbl>
            <c:dLbl>
              <c:idx val="1"/>
              <c:layout>
                <c:manualLayout>
                  <c:x val="-3.2073297015369011E-3"/>
                  <c:y val="-1.414249788072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B4-4D68-B4B2-89474A8FD2AD}"/>
                </c:ext>
              </c:extLst>
            </c:dLbl>
            <c:dLbl>
              <c:idx val="2"/>
              <c:layout>
                <c:manualLayout>
                  <c:x val="-2.4176209155354405E-3"/>
                  <c:y val="-6.651520278435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B4-4D68-B4B2-89474A8FD2AD}"/>
                </c:ext>
              </c:extLst>
            </c:dLbl>
            <c:dLbl>
              <c:idx val="3"/>
              <c:layout>
                <c:manualLayout>
                  <c:x val="2.6858041798127055E-3"/>
                  <c:y val="3.62947391256674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B4-4D68-B4B2-89474A8FD2AD}"/>
                </c:ext>
              </c:extLst>
            </c:dLbl>
            <c:dLbl>
              <c:idx val="4"/>
              <c:layout>
                <c:manualLayout>
                  <c:x val="-3.9217883120591336E-3"/>
                  <c:y val="-1.0898089645081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B4-4D68-B4B2-89474A8FD2AD}"/>
                </c:ext>
              </c:extLst>
            </c:dLbl>
            <c:dLbl>
              <c:idx val="5"/>
              <c:layout>
                <c:manualLayout>
                  <c:x val="1.8183368791494724E-3"/>
                  <c:y val="-1.3434844974070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B4-4D68-B4B2-89474A8FD2AD}"/>
                </c:ext>
              </c:extLst>
            </c:dLbl>
            <c:dLbl>
              <c:idx val="6"/>
              <c:layout>
                <c:manualLayout>
                  <c:x val="1.3735038279346209E-2"/>
                  <c:y val="-1.311883482290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B4-4D68-B4B2-89474A8FD2AD}"/>
                </c:ext>
              </c:extLst>
            </c:dLbl>
            <c:dLbl>
              <c:idx val="7"/>
              <c:layout>
                <c:manualLayout>
                  <c:x val="1.9834639029877463E-2"/>
                  <c:y val="-8.4701362465218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B4-4D68-B4B2-89474A8FD2AD}"/>
                </c:ext>
              </c:extLst>
            </c:dLbl>
            <c:dLbl>
              <c:idx val="8"/>
              <c:layout>
                <c:manualLayout>
                  <c:x val="5.4635722476333764E-3"/>
                  <c:y val="8.77652046118210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B4-4D68-B4B2-89474A8FD2AD}"/>
                </c:ext>
              </c:extLst>
            </c:dLbl>
            <c:dLbl>
              <c:idx val="9"/>
              <c:layout>
                <c:manualLayout>
                  <c:x val="4.366405527357735E-3"/>
                  <c:y val="6.30301398829895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B4-4D68-B4B2-89474A8FD2AD}"/>
                </c:ext>
              </c:extLst>
            </c:dLbl>
            <c:dLbl>
              <c:idx val="10"/>
              <c:layout>
                <c:manualLayout>
                  <c:x val="-3.1357910371513177E-2"/>
                  <c:y val="-1.5058062466060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B4-4D68-B4B2-89474A8FD2AD}"/>
                </c:ext>
              </c:extLst>
            </c:dLbl>
            <c:dLbl>
              <c:idx val="11"/>
              <c:layout>
                <c:manualLayout>
                  <c:x val="-4.746385337205393E-2"/>
                  <c:y val="-2.5096770776766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2B4-4D68-B4B2-89474A8FD2A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Yearly'!$CQ$7:$CX$8,'Quaterly, Yearly'!$CY$7:$CY$8,'Quaterly, Yearly'!$CZ$7:$CZ$8)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('Quaterly, Yearly'!$CQ$79:$CW$79,'Quaterly, Yearly'!$CX$79,'Quaterly, Yearly'!$CY$79,'Quaterly, Yearly'!$CZ$79)</c:f>
              <c:numCache>
                <c:formatCode>#,##0.00</c:formatCode>
                <c:ptCount val="10"/>
                <c:pt idx="0">
                  <c:v>-0.4519075558326654</c:v>
                </c:pt>
                <c:pt idx="1">
                  <c:v>1.6426873720543391</c:v>
                </c:pt>
                <c:pt idx="2">
                  <c:v>3.4929502757705762</c:v>
                </c:pt>
                <c:pt idx="3">
                  <c:v>2.6358109426223959</c:v>
                </c:pt>
                <c:pt idx="4">
                  <c:v>1.7134410602148162</c:v>
                </c:pt>
                <c:pt idx="5">
                  <c:v>-5.7708509545761064</c:v>
                </c:pt>
                <c:pt idx="6">
                  <c:v>-2.2923653385556717</c:v>
                </c:pt>
                <c:pt idx="7">
                  <c:v>-1.5817930823645041</c:v>
                </c:pt>
                <c:pt idx="8">
                  <c:v>-0.46896121122711304</c:v>
                </c:pt>
                <c:pt idx="9">
                  <c:v>-0.9</c:v>
                </c:pt>
              </c:numCache>
            </c:numRef>
          </c:val>
          <c:extLst>
            <c:ext xmlns:c16="http://schemas.microsoft.com/office/drawing/2014/chart" uri="{C3380CC4-5D6E-409C-BE32-E72D297353CC}">
              <c16:uniqueId val="{0000000D-62B4-4D68-B4B2-89474A8FD2AD}"/>
            </c:ext>
          </c:extLst>
        </c:ser>
        <c:dLbls>
          <c:showLegendKey val="0"/>
          <c:showVal val="0"/>
          <c:showCatName val="0"/>
          <c:showSerName val="0"/>
          <c:showPercent val="0"/>
          <c:showBubbleSize val="0"/>
        </c:dLbls>
        <c:gapWidth val="150"/>
        <c:axId val="522006368"/>
        <c:axId val="522006928"/>
      </c:barChart>
      <c:catAx>
        <c:axId val="522006368"/>
        <c:scaling>
          <c:orientation val="minMax"/>
        </c:scaling>
        <c:delete val="0"/>
        <c:axPos val="b"/>
        <c:numFmt formatCode="General" sourceLinked="1"/>
        <c:majorTickMark val="out"/>
        <c:minorTickMark val="none"/>
        <c:tickLblPos val="high"/>
        <c:spPr>
          <a:noFill/>
          <a:ln w="12700" cap="flat" cmpd="sng" algn="ctr">
            <a:solidFill>
              <a:schemeClr val="tx1">
                <a:lumMod val="50000"/>
                <a:lumOff val="50000"/>
              </a:schemeClr>
            </a:solidFill>
            <a:prstDash val="sysDash"/>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2006928"/>
        <c:crosses val="autoZero"/>
        <c:auto val="1"/>
        <c:lblAlgn val="ctr"/>
        <c:lblOffset val="100"/>
        <c:noMultiLvlLbl val="0"/>
      </c:catAx>
      <c:valAx>
        <c:axId val="522006928"/>
        <c:scaling>
          <c:orientation val="minMax"/>
          <c:max val="5"/>
          <c:min val="-1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GDP</a:t>
                </a:r>
              </a:p>
            </c:rich>
          </c:tx>
          <c:layout>
            <c:manualLayout>
              <c:xMode val="edge"/>
              <c:yMode val="edge"/>
              <c:x val="1.4466593066470506E-2"/>
              <c:y val="0.483710511188935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2006368"/>
        <c:crosses val="autoZero"/>
        <c:crossBetween val="between"/>
      </c:valAx>
      <c:spPr>
        <a:noFill/>
        <a:ln>
          <a:noFill/>
        </a:ln>
        <a:effectLst/>
      </c:spPr>
    </c:plotArea>
    <c:legend>
      <c:legendPos val="b"/>
      <c:layout>
        <c:manualLayout>
          <c:xMode val="edge"/>
          <c:yMode val="edge"/>
          <c:x val="0.17188574490570532"/>
          <c:y val="0.8786414158037319"/>
          <c:w val="0.51810891150797223"/>
          <c:h val="0.115220536125148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365624101421595E-2"/>
          <c:y val="4.2394333542179731E-2"/>
          <c:w val="0.93008776452994879"/>
          <c:h val="0.8718835976133309"/>
        </c:manualLayout>
      </c:layout>
      <c:barChart>
        <c:barDir val="bar"/>
        <c:grouping val="clustered"/>
        <c:varyColors val="0"/>
        <c:ser>
          <c:idx val="0"/>
          <c:order val="0"/>
          <c:spPr>
            <a:solidFill>
              <a:schemeClr val="accent1"/>
            </a:solidFill>
            <a:ln>
              <a:solidFill>
                <a:srgbClr val="FF0000"/>
              </a:solidFill>
            </a:ln>
            <a:effectLst/>
          </c:spPr>
          <c:invertIfNegative val="0"/>
          <c:dPt>
            <c:idx val="0"/>
            <c:invertIfNegative val="0"/>
            <c:bubble3D val="0"/>
            <c:spPr>
              <a:noFill/>
              <a:ln>
                <a:solidFill>
                  <a:srgbClr val="FF0000"/>
                </a:solidFill>
              </a:ln>
              <a:effectLst/>
            </c:spPr>
            <c:extLst>
              <c:ext xmlns:c16="http://schemas.microsoft.com/office/drawing/2014/chart" uri="{C3380CC4-5D6E-409C-BE32-E72D297353CC}">
                <c16:uniqueId val="{00000001-5DE9-466B-89C9-261FB6AFDA3D}"/>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5DE9-466B-89C9-261FB6AFDA3D}"/>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5DE9-466B-89C9-261FB6AFDA3D}"/>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5DE9-466B-89C9-261FB6AFDA3D}"/>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5DE9-466B-89C9-261FB6AFDA3D}"/>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5DE9-466B-89C9-261FB6AFDA3D}"/>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5DE9-466B-89C9-261FB6AFDA3D}"/>
              </c:ext>
            </c:extLst>
          </c:dPt>
          <c:dPt>
            <c:idx val="7"/>
            <c:invertIfNegative val="0"/>
            <c:bubble3D val="0"/>
            <c:spPr>
              <a:noFill/>
              <a:ln>
                <a:solidFill>
                  <a:srgbClr val="FF0000"/>
                </a:solidFill>
              </a:ln>
              <a:effectLst/>
            </c:spPr>
            <c:extLst>
              <c:ext xmlns:c16="http://schemas.microsoft.com/office/drawing/2014/chart" uri="{C3380CC4-5D6E-409C-BE32-E72D297353CC}">
                <c16:uniqueId val="{0000000F-5DE9-466B-89C9-261FB6AFDA3D}"/>
              </c:ext>
            </c:extLst>
          </c:dPt>
          <c:dPt>
            <c:idx val="8"/>
            <c:invertIfNegative val="0"/>
            <c:bubble3D val="0"/>
            <c:spPr>
              <a:noFill/>
              <a:ln>
                <a:solidFill>
                  <a:srgbClr val="FF0000"/>
                </a:solidFill>
              </a:ln>
              <a:effectLst/>
            </c:spPr>
            <c:extLst>
              <c:ext xmlns:c16="http://schemas.microsoft.com/office/drawing/2014/chart" uri="{C3380CC4-5D6E-409C-BE32-E72D297353CC}">
                <c16:uniqueId val="{00000011-5DE9-466B-89C9-261FB6AFDA3D}"/>
              </c:ext>
            </c:extLst>
          </c:dPt>
          <c:dPt>
            <c:idx val="9"/>
            <c:invertIfNegative val="0"/>
            <c:bubble3D val="0"/>
            <c:spPr>
              <a:noFill/>
              <a:ln>
                <a:solidFill>
                  <a:srgbClr val="FF0000"/>
                </a:solidFill>
              </a:ln>
              <a:effectLst/>
            </c:spPr>
            <c:extLst>
              <c:ext xmlns:c16="http://schemas.microsoft.com/office/drawing/2014/chart" uri="{C3380CC4-5D6E-409C-BE32-E72D297353CC}">
                <c16:uniqueId val="{00000013-5DE9-466B-89C9-261FB6AFDA3D}"/>
              </c:ext>
            </c:extLst>
          </c:dPt>
          <c:dPt>
            <c:idx val="10"/>
            <c:invertIfNegative val="0"/>
            <c:bubble3D val="0"/>
            <c:spPr>
              <a:noFill/>
              <a:ln>
                <a:solidFill>
                  <a:srgbClr val="FF0000"/>
                </a:solidFill>
              </a:ln>
              <a:effectLst/>
            </c:spPr>
            <c:extLst>
              <c:ext xmlns:c16="http://schemas.microsoft.com/office/drawing/2014/chart" uri="{C3380CC4-5D6E-409C-BE32-E72D297353CC}">
                <c16:uniqueId val="{00000015-5DE9-466B-89C9-261FB6AFDA3D}"/>
              </c:ext>
            </c:extLst>
          </c:dPt>
          <c:dPt>
            <c:idx val="11"/>
            <c:invertIfNegative val="0"/>
            <c:bubble3D val="0"/>
            <c:spPr>
              <a:noFill/>
              <a:ln>
                <a:solidFill>
                  <a:srgbClr val="FF0000"/>
                </a:solidFill>
              </a:ln>
              <a:effectLst/>
            </c:spPr>
            <c:extLst>
              <c:ext xmlns:c16="http://schemas.microsoft.com/office/drawing/2014/chart" uri="{C3380CC4-5D6E-409C-BE32-E72D297353CC}">
                <c16:uniqueId val="{00000017-5DE9-466B-89C9-261FB6AFDA3D}"/>
              </c:ext>
            </c:extLst>
          </c:dPt>
          <c:dPt>
            <c:idx val="12"/>
            <c:invertIfNegative val="0"/>
            <c:bubble3D val="0"/>
            <c:spPr>
              <a:noFill/>
              <a:ln>
                <a:solidFill>
                  <a:srgbClr val="FF0000"/>
                </a:solidFill>
              </a:ln>
              <a:effectLst/>
            </c:spPr>
            <c:extLst>
              <c:ext xmlns:c16="http://schemas.microsoft.com/office/drawing/2014/chart" uri="{C3380CC4-5D6E-409C-BE32-E72D297353CC}">
                <c16:uniqueId val="{00000019-5DE9-466B-89C9-261FB6AFDA3D}"/>
              </c:ext>
            </c:extLst>
          </c:dPt>
          <c:dPt>
            <c:idx val="13"/>
            <c:invertIfNegative val="0"/>
            <c:bubble3D val="0"/>
            <c:spPr>
              <a:noFill/>
              <a:ln>
                <a:solidFill>
                  <a:srgbClr val="FF0000"/>
                </a:solidFill>
              </a:ln>
              <a:effectLst/>
            </c:spPr>
            <c:extLst>
              <c:ext xmlns:c16="http://schemas.microsoft.com/office/drawing/2014/chart" uri="{C3380CC4-5D6E-409C-BE32-E72D297353CC}">
                <c16:uniqueId val="{0000001B-5DE9-466B-89C9-261FB6AFDA3D}"/>
              </c:ext>
            </c:extLst>
          </c:dPt>
          <c:dPt>
            <c:idx val="14"/>
            <c:invertIfNegative val="0"/>
            <c:bubble3D val="0"/>
            <c:spPr>
              <a:noFill/>
              <a:ln>
                <a:solidFill>
                  <a:srgbClr val="FF0000"/>
                </a:solidFill>
              </a:ln>
              <a:effectLst/>
            </c:spPr>
            <c:extLst>
              <c:ext xmlns:c16="http://schemas.microsoft.com/office/drawing/2014/chart" uri="{C3380CC4-5D6E-409C-BE32-E72D297353CC}">
                <c16:uniqueId val="{0000001D-5DE9-466B-89C9-261FB6AFDA3D}"/>
              </c:ext>
            </c:extLst>
          </c:dPt>
          <c:dPt>
            <c:idx val="15"/>
            <c:invertIfNegative val="0"/>
            <c:bubble3D val="0"/>
            <c:spPr>
              <a:noFill/>
              <a:ln>
                <a:solidFill>
                  <a:srgbClr val="FF0000"/>
                </a:solidFill>
              </a:ln>
              <a:effectLst/>
            </c:spPr>
            <c:extLst>
              <c:ext xmlns:c16="http://schemas.microsoft.com/office/drawing/2014/chart" uri="{C3380CC4-5D6E-409C-BE32-E72D297353CC}">
                <c16:uniqueId val="{0000001F-5DE9-466B-89C9-261FB6AFDA3D}"/>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21-5DE9-466B-89C9-261FB6AFDA3D}"/>
              </c:ext>
            </c:extLst>
          </c:dPt>
          <c:dPt>
            <c:idx val="17"/>
            <c:invertIfNegative val="0"/>
            <c:bubble3D val="0"/>
            <c:spPr>
              <a:noFill/>
              <a:ln>
                <a:solidFill>
                  <a:srgbClr val="FF0000"/>
                </a:solidFill>
              </a:ln>
              <a:effectLst/>
            </c:spPr>
            <c:extLst>
              <c:ext xmlns:c16="http://schemas.microsoft.com/office/drawing/2014/chart" uri="{C3380CC4-5D6E-409C-BE32-E72D297353CC}">
                <c16:uniqueId val="{00000023-5DE9-466B-89C9-261FB6AFDA3D}"/>
              </c:ext>
            </c:extLst>
          </c:dPt>
          <c:dPt>
            <c:idx val="18"/>
            <c:invertIfNegative val="0"/>
            <c:bubble3D val="0"/>
            <c:spPr>
              <a:noFill/>
              <a:ln>
                <a:solidFill>
                  <a:srgbClr val="FF0000"/>
                </a:solidFill>
              </a:ln>
              <a:effectLst/>
            </c:spPr>
            <c:extLst>
              <c:ext xmlns:c16="http://schemas.microsoft.com/office/drawing/2014/chart" uri="{C3380CC4-5D6E-409C-BE32-E72D297353CC}">
                <c16:uniqueId val="{00000025-5DE9-466B-89C9-261FB6AFDA3D}"/>
              </c:ext>
            </c:extLst>
          </c:dPt>
          <c:dLbls>
            <c:dLbl>
              <c:idx val="0"/>
              <c:layout>
                <c:manualLayout>
                  <c:x val="4.5637510342522421E-3"/>
                  <c:y val="-2.2276016809258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9-466B-89C9-261FB6AFDA3D}"/>
                </c:ext>
              </c:extLst>
            </c:dLbl>
            <c:dLbl>
              <c:idx val="2"/>
              <c:layout>
                <c:manualLayout>
                  <c:x val="8.5013885261219797E-3"/>
                  <c:y val="-2.5563379351635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E9-466B-89C9-261FB6AFDA3D}"/>
                </c:ext>
              </c:extLst>
            </c:dLbl>
            <c:dLbl>
              <c:idx val="7"/>
              <c:layout>
                <c:manualLayout>
                  <c:x val="0.16144745998608212"/>
                  <c:y val="-6.40613289033389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E9-466B-89C9-261FB6AFDA3D}"/>
                </c:ext>
              </c:extLst>
            </c:dLbl>
            <c:dLbl>
              <c:idx val="8"/>
              <c:layout>
                <c:manualLayout>
                  <c:x val="4.5292960509372655E-2"/>
                  <c:y val="6.049710965520789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DE9-466B-89C9-261FB6AFDA3D}"/>
                </c:ext>
              </c:extLst>
            </c:dLbl>
            <c:dLbl>
              <c:idx val="9"/>
              <c:layout>
                <c:manualLayout>
                  <c:x val="0.18083695810873965"/>
                  <c:y val="-3.49429466974237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DE9-466B-89C9-261FB6AFDA3D}"/>
                </c:ext>
              </c:extLst>
            </c:dLbl>
            <c:dLbl>
              <c:idx val="10"/>
              <c:layout>
                <c:manualLayout>
                  <c:x val="0.22546994778053589"/>
                  <c:y val="-2.76869654998614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DE9-466B-89C9-261FB6AFDA3D}"/>
                </c:ext>
              </c:extLst>
            </c:dLbl>
            <c:dLbl>
              <c:idx val="11"/>
              <c:layout>
                <c:manualLayout>
                  <c:x val="0.25887265135699372"/>
                  <c:y val="-5.53739309997218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DE9-466B-89C9-261FB6AFDA3D}"/>
                </c:ext>
              </c:extLst>
            </c:dLbl>
            <c:dLbl>
              <c:idx val="12"/>
              <c:layout>
                <c:manualLayout>
                  <c:x val="0.2282535246768475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DE9-466B-89C9-261FB6AFDA3D}"/>
                </c:ext>
              </c:extLst>
            </c:dLbl>
            <c:dLbl>
              <c:idx val="13"/>
              <c:layout>
                <c:manualLayout>
                  <c:x val="0.21433542101600567"/>
                  <c:y val="-2.76869654998614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DE9-466B-89C9-261FB6AFDA3D}"/>
                </c:ext>
              </c:extLst>
            </c:dLbl>
            <c:dLbl>
              <c:idx val="14"/>
              <c:layout>
                <c:manualLayout>
                  <c:x val="-6.50195343536129E-3"/>
                  <c:y val="2.7686965499860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DE9-466B-89C9-261FB6AFDA3D}"/>
                </c:ext>
              </c:extLst>
            </c:dLbl>
            <c:dLbl>
              <c:idx val="15"/>
              <c:layout>
                <c:manualLayout>
                  <c:x val="0.19703129353423104"/>
                  <c:y val="-3.2030664451669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DE9-466B-89C9-261FB6AFDA3D}"/>
                </c:ext>
              </c:extLst>
            </c:dLbl>
            <c:dLbl>
              <c:idx val="16"/>
              <c:layout>
                <c:manualLayout>
                  <c:x val="-8.0971677127456426E-3"/>
                  <c:y val="-2.25676867495748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DE9-466B-89C9-261FB6AFDA3D}"/>
                </c:ext>
              </c:extLst>
            </c:dLbl>
            <c:dLbl>
              <c:idx val="17"/>
              <c:layout>
                <c:manualLayout>
                  <c:x val="9.1858037578288101E-2"/>
                  <c:y val="-1.268971259479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5DE9-466B-89C9-261FB6AFDA3D}"/>
                </c:ext>
              </c:extLst>
            </c:dLbl>
            <c:dLbl>
              <c:idx val="18"/>
              <c:layout>
                <c:manualLayout>
                  <c:x val="-3.6988695828470293E-3"/>
                  <c:y val="2.3049943797640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DE9-466B-89C9-261FB6AFDA3D}"/>
                </c:ext>
              </c:extLst>
            </c:dLbl>
            <c:numFmt formatCode="#,##0.0" sourceLinked="0"/>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Sheet1!$D$31:$D$49</c:f>
              <c:strCache>
                <c:ptCount val="19"/>
                <c:pt idx="0">
                  <c:v>Planned fiscal result for 2024</c:v>
                </c:pt>
                <c:pt idx="1">
                  <c:v>Base effect</c:v>
                </c:pt>
                <c:pt idx="2">
                  <c:v>Personal consumption trends</c:v>
                </c:pt>
                <c:pt idx="3">
                  <c:v>Labour market trends</c:v>
                </c:pt>
                <c:pt idx="4">
                  <c:v>Profitability in economy</c:v>
                </c:pt>
                <c:pt idx="5">
                  <c:v>Excises products consumption</c:v>
                </c:pt>
                <c:pt idx="6">
                  <c:v>One off revenues</c:v>
                </c:pt>
                <c:pt idx="7">
                  <c:v>Other reveneus</c:v>
                </c:pt>
                <c:pt idx="8">
                  <c:v>Wages</c:v>
                </c:pt>
                <c:pt idx="9">
                  <c:v>Social benfits policy</c:v>
                </c:pt>
                <c:pt idx="10">
                  <c:v>Health care expenditures</c:v>
                </c:pt>
                <c:pt idx="11">
                  <c:v>Subsidies in agriculture</c:v>
                </c:pt>
                <c:pt idx="12">
                  <c:v>Subsides in energy sector</c:v>
                </c:pt>
                <c:pt idx="13">
                  <c:v>Goods and services</c:v>
                </c:pt>
                <c:pt idx="14">
                  <c:v>Capital expenditures</c:v>
                </c:pt>
                <c:pt idx="15">
                  <c:v>One off exp.</c:v>
                </c:pt>
                <c:pt idx="16">
                  <c:v>Energy exp.</c:v>
                </c:pt>
                <c:pt idx="17">
                  <c:v>Other exp.</c:v>
                </c:pt>
                <c:pt idx="18">
                  <c:v>Projected fiscal result for 2024</c:v>
                </c:pt>
              </c:strCache>
            </c:strRef>
          </c:cat>
          <c:val>
            <c:numRef>
              <c:f>Sheet1!$F$31:$F$49</c:f>
              <c:numCache>
                <c:formatCode>0.000</c:formatCode>
                <c:ptCount val="19"/>
                <c:pt idx="0" formatCode="0.00">
                  <c:v>-2.0506767969796607</c:v>
                </c:pt>
                <c:pt idx="1">
                  <c:v>0.3854130760220576</c:v>
                </c:pt>
                <c:pt idx="2">
                  <c:v>0.31944273415566754</c:v>
                </c:pt>
                <c:pt idx="3">
                  <c:v>0.3301632288663689</c:v>
                </c:pt>
                <c:pt idx="4">
                  <c:v>0.36681405358667685</c:v>
                </c:pt>
                <c:pt idx="5">
                  <c:v>7.3362810717335358E-2</c:v>
                </c:pt>
                <c:pt idx="6">
                  <c:v>0.29448452189352931</c:v>
                </c:pt>
                <c:pt idx="7">
                  <c:v>-5.4199313026375082E-2</c:v>
                </c:pt>
                <c:pt idx="8">
                  <c:v>-0.21388875800687915</c:v>
                </c:pt>
                <c:pt idx="9">
                  <c:v>-0.16945775996680279</c:v>
                </c:pt>
                <c:pt idx="10">
                  <c:v>-0.1549918536281733</c:v>
                </c:pt>
                <c:pt idx="11">
                  <c:v>-0.1818571082570567</c:v>
                </c:pt>
                <c:pt idx="12">
                  <c:v>-0.13329299412022905</c:v>
                </c:pt>
                <c:pt idx="13">
                  <c:v>-0.19735629361987403</c:v>
                </c:pt>
                <c:pt idx="14">
                  <c:v>-1.1479729958726701</c:v>
                </c:pt>
                <c:pt idx="15">
                  <c:v>-0.10332790241878222</c:v>
                </c:pt>
                <c:pt idx="16">
                  <c:v>0.27691877848233631</c:v>
                </c:pt>
                <c:pt idx="17">
                  <c:v>-0.3726004161221329</c:v>
                </c:pt>
                <c:pt idx="18" formatCode="0.00">
                  <c:v>-2.7382194826670316</c:v>
                </c:pt>
              </c:numCache>
            </c:numRef>
          </c:val>
          <c:extLst>
            <c:ext xmlns:c16="http://schemas.microsoft.com/office/drawing/2014/chart" uri="{C3380CC4-5D6E-409C-BE32-E72D297353CC}">
              <c16:uniqueId val="{00000026-5DE9-466B-89C9-261FB6AFDA3D}"/>
            </c:ext>
          </c:extLst>
        </c:ser>
        <c:dLbls>
          <c:showLegendKey val="0"/>
          <c:showVal val="0"/>
          <c:showCatName val="0"/>
          <c:showSerName val="0"/>
          <c:showPercent val="0"/>
          <c:showBubbleSize val="0"/>
        </c:dLbls>
        <c:gapWidth val="80"/>
        <c:axId val="1145657328"/>
        <c:axId val="1145632752"/>
      </c:barChart>
      <c:catAx>
        <c:axId val="1145657328"/>
        <c:scaling>
          <c:orientation val="minMax"/>
        </c:scaling>
        <c:delete val="0"/>
        <c:axPos val="l"/>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5632752"/>
        <c:crosses val="autoZero"/>
        <c:auto val="1"/>
        <c:lblAlgn val="ctr"/>
        <c:lblOffset val="100"/>
        <c:noMultiLvlLbl val="0"/>
      </c:catAx>
      <c:valAx>
        <c:axId val="1145632752"/>
        <c:scaling>
          <c:orientation val="minMax"/>
          <c:min val="-3.5"/>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565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40844386366404E-2"/>
          <c:y val="0.15259895088221268"/>
          <c:w val="0.86641860561776107"/>
          <c:h val="0.61543755201331529"/>
        </c:manualLayout>
      </c:layout>
      <c:barChart>
        <c:barDir val="col"/>
        <c:grouping val="clustered"/>
        <c:varyColors val="0"/>
        <c:ser>
          <c:idx val="0"/>
          <c:order val="0"/>
          <c:tx>
            <c:strRef>
              <c:f>'S0 EU Serbia'!$AJ$40</c:f>
              <c:strCache>
                <c:ptCount val="1"/>
                <c:pt idx="0">
                  <c:v>Fiscal sub-index  values</c:v>
                </c:pt>
              </c:strCache>
            </c:strRef>
          </c:tx>
          <c:spPr>
            <a:solidFill>
              <a:srgbClr val="7030A0"/>
            </a:solidFill>
            <a:ln w="9525">
              <a:noFill/>
            </a:ln>
            <a:effectLst/>
          </c:spPr>
          <c:invertIfNegative val="0"/>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Serbia'!$AJ$41:$AJ$51</c:f>
              <c:numCache>
                <c:formatCode>0.00</c:formatCode>
                <c:ptCount val="9"/>
                <c:pt idx="0">
                  <c:v>0.40718562874251496</c:v>
                </c:pt>
                <c:pt idx="1">
                  <c:v>0.19161676646706588</c:v>
                </c:pt>
                <c:pt idx="2">
                  <c:v>0</c:v>
                </c:pt>
                <c:pt idx="3">
                  <c:v>0</c:v>
                </c:pt>
                <c:pt idx="4">
                  <c:v>0</c:v>
                </c:pt>
                <c:pt idx="5">
                  <c:v>0.47904191616766456</c:v>
                </c:pt>
                <c:pt idx="6">
                  <c:v>0.21560000000000001</c:v>
                </c:pt>
                <c:pt idx="7">
                  <c:v>0.21556886227544908</c:v>
                </c:pt>
                <c:pt idx="8">
                  <c:v>7.7844311377245498E-2</c:v>
                </c:pt>
              </c:numCache>
              <c:extLst/>
            </c:numRef>
          </c:val>
          <c:extLst>
            <c:ext xmlns:c16="http://schemas.microsoft.com/office/drawing/2014/chart" uri="{C3380CC4-5D6E-409C-BE32-E72D297353CC}">
              <c16:uniqueId val="{00000000-DCBF-4C24-B130-9B5ED706DA9D}"/>
            </c:ext>
          </c:extLst>
        </c:ser>
        <c:ser>
          <c:idx val="1"/>
          <c:order val="1"/>
          <c:tx>
            <c:strRef>
              <c:f>'S0 EU Serbia'!$AK$40</c:f>
              <c:strCache>
                <c:ptCount val="1"/>
                <c:pt idx="0">
                  <c:v>Macro-financial competitiveness sub-index values</c:v>
                </c:pt>
              </c:strCache>
            </c:strRef>
          </c:tx>
          <c:spPr>
            <a:solidFill>
              <a:srgbClr val="5297AC"/>
            </a:solidFill>
            <a:ln w="9525">
              <a:noFill/>
            </a:ln>
            <a:effectLst/>
          </c:spPr>
          <c:invertIfNegative val="0"/>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Serbia'!$AK$41:$AK$51</c:f>
              <c:numCache>
                <c:formatCode>0.00</c:formatCode>
                <c:ptCount val="9"/>
                <c:pt idx="0">
                  <c:v>0.27243589743589747</c:v>
                </c:pt>
                <c:pt idx="1">
                  <c:v>0.27243589743589747</c:v>
                </c:pt>
                <c:pt idx="2">
                  <c:v>0.27243589743589747</c:v>
                </c:pt>
                <c:pt idx="3">
                  <c:v>0.27243589743589747</c:v>
                </c:pt>
                <c:pt idx="4">
                  <c:v>0.27243589743589747</c:v>
                </c:pt>
                <c:pt idx="5">
                  <c:v>0.42307692307692302</c:v>
                </c:pt>
                <c:pt idx="6">
                  <c:v>0.27239999999999998</c:v>
                </c:pt>
                <c:pt idx="7">
                  <c:v>0.27243589743589747</c:v>
                </c:pt>
                <c:pt idx="8">
                  <c:v>0.27243589743589747</c:v>
                </c:pt>
              </c:numCache>
              <c:extLst/>
            </c:numRef>
          </c:val>
          <c:extLst>
            <c:ext xmlns:c16="http://schemas.microsoft.com/office/drawing/2014/chart" uri="{C3380CC4-5D6E-409C-BE32-E72D297353CC}">
              <c16:uniqueId val="{00000001-DCBF-4C24-B130-9B5ED706DA9D}"/>
            </c:ext>
          </c:extLst>
        </c:ser>
        <c:dLbls>
          <c:showLegendKey val="0"/>
          <c:showVal val="0"/>
          <c:showCatName val="0"/>
          <c:showSerName val="0"/>
          <c:showPercent val="0"/>
          <c:showBubbleSize val="0"/>
        </c:dLbls>
        <c:gapWidth val="150"/>
        <c:axId val="-486950640"/>
        <c:axId val="-486941936"/>
      </c:barChart>
      <c:lineChart>
        <c:grouping val="standard"/>
        <c:varyColors val="0"/>
        <c:ser>
          <c:idx val="2"/>
          <c:order val="2"/>
          <c:tx>
            <c:strRef>
              <c:f>'S0 EU Serbia'!$AL$40</c:f>
              <c:strCache>
                <c:ptCount val="1"/>
                <c:pt idx="0">
                  <c:v>S0 indicator</c:v>
                </c:pt>
              </c:strCache>
            </c:strRef>
          </c:tx>
          <c:spPr>
            <a:ln w="22225" cap="rnd">
              <a:noFill/>
              <a:prstDash val="solid"/>
              <a:round/>
            </a:ln>
            <a:effectLst/>
          </c:spPr>
          <c:marker>
            <c:symbol val="triangle"/>
            <c:size val="16"/>
            <c:spPr>
              <a:solidFill>
                <a:schemeClr val="tx1"/>
              </a:solidFill>
              <a:ln w="9525">
                <a:noFill/>
              </a:ln>
              <a:effectLst/>
            </c:spPr>
          </c:marker>
          <c:dPt>
            <c:idx val="0"/>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3-DCBF-4C24-B130-9B5ED706DA9D}"/>
              </c:ext>
            </c:extLst>
          </c:dPt>
          <c:dPt>
            <c:idx val="1"/>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5-DCBF-4C24-B130-9B5ED706DA9D}"/>
              </c:ext>
            </c:extLst>
          </c:dPt>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Serbia'!$AL$41:$AL$51</c:f>
              <c:numCache>
                <c:formatCode>0.00</c:formatCode>
                <c:ptCount val="9"/>
                <c:pt idx="0">
                  <c:v>0.31941544885177453</c:v>
                </c:pt>
                <c:pt idx="1">
                  <c:v>0.24425887265135704</c:v>
                </c:pt>
                <c:pt idx="2">
                  <c:v>0.17745302713987476</c:v>
                </c:pt>
                <c:pt idx="3">
                  <c:v>0.17745302713987476</c:v>
                </c:pt>
                <c:pt idx="4">
                  <c:v>0.17745302713987476</c:v>
                </c:pt>
                <c:pt idx="5">
                  <c:v>0.4425887265135699</c:v>
                </c:pt>
                <c:pt idx="6">
                  <c:v>0.25259999999999999</c:v>
                </c:pt>
                <c:pt idx="7">
                  <c:v>0.25260960334029231</c:v>
                </c:pt>
                <c:pt idx="8">
                  <c:v>0.20459290187891443</c:v>
                </c:pt>
              </c:numCache>
              <c:extLst/>
            </c:numRef>
          </c:val>
          <c:smooth val="0"/>
          <c:extLst>
            <c:ext xmlns:c16="http://schemas.microsoft.com/office/drawing/2014/chart" uri="{C3380CC4-5D6E-409C-BE32-E72D297353CC}">
              <c16:uniqueId val="{00000006-DCBF-4C24-B130-9B5ED706DA9D}"/>
            </c:ext>
          </c:extLst>
        </c:ser>
        <c:ser>
          <c:idx val="3"/>
          <c:order val="3"/>
          <c:tx>
            <c:strRef>
              <c:f>'S0 EU Serbia'!$AM$40</c:f>
              <c:strCache>
                <c:ptCount val="1"/>
                <c:pt idx="0">
                  <c:v>Fiscal sub-index treshold</c:v>
                </c:pt>
              </c:strCache>
            </c:strRef>
          </c:tx>
          <c:spPr>
            <a:ln w="22225" cap="rnd">
              <a:solidFill>
                <a:srgbClr val="7030A0"/>
              </a:solidFill>
              <a:prstDash val="dash"/>
              <a:round/>
            </a:ln>
            <a:effectLst/>
          </c:spPr>
          <c:marker>
            <c:symbol val="none"/>
          </c:marker>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Serbia'!$AM$41:$AM$51</c:f>
              <c:numCache>
                <c:formatCode>General</c:formatCode>
                <c:ptCount val="9"/>
                <c:pt idx="0">
                  <c:v>0.36</c:v>
                </c:pt>
                <c:pt idx="1">
                  <c:v>0.36</c:v>
                </c:pt>
                <c:pt idx="2">
                  <c:v>0.36</c:v>
                </c:pt>
                <c:pt idx="3">
                  <c:v>0.36</c:v>
                </c:pt>
                <c:pt idx="4">
                  <c:v>0.36</c:v>
                </c:pt>
                <c:pt idx="5">
                  <c:v>0.36</c:v>
                </c:pt>
                <c:pt idx="6">
                  <c:v>0.36</c:v>
                </c:pt>
                <c:pt idx="7">
                  <c:v>0.36</c:v>
                </c:pt>
                <c:pt idx="8">
                  <c:v>0.36</c:v>
                </c:pt>
              </c:numCache>
              <c:extLst/>
            </c:numRef>
          </c:val>
          <c:smooth val="0"/>
          <c:extLst>
            <c:ext xmlns:c16="http://schemas.microsoft.com/office/drawing/2014/chart" uri="{C3380CC4-5D6E-409C-BE32-E72D297353CC}">
              <c16:uniqueId val="{00000007-DCBF-4C24-B130-9B5ED706DA9D}"/>
            </c:ext>
          </c:extLst>
        </c:ser>
        <c:ser>
          <c:idx val="4"/>
          <c:order val="4"/>
          <c:tx>
            <c:strRef>
              <c:f>'S0 EU Serbia'!$AN$40</c:f>
              <c:strCache>
                <c:ptCount val="1"/>
                <c:pt idx="0">
                  <c:v>Financial sub-index treshold</c:v>
                </c:pt>
              </c:strCache>
            </c:strRef>
          </c:tx>
          <c:spPr>
            <a:ln w="22225" cap="rnd">
              <a:solidFill>
                <a:srgbClr val="5297AC"/>
              </a:solidFill>
              <a:prstDash val="dash"/>
              <a:round/>
            </a:ln>
            <a:effectLst/>
          </c:spPr>
          <c:marker>
            <c:symbol val="none"/>
          </c:marker>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Serbia'!$AN$41:$AN$51</c:f>
              <c:numCache>
                <c:formatCode>General</c:formatCode>
                <c:ptCount val="9"/>
                <c:pt idx="0">
                  <c:v>0.49</c:v>
                </c:pt>
                <c:pt idx="1">
                  <c:v>0.49</c:v>
                </c:pt>
                <c:pt idx="2">
                  <c:v>0.49</c:v>
                </c:pt>
                <c:pt idx="3">
                  <c:v>0.49</c:v>
                </c:pt>
                <c:pt idx="4">
                  <c:v>0.49</c:v>
                </c:pt>
                <c:pt idx="5">
                  <c:v>0.49</c:v>
                </c:pt>
                <c:pt idx="6">
                  <c:v>0.49</c:v>
                </c:pt>
                <c:pt idx="7">
                  <c:v>0.49</c:v>
                </c:pt>
                <c:pt idx="8">
                  <c:v>0.49</c:v>
                </c:pt>
              </c:numCache>
              <c:extLst/>
            </c:numRef>
          </c:val>
          <c:smooth val="0"/>
          <c:extLst>
            <c:ext xmlns:c16="http://schemas.microsoft.com/office/drawing/2014/chart" uri="{C3380CC4-5D6E-409C-BE32-E72D297353CC}">
              <c16:uniqueId val="{00000008-DCBF-4C24-B130-9B5ED706DA9D}"/>
            </c:ext>
          </c:extLst>
        </c:ser>
        <c:ser>
          <c:idx val="5"/>
          <c:order val="5"/>
          <c:tx>
            <c:strRef>
              <c:f>'S0 EU Serbia'!$AO$40</c:f>
              <c:strCache>
                <c:ptCount val="1"/>
                <c:pt idx="0">
                  <c:v>S0 treshold</c:v>
                </c:pt>
              </c:strCache>
            </c:strRef>
          </c:tx>
          <c:spPr>
            <a:ln w="22225" cap="rnd">
              <a:solidFill>
                <a:schemeClr val="tx1"/>
              </a:solidFill>
              <a:prstDash val="dash"/>
              <a:round/>
            </a:ln>
            <a:effectLst/>
          </c:spPr>
          <c:marker>
            <c:symbol val="none"/>
          </c:marker>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Serbia'!$AO$41:$AO$51</c:f>
              <c:numCache>
                <c:formatCode>General</c:formatCode>
                <c:ptCount val="9"/>
                <c:pt idx="0">
                  <c:v>0.46</c:v>
                </c:pt>
                <c:pt idx="1">
                  <c:v>0.46</c:v>
                </c:pt>
                <c:pt idx="2">
                  <c:v>0.46</c:v>
                </c:pt>
                <c:pt idx="3">
                  <c:v>0.46</c:v>
                </c:pt>
                <c:pt idx="4">
                  <c:v>0.46</c:v>
                </c:pt>
                <c:pt idx="5">
                  <c:v>0.46</c:v>
                </c:pt>
                <c:pt idx="6">
                  <c:v>0.46</c:v>
                </c:pt>
                <c:pt idx="7">
                  <c:v>0.46</c:v>
                </c:pt>
                <c:pt idx="8">
                  <c:v>0.46</c:v>
                </c:pt>
              </c:numCache>
              <c:extLst/>
            </c:numRef>
          </c:val>
          <c:smooth val="0"/>
          <c:extLst>
            <c:ext xmlns:c16="http://schemas.microsoft.com/office/drawing/2014/chart" uri="{C3380CC4-5D6E-409C-BE32-E72D297353CC}">
              <c16:uniqueId val="{00000009-DCBF-4C24-B130-9B5ED706DA9D}"/>
            </c:ext>
          </c:extLst>
        </c:ser>
        <c:dLbls>
          <c:showLegendKey val="0"/>
          <c:showVal val="0"/>
          <c:showCatName val="0"/>
          <c:showSerName val="0"/>
          <c:showPercent val="0"/>
          <c:showBubbleSize val="0"/>
        </c:dLbls>
        <c:marker val="1"/>
        <c:smooth val="0"/>
        <c:axId val="-486950640"/>
        <c:axId val="-486941936"/>
      </c:lineChart>
      <c:catAx>
        <c:axId val="-48695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6941936"/>
        <c:crosses val="autoZero"/>
        <c:auto val="1"/>
        <c:lblAlgn val="ctr"/>
        <c:lblOffset val="100"/>
        <c:noMultiLvlLbl val="0"/>
      </c:catAx>
      <c:valAx>
        <c:axId val="-486941936"/>
        <c:scaling>
          <c:orientation val="minMax"/>
          <c:max val="0.70000000000000007"/>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6950640"/>
        <c:crosses val="autoZero"/>
        <c:crossBetween val="between"/>
      </c:valAx>
      <c:spPr>
        <a:noFill/>
        <a:ln>
          <a:noFill/>
        </a:ln>
        <a:effectLst/>
      </c:spPr>
    </c:plotArea>
    <c:legend>
      <c:legendPos val="b"/>
      <c:layout>
        <c:manualLayout>
          <c:xMode val="edge"/>
          <c:yMode val="edge"/>
          <c:x val="4.5648903112064845E-3"/>
          <c:y val="0.84407272261698996"/>
          <c:w val="0.97889544009348761"/>
          <c:h val="0.153438960373855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40553174856415E-2"/>
          <c:y val="0.13775301764159703"/>
          <c:w val="0.9161325061640021"/>
          <c:h val="0.4716665570007092"/>
        </c:manualLayout>
      </c:layout>
      <c:barChart>
        <c:barDir val="col"/>
        <c:grouping val="clustered"/>
        <c:varyColors val="0"/>
        <c:ser>
          <c:idx val="13"/>
          <c:order val="5"/>
          <c:tx>
            <c:strRef>
              <c:f>'S0 EU Serbia'!$AD$2</c:f>
              <c:strCache>
                <c:ptCount val="1"/>
                <c:pt idx="0">
                  <c:v>S0 2022</c:v>
                </c:pt>
              </c:strCache>
            </c:strRef>
          </c:tx>
          <c:spPr>
            <a:solidFill>
              <a:srgbClr val="7030A0"/>
            </a:solidFill>
            <a:ln>
              <a:noFill/>
            </a:ln>
            <a:effectLst/>
          </c:spPr>
          <c:invertIfNegative val="0"/>
          <c:cat>
            <c:strRef>
              <c:f>'S0 EU Serbia'!$B$3:$B$29</c:f>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f>'S0 EU Serbia'!$AD$3:$AD$29</c:f>
              <c:numCache>
                <c:formatCode>0.00</c:formatCode>
                <c:ptCount val="27"/>
                <c:pt idx="0">
                  <c:v>0.2</c:v>
                </c:pt>
                <c:pt idx="1">
                  <c:v>0.3</c:v>
                </c:pt>
                <c:pt idx="2">
                  <c:v>0.3</c:v>
                </c:pt>
                <c:pt idx="3">
                  <c:v>0.2</c:v>
                </c:pt>
                <c:pt idx="4">
                  <c:v>0.3</c:v>
                </c:pt>
                <c:pt idx="5">
                  <c:v>0.3</c:v>
                </c:pt>
                <c:pt idx="6">
                  <c:v>0.2</c:v>
                </c:pt>
                <c:pt idx="7">
                  <c:v>0.1</c:v>
                </c:pt>
                <c:pt idx="8">
                  <c:v>0.2</c:v>
                </c:pt>
                <c:pt idx="9">
                  <c:v>0.3</c:v>
                </c:pt>
                <c:pt idx="10">
                  <c:v>0.2</c:v>
                </c:pt>
                <c:pt idx="11">
                  <c:v>0.4</c:v>
                </c:pt>
                <c:pt idx="12">
                  <c:v>0.2</c:v>
                </c:pt>
                <c:pt idx="13">
                  <c:v>0.3</c:v>
                </c:pt>
                <c:pt idx="14">
                  <c:v>0.2</c:v>
                </c:pt>
                <c:pt idx="15">
                  <c:v>0.3</c:v>
                </c:pt>
                <c:pt idx="16">
                  <c:v>0.2</c:v>
                </c:pt>
                <c:pt idx="17">
                  <c:v>0.2</c:v>
                </c:pt>
                <c:pt idx="18">
                  <c:v>0.2</c:v>
                </c:pt>
                <c:pt idx="19">
                  <c:v>0.3</c:v>
                </c:pt>
                <c:pt idx="20">
                  <c:v>0.4</c:v>
                </c:pt>
                <c:pt idx="21">
                  <c:v>0.3</c:v>
                </c:pt>
                <c:pt idx="22">
                  <c:v>0.25260960334029231</c:v>
                </c:pt>
                <c:pt idx="23">
                  <c:v>0.3</c:v>
                </c:pt>
                <c:pt idx="24">
                  <c:v>0.2</c:v>
                </c:pt>
                <c:pt idx="25">
                  <c:v>0.3</c:v>
                </c:pt>
                <c:pt idx="26">
                  <c:v>0.2</c:v>
                </c:pt>
              </c:numCache>
            </c:numRef>
          </c:val>
          <c:extLst xmlns:c15="http://schemas.microsoft.com/office/drawing/2012/chart">
            <c:ext xmlns:c16="http://schemas.microsoft.com/office/drawing/2014/chart" uri="{C3380CC4-5D6E-409C-BE32-E72D297353CC}">
              <c16:uniqueId val="{00000000-0D04-4E3C-B8BA-60BE40EE8E8D}"/>
            </c:ext>
          </c:extLst>
        </c:ser>
        <c:ser>
          <c:idx val="16"/>
          <c:order val="8"/>
          <c:tx>
            <c:strRef>
              <c:f>'S0 EU Serbia'!$AG$2</c:f>
              <c:strCache>
                <c:ptCount val="1"/>
                <c:pt idx="0">
                  <c:v>S0 2023</c:v>
                </c:pt>
              </c:strCache>
            </c:strRef>
          </c:tx>
          <c:spPr>
            <a:solidFill>
              <a:srgbClr val="00B0F0"/>
            </a:solidFill>
            <a:ln>
              <a:noFill/>
            </a:ln>
            <a:effectLst/>
          </c:spPr>
          <c:invertIfNegative val="0"/>
          <c:cat>
            <c:strRef>
              <c:f>'S0 EU Serbia'!$B$3:$B$29</c:f>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f>'S0 EU Serbia'!$AG$3:$AG$29</c:f>
              <c:numCache>
                <c:formatCode>0.00</c:formatCode>
                <c:ptCount val="27"/>
                <c:pt idx="0">
                  <c:v>0.09</c:v>
                </c:pt>
                <c:pt idx="1">
                  <c:v>0.27</c:v>
                </c:pt>
                <c:pt idx="2">
                  <c:v>0.21</c:v>
                </c:pt>
                <c:pt idx="3">
                  <c:v>0.24</c:v>
                </c:pt>
                <c:pt idx="4">
                  <c:v>0.21</c:v>
                </c:pt>
                <c:pt idx="5">
                  <c:v>0.32</c:v>
                </c:pt>
                <c:pt idx="6">
                  <c:v>0.27</c:v>
                </c:pt>
                <c:pt idx="7">
                  <c:v>0.3</c:v>
                </c:pt>
                <c:pt idx="8">
                  <c:v>0.2</c:v>
                </c:pt>
                <c:pt idx="9">
                  <c:v>0.38</c:v>
                </c:pt>
                <c:pt idx="10">
                  <c:v>0.16</c:v>
                </c:pt>
                <c:pt idx="11">
                  <c:v>0.46</c:v>
                </c:pt>
                <c:pt idx="12">
                  <c:v>0.13</c:v>
                </c:pt>
                <c:pt idx="13">
                  <c:v>0.35</c:v>
                </c:pt>
                <c:pt idx="14">
                  <c:v>0.31</c:v>
                </c:pt>
                <c:pt idx="15">
                  <c:v>0.27</c:v>
                </c:pt>
                <c:pt idx="16">
                  <c:v>0.19</c:v>
                </c:pt>
                <c:pt idx="17">
                  <c:v>0.17</c:v>
                </c:pt>
                <c:pt idx="18">
                  <c:v>0.12</c:v>
                </c:pt>
                <c:pt idx="19">
                  <c:v>0.39</c:v>
                </c:pt>
                <c:pt idx="20">
                  <c:v>0.32</c:v>
                </c:pt>
                <c:pt idx="21">
                  <c:v>0.31</c:v>
                </c:pt>
                <c:pt idx="22">
                  <c:v>0.20459290187891443</c:v>
                </c:pt>
                <c:pt idx="23">
                  <c:v>0.38</c:v>
                </c:pt>
                <c:pt idx="24">
                  <c:v>0.2</c:v>
                </c:pt>
                <c:pt idx="25">
                  <c:v>0.41</c:v>
                </c:pt>
                <c:pt idx="26">
                  <c:v>0.12</c:v>
                </c:pt>
              </c:numCache>
            </c:numRef>
          </c:val>
          <c:extLst>
            <c:ext xmlns:c16="http://schemas.microsoft.com/office/drawing/2014/chart" uri="{C3380CC4-5D6E-409C-BE32-E72D297353CC}">
              <c16:uniqueId val="{00000001-0D04-4E3C-B8BA-60BE40EE8E8D}"/>
            </c:ext>
          </c:extLst>
        </c:ser>
        <c:dLbls>
          <c:showLegendKey val="0"/>
          <c:showVal val="0"/>
          <c:showCatName val="0"/>
          <c:showSerName val="0"/>
          <c:showPercent val="0"/>
          <c:showBubbleSize val="0"/>
        </c:dLbls>
        <c:gapWidth val="150"/>
        <c:axId val="-262794176"/>
        <c:axId val="-262791456"/>
        <c:extLst>
          <c:ext xmlns:c15="http://schemas.microsoft.com/office/drawing/2012/chart" uri="{02D57815-91ED-43cb-92C2-25804820EDAC}">
            <c15:filteredBarSeries>
              <c15:ser>
                <c:idx val="7"/>
                <c:order val="0"/>
                <c:tx>
                  <c:strRef>
                    <c:extLst>
                      <c:ext uri="{02D57815-91ED-43cb-92C2-25804820EDAC}">
                        <c15:formulaRef>
                          <c15:sqref>'S0 EU Serbia'!$U$2</c15:sqref>
                        </c15:formulaRef>
                      </c:ext>
                    </c:extLst>
                    <c:strCache>
                      <c:ptCount val="1"/>
                      <c:pt idx="0">
                        <c:v>S0 2019</c:v>
                      </c:pt>
                    </c:strCache>
                  </c:strRef>
                </c:tx>
                <c:spPr>
                  <a:solidFill>
                    <a:schemeClr val="accent2">
                      <a:lumMod val="60000"/>
                    </a:schemeClr>
                  </a:solidFill>
                  <a:ln>
                    <a:noFill/>
                  </a:ln>
                  <a:effectLst/>
                </c:spPr>
                <c:invertIfNegative val="0"/>
                <c:cat>
                  <c:strRef>
                    <c:extLst>
                      <c:ex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c:ext uri="{02D57815-91ED-43cb-92C2-25804820EDAC}">
                        <c15:formulaRef>
                          <c15:sqref>'S0 EU Serbia'!$X$3:$X$29</c15:sqref>
                        </c15:formulaRef>
                      </c:ext>
                    </c:extLst>
                    <c:numCache>
                      <c:formatCode>0.00</c:formatCode>
                      <c:ptCount val="27"/>
                      <c:pt idx="0">
                        <c:v>0.4</c:v>
                      </c:pt>
                      <c:pt idx="1">
                        <c:v>0.48</c:v>
                      </c:pt>
                      <c:pt idx="2">
                        <c:v>0.35</c:v>
                      </c:pt>
                      <c:pt idx="3">
                        <c:v>0.37</c:v>
                      </c:pt>
                      <c:pt idx="4">
                        <c:v>0.61</c:v>
                      </c:pt>
                      <c:pt idx="5">
                        <c:v>0.64</c:v>
                      </c:pt>
                      <c:pt idx="6">
                        <c:v>0.41</c:v>
                      </c:pt>
                      <c:pt idx="7">
                        <c:v>0.33</c:v>
                      </c:pt>
                      <c:pt idx="8">
                        <c:v>0.49</c:v>
                      </c:pt>
                      <c:pt idx="9">
                        <c:v>0.55000000000000004</c:v>
                      </c:pt>
                      <c:pt idx="10">
                        <c:v>0.37</c:v>
                      </c:pt>
                      <c:pt idx="11">
                        <c:v>0.46</c:v>
                      </c:pt>
                      <c:pt idx="12">
                        <c:v>0.42</c:v>
                      </c:pt>
                      <c:pt idx="13">
                        <c:v>0.48</c:v>
                      </c:pt>
                      <c:pt idx="14">
                        <c:v>0.48</c:v>
                      </c:pt>
                      <c:pt idx="15">
                        <c:v>0.37</c:v>
                      </c:pt>
                      <c:pt idx="16">
                        <c:v>0.3</c:v>
                      </c:pt>
                      <c:pt idx="17">
                        <c:v>0.28999999999999998</c:v>
                      </c:pt>
                      <c:pt idx="18">
                        <c:v>0.39</c:v>
                      </c:pt>
                      <c:pt idx="19">
                        <c:v>0.45</c:v>
                      </c:pt>
                      <c:pt idx="20">
                        <c:v>0.61</c:v>
                      </c:pt>
                      <c:pt idx="21">
                        <c:v>0.49</c:v>
                      </c:pt>
                      <c:pt idx="22">
                        <c:v>0.4425887265135699</c:v>
                      </c:pt>
                      <c:pt idx="23">
                        <c:v>0.54</c:v>
                      </c:pt>
                      <c:pt idx="24">
                        <c:v>0.43</c:v>
                      </c:pt>
                      <c:pt idx="25">
                        <c:v>0.5</c:v>
                      </c:pt>
                      <c:pt idx="26">
                        <c:v>0.32</c:v>
                      </c:pt>
                    </c:numCache>
                  </c:numRef>
                </c:val>
                <c:extLst>
                  <c:ext xmlns:c16="http://schemas.microsoft.com/office/drawing/2014/chart" uri="{C3380CC4-5D6E-409C-BE32-E72D297353CC}">
                    <c16:uniqueId val="{00000004-0D04-4E3C-B8BA-60BE40EE8E8D}"/>
                  </c:ext>
                </c:extLst>
              </c15:ser>
            </c15:filteredBarSeries>
            <c15:filteredBarSeries>
              <c15:ser>
                <c:idx val="8"/>
                <c:order val="1"/>
                <c:tx>
                  <c:strRef>
                    <c:extLst xmlns:c15="http://schemas.microsoft.com/office/drawing/2012/chart">
                      <c:ext xmlns:c15="http://schemas.microsoft.com/office/drawing/2012/char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Serbia'!$I$3:$I$31</c15:sqref>
                        </c15:formulaRef>
                      </c:ext>
                    </c:extLst>
                    <c:numCache>
                      <c:formatCode>0.00</c:formatCode>
                      <c:ptCount val="29"/>
                      <c:pt idx="0">
                        <c:v>7.0000000000000007E-2</c:v>
                      </c:pt>
                      <c:pt idx="1">
                        <c:v>0.1</c:v>
                      </c:pt>
                      <c:pt idx="2">
                        <c:v>0.21</c:v>
                      </c:pt>
                      <c:pt idx="3">
                        <c:v>0.11</c:v>
                      </c:pt>
                      <c:pt idx="4">
                        <c:v>0.26</c:v>
                      </c:pt>
                      <c:pt idx="6">
                        <c:v>0.25</c:v>
                      </c:pt>
                      <c:pt idx="7">
                        <c:v>0.19</c:v>
                      </c:pt>
                      <c:pt idx="8">
                        <c:v>0.22</c:v>
                      </c:pt>
                      <c:pt idx="9">
                        <c:v>0.17</c:v>
                      </c:pt>
                      <c:pt idx="10">
                        <c:v>0.02</c:v>
                      </c:pt>
                      <c:pt idx="11">
                        <c:v>0.16</c:v>
                      </c:pt>
                      <c:pt idx="12">
                        <c:v>0.38</c:v>
                      </c:pt>
                      <c:pt idx="13">
                        <c:v>0.21</c:v>
                      </c:pt>
                      <c:pt idx="14">
                        <c:v>0.34</c:v>
                      </c:pt>
                      <c:pt idx="15">
                        <c:v>0.18</c:v>
                      </c:pt>
                      <c:pt idx="16">
                        <c:v>0.09</c:v>
                      </c:pt>
                      <c:pt idx="17">
                        <c:v>0.13</c:v>
                      </c:pt>
                      <c:pt idx="18">
                        <c:v>0.19</c:v>
                      </c:pt>
                      <c:pt idx="19">
                        <c:v>0.27</c:v>
                      </c:pt>
                      <c:pt idx="20">
                        <c:v>0.24</c:v>
                      </c:pt>
                      <c:pt idx="21">
                        <c:v>0.14000000000000001</c:v>
                      </c:pt>
                      <c:pt idx="22">
                        <c:v>0.36</c:v>
                      </c:pt>
                      <c:pt idx="23">
                        <c:v>0.21</c:v>
                      </c:pt>
                      <c:pt idx="24">
                        <c:v>0.08</c:v>
                      </c:pt>
                      <c:pt idx="25">
                        <c:v>0.21</c:v>
                      </c:pt>
                      <c:pt idx="26">
                        <c:v>0.15</c:v>
                      </c:pt>
                      <c:pt idx="27">
                        <c:v>0.36</c:v>
                      </c:pt>
                    </c:numCache>
                  </c:numRef>
                </c:val>
                <c:extLst xmlns:c15="http://schemas.microsoft.com/office/drawing/2012/chart">
                  <c:ext xmlns:c16="http://schemas.microsoft.com/office/drawing/2014/chart" uri="{C3380CC4-5D6E-409C-BE32-E72D297353CC}">
                    <c16:uniqueId val="{00000005-0D04-4E3C-B8BA-60BE40EE8E8D}"/>
                  </c:ext>
                </c:extLst>
              </c15:ser>
            </c15:filteredBarSeries>
            <c15:filteredBarSeries>
              <c15:ser>
                <c:idx val="10"/>
                <c:order val="2"/>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07-0D04-4E3C-B8BA-60BE40EE8E8D}"/>
                    </c:ext>
                  </c:extLst>
                </c:dPt>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Serbia'!$L$3:$L$31</c15:sqref>
                        </c15:formulaRef>
                      </c:ext>
                    </c:extLst>
                    <c:numCache>
                      <c:formatCode>0.00</c:formatCode>
                      <c:ptCount val="29"/>
                      <c:pt idx="0">
                        <c:v>0.15</c:v>
                      </c:pt>
                      <c:pt idx="1">
                        <c:v>0.42</c:v>
                      </c:pt>
                      <c:pt idx="2">
                        <c:v>0.28000000000000003</c:v>
                      </c:pt>
                      <c:pt idx="3">
                        <c:v>0.19</c:v>
                      </c:pt>
                      <c:pt idx="4">
                        <c:v>0.18</c:v>
                      </c:pt>
                      <c:pt idx="5">
                        <c:v>0.41</c:v>
                      </c:pt>
                      <c:pt idx="6">
                        <c:v>0.19</c:v>
                      </c:pt>
                      <c:pt idx="7">
                        <c:v>0.25</c:v>
                      </c:pt>
                      <c:pt idx="8">
                        <c:v>0.22</c:v>
                      </c:pt>
                      <c:pt idx="9">
                        <c:v>0.31</c:v>
                      </c:pt>
                      <c:pt idx="10">
                        <c:v>0.08</c:v>
                      </c:pt>
                      <c:pt idx="11">
                        <c:v>0.31</c:v>
                      </c:pt>
                      <c:pt idx="12">
                        <c:v>0.28000000000000003</c:v>
                      </c:pt>
                      <c:pt idx="13">
                        <c:v>0.42</c:v>
                      </c:pt>
                      <c:pt idx="14">
                        <c:v>0.28999999999999998</c:v>
                      </c:pt>
                      <c:pt idx="15">
                        <c:v>0.21</c:v>
                      </c:pt>
                      <c:pt idx="16">
                        <c:v>0.28999999999999998</c:v>
                      </c:pt>
                      <c:pt idx="17">
                        <c:v>0.15</c:v>
                      </c:pt>
                      <c:pt idx="18">
                        <c:v>0.2</c:v>
                      </c:pt>
                      <c:pt idx="19">
                        <c:v>0.28999999999999998</c:v>
                      </c:pt>
                      <c:pt idx="20">
                        <c:v>0.41</c:v>
                      </c:pt>
                      <c:pt idx="21">
                        <c:v>0.26</c:v>
                      </c:pt>
                      <c:pt idx="22">
                        <c:v>0.19161676646706588</c:v>
                      </c:pt>
                      <c:pt idx="23">
                        <c:v>0.34</c:v>
                      </c:pt>
                      <c:pt idx="24">
                        <c:v>0.14000000000000001</c:v>
                      </c:pt>
                      <c:pt idx="25">
                        <c:v>0.37</c:v>
                      </c:pt>
                      <c:pt idx="26">
                        <c:v>0.12</c:v>
                      </c:pt>
                      <c:pt idx="27">
                        <c:v>0.41</c:v>
                      </c:pt>
                    </c:numCache>
                  </c:numRef>
                </c:val>
                <c:extLst xmlns:c15="http://schemas.microsoft.com/office/drawing/2012/chart">
                  <c:ext xmlns:c16="http://schemas.microsoft.com/office/drawing/2014/chart" uri="{C3380CC4-5D6E-409C-BE32-E72D297353CC}">
                    <c16:uniqueId val="{00000008-0D04-4E3C-B8BA-60BE40EE8E8D}"/>
                  </c:ext>
                </c:extLst>
              </c15:ser>
            </c15:filteredBarSeries>
            <c15:filteredBarSeries>
              <c15:ser>
                <c:idx val="11"/>
                <c:order val="3"/>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Serbia'!$O$3:$O$30</c15:sqref>
                        </c15:formulaRef>
                      </c:ext>
                    </c:extLst>
                    <c:numCache>
                      <c:formatCode>0.00</c:formatCode>
                      <c:ptCount val="28"/>
                      <c:pt idx="0">
                        <c:v>7.0000000000000007E-2</c:v>
                      </c:pt>
                      <c:pt idx="1">
                        <c:v>0.35</c:v>
                      </c:pt>
                      <c:pt idx="2">
                        <c:v>0.25</c:v>
                      </c:pt>
                      <c:pt idx="3">
                        <c:v>0.19</c:v>
                      </c:pt>
                      <c:pt idx="4">
                        <c:v>0.2</c:v>
                      </c:pt>
                      <c:pt idx="5">
                        <c:v>0.44</c:v>
                      </c:pt>
                      <c:pt idx="6">
                        <c:v>0.3</c:v>
                      </c:pt>
                      <c:pt idx="7">
                        <c:v>0.2</c:v>
                      </c:pt>
                      <c:pt idx="8">
                        <c:v>0.1</c:v>
                      </c:pt>
                      <c:pt idx="9">
                        <c:v>0.24</c:v>
                      </c:pt>
                      <c:pt idx="10">
                        <c:v>0.08</c:v>
                      </c:pt>
                      <c:pt idx="11">
                        <c:v>0.39</c:v>
                      </c:pt>
                      <c:pt idx="12">
                        <c:v>0.28000000000000003</c:v>
                      </c:pt>
                      <c:pt idx="13">
                        <c:v>0.36</c:v>
                      </c:pt>
                      <c:pt idx="14">
                        <c:v>0.24</c:v>
                      </c:pt>
                      <c:pt idx="15">
                        <c:v>0.21</c:v>
                      </c:pt>
                      <c:pt idx="16">
                        <c:v>0.12</c:v>
                      </c:pt>
                      <c:pt idx="17">
                        <c:v>0.05</c:v>
                      </c:pt>
                      <c:pt idx="18">
                        <c:v>0.2</c:v>
                      </c:pt>
                      <c:pt idx="19">
                        <c:v>0.25</c:v>
                      </c:pt>
                      <c:pt idx="20">
                        <c:v>0.36</c:v>
                      </c:pt>
                      <c:pt idx="21">
                        <c:v>0.2</c:v>
                      </c:pt>
                      <c:pt idx="22">
                        <c:v>0.17745302713987476</c:v>
                      </c:pt>
                      <c:pt idx="23">
                        <c:v>0.3</c:v>
                      </c:pt>
                      <c:pt idx="24">
                        <c:v>0.13</c:v>
                      </c:pt>
                      <c:pt idx="25">
                        <c:v>0.37</c:v>
                      </c:pt>
                      <c:pt idx="26">
                        <c:v>0.12</c:v>
                      </c:pt>
                      <c:pt idx="27">
                        <c:v>0.42</c:v>
                      </c:pt>
                    </c:numCache>
                  </c:numRef>
                </c:val>
                <c:extLst xmlns:c15="http://schemas.microsoft.com/office/drawing/2012/chart">
                  <c:ext xmlns:c16="http://schemas.microsoft.com/office/drawing/2014/chart" uri="{C3380CC4-5D6E-409C-BE32-E72D297353CC}">
                    <c16:uniqueId val="{00000009-0D04-4E3C-B8BA-60BE40EE8E8D}"/>
                  </c:ext>
                </c:extLst>
              </c15:ser>
            </c15:filteredBarSeries>
            <c15:filteredBarSeries>
              <c15:ser>
                <c:idx val="12"/>
                <c:order val="4"/>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Serbia'!$R$3:$R$30</c15:sqref>
                        </c15:formulaRef>
                      </c:ext>
                    </c:extLst>
                    <c:numCache>
                      <c:formatCode>0.00</c:formatCode>
                      <c:ptCount val="28"/>
                      <c:pt idx="0">
                        <c:v>0.03</c:v>
                      </c:pt>
                      <c:pt idx="1">
                        <c:v>0.22</c:v>
                      </c:pt>
                      <c:pt idx="2">
                        <c:v>0.19</c:v>
                      </c:pt>
                      <c:pt idx="3">
                        <c:v>0.18</c:v>
                      </c:pt>
                      <c:pt idx="4">
                        <c:v>0.24</c:v>
                      </c:pt>
                      <c:pt idx="5">
                        <c:v>0.46</c:v>
                      </c:pt>
                      <c:pt idx="6">
                        <c:v>0.12</c:v>
                      </c:pt>
                      <c:pt idx="7">
                        <c:v>0.17</c:v>
                      </c:pt>
                      <c:pt idx="8">
                        <c:v>0.14000000000000001</c:v>
                      </c:pt>
                      <c:pt idx="9">
                        <c:v>0.28999999999999998</c:v>
                      </c:pt>
                      <c:pt idx="10">
                        <c:v>0</c:v>
                      </c:pt>
                      <c:pt idx="11">
                        <c:v>0.34</c:v>
                      </c:pt>
                      <c:pt idx="12">
                        <c:v>0.21</c:v>
                      </c:pt>
                      <c:pt idx="13">
                        <c:v>0.36</c:v>
                      </c:pt>
                      <c:pt idx="14">
                        <c:v>0.24</c:v>
                      </c:pt>
                      <c:pt idx="15">
                        <c:v>0.21</c:v>
                      </c:pt>
                      <c:pt idx="16">
                        <c:v>0.12</c:v>
                      </c:pt>
                      <c:pt idx="17">
                        <c:v>0.06</c:v>
                      </c:pt>
                      <c:pt idx="18">
                        <c:v>0.08</c:v>
                      </c:pt>
                      <c:pt idx="19">
                        <c:v>0.18</c:v>
                      </c:pt>
                      <c:pt idx="20">
                        <c:v>0.33</c:v>
                      </c:pt>
                      <c:pt idx="21">
                        <c:v>0.3</c:v>
                      </c:pt>
                      <c:pt idx="22">
                        <c:v>0.17745302713987476</c:v>
                      </c:pt>
                      <c:pt idx="23">
                        <c:v>0.27</c:v>
                      </c:pt>
                      <c:pt idx="24">
                        <c:v>0.13</c:v>
                      </c:pt>
                      <c:pt idx="25">
                        <c:v>0.37</c:v>
                      </c:pt>
                      <c:pt idx="26">
                        <c:v>0.2</c:v>
                      </c:pt>
                      <c:pt idx="27">
                        <c:v>0.42</c:v>
                      </c:pt>
                    </c:numCache>
                  </c:numRef>
                </c:val>
                <c:extLst xmlns:c15="http://schemas.microsoft.com/office/drawing/2012/chart">
                  <c:ext xmlns:c16="http://schemas.microsoft.com/office/drawing/2014/chart" uri="{C3380CC4-5D6E-409C-BE32-E72D297353CC}">
                    <c16:uniqueId val="{0000000A-0D04-4E3C-B8BA-60BE40EE8E8D}"/>
                  </c:ext>
                </c:extLst>
              </c15:ser>
            </c15:filteredBarSeries>
            <c15:filteredBarSeries>
              <c15:ser>
                <c:idx val="14"/>
                <c:order val="6"/>
                <c:tx>
                  <c:strRef>
                    <c:extLst xmlns:c15="http://schemas.microsoft.com/office/drawing/2012/chart">
                      <c:ext xmlns:c15="http://schemas.microsoft.com/office/drawing/2012/chart" uri="{02D57815-91ED-43cb-92C2-25804820EDAC}">
                        <c15:formulaRef>
                          <c15:sqref>'S0 EU Serbia'!$F$2</c15:sqref>
                        </c15:formulaRef>
                      </c:ext>
                    </c:extLst>
                    <c:strCache>
                      <c:ptCount val="1"/>
                      <c:pt idx="0">
                        <c:v>S0
2014</c:v>
                      </c:pt>
                    </c:strCache>
                  </c:strRef>
                </c:tx>
                <c:spPr>
                  <a:solidFill>
                    <a:schemeClr val="tx1"/>
                  </a:solidFill>
                  <a:ln w="6350">
                    <a:solidFill>
                      <a:schemeClr val="tx1"/>
                    </a:solid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Serbia'!$F$3:$F$31</c15:sqref>
                        </c15:formulaRef>
                      </c:ext>
                    </c:extLst>
                  </c:numRef>
                </c:val>
                <c:extLst xmlns:c15="http://schemas.microsoft.com/office/drawing/2012/chart">
                  <c:ext xmlns:c16="http://schemas.microsoft.com/office/drawing/2014/chart" uri="{C3380CC4-5D6E-409C-BE32-E72D297353CC}">
                    <c16:uniqueId val="{0000000B-0D04-4E3C-B8BA-60BE40EE8E8D}"/>
                  </c:ext>
                </c:extLst>
              </c15:ser>
            </c15:filteredBarSeries>
            <c15:filteredBarSeries>
              <c15:ser>
                <c:idx val="15"/>
                <c:order val="7"/>
                <c:tx>
                  <c:strRef>
                    <c:extLst xmlns:c15="http://schemas.microsoft.com/office/drawing/2012/chart">
                      <c:ext xmlns:c15="http://schemas.microsoft.com/office/drawing/2012/chart" uri="{02D57815-91ED-43cb-92C2-25804820EDAC}">
                        <c15:formulaRef>
                          <c15:sqref>'S0 EU Serbia'!$E$2</c15:sqref>
                        </c15:formulaRef>
                      </c:ext>
                    </c:extLst>
                    <c:strCache>
                      <c:ptCount val="1"/>
                      <c:pt idx="0">
                        <c:v>Тreshold</c:v>
                      </c:pt>
                    </c:strCache>
                  </c:strRef>
                </c:tx>
                <c:spPr>
                  <a:solidFill>
                    <a:schemeClr val="accent4">
                      <a:lumMod val="80000"/>
                      <a:lumOff val="20000"/>
                    </a:schemeClr>
                  </a:solidFill>
                  <a:ln w="22225">
                    <a:solidFill>
                      <a:schemeClr val="tx1"/>
                    </a:solidFill>
                    <a:prstDash val="dash"/>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Serbia'!$E$3:$E$29</c15:sqref>
                        </c15:formulaRef>
                      </c:ext>
                    </c:extLst>
                    <c:numCache>
                      <c:formatCode>0.00</c:formatCode>
                      <c:ptCount val="27"/>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numCache>
                  </c:numRef>
                </c:val>
                <c:extLst xmlns:c15="http://schemas.microsoft.com/office/drawing/2012/chart">
                  <c:ext xmlns:c16="http://schemas.microsoft.com/office/drawing/2014/chart" uri="{C3380CC4-5D6E-409C-BE32-E72D297353CC}">
                    <c16:uniqueId val="{0000000C-0D04-4E3C-B8BA-60BE40EE8E8D}"/>
                  </c:ext>
                </c:extLst>
              </c15:ser>
            </c15:filteredBarSeries>
            <c15:filteredBarSeries>
              <c15:ser>
                <c:idx val="4"/>
                <c:order val="9"/>
                <c:tx>
                  <c:strRef>
                    <c:extLst xmlns:c15="http://schemas.microsoft.com/office/drawing/2012/chart">
                      <c:ext xmlns:c15="http://schemas.microsoft.com/office/drawing/2012/chart" uri="{02D57815-91ED-43cb-92C2-25804820EDAC}">
                        <c15:formulaRef>
                          <c15:sqref>'S0 EU Serbia'!$U$2</c15:sqref>
                        </c15:formulaRef>
                      </c:ext>
                    </c:extLst>
                    <c:strCache>
                      <c:ptCount val="1"/>
                      <c:pt idx="0">
                        <c:v>S0 2019</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Serbia'!$U$3:$U$29</c15:sqref>
                        </c15:formulaRef>
                      </c:ext>
                    </c:extLst>
                    <c:numCache>
                      <c:formatCode>0.00</c:formatCode>
                      <c:ptCount val="27"/>
                      <c:pt idx="0">
                        <c:v>0.1</c:v>
                      </c:pt>
                      <c:pt idx="1">
                        <c:v>0.17</c:v>
                      </c:pt>
                      <c:pt idx="2">
                        <c:v>0.21</c:v>
                      </c:pt>
                      <c:pt idx="3">
                        <c:v>0.22</c:v>
                      </c:pt>
                      <c:pt idx="4">
                        <c:v>0.24</c:v>
                      </c:pt>
                      <c:pt idx="5">
                        <c:v>0.45</c:v>
                      </c:pt>
                      <c:pt idx="6">
                        <c:v>0.2</c:v>
                      </c:pt>
                      <c:pt idx="7">
                        <c:v>0.2</c:v>
                      </c:pt>
                      <c:pt idx="8">
                        <c:v>0.26</c:v>
                      </c:pt>
                      <c:pt idx="9">
                        <c:v>0.36</c:v>
                      </c:pt>
                      <c:pt idx="10">
                        <c:v>0.08</c:v>
                      </c:pt>
                      <c:pt idx="11">
                        <c:v>0.28999999999999998</c:v>
                      </c:pt>
                      <c:pt idx="12">
                        <c:v>0.14000000000000001</c:v>
                      </c:pt>
                      <c:pt idx="13">
                        <c:v>0.33</c:v>
                      </c:pt>
                      <c:pt idx="14">
                        <c:v>0.24</c:v>
                      </c:pt>
                      <c:pt idx="15">
                        <c:v>0.21</c:v>
                      </c:pt>
                      <c:pt idx="16">
                        <c:v>0.19</c:v>
                      </c:pt>
                      <c:pt idx="17">
                        <c:v>0.06</c:v>
                      </c:pt>
                      <c:pt idx="18">
                        <c:v>0.16</c:v>
                      </c:pt>
                      <c:pt idx="19">
                        <c:v>0.26</c:v>
                      </c:pt>
                      <c:pt idx="20">
                        <c:v>0.33</c:v>
                      </c:pt>
                      <c:pt idx="21">
                        <c:v>0.37</c:v>
                      </c:pt>
                      <c:pt idx="22">
                        <c:v>0.17745302713987476</c:v>
                      </c:pt>
                      <c:pt idx="23">
                        <c:v>0.27</c:v>
                      </c:pt>
                      <c:pt idx="24">
                        <c:v>0.05</c:v>
                      </c:pt>
                      <c:pt idx="25">
                        <c:v>0.37</c:v>
                      </c:pt>
                      <c:pt idx="26">
                        <c:v>0.24</c:v>
                      </c:pt>
                    </c:numCache>
                  </c:numRef>
                </c:val>
                <c:extLst xmlns:c15="http://schemas.microsoft.com/office/drawing/2012/chart">
                  <c:ext xmlns:c16="http://schemas.microsoft.com/office/drawing/2014/chart" uri="{C3380CC4-5D6E-409C-BE32-E72D297353CC}">
                    <c16:uniqueId val="{0000000D-0D04-4E3C-B8BA-60BE40EE8E8D}"/>
                  </c:ext>
                </c:extLst>
              </c15:ser>
            </c15:filteredBarSeries>
            <c15:filteredBarSeries>
              <c15:ser>
                <c:idx val="6"/>
                <c:order val="11"/>
                <c:tx>
                  <c:strRef>
                    <c:extLst xmlns:c15="http://schemas.microsoft.com/office/drawing/2012/chart">
                      <c:ext xmlns:c15="http://schemas.microsoft.com/office/drawing/2012/char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Serbia'!$I$3:$I$31</c15:sqref>
                        </c15:formulaRef>
                      </c:ext>
                    </c:extLst>
                    <c:numCache>
                      <c:formatCode>0.00</c:formatCode>
                      <c:ptCount val="29"/>
                      <c:pt idx="0">
                        <c:v>7.0000000000000007E-2</c:v>
                      </c:pt>
                      <c:pt idx="1">
                        <c:v>0.1</c:v>
                      </c:pt>
                      <c:pt idx="2">
                        <c:v>0.21</c:v>
                      </c:pt>
                      <c:pt idx="3">
                        <c:v>0.11</c:v>
                      </c:pt>
                      <c:pt idx="4">
                        <c:v>0.26</c:v>
                      </c:pt>
                      <c:pt idx="6">
                        <c:v>0.25</c:v>
                      </c:pt>
                      <c:pt idx="7">
                        <c:v>0.19</c:v>
                      </c:pt>
                      <c:pt idx="8">
                        <c:v>0.22</c:v>
                      </c:pt>
                      <c:pt idx="9">
                        <c:v>0.17</c:v>
                      </c:pt>
                      <c:pt idx="10">
                        <c:v>0.02</c:v>
                      </c:pt>
                      <c:pt idx="11">
                        <c:v>0.16</c:v>
                      </c:pt>
                      <c:pt idx="12">
                        <c:v>0.38</c:v>
                      </c:pt>
                      <c:pt idx="13">
                        <c:v>0.21</c:v>
                      </c:pt>
                      <c:pt idx="14">
                        <c:v>0.34</c:v>
                      </c:pt>
                      <c:pt idx="15">
                        <c:v>0.18</c:v>
                      </c:pt>
                      <c:pt idx="16">
                        <c:v>0.09</c:v>
                      </c:pt>
                      <c:pt idx="17">
                        <c:v>0.13</c:v>
                      </c:pt>
                      <c:pt idx="18">
                        <c:v>0.19</c:v>
                      </c:pt>
                      <c:pt idx="19">
                        <c:v>0.27</c:v>
                      </c:pt>
                      <c:pt idx="20">
                        <c:v>0.24</c:v>
                      </c:pt>
                      <c:pt idx="21">
                        <c:v>0.14000000000000001</c:v>
                      </c:pt>
                      <c:pt idx="22">
                        <c:v>0.36</c:v>
                      </c:pt>
                      <c:pt idx="23">
                        <c:v>0.21</c:v>
                      </c:pt>
                      <c:pt idx="24">
                        <c:v>0.08</c:v>
                      </c:pt>
                      <c:pt idx="25">
                        <c:v>0.21</c:v>
                      </c:pt>
                      <c:pt idx="26">
                        <c:v>0.15</c:v>
                      </c:pt>
                      <c:pt idx="27">
                        <c:v>0.36</c:v>
                      </c:pt>
                    </c:numCache>
                  </c:numRef>
                </c:val>
                <c:extLst xmlns:c15="http://schemas.microsoft.com/office/drawing/2012/chart">
                  <c:ext xmlns:c16="http://schemas.microsoft.com/office/drawing/2014/chart" uri="{C3380CC4-5D6E-409C-BE32-E72D297353CC}">
                    <c16:uniqueId val="{0000000E-0D04-4E3C-B8BA-60BE40EE8E8D}"/>
                  </c:ext>
                </c:extLst>
              </c15:ser>
            </c15:filteredBarSeries>
            <c15:filteredBarSeries>
              <c15:ser>
                <c:idx val="9"/>
                <c:order val="12"/>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10-0D04-4E3C-B8BA-60BE40EE8E8D}"/>
                    </c:ext>
                  </c:extLst>
                </c:dPt>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Serbia'!$L$3:$L$31</c15:sqref>
                        </c15:formulaRef>
                      </c:ext>
                    </c:extLst>
                    <c:numCache>
                      <c:formatCode>0.00</c:formatCode>
                      <c:ptCount val="29"/>
                      <c:pt idx="0">
                        <c:v>0.15</c:v>
                      </c:pt>
                      <c:pt idx="1">
                        <c:v>0.42</c:v>
                      </c:pt>
                      <c:pt idx="2">
                        <c:v>0.28000000000000003</c:v>
                      </c:pt>
                      <c:pt idx="3">
                        <c:v>0.19</c:v>
                      </c:pt>
                      <c:pt idx="4">
                        <c:v>0.18</c:v>
                      </c:pt>
                      <c:pt idx="5">
                        <c:v>0.41</c:v>
                      </c:pt>
                      <c:pt idx="6">
                        <c:v>0.19</c:v>
                      </c:pt>
                      <c:pt idx="7">
                        <c:v>0.25</c:v>
                      </c:pt>
                      <c:pt idx="8">
                        <c:v>0.22</c:v>
                      </c:pt>
                      <c:pt idx="9">
                        <c:v>0.31</c:v>
                      </c:pt>
                      <c:pt idx="10">
                        <c:v>0.08</c:v>
                      </c:pt>
                      <c:pt idx="11">
                        <c:v>0.31</c:v>
                      </c:pt>
                      <c:pt idx="12">
                        <c:v>0.28000000000000003</c:v>
                      </c:pt>
                      <c:pt idx="13">
                        <c:v>0.42</c:v>
                      </c:pt>
                      <c:pt idx="14">
                        <c:v>0.28999999999999998</c:v>
                      </c:pt>
                      <c:pt idx="15">
                        <c:v>0.21</c:v>
                      </c:pt>
                      <c:pt idx="16">
                        <c:v>0.28999999999999998</c:v>
                      </c:pt>
                      <c:pt idx="17">
                        <c:v>0.15</c:v>
                      </c:pt>
                      <c:pt idx="18">
                        <c:v>0.2</c:v>
                      </c:pt>
                      <c:pt idx="19">
                        <c:v>0.28999999999999998</c:v>
                      </c:pt>
                      <c:pt idx="20">
                        <c:v>0.41</c:v>
                      </c:pt>
                      <c:pt idx="21">
                        <c:v>0.26</c:v>
                      </c:pt>
                      <c:pt idx="22">
                        <c:v>0.19161676646706588</c:v>
                      </c:pt>
                      <c:pt idx="23">
                        <c:v>0.34</c:v>
                      </c:pt>
                      <c:pt idx="24">
                        <c:v>0.14000000000000001</c:v>
                      </c:pt>
                      <c:pt idx="25">
                        <c:v>0.37</c:v>
                      </c:pt>
                      <c:pt idx="26">
                        <c:v>0.12</c:v>
                      </c:pt>
                      <c:pt idx="27">
                        <c:v>0.41</c:v>
                      </c:pt>
                    </c:numCache>
                  </c:numRef>
                </c:val>
                <c:extLst xmlns:c15="http://schemas.microsoft.com/office/drawing/2012/chart">
                  <c:ext xmlns:c16="http://schemas.microsoft.com/office/drawing/2014/chart" uri="{C3380CC4-5D6E-409C-BE32-E72D297353CC}">
                    <c16:uniqueId val="{00000011-0D04-4E3C-B8BA-60BE40EE8E8D}"/>
                  </c:ext>
                </c:extLst>
              </c15:ser>
            </c15:filteredBarSeries>
            <c15:filteredBarSeries>
              <c15:ser>
                <c:idx val="0"/>
                <c:order val="13"/>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Serbia'!$O$3:$O$30</c15:sqref>
                        </c15:formulaRef>
                      </c:ext>
                    </c:extLst>
                    <c:numCache>
                      <c:formatCode>0.00</c:formatCode>
                      <c:ptCount val="28"/>
                      <c:pt idx="0">
                        <c:v>7.0000000000000007E-2</c:v>
                      </c:pt>
                      <c:pt idx="1">
                        <c:v>0.35</c:v>
                      </c:pt>
                      <c:pt idx="2">
                        <c:v>0.25</c:v>
                      </c:pt>
                      <c:pt idx="3">
                        <c:v>0.19</c:v>
                      </c:pt>
                      <c:pt idx="4">
                        <c:v>0.2</c:v>
                      </c:pt>
                      <c:pt idx="5">
                        <c:v>0.44</c:v>
                      </c:pt>
                      <c:pt idx="6">
                        <c:v>0.3</c:v>
                      </c:pt>
                      <c:pt idx="7">
                        <c:v>0.2</c:v>
                      </c:pt>
                      <c:pt idx="8">
                        <c:v>0.1</c:v>
                      </c:pt>
                      <c:pt idx="9">
                        <c:v>0.24</c:v>
                      </c:pt>
                      <c:pt idx="10">
                        <c:v>0.08</c:v>
                      </c:pt>
                      <c:pt idx="11">
                        <c:v>0.39</c:v>
                      </c:pt>
                      <c:pt idx="12">
                        <c:v>0.28000000000000003</c:v>
                      </c:pt>
                      <c:pt idx="13">
                        <c:v>0.36</c:v>
                      </c:pt>
                      <c:pt idx="14">
                        <c:v>0.24</c:v>
                      </c:pt>
                      <c:pt idx="15">
                        <c:v>0.21</c:v>
                      </c:pt>
                      <c:pt idx="16">
                        <c:v>0.12</c:v>
                      </c:pt>
                      <c:pt idx="17">
                        <c:v>0.05</c:v>
                      </c:pt>
                      <c:pt idx="18">
                        <c:v>0.2</c:v>
                      </c:pt>
                      <c:pt idx="19">
                        <c:v>0.25</c:v>
                      </c:pt>
                      <c:pt idx="20">
                        <c:v>0.36</c:v>
                      </c:pt>
                      <c:pt idx="21">
                        <c:v>0.2</c:v>
                      </c:pt>
                      <c:pt idx="22">
                        <c:v>0.17745302713987476</c:v>
                      </c:pt>
                      <c:pt idx="23">
                        <c:v>0.3</c:v>
                      </c:pt>
                      <c:pt idx="24">
                        <c:v>0.13</c:v>
                      </c:pt>
                      <c:pt idx="25">
                        <c:v>0.37</c:v>
                      </c:pt>
                      <c:pt idx="26">
                        <c:v>0.12</c:v>
                      </c:pt>
                      <c:pt idx="27">
                        <c:v>0.42</c:v>
                      </c:pt>
                    </c:numCache>
                  </c:numRef>
                </c:val>
                <c:extLst xmlns:c15="http://schemas.microsoft.com/office/drawing/2012/chart">
                  <c:ext xmlns:c16="http://schemas.microsoft.com/office/drawing/2014/chart" uri="{C3380CC4-5D6E-409C-BE32-E72D297353CC}">
                    <c16:uniqueId val="{00000012-0D04-4E3C-B8BA-60BE40EE8E8D}"/>
                  </c:ext>
                </c:extLst>
              </c15:ser>
            </c15:filteredBarSeries>
            <c15:filteredBarSeries>
              <c15:ser>
                <c:idx val="1"/>
                <c:order val="14"/>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Serbia'!$R$3:$R$30</c15:sqref>
                        </c15:formulaRef>
                      </c:ext>
                    </c:extLst>
                    <c:numCache>
                      <c:formatCode>0.00</c:formatCode>
                      <c:ptCount val="28"/>
                      <c:pt idx="0">
                        <c:v>0.03</c:v>
                      </c:pt>
                      <c:pt idx="1">
                        <c:v>0.22</c:v>
                      </c:pt>
                      <c:pt idx="2">
                        <c:v>0.19</c:v>
                      </c:pt>
                      <c:pt idx="3">
                        <c:v>0.18</c:v>
                      </c:pt>
                      <c:pt idx="4">
                        <c:v>0.24</c:v>
                      </c:pt>
                      <c:pt idx="5">
                        <c:v>0.46</c:v>
                      </c:pt>
                      <c:pt idx="6">
                        <c:v>0.12</c:v>
                      </c:pt>
                      <c:pt idx="7">
                        <c:v>0.17</c:v>
                      </c:pt>
                      <c:pt idx="8">
                        <c:v>0.14000000000000001</c:v>
                      </c:pt>
                      <c:pt idx="9">
                        <c:v>0.28999999999999998</c:v>
                      </c:pt>
                      <c:pt idx="10">
                        <c:v>0</c:v>
                      </c:pt>
                      <c:pt idx="11">
                        <c:v>0.34</c:v>
                      </c:pt>
                      <c:pt idx="12">
                        <c:v>0.21</c:v>
                      </c:pt>
                      <c:pt idx="13">
                        <c:v>0.36</c:v>
                      </c:pt>
                      <c:pt idx="14">
                        <c:v>0.24</c:v>
                      </c:pt>
                      <c:pt idx="15">
                        <c:v>0.21</c:v>
                      </c:pt>
                      <c:pt idx="16">
                        <c:v>0.12</c:v>
                      </c:pt>
                      <c:pt idx="17">
                        <c:v>0.06</c:v>
                      </c:pt>
                      <c:pt idx="18">
                        <c:v>0.08</c:v>
                      </c:pt>
                      <c:pt idx="19">
                        <c:v>0.18</c:v>
                      </c:pt>
                      <c:pt idx="20">
                        <c:v>0.33</c:v>
                      </c:pt>
                      <c:pt idx="21">
                        <c:v>0.3</c:v>
                      </c:pt>
                      <c:pt idx="22">
                        <c:v>0.17745302713987476</c:v>
                      </c:pt>
                      <c:pt idx="23">
                        <c:v>0.27</c:v>
                      </c:pt>
                      <c:pt idx="24">
                        <c:v>0.13</c:v>
                      </c:pt>
                      <c:pt idx="25">
                        <c:v>0.37</c:v>
                      </c:pt>
                      <c:pt idx="26">
                        <c:v>0.2</c:v>
                      </c:pt>
                      <c:pt idx="27">
                        <c:v>0.42</c:v>
                      </c:pt>
                    </c:numCache>
                  </c:numRef>
                </c:val>
                <c:extLst xmlns:c15="http://schemas.microsoft.com/office/drawing/2012/chart">
                  <c:ext xmlns:c16="http://schemas.microsoft.com/office/drawing/2014/chart" uri="{C3380CC4-5D6E-409C-BE32-E72D297353CC}">
                    <c16:uniqueId val="{00000013-0D04-4E3C-B8BA-60BE40EE8E8D}"/>
                  </c:ext>
                </c:extLst>
              </c15:ser>
            </c15:filteredBarSeries>
            <c15:filteredBarSeries>
              <c15:ser>
                <c:idx val="5"/>
                <c:order val="15"/>
                <c:tx>
                  <c:strRef>
                    <c:extLst xmlns:c15="http://schemas.microsoft.com/office/drawing/2012/chart">
                      <c:ext xmlns:c15="http://schemas.microsoft.com/office/drawing/2012/chart" uri="{02D57815-91ED-43cb-92C2-25804820EDAC}">
                        <c15:formulaRef>
                          <c15:sqref>'S0 EU Serbia'!$X$2</c15:sqref>
                        </c15:formulaRef>
                      </c:ext>
                    </c:extLst>
                    <c:strCache>
                      <c:ptCount val="1"/>
                      <c:pt idx="0">
                        <c:v>S0 2020</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Serbia'!$X$3:$X$29</c15:sqref>
                        </c15:formulaRef>
                      </c:ext>
                    </c:extLst>
                    <c:numCache>
                      <c:formatCode>0.00</c:formatCode>
                      <c:ptCount val="27"/>
                      <c:pt idx="0">
                        <c:v>0.4</c:v>
                      </c:pt>
                      <c:pt idx="1">
                        <c:v>0.48</c:v>
                      </c:pt>
                      <c:pt idx="2">
                        <c:v>0.35</c:v>
                      </c:pt>
                      <c:pt idx="3">
                        <c:v>0.37</c:v>
                      </c:pt>
                      <c:pt idx="4">
                        <c:v>0.61</c:v>
                      </c:pt>
                      <c:pt idx="5">
                        <c:v>0.64</c:v>
                      </c:pt>
                      <c:pt idx="6">
                        <c:v>0.41</c:v>
                      </c:pt>
                      <c:pt idx="7">
                        <c:v>0.33</c:v>
                      </c:pt>
                      <c:pt idx="8">
                        <c:v>0.49</c:v>
                      </c:pt>
                      <c:pt idx="9">
                        <c:v>0.55000000000000004</c:v>
                      </c:pt>
                      <c:pt idx="10">
                        <c:v>0.37</c:v>
                      </c:pt>
                      <c:pt idx="11">
                        <c:v>0.46</c:v>
                      </c:pt>
                      <c:pt idx="12">
                        <c:v>0.42</c:v>
                      </c:pt>
                      <c:pt idx="13">
                        <c:v>0.48</c:v>
                      </c:pt>
                      <c:pt idx="14">
                        <c:v>0.48</c:v>
                      </c:pt>
                      <c:pt idx="15">
                        <c:v>0.37</c:v>
                      </c:pt>
                      <c:pt idx="16">
                        <c:v>0.3</c:v>
                      </c:pt>
                      <c:pt idx="17">
                        <c:v>0.28999999999999998</c:v>
                      </c:pt>
                      <c:pt idx="18">
                        <c:v>0.39</c:v>
                      </c:pt>
                      <c:pt idx="19">
                        <c:v>0.45</c:v>
                      </c:pt>
                      <c:pt idx="20">
                        <c:v>0.61</c:v>
                      </c:pt>
                      <c:pt idx="21">
                        <c:v>0.49</c:v>
                      </c:pt>
                      <c:pt idx="22">
                        <c:v>0.4425887265135699</c:v>
                      </c:pt>
                      <c:pt idx="23">
                        <c:v>0.54</c:v>
                      </c:pt>
                      <c:pt idx="24">
                        <c:v>0.43</c:v>
                      </c:pt>
                      <c:pt idx="25">
                        <c:v>0.5</c:v>
                      </c:pt>
                      <c:pt idx="26">
                        <c:v>0.32</c:v>
                      </c:pt>
                    </c:numCache>
                  </c:numRef>
                </c:val>
                <c:extLst xmlns:c15="http://schemas.microsoft.com/office/drawing/2012/chart">
                  <c:ext xmlns:c16="http://schemas.microsoft.com/office/drawing/2014/chart" uri="{C3380CC4-5D6E-409C-BE32-E72D297353CC}">
                    <c16:uniqueId val="{00000014-0D04-4E3C-B8BA-60BE40EE8E8D}"/>
                  </c:ext>
                </c:extLst>
              </c15:ser>
            </c15:filteredBarSeries>
          </c:ext>
        </c:extLst>
      </c:barChart>
      <c:lineChart>
        <c:grouping val="standard"/>
        <c:varyColors val="0"/>
        <c:ser>
          <c:idx val="2"/>
          <c:order val="10"/>
          <c:tx>
            <c:strRef>
              <c:f>'S0 EU Serbia'!$E$2</c:f>
              <c:strCache>
                <c:ptCount val="1"/>
                <c:pt idx="0">
                  <c:v>Тreshold</c:v>
                </c:pt>
              </c:strCache>
            </c:strRef>
          </c:tx>
          <c:spPr>
            <a:ln w="22225" cap="rnd">
              <a:solidFill>
                <a:schemeClr val="tx1"/>
              </a:solidFill>
              <a:prstDash val="dash"/>
              <a:round/>
            </a:ln>
            <a:effectLst/>
          </c:spPr>
          <c:marker>
            <c:symbol val="none"/>
          </c:marker>
          <c:dLbls>
            <c:dLbl>
              <c:idx val="15"/>
              <c:layout>
                <c:manualLayout>
                  <c:x val="-2.5343339842620423E-3"/>
                  <c:y val="-9.656453110492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04-4E3C-B8BA-60BE40EE8E8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'S0 EU Serbia'!$B$3:$B$30</c:f>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pt idx="27">
                  <c:v>United Kingdom</c:v>
                </c:pt>
              </c:strCache>
            </c:strRef>
          </c:cat>
          <c:val>
            <c:numRef>
              <c:f>'S0 EU Serbia'!$E$3:$E$29</c:f>
              <c:numCache>
                <c:formatCode>0.00</c:formatCode>
                <c:ptCount val="27"/>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numCache>
            </c:numRef>
          </c:val>
          <c:smooth val="0"/>
          <c:extLst>
            <c:ext xmlns:c16="http://schemas.microsoft.com/office/drawing/2014/chart" uri="{C3380CC4-5D6E-409C-BE32-E72D297353CC}">
              <c16:uniqueId val="{00000003-0D04-4E3C-B8BA-60BE40EE8E8D}"/>
            </c:ext>
          </c:extLst>
        </c:ser>
        <c:dLbls>
          <c:showLegendKey val="0"/>
          <c:showVal val="0"/>
          <c:showCatName val="0"/>
          <c:showSerName val="0"/>
          <c:showPercent val="0"/>
          <c:showBubbleSize val="0"/>
        </c:dLbls>
        <c:marker val="1"/>
        <c:smooth val="0"/>
        <c:axId val="-262794176"/>
        <c:axId val="-262791456"/>
      </c:lineChart>
      <c:catAx>
        <c:axId val="-2627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791456"/>
        <c:crosses val="autoZero"/>
        <c:auto val="1"/>
        <c:lblAlgn val="ctr"/>
        <c:lblOffset val="100"/>
        <c:noMultiLvlLbl val="0"/>
      </c:catAx>
      <c:valAx>
        <c:axId val="-262791456"/>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7941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31652902165855223"/>
          <c:y val="0.84213594867685149"/>
          <c:w val="0.44578212614800672"/>
          <c:h val="9.7512629862771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90787490080038"/>
          <c:y val="8.2473495136371477E-2"/>
          <c:w val="0.8350736412725478"/>
          <c:h val="0.81333285058353966"/>
        </c:manualLayout>
      </c:layout>
      <c:scatterChart>
        <c:scatterStyle val="lineMarker"/>
        <c:varyColors val="0"/>
        <c:ser>
          <c:idx val="0"/>
          <c:order val="0"/>
          <c:spPr>
            <a:ln w="28575" cap="rnd">
              <a:noFill/>
              <a:round/>
            </a:ln>
            <a:effectLst/>
          </c:spPr>
          <c:marker>
            <c:symbol val="circle"/>
            <c:size val="5"/>
            <c:spPr>
              <a:solidFill>
                <a:srgbClr val="5297AC"/>
              </a:solidFill>
              <a:ln w="9525">
                <a:noFill/>
              </a:ln>
              <a:effectLst/>
            </c:spPr>
          </c:marker>
          <c:dLbls>
            <c:dLbl>
              <c:idx val="0"/>
              <c:layout>
                <c:manualLayout>
                  <c:x val="1.2766232659233342E-2"/>
                  <c:y val="-9.0121351820277307E-3"/>
                </c:manualLayout>
              </c:layout>
              <c:tx>
                <c:rich>
                  <a:bodyPr/>
                  <a:lstStyle/>
                  <a:p>
                    <a:r>
                      <a:rPr lang="en-US"/>
                      <a:t>Austria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93-4FCD-A2A2-D02929817097}"/>
                </c:ext>
              </c:extLst>
            </c:dLbl>
            <c:dLbl>
              <c:idx val="1"/>
              <c:layout>
                <c:manualLayout>
                  <c:x val="7.3704104434393746E-3"/>
                  <c:y val="2.5648966480566155E-2"/>
                </c:manualLayout>
              </c:layout>
              <c:tx>
                <c:rich>
                  <a:bodyPr/>
                  <a:lstStyle/>
                  <a:p>
                    <a:r>
                      <a:rPr lang="en-US"/>
                      <a:t>Belgium</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93-4FCD-A2A2-D02929817097}"/>
                </c:ext>
              </c:extLst>
            </c:dLbl>
            <c:dLbl>
              <c:idx val="2"/>
              <c:layout>
                <c:manualLayout>
                  <c:x val="1.0809429674157153E-2"/>
                  <c:y val="9.6898709679296511E-3"/>
                </c:manualLayout>
              </c:layout>
              <c:tx>
                <c:rich>
                  <a:bodyPr/>
                  <a:lstStyle/>
                  <a:p>
                    <a:r>
                      <a:rPr lang="en-US"/>
                      <a:t>Bulgaria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93-4FCD-A2A2-D02929817097}"/>
                </c:ext>
              </c:extLst>
            </c:dLbl>
            <c:dLbl>
              <c:idx val="3"/>
              <c:layout>
                <c:manualLayout>
                  <c:x val="2.130789427755498E-2"/>
                  <c:y val="1.7804710766631832E-2"/>
                </c:manualLayout>
              </c:layout>
              <c:tx>
                <c:rich>
                  <a:bodyPr/>
                  <a:lstStyle/>
                  <a:p>
                    <a:r>
                      <a:rPr lang="en-US"/>
                      <a:t>Czechia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93-4FCD-A2A2-D02929817097}"/>
                </c:ext>
              </c:extLst>
            </c:dLbl>
            <c:dLbl>
              <c:idx val="4"/>
              <c:layout>
                <c:manualLayout>
                  <c:x val="-2.0342002704207447E-2"/>
                  <c:y val="1.5285254615139635E-2"/>
                </c:manualLayout>
              </c:layout>
              <c:tx>
                <c:rich>
                  <a:bodyPr/>
                  <a:lstStyle/>
                  <a:p>
                    <a:r>
                      <a:rPr lang="en-US"/>
                      <a:t>Croatia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93-4FCD-A2A2-D02929817097}"/>
                </c:ext>
              </c:extLst>
            </c:dLbl>
            <c:dLbl>
              <c:idx val="5"/>
              <c:layout>
                <c:manualLayout>
                  <c:x val="-0.10191982820329279"/>
                  <c:y val="-3.1861979595646781E-2"/>
                </c:manualLayout>
              </c:layout>
              <c:tx>
                <c:rich>
                  <a:bodyPr/>
                  <a:lstStyle/>
                  <a:p>
                    <a:r>
                      <a:rPr lang="en-US"/>
                      <a:t>Denmark</a:t>
                    </a:r>
                  </a:p>
                </c:rich>
              </c:tx>
              <c:showLegendKey val="0"/>
              <c:showVal val="0"/>
              <c:showCatName val="0"/>
              <c:showSerName val="0"/>
              <c:showPercent val="0"/>
              <c:showBubbleSize val="0"/>
              <c:extLst>
                <c:ext xmlns:c15="http://schemas.microsoft.com/office/drawing/2012/chart" uri="{CE6537A1-D6FC-4f65-9D91-7224C49458BB}">
                  <c15:layout>
                    <c:manualLayout>
                      <c:w val="0.15649630159866376"/>
                      <c:h val="2.8659879858113968E-2"/>
                    </c:manualLayout>
                  </c15:layout>
                </c:ext>
                <c:ext xmlns:c16="http://schemas.microsoft.com/office/drawing/2014/chart" uri="{C3380CC4-5D6E-409C-BE32-E72D297353CC}">
                  <c16:uniqueId val="{00000005-4293-4FCD-A2A2-D02929817097}"/>
                </c:ext>
              </c:extLst>
            </c:dLbl>
            <c:dLbl>
              <c:idx val="6"/>
              <c:layout>
                <c:manualLayout>
                  <c:x val="-9.0430287123200545E-2"/>
                  <c:y val="4.082188471210968E-2"/>
                </c:manualLayout>
              </c:layout>
              <c:tx>
                <c:rich>
                  <a:bodyPr/>
                  <a:lstStyle/>
                  <a:p>
                    <a:r>
                      <a:rPr lang="en-US"/>
                      <a:t>Estonia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93-4FCD-A2A2-D02929817097}"/>
                </c:ext>
              </c:extLst>
            </c:dLbl>
            <c:dLbl>
              <c:idx val="7"/>
              <c:layout>
                <c:manualLayout>
                  <c:x val="-0.1173498767199555"/>
                  <c:y val="1.9843617874125568E-2"/>
                </c:manualLayout>
              </c:layout>
              <c:tx>
                <c:rich>
                  <a:bodyPr/>
                  <a:lstStyle/>
                  <a:p>
                    <a:r>
                      <a:rPr lang="en-US"/>
                      <a:t>Finland</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93-4FCD-A2A2-D02929817097}"/>
                </c:ext>
              </c:extLst>
            </c:dLbl>
            <c:dLbl>
              <c:idx val="8"/>
              <c:layout>
                <c:manualLayout>
                  <c:x val="1.8577834154269272E-2"/>
                  <c:y val="-1.6357286942261778E-3"/>
                </c:manualLayout>
              </c:layout>
              <c:tx>
                <c:rich>
                  <a:bodyPr/>
                  <a:lstStyle/>
                  <a:p>
                    <a:r>
                      <a:rPr lang="en-US"/>
                      <a:t>France</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93-4FCD-A2A2-D02929817097}"/>
                </c:ext>
              </c:extLst>
            </c:dLbl>
            <c:dLbl>
              <c:idx val="9"/>
              <c:layout>
                <c:manualLayout>
                  <c:x val="1.995639888890369E-2"/>
                  <c:y val="1.2672324895787668E-2"/>
                </c:manualLayout>
              </c:layout>
              <c:tx>
                <c:rich>
                  <a:bodyPr/>
                  <a:lstStyle/>
                  <a:p>
                    <a:r>
                      <a:rPr lang="en-US"/>
                      <a:t>Hungary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93-4FCD-A2A2-D02929817097}"/>
                </c:ext>
              </c:extLst>
            </c:dLbl>
            <c:dLbl>
              <c:idx val="10"/>
              <c:layout>
                <c:manualLayout>
                  <c:x val="-1.2959516424083372E-2"/>
                  <c:y val="-4.905171372406901E-2"/>
                </c:manualLayout>
              </c:layout>
              <c:tx>
                <c:rich>
                  <a:bodyPr/>
                  <a:lstStyle/>
                  <a:p>
                    <a:r>
                      <a:rPr lang="en-US"/>
                      <a:t>Ireland</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93-4FCD-A2A2-D02929817097}"/>
                </c:ext>
              </c:extLst>
            </c:dLbl>
            <c:dLbl>
              <c:idx val="11"/>
              <c:layout>
                <c:manualLayout>
                  <c:x val="-8.8402138604946282E-3"/>
                  <c:y val="-3.7069806047090703E-2"/>
                </c:manualLayout>
              </c:layout>
              <c:tx>
                <c:rich>
                  <a:bodyPr/>
                  <a:lstStyle/>
                  <a:p>
                    <a:r>
                      <a:rPr lang="en-US"/>
                      <a:t>Italy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93-4FCD-A2A2-D02929817097}"/>
                </c:ext>
              </c:extLst>
            </c:dLbl>
            <c:dLbl>
              <c:idx val="12"/>
              <c:layout>
                <c:manualLayout>
                  <c:x val="-1.0880335076438419E-2"/>
                  <c:y val="-3.7962530791414525E-2"/>
                </c:manualLayout>
              </c:layout>
              <c:tx>
                <c:rich>
                  <a:bodyPr/>
                  <a:lstStyle/>
                  <a:p>
                    <a:r>
                      <a:rPr lang="en-US"/>
                      <a:t>Latvia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93-4FCD-A2A2-D02929817097}"/>
                </c:ext>
              </c:extLst>
            </c:dLbl>
            <c:dLbl>
              <c:idx val="13"/>
              <c:layout>
                <c:manualLayout>
                  <c:x val="-3.6571445769321503E-3"/>
                  <c:y val="3.8044766473812532E-2"/>
                </c:manualLayout>
              </c:layout>
              <c:tx>
                <c:rich>
                  <a:bodyPr/>
                  <a:lstStyle/>
                  <a:p>
                    <a:r>
                      <a:rPr lang="en-US"/>
                      <a:t>Germany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93-4FCD-A2A2-D02929817097}"/>
                </c:ext>
              </c:extLst>
            </c:dLbl>
            <c:dLbl>
              <c:idx val="14"/>
              <c:layout>
                <c:manualLayout>
                  <c:x val="-5.9166467827885184E-2"/>
                  <c:y val="-7.7392679471551415E-2"/>
                </c:manualLayout>
              </c:layout>
              <c:tx>
                <c:rich>
                  <a:bodyPr/>
                  <a:lstStyle/>
                  <a:p>
                    <a:r>
                      <a:rPr lang="en-US"/>
                      <a:t>Lithuania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93-4FCD-A2A2-D02929817097}"/>
                </c:ext>
              </c:extLst>
            </c:dLbl>
            <c:dLbl>
              <c:idx val="15"/>
              <c:layout>
                <c:manualLayout>
                  <c:x val="-5.2910371996434571E-2"/>
                  <c:y val="2.2874010203214605E-2"/>
                </c:manualLayout>
              </c:layout>
              <c:tx>
                <c:rich>
                  <a:bodyPr/>
                  <a:lstStyle/>
                  <a:p>
                    <a:r>
                      <a:rPr lang="en-US"/>
                      <a:t>Luxemburg</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93-4FCD-A2A2-D02929817097}"/>
                </c:ext>
              </c:extLst>
            </c:dLbl>
            <c:dLbl>
              <c:idx val="16"/>
              <c:layout>
                <c:manualLayout>
                  <c:x val="-7.257368736265199E-2"/>
                  <c:y val="-6.3264741565509427E-3"/>
                </c:manualLayout>
              </c:layout>
              <c:tx>
                <c:rich>
                  <a:bodyPr/>
                  <a:lstStyle/>
                  <a:p>
                    <a:r>
                      <a:rPr lang="en-US"/>
                      <a:t>Malta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93-4FCD-A2A2-D02929817097}"/>
                </c:ext>
              </c:extLst>
            </c:dLbl>
            <c:dLbl>
              <c:idx val="17"/>
              <c:layout>
                <c:manualLayout>
                  <c:x val="-1.6270420742861686E-2"/>
                  <c:y val="6.529305175765153E-2"/>
                </c:manualLayout>
              </c:layout>
              <c:tx>
                <c:rich>
                  <a:bodyPr/>
                  <a:lstStyle/>
                  <a:p>
                    <a:r>
                      <a:rPr lang="en-US"/>
                      <a:t>Netherland</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293-4FCD-A2A2-D02929817097}"/>
                </c:ext>
              </c:extLst>
            </c:dLbl>
            <c:dLbl>
              <c:idx val="18"/>
              <c:layout>
                <c:manualLayout>
                  <c:x val="-4.2136783170389496E-4"/>
                  <c:y val="-1.6646213872523959E-2"/>
                </c:manualLayout>
              </c:layout>
              <c:tx>
                <c:rich>
                  <a:bodyPr/>
                  <a:lstStyle/>
                  <a:p>
                    <a:r>
                      <a:rPr lang="en-US"/>
                      <a:t>Poland</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93-4FCD-A2A2-D02929817097}"/>
                </c:ext>
              </c:extLst>
            </c:dLbl>
            <c:dLbl>
              <c:idx val="19"/>
              <c:layout>
                <c:manualLayout>
                  <c:x val="1.3564142544988386E-2"/>
                  <c:y val="8.7829662132531301E-3"/>
                </c:manualLayout>
              </c:layout>
              <c:tx>
                <c:rich>
                  <a:bodyPr/>
                  <a:lstStyle/>
                  <a:p>
                    <a:r>
                      <a:rPr lang="en-US"/>
                      <a:t>Romania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293-4FCD-A2A2-D02929817097}"/>
                </c:ext>
              </c:extLst>
            </c:dLbl>
            <c:dLbl>
              <c:idx val="20"/>
              <c:layout>
                <c:manualLayout>
                  <c:x val="4.2800332717751882E-3"/>
                  <c:y val="1.6069927210240573E-2"/>
                </c:manualLayout>
              </c:layout>
              <c:tx>
                <c:rich>
                  <a:bodyPr/>
                  <a:lstStyle/>
                  <a:p>
                    <a:r>
                      <a:rPr lang="en-US"/>
                      <a:t>Slovakia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293-4FCD-A2A2-D02929817097}"/>
                </c:ext>
              </c:extLst>
            </c:dLbl>
            <c:dLbl>
              <c:idx val="21"/>
              <c:layout>
                <c:manualLayout>
                  <c:x val="1.3023553266422513E-3"/>
                  <c:y val="-1.8134336538843977E-2"/>
                </c:manualLayout>
              </c:layout>
              <c:tx>
                <c:rich>
                  <a:bodyPr/>
                  <a:lstStyle/>
                  <a:p>
                    <a:r>
                      <a:rPr lang="en-US"/>
                      <a:t>Slovenia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293-4FCD-A2A2-D02929817097}"/>
                </c:ext>
              </c:extLst>
            </c:dLbl>
            <c:dLbl>
              <c:idx val="22"/>
              <c:layout>
                <c:manualLayout>
                  <c:x val="4.857615525332061E-2"/>
                  <c:y val="-8.0835502256778567E-3"/>
                </c:manualLayout>
              </c:layout>
              <c:tx>
                <c:rich>
                  <a:bodyPr/>
                  <a:lstStyle/>
                  <a:p>
                    <a:r>
                      <a:rPr lang="en-US">
                        <a:solidFill>
                          <a:schemeClr val="tx1"/>
                        </a:solidFill>
                      </a:rPr>
                      <a:t>Spain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293-4FCD-A2A2-D02929817097}"/>
                </c:ext>
              </c:extLst>
            </c:dLbl>
            <c:dLbl>
              <c:idx val="23"/>
              <c:layout>
                <c:manualLayout>
                  <c:x val="2.8753937472768634E-4"/>
                  <c:y val="-3.037336129925123E-3"/>
                </c:manualLayout>
              </c:layout>
              <c:tx>
                <c:rich>
                  <a:bodyPr/>
                  <a:lstStyle/>
                  <a:p>
                    <a:r>
                      <a:rPr lang="en-US"/>
                      <a:t>Sweden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293-4FCD-A2A2-D02929817097}"/>
                </c:ext>
              </c:extLst>
            </c:dLbl>
            <c:dLbl>
              <c:idx val="24"/>
              <c:layout>
                <c:manualLayout>
                  <c:x val="-3.280313662589944E-2"/>
                  <c:y val="-4.890685140474467E-2"/>
                </c:manualLayout>
              </c:layout>
              <c:tx>
                <c:rich>
                  <a:bodyPr/>
                  <a:lstStyle/>
                  <a:p>
                    <a:r>
                      <a:rPr lang="en-US"/>
                      <a:t>Cyprus</a:t>
                    </a:r>
                  </a:p>
                </c:rich>
              </c:tx>
              <c:showLegendKey val="0"/>
              <c:showVal val="0"/>
              <c:showCatName val="0"/>
              <c:showSerName val="0"/>
              <c:showPercent val="0"/>
              <c:showBubbleSize val="0"/>
              <c:extLst>
                <c:ext xmlns:c15="http://schemas.microsoft.com/office/drawing/2012/chart" uri="{CE6537A1-D6FC-4f65-9D91-7224C49458BB}">
                  <c15:layout>
                    <c:manualLayout>
                      <c:w val="0.13100275293998009"/>
                      <c:h val="3.706857368218909E-2"/>
                    </c:manualLayout>
                  </c15:layout>
                </c:ext>
                <c:ext xmlns:c16="http://schemas.microsoft.com/office/drawing/2014/chart" uri="{C3380CC4-5D6E-409C-BE32-E72D297353CC}">
                  <c16:uniqueId val="{00000018-4293-4FCD-A2A2-D02929817097}"/>
                </c:ext>
              </c:extLst>
            </c:dLbl>
            <c:dLbl>
              <c:idx val="25"/>
              <c:layout>
                <c:manualLayout>
                  <c:x val="-5.8084112997490944E-2"/>
                  <c:y val="3.7550514722625959E-2"/>
                </c:manualLayout>
              </c:layout>
              <c:tx>
                <c:rich>
                  <a:bodyPr/>
                  <a:lstStyle/>
                  <a:p>
                    <a:r>
                      <a:rPr lang="en-US"/>
                      <a:t>Greece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293-4FCD-A2A2-D02929817097}"/>
                </c:ext>
              </c:extLst>
            </c:dLbl>
            <c:dLbl>
              <c:idx val="26"/>
              <c:layout>
                <c:manualLayout>
                  <c:x val="-2.8508836586801898E-2"/>
                  <c:y val="3.3769001052601763E-2"/>
                </c:manualLayout>
              </c:layout>
              <c:tx>
                <c:rich>
                  <a:bodyPr/>
                  <a:lstStyle/>
                  <a:p>
                    <a:r>
                      <a:rPr lang="en-US" baseline="0"/>
                      <a:t>Portugal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293-4FCD-A2A2-D02929817097}"/>
                </c:ext>
              </c:extLst>
            </c:dLbl>
            <c:dLbl>
              <c:idx val="27"/>
              <c:layout>
                <c:manualLayout>
                  <c:x val="-1.8708486862001997E-2"/>
                  <c:y val="-3.9429337949981012E-2"/>
                </c:manualLayout>
              </c:layout>
              <c:tx>
                <c:rich>
                  <a:bodyPr/>
                  <a:lstStyle/>
                  <a:p>
                    <a:r>
                      <a:rPr lang="en-US"/>
                      <a:t>Serbia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293-4FCD-A2A2-D02929817097}"/>
                </c:ext>
              </c:extLst>
            </c:dLbl>
            <c:dLbl>
              <c:idx val="2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293-4FCD-A2A2-D02929817097}"/>
                </c:ext>
              </c:extLst>
            </c:dLbl>
            <c:dLbl>
              <c:idx val="29"/>
              <c:layout>
                <c:manualLayout>
                  <c:x val="0.27121180204981443"/>
                  <c:y val="-0.10981647825182873"/>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manualLayout>
                      <c:w val="6.4583536111454121E-2"/>
                      <c:h val="3.6566409796610792E-2"/>
                    </c:manualLayout>
                  </c15:layout>
                </c:ext>
                <c:ext xmlns:c16="http://schemas.microsoft.com/office/drawing/2014/chart" uri="{C3380CC4-5D6E-409C-BE32-E72D297353CC}">
                  <c16:uniqueId val="{0000001D-4293-4FCD-A2A2-D0292981709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'2023'!$D$4:$D$31</c:f>
              <c:numCache>
                <c:formatCode>0.00</c:formatCode>
                <c:ptCount val="28"/>
                <c:pt idx="0">
                  <c:v>0.15</c:v>
                </c:pt>
                <c:pt idx="1">
                  <c:v>0.56999999999999995</c:v>
                </c:pt>
                <c:pt idx="2">
                  <c:v>0.22</c:v>
                </c:pt>
                <c:pt idx="3">
                  <c:v>0.22</c:v>
                </c:pt>
                <c:pt idx="4">
                  <c:v>0</c:v>
                </c:pt>
                <c:pt idx="5">
                  <c:v>0.11</c:v>
                </c:pt>
                <c:pt idx="6">
                  <c:v>0.18</c:v>
                </c:pt>
                <c:pt idx="7">
                  <c:v>0.15</c:v>
                </c:pt>
                <c:pt idx="8">
                  <c:v>0.56999999999999995</c:v>
                </c:pt>
                <c:pt idx="9">
                  <c:v>0.41</c:v>
                </c:pt>
                <c:pt idx="10">
                  <c:v>0</c:v>
                </c:pt>
                <c:pt idx="11">
                  <c:v>0.69</c:v>
                </c:pt>
                <c:pt idx="12">
                  <c:v>0.22</c:v>
                </c:pt>
                <c:pt idx="13">
                  <c:v>0.23</c:v>
                </c:pt>
                <c:pt idx="14">
                  <c:v>0.12</c:v>
                </c:pt>
                <c:pt idx="15">
                  <c:v>0.18</c:v>
                </c:pt>
                <c:pt idx="16">
                  <c:v>0.22</c:v>
                </c:pt>
                <c:pt idx="17">
                  <c:v>0</c:v>
                </c:pt>
                <c:pt idx="18">
                  <c:v>0.28000000000000003</c:v>
                </c:pt>
                <c:pt idx="19">
                  <c:v>0.22</c:v>
                </c:pt>
                <c:pt idx="20">
                  <c:v>0.28000000000000003</c:v>
                </c:pt>
                <c:pt idx="21">
                  <c:v>0.28999999999999998</c:v>
                </c:pt>
                <c:pt idx="22">
                  <c:v>0.56999999999999995</c:v>
                </c:pt>
                <c:pt idx="23">
                  <c:v>0</c:v>
                </c:pt>
                <c:pt idx="24">
                  <c:v>0.11</c:v>
                </c:pt>
                <c:pt idx="25">
                  <c:v>0.24</c:v>
                </c:pt>
                <c:pt idx="26">
                  <c:v>0.31</c:v>
                </c:pt>
                <c:pt idx="27">
                  <c:v>7.7844311377245498E-2</c:v>
                </c:pt>
              </c:numCache>
            </c:numRef>
          </c:xVal>
          <c:yVal>
            <c:numRef>
              <c:f>'2023'!$E$4:$E$31</c:f>
              <c:numCache>
                <c:formatCode>0.00</c:formatCode>
                <c:ptCount val="28"/>
                <c:pt idx="0">
                  <c:v>0.06</c:v>
                </c:pt>
                <c:pt idx="1">
                  <c:v>0.12</c:v>
                </c:pt>
                <c:pt idx="2">
                  <c:v>0.21</c:v>
                </c:pt>
                <c:pt idx="3">
                  <c:v>0.25</c:v>
                </c:pt>
                <c:pt idx="4">
                  <c:v>0.33</c:v>
                </c:pt>
                <c:pt idx="5">
                  <c:v>0.36</c:v>
                </c:pt>
                <c:pt idx="6">
                  <c:v>0.36</c:v>
                </c:pt>
                <c:pt idx="7">
                  <c:v>0.23</c:v>
                </c:pt>
                <c:pt idx="8">
                  <c:v>0.28000000000000003</c:v>
                </c:pt>
                <c:pt idx="9">
                  <c:v>0.48</c:v>
                </c:pt>
                <c:pt idx="10">
                  <c:v>0.21</c:v>
                </c:pt>
                <c:pt idx="11">
                  <c:v>0.18</c:v>
                </c:pt>
                <c:pt idx="12">
                  <c:v>0.37</c:v>
                </c:pt>
                <c:pt idx="13">
                  <c:v>0.12</c:v>
                </c:pt>
                <c:pt idx="14">
                  <c:v>0.35</c:v>
                </c:pt>
                <c:pt idx="15">
                  <c:v>0.2</c:v>
                </c:pt>
                <c:pt idx="16">
                  <c:v>0.14000000000000001</c:v>
                </c:pt>
                <c:pt idx="17">
                  <c:v>0.18</c:v>
                </c:pt>
                <c:pt idx="18">
                  <c:v>0.45</c:v>
                </c:pt>
                <c:pt idx="19">
                  <c:v>0.37</c:v>
                </c:pt>
                <c:pt idx="20">
                  <c:v>0.44</c:v>
                </c:pt>
                <c:pt idx="21">
                  <c:v>0.14000000000000001</c:v>
                </c:pt>
                <c:pt idx="22">
                  <c:v>0.33</c:v>
                </c:pt>
                <c:pt idx="23">
                  <c:v>0.19</c:v>
                </c:pt>
                <c:pt idx="24">
                  <c:v>0.44</c:v>
                </c:pt>
                <c:pt idx="25">
                  <c:v>0.35</c:v>
                </c:pt>
                <c:pt idx="26">
                  <c:v>0.33</c:v>
                </c:pt>
                <c:pt idx="27">
                  <c:v>0.27243589743589747</c:v>
                </c:pt>
              </c:numCache>
            </c:numRef>
          </c:yVal>
          <c:smooth val="0"/>
          <c:extLst>
            <c:ext xmlns:c16="http://schemas.microsoft.com/office/drawing/2014/chart" uri="{C3380CC4-5D6E-409C-BE32-E72D297353CC}">
              <c16:uniqueId val="{0000001E-4293-4FCD-A2A2-D02929817097}"/>
            </c:ext>
          </c:extLst>
        </c:ser>
        <c:dLbls>
          <c:showLegendKey val="0"/>
          <c:showVal val="0"/>
          <c:showCatName val="0"/>
          <c:showSerName val="0"/>
          <c:showPercent val="0"/>
          <c:showBubbleSize val="0"/>
        </c:dLbls>
        <c:axId val="-262788736"/>
        <c:axId val="-262793088"/>
      </c:scatterChart>
      <c:scatterChart>
        <c:scatterStyle val="smoothMarker"/>
        <c:varyColors val="0"/>
        <c:ser>
          <c:idx val="1"/>
          <c:order val="1"/>
          <c:tx>
            <c:v>Prag fiskalnog podindeksa</c:v>
          </c:tx>
          <c:spPr>
            <a:ln w="12700" cap="rnd">
              <a:solidFill>
                <a:srgbClr val="7030A0"/>
              </a:solidFill>
              <a:round/>
            </a:ln>
            <a:effectLst/>
          </c:spPr>
          <c:marker>
            <c:symbol val="none"/>
          </c:marker>
          <c:xVal>
            <c:numRef>
              <c:f>'2023'!$F$4:$F$31</c:f>
              <c:numCache>
                <c:formatCode>0.00</c:formatCode>
                <c:ptCount val="28"/>
                <c:pt idx="0">
                  <c:v>0.36</c:v>
                </c:pt>
                <c:pt idx="1">
                  <c:v>0.36</c:v>
                </c:pt>
                <c:pt idx="2">
                  <c:v>0.36</c:v>
                </c:pt>
                <c:pt idx="3">
                  <c:v>0.36</c:v>
                </c:pt>
                <c:pt idx="4">
                  <c:v>0.36</c:v>
                </c:pt>
                <c:pt idx="5">
                  <c:v>0.36</c:v>
                </c:pt>
                <c:pt idx="6">
                  <c:v>0.36</c:v>
                </c:pt>
                <c:pt idx="7">
                  <c:v>0.36</c:v>
                </c:pt>
                <c:pt idx="8">
                  <c:v>0.36</c:v>
                </c:pt>
                <c:pt idx="9">
                  <c:v>0.36</c:v>
                </c:pt>
                <c:pt idx="10">
                  <c:v>0.36</c:v>
                </c:pt>
                <c:pt idx="11">
                  <c:v>0.36</c:v>
                </c:pt>
                <c:pt idx="12">
                  <c:v>0.36</c:v>
                </c:pt>
                <c:pt idx="13">
                  <c:v>0.36</c:v>
                </c:pt>
                <c:pt idx="14">
                  <c:v>0.36</c:v>
                </c:pt>
                <c:pt idx="15">
                  <c:v>0.36</c:v>
                </c:pt>
                <c:pt idx="16">
                  <c:v>0.36</c:v>
                </c:pt>
                <c:pt idx="17">
                  <c:v>0.36</c:v>
                </c:pt>
                <c:pt idx="18">
                  <c:v>0.36</c:v>
                </c:pt>
                <c:pt idx="19">
                  <c:v>0.36</c:v>
                </c:pt>
                <c:pt idx="20">
                  <c:v>0.36</c:v>
                </c:pt>
                <c:pt idx="21">
                  <c:v>0.36</c:v>
                </c:pt>
                <c:pt idx="22">
                  <c:v>0.36</c:v>
                </c:pt>
                <c:pt idx="23">
                  <c:v>0.36</c:v>
                </c:pt>
                <c:pt idx="24">
                  <c:v>0.36</c:v>
                </c:pt>
                <c:pt idx="25">
                  <c:v>0.36</c:v>
                </c:pt>
                <c:pt idx="26">
                  <c:v>0.36</c:v>
                </c:pt>
                <c:pt idx="27">
                  <c:v>0.36</c:v>
                </c:pt>
              </c:numCache>
            </c:numRef>
          </c:xVal>
          <c:yVal>
            <c:numRef>
              <c:f>'2023'!$G$4:$G$31</c:f>
              <c:numCache>
                <c:formatCode>0.00</c:formatCode>
                <c:ptCount val="28"/>
                <c:pt idx="0">
                  <c:v>0</c:v>
                </c:pt>
                <c:pt idx="1">
                  <c:v>2.2222222222222223E-2</c:v>
                </c:pt>
                <c:pt idx="2">
                  <c:v>4.4444444444444446E-2</c:v>
                </c:pt>
                <c:pt idx="3">
                  <c:v>6.6666666666666666E-2</c:v>
                </c:pt>
                <c:pt idx="4">
                  <c:v>8.8888888888888892E-2</c:v>
                </c:pt>
                <c:pt idx="5">
                  <c:v>0.11111111111111112</c:v>
                </c:pt>
                <c:pt idx="6">
                  <c:v>0.13333333333333333</c:v>
                </c:pt>
                <c:pt idx="7">
                  <c:v>0.15555555555555556</c:v>
                </c:pt>
                <c:pt idx="8">
                  <c:v>0.17777777777777778</c:v>
                </c:pt>
                <c:pt idx="9">
                  <c:v>0.2</c:v>
                </c:pt>
                <c:pt idx="10">
                  <c:v>0.22222222222222224</c:v>
                </c:pt>
                <c:pt idx="11">
                  <c:v>0.24444444444444446</c:v>
                </c:pt>
                <c:pt idx="12">
                  <c:v>0.26666666666666666</c:v>
                </c:pt>
                <c:pt idx="13">
                  <c:v>0.28888888888888886</c:v>
                </c:pt>
                <c:pt idx="14">
                  <c:v>0.31111111111111106</c:v>
                </c:pt>
                <c:pt idx="15">
                  <c:v>0.33333333333333326</c:v>
                </c:pt>
                <c:pt idx="16">
                  <c:v>0.35555555555555546</c:v>
                </c:pt>
                <c:pt idx="17">
                  <c:v>0.37777777777777766</c:v>
                </c:pt>
                <c:pt idx="18">
                  <c:v>0.39999999999999986</c:v>
                </c:pt>
                <c:pt idx="19">
                  <c:v>0.42222222222222205</c:v>
                </c:pt>
                <c:pt idx="20">
                  <c:v>0.44444444444444425</c:v>
                </c:pt>
                <c:pt idx="21">
                  <c:v>0.46666666666666645</c:v>
                </c:pt>
                <c:pt idx="22">
                  <c:v>0.48888888888888865</c:v>
                </c:pt>
                <c:pt idx="23">
                  <c:v>0.51111111111111085</c:v>
                </c:pt>
                <c:pt idx="24">
                  <c:v>0.5333333333333331</c:v>
                </c:pt>
                <c:pt idx="25">
                  <c:v>0.55555555555555536</c:v>
                </c:pt>
                <c:pt idx="26">
                  <c:v>0.57777777777777761</c:v>
                </c:pt>
                <c:pt idx="27">
                  <c:v>0.59999999999999987</c:v>
                </c:pt>
              </c:numCache>
            </c:numRef>
          </c:yVal>
          <c:smooth val="1"/>
          <c:extLst>
            <c:ext xmlns:c16="http://schemas.microsoft.com/office/drawing/2014/chart" uri="{C3380CC4-5D6E-409C-BE32-E72D297353CC}">
              <c16:uniqueId val="{0000001F-4293-4FCD-A2A2-D02929817097}"/>
            </c:ext>
          </c:extLst>
        </c:ser>
        <c:ser>
          <c:idx val="2"/>
          <c:order val="2"/>
          <c:tx>
            <c:v>Prag finansijskog podindeksa</c:v>
          </c:tx>
          <c:spPr>
            <a:ln w="12700" cap="rnd">
              <a:solidFill>
                <a:srgbClr val="7030A0"/>
              </a:solidFill>
              <a:round/>
            </a:ln>
            <a:effectLst/>
          </c:spPr>
          <c:marker>
            <c:symbol val="none"/>
          </c:marker>
          <c:xVal>
            <c:numRef>
              <c:f>'2023'!$H$4:$H$31</c:f>
              <c:numCache>
                <c:formatCode>0.00</c:formatCode>
                <c:ptCount val="28"/>
                <c:pt idx="0">
                  <c:v>0</c:v>
                </c:pt>
                <c:pt idx="1">
                  <c:v>2.9629629629629631E-2</c:v>
                </c:pt>
                <c:pt idx="2">
                  <c:v>5.9259259259259262E-2</c:v>
                </c:pt>
                <c:pt idx="3">
                  <c:v>8.8888888888888892E-2</c:v>
                </c:pt>
                <c:pt idx="4">
                  <c:v>0.11851851851851852</c:v>
                </c:pt>
                <c:pt idx="5">
                  <c:v>0.14814814814814814</c:v>
                </c:pt>
                <c:pt idx="6">
                  <c:v>0.17777777777777776</c:v>
                </c:pt>
                <c:pt idx="7">
                  <c:v>0.20740740740740737</c:v>
                </c:pt>
                <c:pt idx="8">
                  <c:v>0.23703703703703699</c:v>
                </c:pt>
                <c:pt idx="9">
                  <c:v>0.26666666666666661</c:v>
                </c:pt>
                <c:pt idx="10">
                  <c:v>0.29629629629629622</c:v>
                </c:pt>
                <c:pt idx="11">
                  <c:v>0.32592592592592584</c:v>
                </c:pt>
                <c:pt idx="12">
                  <c:v>0.35555555555555546</c:v>
                </c:pt>
                <c:pt idx="13">
                  <c:v>0.38518518518518507</c:v>
                </c:pt>
                <c:pt idx="14">
                  <c:v>0.41481481481481469</c:v>
                </c:pt>
                <c:pt idx="15">
                  <c:v>0.44444444444444431</c:v>
                </c:pt>
                <c:pt idx="16">
                  <c:v>0.47407407407407393</c:v>
                </c:pt>
                <c:pt idx="17">
                  <c:v>0.50370370370370354</c:v>
                </c:pt>
                <c:pt idx="18">
                  <c:v>0.53333333333333321</c:v>
                </c:pt>
                <c:pt idx="19">
                  <c:v>0.56296296296296289</c:v>
                </c:pt>
                <c:pt idx="20">
                  <c:v>0.59259259259259256</c:v>
                </c:pt>
                <c:pt idx="21">
                  <c:v>0.62222222222222223</c:v>
                </c:pt>
                <c:pt idx="22">
                  <c:v>0.6518518518518519</c:v>
                </c:pt>
                <c:pt idx="23">
                  <c:v>0.68148148148148158</c:v>
                </c:pt>
                <c:pt idx="24">
                  <c:v>0.71111111111111125</c:v>
                </c:pt>
                <c:pt idx="25">
                  <c:v>0.74074074074074092</c:v>
                </c:pt>
                <c:pt idx="26">
                  <c:v>0.77037037037037059</c:v>
                </c:pt>
                <c:pt idx="27">
                  <c:v>0.80000000000000027</c:v>
                </c:pt>
              </c:numCache>
            </c:numRef>
          </c:xVal>
          <c:yVal>
            <c:numRef>
              <c:f>'2023'!$I$4:$I$31</c:f>
              <c:numCache>
                <c:formatCode>0.00</c:formatCode>
                <c:ptCount val="28"/>
                <c:pt idx="0">
                  <c:v>0.49</c:v>
                </c:pt>
                <c:pt idx="1">
                  <c:v>0.49</c:v>
                </c:pt>
                <c:pt idx="2">
                  <c:v>0.49</c:v>
                </c:pt>
                <c:pt idx="3">
                  <c:v>0.49</c:v>
                </c:pt>
                <c:pt idx="4">
                  <c:v>0.49</c:v>
                </c:pt>
                <c:pt idx="5">
                  <c:v>0.49</c:v>
                </c:pt>
                <c:pt idx="6">
                  <c:v>0.49</c:v>
                </c:pt>
                <c:pt idx="7">
                  <c:v>0.49</c:v>
                </c:pt>
                <c:pt idx="8">
                  <c:v>0.49</c:v>
                </c:pt>
                <c:pt idx="9">
                  <c:v>0.49</c:v>
                </c:pt>
                <c:pt idx="10">
                  <c:v>0.49</c:v>
                </c:pt>
                <c:pt idx="11">
                  <c:v>0.49</c:v>
                </c:pt>
                <c:pt idx="12">
                  <c:v>0.49</c:v>
                </c:pt>
                <c:pt idx="13">
                  <c:v>0.49</c:v>
                </c:pt>
                <c:pt idx="14">
                  <c:v>0.49</c:v>
                </c:pt>
                <c:pt idx="15">
                  <c:v>0.49</c:v>
                </c:pt>
                <c:pt idx="16">
                  <c:v>0.49</c:v>
                </c:pt>
                <c:pt idx="17">
                  <c:v>0.49</c:v>
                </c:pt>
                <c:pt idx="18">
                  <c:v>0.49</c:v>
                </c:pt>
                <c:pt idx="19">
                  <c:v>0.49</c:v>
                </c:pt>
                <c:pt idx="20">
                  <c:v>0.49</c:v>
                </c:pt>
                <c:pt idx="21">
                  <c:v>0.49</c:v>
                </c:pt>
                <c:pt idx="22">
                  <c:v>0.49</c:v>
                </c:pt>
                <c:pt idx="23">
                  <c:v>0.49</c:v>
                </c:pt>
                <c:pt idx="24">
                  <c:v>0.49</c:v>
                </c:pt>
                <c:pt idx="25">
                  <c:v>0.49</c:v>
                </c:pt>
                <c:pt idx="26">
                  <c:v>0.49</c:v>
                </c:pt>
                <c:pt idx="27">
                  <c:v>0.49</c:v>
                </c:pt>
              </c:numCache>
            </c:numRef>
          </c:yVal>
          <c:smooth val="1"/>
          <c:extLst>
            <c:ext xmlns:c16="http://schemas.microsoft.com/office/drawing/2014/chart" uri="{C3380CC4-5D6E-409C-BE32-E72D297353CC}">
              <c16:uniqueId val="{00000020-4293-4FCD-A2A2-D02929817097}"/>
            </c:ext>
          </c:extLst>
        </c:ser>
        <c:dLbls>
          <c:showLegendKey val="0"/>
          <c:showVal val="0"/>
          <c:showCatName val="0"/>
          <c:showSerName val="0"/>
          <c:showPercent val="0"/>
          <c:showBubbleSize val="0"/>
        </c:dLbls>
        <c:axId val="-262788736"/>
        <c:axId val="-262793088"/>
      </c:scatterChart>
      <c:valAx>
        <c:axId val="-262788736"/>
        <c:scaling>
          <c:orientation val="minMax"/>
          <c:max val="0.8"/>
        </c:scaling>
        <c:delete val="0"/>
        <c:axPos val="b"/>
        <c:title>
          <c:tx>
            <c:rich>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sr-Latn-RS"/>
                  <a:t>Fiscal sub-index</a:t>
                </a:r>
                <a:endParaRPr lang="en-US"/>
              </a:p>
            </c:rich>
          </c:tx>
          <c:layout>
            <c:manualLayout>
              <c:xMode val="edge"/>
              <c:yMode val="edge"/>
              <c:x val="0.32836641954038248"/>
              <c:y val="0.947167457511862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2793088"/>
        <c:crosses val="autoZero"/>
        <c:crossBetween val="midCat"/>
      </c:valAx>
      <c:valAx>
        <c:axId val="-262793088"/>
        <c:scaling>
          <c:orientation val="minMax"/>
          <c:max val="0.60000000000000009"/>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sr-Latn-RS"/>
                  <a:t>Financial competitivness sub-index</a:t>
                </a:r>
                <a:endParaRPr lang="en-US"/>
              </a:p>
            </c:rich>
          </c:tx>
          <c:layout>
            <c:manualLayout>
              <c:xMode val="edge"/>
              <c:yMode val="edge"/>
              <c:x val="7.5251868585250346E-3"/>
              <c:y val="0.1547682919548133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2788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1.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0.59028</cdr:x>
      <cdr:y>0</cdr:y>
    </cdr:from>
    <cdr:to>
      <cdr:x>0.98015</cdr:x>
      <cdr:y>0.73863</cdr:y>
    </cdr:to>
    <cdr:sp macro="" textlink="">
      <cdr:nvSpPr>
        <cdr:cNvPr id="3" name="TextBox 2"/>
        <cdr:cNvSpPr txBox="1"/>
      </cdr:nvSpPr>
      <cdr:spPr>
        <a:xfrm xmlns:a="http://schemas.openxmlformats.org/drawingml/2006/main">
          <a:off x="1619250" y="0"/>
          <a:ext cx="1069497" cy="1560873"/>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en-GB" sz="750" b="1">
              <a:solidFill>
                <a:schemeClr val="tx2"/>
              </a:solidFill>
              <a:latin typeface="+mn-lt"/>
              <a:cs typeface="Arial" panose="020B0604020202020204" pitchFamily="34" charset="0"/>
            </a:rPr>
            <a:t>PROJECTION</a:t>
          </a:r>
        </a:p>
      </cdr:txBody>
    </cdr:sp>
  </cdr:relSizeAnchor>
</c:userShapes>
</file>

<file path=word/drawings/drawing10.xml><?xml version="1.0" encoding="utf-8"?>
<c:userShapes xmlns:c="http://schemas.openxmlformats.org/drawingml/2006/chart">
  <cdr:relSizeAnchor xmlns:cdr="http://schemas.openxmlformats.org/drawingml/2006/chartDrawing">
    <cdr:from>
      <cdr:x>0.04375</cdr:x>
      <cdr:y>0.88368</cdr:y>
    </cdr:from>
    <cdr:to>
      <cdr:x>0.16667</cdr:x>
      <cdr:y>0.93576</cdr:y>
    </cdr:to>
    <cdr:sp macro="" textlink="">
      <cdr:nvSpPr>
        <cdr:cNvPr id="2"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0.0019</cdr:x>
      <cdr:y>0.84022</cdr:y>
    </cdr:from>
    <cdr:to>
      <cdr:x>0.24868</cdr:x>
      <cdr:y>1</cdr:y>
    </cdr:to>
    <cdr:sp macro="" textlink="">
      <cdr:nvSpPr>
        <cdr:cNvPr id="3" name="TextBox 2"/>
        <cdr:cNvSpPr txBox="1"/>
      </cdr:nvSpPr>
      <cdr:spPr>
        <a:xfrm xmlns:a="http://schemas.openxmlformats.org/drawingml/2006/main">
          <a:off x="5240" y="1936750"/>
          <a:ext cx="680560" cy="368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0">
              <a:solidFill>
                <a:srgbClr val="44546A"/>
              </a:solidFill>
              <a:latin typeface="Times New Roman" panose="02020603050405020304" pitchFamily="18" charset="0"/>
              <a:cs typeface="Times New Roman" panose="02020603050405020304" pitchFamily="18" charset="0"/>
            </a:rPr>
            <a:t>procyclical</a:t>
          </a:r>
          <a:r>
            <a:rPr lang="sr-Cyrl-CS" sz="600" b="0" baseline="0">
              <a:solidFill>
                <a:srgbClr val="44546A"/>
              </a:solidFill>
              <a:latin typeface="Times New Roman" panose="02020603050405020304" pitchFamily="18" charset="0"/>
              <a:cs typeface="Times New Roman" panose="02020603050405020304" pitchFamily="18" charset="0"/>
            </a:rPr>
            <a:t> - </a:t>
          </a:r>
          <a:r>
            <a:rPr lang="en-US" sz="600" b="0" baseline="0">
              <a:solidFill>
                <a:srgbClr val="44546A"/>
              </a:solidFill>
              <a:latin typeface="Times New Roman" panose="02020603050405020304" pitchFamily="18" charset="0"/>
              <a:cs typeface="Times New Roman" panose="02020603050405020304" pitchFamily="18" charset="0"/>
            </a:rPr>
            <a:t>restrictive</a:t>
          </a:r>
          <a:endParaRPr lang="sr-Cyrl-CS" sz="600" b="0">
            <a:solidFill>
              <a:srgbClr val="44546A"/>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0.66875</cdr:x>
      <cdr:y>0.74826</cdr:y>
    </cdr:from>
    <cdr:to>
      <cdr:x>0.9125</cdr:x>
      <cdr:y>0.84549</cdr:y>
    </cdr:to>
    <cdr:sp macro="" textlink="">
      <cdr:nvSpPr>
        <cdr:cNvPr id="4"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0.7332</cdr:x>
      <cdr:y>0.01399</cdr:y>
    </cdr:from>
    <cdr:to>
      <cdr:x>1</cdr:x>
      <cdr:y>0.1361</cdr:y>
    </cdr:to>
    <cdr:sp macro="" textlink="">
      <cdr:nvSpPr>
        <cdr:cNvPr id="5" name="TextBox 1"/>
        <cdr:cNvSpPr txBox="1"/>
      </cdr:nvSpPr>
      <cdr:spPr>
        <a:xfrm xmlns:a="http://schemas.openxmlformats.org/drawingml/2006/main">
          <a:off x="2022035" y="32248"/>
          <a:ext cx="735770" cy="2814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600" b="0">
              <a:solidFill>
                <a:srgbClr val="44546A"/>
              </a:solidFill>
              <a:latin typeface="Times New Roman" panose="02020603050405020304" pitchFamily="18" charset="0"/>
              <a:cs typeface="Times New Roman" panose="02020603050405020304" pitchFamily="18" charset="0"/>
            </a:rPr>
            <a:t>procyclical</a:t>
          </a:r>
          <a:r>
            <a:rPr lang="sr-Cyrl-CS" sz="600" b="0" baseline="0">
              <a:latin typeface="Times New Roman" panose="02020603050405020304" pitchFamily="18" charset="0"/>
              <a:cs typeface="Times New Roman" panose="02020603050405020304" pitchFamily="18" charset="0"/>
            </a:rPr>
            <a:t> - </a:t>
          </a:r>
          <a:r>
            <a:rPr lang="en-US" sz="600" b="0" baseline="0">
              <a:solidFill>
                <a:srgbClr val="44546A"/>
              </a:solidFill>
              <a:latin typeface="Times New Roman" panose="02020603050405020304" pitchFamily="18" charset="0"/>
              <a:cs typeface="Times New Roman" panose="02020603050405020304" pitchFamily="18" charset="0"/>
            </a:rPr>
            <a:t>expansive</a:t>
          </a:r>
          <a:endParaRPr lang="sr-Cyrl-CS" sz="600" b="0">
            <a:solidFill>
              <a:srgbClr val="44546A"/>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0.76982</cdr:x>
      <cdr:y>0.84987</cdr:y>
    </cdr:from>
    <cdr:to>
      <cdr:x>1</cdr:x>
      <cdr:y>0.97198</cdr:y>
    </cdr:to>
    <cdr:sp macro="" textlink="">
      <cdr:nvSpPr>
        <cdr:cNvPr id="6" name="TextBox 1"/>
        <cdr:cNvSpPr txBox="1"/>
      </cdr:nvSpPr>
      <cdr:spPr>
        <a:xfrm xmlns:a="http://schemas.openxmlformats.org/drawingml/2006/main">
          <a:off x="3899045" y="3414653"/>
          <a:ext cx="1165834" cy="490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600" b="0">
              <a:solidFill>
                <a:srgbClr val="44546A"/>
              </a:solidFill>
              <a:latin typeface="Times New Roman" panose="02020603050405020304" pitchFamily="18" charset="0"/>
              <a:cs typeface="Times New Roman" panose="02020603050405020304" pitchFamily="18" charset="0"/>
            </a:rPr>
            <a:t>countercyclical</a:t>
          </a:r>
          <a:r>
            <a:rPr lang="sr-Cyrl-CS" sz="600" b="0" baseline="0">
              <a:solidFill>
                <a:srgbClr val="44546A"/>
              </a:solidFill>
              <a:latin typeface="Times New Roman" panose="02020603050405020304" pitchFamily="18" charset="0"/>
              <a:cs typeface="Times New Roman" panose="02020603050405020304" pitchFamily="18" charset="0"/>
            </a:rPr>
            <a:t> - </a:t>
          </a:r>
          <a:r>
            <a:rPr lang="en-US" sz="600" b="0" baseline="0">
              <a:solidFill>
                <a:srgbClr val="44546A"/>
              </a:solidFill>
              <a:latin typeface="Times New Roman" panose="02020603050405020304" pitchFamily="18" charset="0"/>
              <a:cs typeface="Times New Roman" panose="02020603050405020304" pitchFamily="18" charset="0"/>
            </a:rPr>
            <a:t>restrictive</a:t>
          </a:r>
        </a:p>
      </cdr:txBody>
    </cdr:sp>
  </cdr:relSizeAnchor>
  <cdr:relSizeAnchor xmlns:cdr="http://schemas.openxmlformats.org/drawingml/2006/chartDrawing">
    <cdr:from>
      <cdr:x>0</cdr:x>
      <cdr:y>0.0198</cdr:y>
    </cdr:from>
    <cdr:to>
      <cdr:x>0.25328</cdr:x>
      <cdr:y>0.14191</cdr:y>
    </cdr:to>
    <cdr:sp macro="" textlink="">
      <cdr:nvSpPr>
        <cdr:cNvPr id="7" name="TextBox 1"/>
        <cdr:cNvSpPr txBox="1"/>
      </cdr:nvSpPr>
      <cdr:spPr>
        <a:xfrm xmlns:a="http://schemas.openxmlformats.org/drawingml/2006/main">
          <a:off x="0" y="45640"/>
          <a:ext cx="698500" cy="2814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600" b="0">
              <a:solidFill>
                <a:srgbClr val="44546A"/>
              </a:solidFill>
              <a:latin typeface="Times New Roman" panose="02020603050405020304" pitchFamily="18" charset="0"/>
              <a:cs typeface="Times New Roman" panose="02020603050405020304" pitchFamily="18" charset="0"/>
            </a:rPr>
            <a:t>countercyclical</a:t>
          </a:r>
          <a:r>
            <a:rPr lang="sr-Cyrl-CS" sz="600" b="0" baseline="0">
              <a:solidFill>
                <a:srgbClr val="44546A"/>
              </a:solidFill>
              <a:latin typeface="Times New Roman" panose="02020603050405020304" pitchFamily="18" charset="0"/>
              <a:cs typeface="Times New Roman" panose="02020603050405020304" pitchFamily="18" charset="0"/>
            </a:rPr>
            <a:t>- </a:t>
          </a:r>
          <a:r>
            <a:rPr lang="en-US" sz="600" b="0" baseline="0">
              <a:solidFill>
                <a:srgbClr val="44546A"/>
              </a:solidFill>
              <a:latin typeface="Times New Roman" panose="02020603050405020304" pitchFamily="18" charset="0"/>
              <a:cs typeface="Times New Roman" panose="02020603050405020304" pitchFamily="18" charset="0"/>
            </a:rPr>
            <a:t>expansive</a:t>
          </a:r>
          <a:endParaRPr lang="sr-Cyrl-CS" sz="600" b="0">
            <a:solidFill>
              <a:srgbClr val="44546A"/>
            </a:solidFill>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0.86333</cdr:x>
      <cdr:y>0.04452</cdr:y>
    </cdr:from>
    <cdr:to>
      <cdr:x>1</cdr:x>
      <cdr:y>0.23529</cdr:y>
    </cdr:to>
    <cdr:sp macro="" textlink="">
      <cdr:nvSpPr>
        <cdr:cNvPr id="2" name="TextBox 1"/>
        <cdr:cNvSpPr txBox="1"/>
      </cdr:nvSpPr>
      <cdr:spPr>
        <a:xfrm xmlns:a="http://schemas.openxmlformats.org/drawingml/2006/main">
          <a:off x="6065520" y="21336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0.59722</cdr:x>
      <cdr:y>0</cdr:y>
    </cdr:from>
    <cdr:to>
      <cdr:x>0.98494</cdr:x>
      <cdr:y>0.6562</cdr:y>
    </cdr:to>
    <cdr:sp macro="" textlink="">
      <cdr:nvSpPr>
        <cdr:cNvPr id="3" name="TextBox 2"/>
        <cdr:cNvSpPr txBox="1"/>
      </cdr:nvSpPr>
      <cdr:spPr>
        <a:xfrm xmlns:a="http://schemas.openxmlformats.org/drawingml/2006/main">
          <a:off x="1638300" y="0"/>
          <a:ext cx="1063587" cy="1653624"/>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Latn-RS" sz="750" b="1">
              <a:solidFill>
                <a:schemeClr val="tx2"/>
              </a:solidFill>
              <a:latin typeface="+mn-lt"/>
              <a:cs typeface="Arial" panose="020B0604020202020204" pitchFamily="34" charset="0"/>
            </a:rPr>
            <a:t>PROJECTION</a:t>
          </a:r>
          <a:endParaRPr lang="en-GB" sz="750" b="1">
            <a:solidFill>
              <a:schemeClr val="tx2"/>
            </a:solidFill>
            <a:latin typeface="+mn-lt"/>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cdr:x>
      <cdr:y>0.00315</cdr:y>
    </cdr:from>
    <cdr:to>
      <cdr:x>0.97222</cdr:x>
      <cdr:y>0.78135</cdr:y>
    </cdr:to>
    <cdr:sp macro="" textlink="">
      <cdr:nvSpPr>
        <cdr:cNvPr id="3" name="TextBox 2"/>
        <cdr:cNvSpPr txBox="1"/>
      </cdr:nvSpPr>
      <cdr:spPr>
        <a:xfrm xmlns:a="http://schemas.openxmlformats.org/drawingml/2006/main">
          <a:off x="1371599" y="7258"/>
          <a:ext cx="1295395" cy="1792972"/>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en-GB" sz="750" b="1">
              <a:solidFill>
                <a:schemeClr val="tx2"/>
              </a:solidFill>
              <a:latin typeface="+mn-lt"/>
              <a:cs typeface="Arial" panose="020B0604020202020204" pitchFamily="34" charset="0"/>
            </a:rPr>
            <a:t>PROJECTION</a:t>
          </a:r>
        </a:p>
      </cdr:txBody>
    </cdr:sp>
  </cdr:relSizeAnchor>
</c:userShapes>
</file>

<file path=word/drawings/drawing4.xml><?xml version="1.0" encoding="utf-8"?>
<c:userShapes xmlns:c="http://schemas.openxmlformats.org/drawingml/2006/chart">
  <cdr:relSizeAnchor xmlns:cdr="http://schemas.openxmlformats.org/drawingml/2006/chartDrawing">
    <cdr:from>
      <cdr:x>0.11927</cdr:x>
      <cdr:y>0.54755</cdr:y>
    </cdr:from>
    <cdr:to>
      <cdr:x>0.99582</cdr:x>
      <cdr:y>0.54919</cdr:y>
    </cdr:to>
    <cdr:cxnSp macro="">
      <cdr:nvCxnSpPr>
        <cdr:cNvPr id="3" name="Straight Connector 2">
          <a:extLst xmlns:a="http://schemas.openxmlformats.org/drawingml/2006/main">
            <a:ext uri="{FF2B5EF4-FFF2-40B4-BE49-F238E27FC236}">
              <a16:creationId xmlns:a16="http://schemas.microsoft.com/office/drawing/2014/main" id="{AF97C602-EDF0-713A-5812-4788E2BCD26B}"/>
            </a:ext>
          </a:extLst>
        </cdr:cNvPr>
        <cdr:cNvCxnSpPr/>
      </cdr:nvCxnSpPr>
      <cdr:spPr>
        <a:xfrm xmlns:a="http://schemas.openxmlformats.org/drawingml/2006/main" flipV="1">
          <a:off x="544187" y="2511589"/>
          <a:ext cx="3999238" cy="7522"/>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0.5994</cdr:x>
      <cdr:y>0.31197</cdr:y>
    </cdr:from>
    <cdr:to>
      <cdr:x>0.5994</cdr:x>
      <cdr:y>0.34818</cdr:y>
    </cdr:to>
    <cdr:cxnSp macro="">
      <cdr:nvCxnSpPr>
        <cdr:cNvPr id="3"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0.5994</cdr:x>
      <cdr:y>0.31197</cdr:y>
    </cdr:from>
    <cdr:to>
      <cdr:x>0.5994</cdr:x>
      <cdr:y>0.34818</cdr:y>
    </cdr:to>
    <cdr:cxnSp macro="">
      <cdr:nvCxnSpPr>
        <cdr:cNvPr id="2"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0.54172</cdr:x>
      <cdr:y>0.08091</cdr:y>
    </cdr:from>
    <cdr:to>
      <cdr:x>0.80075</cdr:x>
      <cdr:y>0.12157</cdr:y>
    </cdr:to>
    <cdr:sp macro="" textlink="">
      <cdr:nvSpPr>
        <cdr:cNvPr id="4" name="Text Box 94"/>
        <cdr:cNvSpPr txBox="1"/>
      </cdr:nvSpPr>
      <cdr:spPr>
        <a:xfrm xmlns:a="http://schemas.openxmlformats.org/drawingml/2006/main">
          <a:off x="3625439" y="417046"/>
          <a:ext cx="1733550" cy="2095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07000"/>
            </a:lnSpc>
            <a:spcAft>
              <a:spcPts val="800"/>
            </a:spcAft>
          </a:pPr>
          <a:r>
            <a:rPr lang="sr-Latn-RS" sz="700" b="1">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Fiscal</a:t>
          </a:r>
          <a:r>
            <a:rPr lang="sr-Latn-RS" sz="700" b="1" baseline="0">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 sub-index threshold</a:t>
          </a:r>
          <a:r>
            <a:rPr lang="sr-Cyrl-RS" sz="700" b="1">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 (0</a:t>
          </a:r>
          <a:r>
            <a:rPr lang="sr-Latn-RS" sz="700" b="1">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a:t>
          </a:r>
          <a:r>
            <a:rPr lang="sr-Cyrl-RS" sz="700" b="1">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36)</a:t>
          </a:r>
          <a:endParaRPr lang="en-GB" sz="1000">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0.511</cdr:x>
      <cdr:y>0.11032</cdr:y>
    </cdr:from>
    <cdr:to>
      <cdr:x>0.53947</cdr:x>
      <cdr:y>0.12696</cdr:y>
    </cdr:to>
    <cdr:cxnSp macro="">
      <cdr:nvCxnSpPr>
        <cdr:cNvPr id="5" name="Straight Arrow Connector 4"/>
        <cdr:cNvCxnSpPr/>
      </cdr:nvCxnSpPr>
      <cdr:spPr>
        <a:xfrm xmlns:a="http://schemas.openxmlformats.org/drawingml/2006/main" flipV="1">
          <a:off x="3419886" y="568624"/>
          <a:ext cx="190500" cy="85725"/>
        </a:xfrm>
        <a:prstGeom xmlns:a="http://schemas.openxmlformats.org/drawingml/2006/main" prst="straightConnector1">
          <a:avLst/>
        </a:prstGeom>
        <a:ln xmlns:a="http://schemas.openxmlformats.org/drawingml/2006/main">
          <a:solidFill>
            <a:schemeClr val="tx1">
              <a:lumMod val="75000"/>
              <a:lumOff val="25000"/>
            </a:schemeClr>
          </a:solidFill>
          <a:prstDash val="sys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0.64928</cdr:x>
      <cdr:y>0.26085</cdr:y>
    </cdr:from>
    <cdr:to>
      <cdr:x>0.96929</cdr:x>
      <cdr:y>0.33597</cdr:y>
    </cdr:to>
    <cdr:sp macro="" textlink="">
      <cdr:nvSpPr>
        <cdr:cNvPr id="6" name="Text Box 96"/>
        <cdr:cNvSpPr txBox="1"/>
      </cdr:nvSpPr>
      <cdr:spPr>
        <a:xfrm xmlns:a="http://schemas.openxmlformats.org/drawingml/2006/main">
          <a:off x="3739082" y="1144404"/>
          <a:ext cx="1842851" cy="32955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07000"/>
            </a:lnSpc>
            <a:spcAft>
              <a:spcPts val="800"/>
            </a:spcAft>
          </a:pPr>
          <a:r>
            <a:rPr lang="sr-Latn-RS" sz="700" b="1">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Financial</a:t>
          </a:r>
          <a:r>
            <a:rPr lang="sr-Latn-RS" sz="700" b="1">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rPr>
            <a:t> </a:t>
          </a:r>
          <a:r>
            <a:rPr lang="sr-Latn-RS" sz="700" b="1">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competitivness</a:t>
          </a:r>
          <a:r>
            <a:rPr lang="sr-Latn-RS" sz="700" b="1" baseline="0">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rPr>
            <a:t> sub-index </a:t>
          </a:r>
          <a:r>
            <a:rPr lang="sr-Latn-RS" sz="700" b="1" baseline="0">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threshold </a:t>
          </a:r>
          <a:r>
            <a:rPr lang="sr-Cyrl-RS" sz="700" b="1">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(0</a:t>
          </a:r>
          <a:r>
            <a:rPr lang="sr-Latn-RS" sz="700" b="1">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a:t>
          </a:r>
          <a:r>
            <a:rPr lang="sr-Cyrl-RS" sz="700" b="1">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49)</a:t>
          </a:r>
          <a:endParaRPr lang="en-GB" sz="1000">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0.91728</cdr:x>
      <cdr:y>0.24173</cdr:y>
    </cdr:from>
    <cdr:to>
      <cdr:x>0.94693</cdr:x>
      <cdr:y>0.26079</cdr:y>
    </cdr:to>
    <cdr:cxnSp macro="">
      <cdr:nvCxnSpPr>
        <cdr:cNvPr id="8" name="Straight Arrow Connector 7"/>
        <cdr:cNvCxnSpPr/>
      </cdr:nvCxnSpPr>
      <cdr:spPr>
        <a:xfrm xmlns:a="http://schemas.openxmlformats.org/drawingml/2006/main" flipH="1">
          <a:off x="6138919" y="1245908"/>
          <a:ext cx="198381" cy="98237"/>
        </a:xfrm>
        <a:prstGeom xmlns:a="http://schemas.openxmlformats.org/drawingml/2006/main" prst="straightConnector1">
          <a:avLst/>
        </a:prstGeom>
        <a:ln xmlns:a="http://schemas.openxmlformats.org/drawingml/2006/main">
          <a:solidFill>
            <a:schemeClr val="tx1">
              <a:lumMod val="75000"/>
              <a:lumOff val="25000"/>
            </a:schemeClr>
          </a:solidFill>
          <a:prstDash val="sys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0.83237</cdr:x>
      <cdr:y>0.04452</cdr:y>
    </cdr:from>
    <cdr:to>
      <cdr:x>0.96904</cdr:x>
      <cdr:y>0.10408</cdr:y>
    </cdr:to>
    <cdr:sp macro="" textlink="">
      <cdr:nvSpPr>
        <cdr:cNvPr id="2" name="TextBox 1"/>
        <cdr:cNvSpPr txBox="1"/>
      </cdr:nvSpPr>
      <cdr:spPr>
        <a:xfrm xmlns:a="http://schemas.openxmlformats.org/drawingml/2006/main">
          <a:off x="5378606" y="170300"/>
          <a:ext cx="883129" cy="2278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latin typeface="+mj-lt"/>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0.86818</cdr:x>
      <cdr:y>0.08972</cdr:y>
    </cdr:from>
    <cdr:to>
      <cdr:x>0.86944</cdr:x>
      <cdr:y>0.91432</cdr:y>
    </cdr:to>
    <cdr:cxnSp macro="">
      <cdr:nvCxnSpPr>
        <cdr:cNvPr id="3" name="Straight Connector 2"/>
        <cdr:cNvCxnSpPr/>
      </cdr:nvCxnSpPr>
      <cdr:spPr>
        <a:xfrm xmlns:a="http://schemas.openxmlformats.org/drawingml/2006/main">
          <a:off x="5654640" y="399551"/>
          <a:ext cx="8206" cy="3672244"/>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0.11452</cdr:x>
      <cdr:y>0.17764</cdr:y>
    </cdr:from>
    <cdr:to>
      <cdr:x>0.35008</cdr:x>
      <cdr:y>0.61215</cdr:y>
    </cdr:to>
    <cdr:sp macro="" textlink="">
      <cdr:nvSpPr>
        <cdr:cNvPr id="11" name="Oval 10"/>
        <cdr:cNvSpPr/>
      </cdr:nvSpPr>
      <cdr:spPr>
        <a:xfrm xmlns:a="http://schemas.openxmlformats.org/drawingml/2006/main">
          <a:off x="803889" y="807111"/>
          <a:ext cx="1653561" cy="1974189"/>
        </a:xfrm>
        <a:prstGeom xmlns:a="http://schemas.openxmlformats.org/drawingml/2006/main" prst="ellipse">
          <a:avLst/>
        </a:prstGeom>
        <a:solidFill xmlns:a="http://schemas.openxmlformats.org/drawingml/2006/main">
          <a:srgbClr val="51BBE7">
            <a:alpha val="16000"/>
          </a:srgbClr>
        </a:solidFill>
        <a:ln xmlns:a="http://schemas.openxmlformats.org/drawingml/2006/main">
          <a:solidFill>
            <a:srgbClr val="29489A">
              <a:alpha val="50000"/>
            </a:srgb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0.02763</cdr:x>
      <cdr:y>0.29509</cdr:y>
    </cdr:from>
    <cdr:to>
      <cdr:x>0.22627</cdr:x>
      <cdr:y>0.36175</cdr:y>
    </cdr:to>
    <cdr:sp macro="" textlink="">
      <cdr:nvSpPr>
        <cdr:cNvPr id="6" name="TextBox 5"/>
        <cdr:cNvSpPr txBox="1"/>
      </cdr:nvSpPr>
      <cdr:spPr>
        <a:xfrm xmlns:a="http://schemas.openxmlformats.org/drawingml/2006/main">
          <a:off x="76200" y="728917"/>
          <a:ext cx="547809" cy="164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i="0" u="none" strike="noStrike" kern="1200" baseline="0">
              <a:solidFill>
                <a:srgbClr val="44546A"/>
              </a:solidFill>
              <a:effectLst/>
              <a:latin typeface="Times New Roman" panose="02020603050405020304" pitchFamily="18" charset="0"/>
              <a:ea typeface="+mn-ea"/>
              <a:cs typeface="Times New Roman" panose="02020603050405020304" pitchFamily="18" charset="0"/>
            </a:rPr>
            <a:t>Expansive</a:t>
          </a:r>
          <a:endParaRPr lang="en-US" sz="600"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0.40751</cdr:x>
      <cdr:y>0.65405</cdr:y>
    </cdr:from>
    <cdr:to>
      <cdr:x>0.62169</cdr:x>
      <cdr:y>0.73522</cdr:y>
    </cdr:to>
    <cdr:sp macro="" textlink="">
      <cdr:nvSpPr>
        <cdr:cNvPr id="7" name="TextBox 6"/>
        <cdr:cNvSpPr txBox="1"/>
      </cdr:nvSpPr>
      <cdr:spPr>
        <a:xfrm xmlns:a="http://schemas.openxmlformats.org/drawingml/2006/main">
          <a:off x="1123832" y="1615602"/>
          <a:ext cx="590667" cy="2004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baseline="0">
              <a:solidFill>
                <a:srgbClr val="44546A"/>
              </a:solidFill>
              <a:latin typeface="Times New Roman" panose="02020603050405020304" pitchFamily="18" charset="0"/>
              <a:cs typeface="Times New Roman" panose="02020603050405020304" pitchFamily="18" charset="0"/>
            </a:rPr>
            <a:t>Restrictive</a:t>
          </a:r>
        </a:p>
      </cdr:txBody>
    </cdr:sp>
  </cdr:relSizeAnchor>
  <cdr:relSizeAnchor xmlns:cdr="http://schemas.openxmlformats.org/drawingml/2006/chartDrawing">
    <cdr:from>
      <cdr:x>0.3528</cdr:x>
      <cdr:y>0.24444</cdr:y>
    </cdr:from>
    <cdr:to>
      <cdr:x>0.43828</cdr:x>
      <cdr:y>0.66665</cdr:y>
    </cdr:to>
    <cdr:sp macro="" textlink="">
      <cdr:nvSpPr>
        <cdr:cNvPr id="12" name="Oval 11"/>
        <cdr:cNvSpPr/>
      </cdr:nvSpPr>
      <cdr:spPr>
        <a:xfrm xmlns:a="http://schemas.openxmlformats.org/drawingml/2006/main">
          <a:off x="2476500" y="1110618"/>
          <a:ext cx="600076" cy="1918332"/>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latin typeface="Cambria" pitchFamily="18" charset="0"/>
          </a:endParaRPr>
        </a:p>
      </cdr:txBody>
    </cdr:sp>
  </cdr:relSizeAnchor>
  <cdr:relSizeAnchor xmlns:cdr="http://schemas.openxmlformats.org/drawingml/2006/chartDrawing">
    <cdr:from>
      <cdr:x>0.56041</cdr:x>
      <cdr:y>0.13825</cdr:y>
    </cdr:from>
    <cdr:to>
      <cdr:x>0.72635</cdr:x>
      <cdr:y>0.19124</cdr:y>
    </cdr:to>
    <cdr:sp macro="" textlink="">
      <cdr:nvSpPr>
        <cdr:cNvPr id="17" name="TextBox 16"/>
        <cdr:cNvSpPr txBox="1"/>
      </cdr:nvSpPr>
      <cdr:spPr>
        <a:xfrm xmlns:a="http://schemas.openxmlformats.org/drawingml/2006/main">
          <a:off x="3667126" y="571500"/>
          <a:ext cx="1085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0.17307</cdr:x>
      <cdr:y>0.26119</cdr:y>
    </cdr:from>
    <cdr:to>
      <cdr:x>0.37071</cdr:x>
      <cdr:y>0.33152</cdr:y>
    </cdr:to>
    <cdr:sp macro="" textlink="">
      <cdr:nvSpPr>
        <cdr:cNvPr id="18" name="TextBox 17"/>
        <cdr:cNvSpPr txBox="1"/>
      </cdr:nvSpPr>
      <cdr:spPr>
        <a:xfrm xmlns:a="http://schemas.openxmlformats.org/drawingml/2006/main">
          <a:off x="477284" y="645168"/>
          <a:ext cx="545066" cy="1737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baseline="0">
              <a:solidFill>
                <a:srgbClr val="44546A"/>
              </a:solidFill>
              <a:latin typeface="Times New Roman" panose="02020603050405020304" pitchFamily="18" charset="0"/>
              <a:cs typeface="Times New Roman" panose="02020603050405020304" pitchFamily="18" charset="0"/>
            </a:rPr>
            <a:t>Procyclical</a:t>
          </a:r>
        </a:p>
      </cdr:txBody>
    </cdr:sp>
  </cdr:relSizeAnchor>
  <cdr:relSizeAnchor xmlns:cdr="http://schemas.openxmlformats.org/drawingml/2006/chartDrawing">
    <cdr:from>
      <cdr:x>0.29012</cdr:x>
      <cdr:y>0.30308</cdr:y>
    </cdr:from>
    <cdr:to>
      <cdr:x>0.55722</cdr:x>
      <cdr:y>0.41902</cdr:y>
    </cdr:to>
    <cdr:sp macro="" textlink="">
      <cdr:nvSpPr>
        <cdr:cNvPr id="19" name="TextBox 18"/>
        <cdr:cNvSpPr txBox="1"/>
      </cdr:nvSpPr>
      <cdr:spPr>
        <a:xfrm xmlns:a="http://schemas.openxmlformats.org/drawingml/2006/main">
          <a:off x="800100" y="748646"/>
          <a:ext cx="736600" cy="286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baseline="0">
              <a:solidFill>
                <a:srgbClr val="44546A"/>
              </a:solidFill>
              <a:latin typeface="Times New Roman" panose="02020603050405020304" pitchFamily="18" charset="0"/>
              <a:cs typeface="Times New Roman" panose="02020603050405020304" pitchFamily="18" charset="0"/>
            </a:rPr>
            <a:t>Countercyclical</a:t>
          </a:r>
        </a:p>
      </cdr:txBody>
    </cdr:sp>
  </cdr:relSizeAnchor>
  <cdr:relSizeAnchor xmlns:cdr="http://schemas.openxmlformats.org/drawingml/2006/chartDrawing">
    <cdr:from>
      <cdr:x>0.44371</cdr:x>
      <cdr:y>0.1902</cdr:y>
    </cdr:from>
    <cdr:to>
      <cdr:x>0.66226</cdr:x>
      <cdr:y>0.71697</cdr:y>
    </cdr:to>
    <cdr:sp macro="" textlink="">
      <cdr:nvSpPr>
        <cdr:cNvPr id="10" name="Oval 9"/>
        <cdr:cNvSpPr/>
      </cdr:nvSpPr>
      <cdr:spPr>
        <a:xfrm xmlns:a="http://schemas.openxmlformats.org/drawingml/2006/main">
          <a:off x="3178081" y="864177"/>
          <a:ext cx="1565370" cy="2393373"/>
        </a:xfrm>
        <a:prstGeom xmlns:a="http://schemas.openxmlformats.org/drawingml/2006/main" prst="ellipse">
          <a:avLst/>
        </a:prstGeom>
        <a:solidFill xmlns:a="http://schemas.openxmlformats.org/drawingml/2006/main">
          <a:srgbClr val="51BBE7">
            <a:alpha val="15000"/>
          </a:srgbClr>
        </a:solidFill>
        <a:ln xmlns:a="http://schemas.openxmlformats.org/drawingml/2006/main">
          <a:solidFill>
            <a:schemeClr val="accent1">
              <a:shade val="50000"/>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0.46281</cdr:x>
      <cdr:y>0.258</cdr:y>
    </cdr:from>
    <cdr:to>
      <cdr:x>0.70688</cdr:x>
      <cdr:y>0.34961</cdr:y>
    </cdr:to>
    <cdr:sp macro="" textlink="">
      <cdr:nvSpPr>
        <cdr:cNvPr id="13" name="TextBox 12"/>
        <cdr:cNvSpPr txBox="1"/>
      </cdr:nvSpPr>
      <cdr:spPr>
        <a:xfrm xmlns:a="http://schemas.openxmlformats.org/drawingml/2006/main">
          <a:off x="1276350" y="637288"/>
          <a:ext cx="673099" cy="2263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baseline="0">
              <a:solidFill>
                <a:srgbClr val="44546A"/>
              </a:solidFill>
              <a:latin typeface="+mn-lt"/>
            </a:rPr>
            <a:t>Procyclical</a:t>
          </a:r>
        </a:p>
      </cdr:txBody>
    </cdr:sp>
  </cdr:relSizeAnchor>
  <cdr:relSizeAnchor xmlns:cdr="http://schemas.openxmlformats.org/drawingml/2006/chartDrawing">
    <cdr:from>
      <cdr:x>0.52729</cdr:x>
      <cdr:y>0.13355</cdr:y>
    </cdr:from>
    <cdr:to>
      <cdr:x>0.75358</cdr:x>
      <cdr:y>0.20021</cdr:y>
    </cdr:to>
    <cdr:sp macro="" textlink="">
      <cdr:nvSpPr>
        <cdr:cNvPr id="15" name="TextBox 1"/>
        <cdr:cNvSpPr txBox="1"/>
      </cdr:nvSpPr>
      <cdr:spPr>
        <a:xfrm xmlns:a="http://schemas.openxmlformats.org/drawingml/2006/main">
          <a:off x="1454151" y="329890"/>
          <a:ext cx="624086" cy="1646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600" b="1" i="0" u="none" strike="noStrike" kern="1200" baseline="0">
              <a:solidFill>
                <a:srgbClr val="44546A"/>
              </a:solidFill>
              <a:effectLst/>
              <a:latin typeface="Times New Roman" panose="02020603050405020304" pitchFamily="18" charset="0"/>
              <a:ea typeface="+mn-ea"/>
              <a:cs typeface="Times New Roman" panose="02020603050405020304" pitchFamily="18" charset="0"/>
            </a:rPr>
            <a:t>Expansive</a:t>
          </a:r>
          <a:endParaRPr lang="en-US" sz="600"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0.6596</cdr:x>
      <cdr:y>0.06708</cdr:y>
    </cdr:from>
    <cdr:to>
      <cdr:x>0.86972</cdr:x>
      <cdr:y>0.74263</cdr:y>
    </cdr:to>
    <cdr:sp macro="" textlink="">
      <cdr:nvSpPr>
        <cdr:cNvPr id="16" name="Oval 15"/>
        <cdr:cNvSpPr/>
      </cdr:nvSpPr>
      <cdr:spPr>
        <a:xfrm xmlns:a="http://schemas.openxmlformats.org/drawingml/2006/main">
          <a:off x="4724401" y="304779"/>
          <a:ext cx="1504950" cy="3069375"/>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effectLst/>
          </a:endParaRPr>
        </a:p>
      </cdr:txBody>
    </cdr:sp>
  </cdr:relSizeAnchor>
  <cdr:relSizeAnchor xmlns:cdr="http://schemas.openxmlformats.org/drawingml/2006/chartDrawing">
    <cdr:from>
      <cdr:x>0.711</cdr:x>
      <cdr:y>0.54416</cdr:y>
    </cdr:from>
    <cdr:to>
      <cdr:x>0.97628</cdr:x>
      <cdr:y>0.68123</cdr:y>
    </cdr:to>
    <cdr:sp macro="" textlink="">
      <cdr:nvSpPr>
        <cdr:cNvPr id="20" name="TextBox 1"/>
        <cdr:cNvSpPr txBox="1"/>
      </cdr:nvSpPr>
      <cdr:spPr>
        <a:xfrm xmlns:a="http://schemas.openxmlformats.org/drawingml/2006/main">
          <a:off x="1960799" y="1344156"/>
          <a:ext cx="731601" cy="3385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600" b="1" baseline="0">
              <a:solidFill>
                <a:srgbClr val="44546A"/>
              </a:solidFill>
              <a:latin typeface="Times New Roman" panose="02020603050405020304" pitchFamily="18" charset="0"/>
              <a:cs typeface="Times New Roman" panose="02020603050405020304" pitchFamily="18" charset="0"/>
            </a:rPr>
            <a:t>Countercyclical</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0A7"/>
    <w:rsid w:val="00012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A77117BDB8459CA1BD7B7ECDB29FAA">
    <w:name w:val="54A77117BDB8459CA1BD7B7ECDB29FAA"/>
    <w:rsid w:val="000120A7"/>
  </w:style>
  <w:style w:type="paragraph" w:customStyle="1" w:styleId="9B1B268819F14FF696838A0CCDE5AB30">
    <w:name w:val="9B1B268819F14FF696838A0CCDE5AB30"/>
    <w:rsid w:val="000120A7"/>
  </w:style>
  <w:style w:type="paragraph" w:customStyle="1" w:styleId="35726B4E96C745C4BBAB9882149777C9">
    <w:name w:val="35726B4E96C745C4BBAB9882149777C9"/>
    <w:rsid w:val="000120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9E392-9B23-4CB7-9A4F-8304A622D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103</Pages>
  <Words>39841</Words>
  <Characters>227098</Characters>
  <Application>Microsoft Office Word</Application>
  <DocSecurity>0</DocSecurity>
  <Lines>1892</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Terzic</dc:creator>
  <cp:lastModifiedBy>Ognjen Jančić</cp:lastModifiedBy>
  <cp:revision>40</cp:revision>
  <cp:lastPrinted>2024-12-18T12:59:00Z</cp:lastPrinted>
  <dcterms:created xsi:type="dcterms:W3CDTF">2025-01-13T14:16:00Z</dcterms:created>
  <dcterms:modified xsi:type="dcterms:W3CDTF">2025-03-18T09:04:00Z</dcterms:modified>
</cp:coreProperties>
</file>