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271" w:rsidRPr="00385E71" w:rsidRDefault="000C3271" w:rsidP="000C3271">
      <w:pPr>
        <w:pStyle w:val="Heading1a"/>
        <w:keepNext w:val="0"/>
        <w:keepLines w:val="0"/>
        <w:tabs>
          <w:tab w:val="clear" w:pos="-720"/>
        </w:tabs>
        <w:suppressAutoHyphens w:val="0"/>
        <w:rPr>
          <w:rFonts w:ascii="Arial" w:hAnsi="Arial" w:cs="Arial"/>
          <w:bCs/>
          <w:smallCaps w:val="0"/>
          <w:sz w:val="22"/>
          <w:szCs w:val="22"/>
        </w:rPr>
      </w:pPr>
      <w:r w:rsidRPr="00385E71">
        <w:rPr>
          <w:rFonts w:ascii="Arial" w:hAnsi="Arial" w:cs="Arial"/>
          <w:bCs/>
          <w:smallCaps w:val="0"/>
          <w:sz w:val="22"/>
          <w:szCs w:val="22"/>
        </w:rPr>
        <w:t>REQUEST FOR EXPRESSIONS OF INTEREST</w:t>
      </w:r>
    </w:p>
    <w:p w:rsidR="000C3271" w:rsidRPr="00385E71" w:rsidRDefault="000C3271" w:rsidP="000C3271">
      <w:pPr>
        <w:pStyle w:val="Heading1a"/>
        <w:keepNext w:val="0"/>
        <w:keepLines w:val="0"/>
        <w:tabs>
          <w:tab w:val="clear" w:pos="-720"/>
        </w:tabs>
        <w:suppressAutoHyphens w:val="0"/>
        <w:rPr>
          <w:rFonts w:ascii="Arial" w:hAnsi="Arial" w:cs="Arial"/>
          <w:spacing w:val="-2"/>
          <w:sz w:val="22"/>
          <w:szCs w:val="22"/>
        </w:rPr>
      </w:pPr>
    </w:p>
    <w:p w:rsidR="000C3271" w:rsidRPr="00385E71" w:rsidRDefault="000C3271" w:rsidP="000C3271">
      <w:pPr>
        <w:pStyle w:val="ChapterNumber"/>
        <w:tabs>
          <w:tab w:val="clear" w:pos="-720"/>
        </w:tabs>
        <w:rPr>
          <w:rFonts w:ascii="Arial" w:hAnsi="Arial" w:cs="Arial"/>
          <w:spacing w:val="-2"/>
          <w:szCs w:val="22"/>
        </w:rPr>
      </w:pPr>
    </w:p>
    <w:p w:rsidR="000C3271" w:rsidRPr="00385E71" w:rsidRDefault="000C3271" w:rsidP="000C3271">
      <w:pPr>
        <w:suppressAutoHyphens/>
        <w:rPr>
          <w:rFonts w:ascii="Arial" w:hAnsi="Arial" w:cs="Arial"/>
          <w:b/>
          <w:spacing w:val="-2"/>
          <w:szCs w:val="22"/>
        </w:rPr>
      </w:pPr>
      <w:r w:rsidRPr="00385E71">
        <w:rPr>
          <w:rFonts w:ascii="Arial" w:hAnsi="Arial" w:cs="Arial"/>
          <w:b/>
          <w:spacing w:val="-2"/>
          <w:szCs w:val="22"/>
        </w:rPr>
        <w:t>Republic of Serbia</w:t>
      </w:r>
    </w:p>
    <w:p w:rsidR="000C3271" w:rsidRPr="00385E71" w:rsidRDefault="000C3271" w:rsidP="000C3271">
      <w:pPr>
        <w:suppressAutoHyphens/>
        <w:rPr>
          <w:rFonts w:ascii="Arial" w:hAnsi="Arial" w:cs="Arial"/>
          <w:b/>
          <w:spacing w:val="-2"/>
          <w:szCs w:val="22"/>
        </w:rPr>
      </w:pPr>
      <w:r w:rsidRPr="00385E71">
        <w:rPr>
          <w:rFonts w:ascii="Arial" w:hAnsi="Arial" w:cs="Arial"/>
          <w:b/>
          <w:spacing w:val="-2"/>
          <w:szCs w:val="22"/>
        </w:rPr>
        <w:t>STATE OWNED FINANCIAL INSTITUTIONS STRENGTHENING PROJECT (SOFI)</w:t>
      </w:r>
    </w:p>
    <w:p w:rsidR="000C3271" w:rsidRPr="00385E71" w:rsidRDefault="000C3271" w:rsidP="000C3271">
      <w:pPr>
        <w:pStyle w:val="BodyText"/>
        <w:rPr>
          <w:rFonts w:ascii="Arial" w:hAnsi="Arial" w:cs="Arial"/>
          <w:sz w:val="22"/>
          <w:szCs w:val="22"/>
        </w:rPr>
      </w:pPr>
      <w:r w:rsidRPr="00385E71">
        <w:rPr>
          <w:rFonts w:ascii="Arial" w:hAnsi="Arial" w:cs="Arial"/>
          <w:sz w:val="22"/>
          <w:szCs w:val="22"/>
        </w:rPr>
        <w:t>Project ID No. P156837</w:t>
      </w:r>
    </w:p>
    <w:p w:rsidR="000C3271" w:rsidRPr="00385E71" w:rsidRDefault="000C3271" w:rsidP="000C3271">
      <w:pPr>
        <w:suppressAutoHyphens/>
        <w:rPr>
          <w:rFonts w:ascii="Arial" w:hAnsi="Arial" w:cs="Arial"/>
          <w:spacing w:val="-2"/>
          <w:szCs w:val="22"/>
        </w:rPr>
      </w:pPr>
      <w:r w:rsidRPr="00385E71" w:rsidDel="00EC50B8">
        <w:rPr>
          <w:rFonts w:ascii="Arial" w:hAnsi="Arial" w:cs="Arial"/>
          <w:spacing w:val="-2"/>
          <w:szCs w:val="22"/>
        </w:rPr>
        <w:t xml:space="preserve"> </w:t>
      </w:r>
    </w:p>
    <w:p w:rsidR="000C3271" w:rsidRPr="00385E71" w:rsidRDefault="000C3271" w:rsidP="000C3271">
      <w:pPr>
        <w:pStyle w:val="BodyText"/>
        <w:rPr>
          <w:rFonts w:ascii="Arial" w:hAnsi="Arial" w:cs="Arial"/>
          <w:b/>
          <w:sz w:val="22"/>
          <w:szCs w:val="22"/>
        </w:rPr>
      </w:pPr>
      <w:r w:rsidRPr="00385E71">
        <w:rPr>
          <w:rFonts w:ascii="Arial" w:hAnsi="Arial" w:cs="Arial"/>
          <w:b/>
          <w:sz w:val="22"/>
          <w:szCs w:val="22"/>
        </w:rPr>
        <w:t xml:space="preserve">Assignment Title: </w:t>
      </w:r>
      <w:bookmarkStart w:id="0" w:name="_GoBack"/>
      <w:bookmarkEnd w:id="0"/>
    </w:p>
    <w:p w:rsidR="00D34990" w:rsidRDefault="00D34990" w:rsidP="000C3271">
      <w:pPr>
        <w:suppressAutoHyphens/>
        <w:jc w:val="both"/>
        <w:rPr>
          <w:rFonts w:ascii="Arial" w:hAnsi="Arial" w:cs="Arial"/>
          <w:b/>
          <w:spacing w:val="-2"/>
          <w:szCs w:val="22"/>
        </w:rPr>
      </w:pPr>
      <w:r w:rsidRPr="00D34990">
        <w:rPr>
          <w:rFonts w:ascii="Arial" w:hAnsi="Arial" w:cs="Arial"/>
          <w:b/>
          <w:bCs/>
          <w:noProof/>
          <w:szCs w:val="22"/>
        </w:rPr>
        <w:t>Consultancy Services to assist the Ministry of Finance in Undertaking the Analysis and Evaluation of the Guarantee Schemes, as measures of support to the economy for mitigating the consequences and negative impact of the COVID-19 pandemic</w:t>
      </w:r>
    </w:p>
    <w:p w:rsidR="00D34990" w:rsidRDefault="00D34990" w:rsidP="000C3271">
      <w:pPr>
        <w:suppressAutoHyphens/>
        <w:jc w:val="both"/>
        <w:rPr>
          <w:rFonts w:ascii="Arial" w:hAnsi="Arial" w:cs="Arial"/>
          <w:b/>
          <w:spacing w:val="-2"/>
          <w:szCs w:val="22"/>
        </w:rPr>
      </w:pPr>
    </w:p>
    <w:p w:rsidR="000C3271" w:rsidRPr="00385E71" w:rsidRDefault="00385E71" w:rsidP="000C3271">
      <w:pPr>
        <w:suppressAutoHyphens/>
        <w:jc w:val="both"/>
        <w:rPr>
          <w:rFonts w:ascii="Arial" w:hAnsi="Arial" w:cs="Arial"/>
          <w:b/>
          <w:spacing w:val="-2"/>
          <w:szCs w:val="22"/>
        </w:rPr>
      </w:pPr>
      <w:r w:rsidRPr="00385E71">
        <w:rPr>
          <w:rFonts w:ascii="Arial" w:hAnsi="Arial" w:cs="Arial"/>
          <w:b/>
          <w:spacing w:val="-2"/>
          <w:szCs w:val="22"/>
        </w:rPr>
        <w:t>Reference #-SER-SOFI-CQ-CS-22-3</w:t>
      </w:r>
      <w:r w:rsidR="00D34990">
        <w:rPr>
          <w:rFonts w:ascii="Arial" w:hAnsi="Arial" w:cs="Arial"/>
          <w:b/>
          <w:spacing w:val="-2"/>
          <w:szCs w:val="22"/>
        </w:rPr>
        <w:t>4</w:t>
      </w:r>
    </w:p>
    <w:p w:rsidR="000C3271" w:rsidRPr="00385E71" w:rsidRDefault="000C3271" w:rsidP="000C3271">
      <w:pPr>
        <w:pStyle w:val="ListParagraph"/>
        <w:suppressAutoHyphens/>
        <w:ind w:left="540"/>
        <w:jc w:val="both"/>
        <w:rPr>
          <w:rFonts w:ascii="Arial" w:hAnsi="Arial" w:cs="Arial"/>
          <w:b/>
          <w:szCs w:val="22"/>
        </w:rPr>
      </w:pPr>
    </w:p>
    <w:p w:rsidR="000C3271" w:rsidRPr="00385E71" w:rsidRDefault="000C3271" w:rsidP="000C3271">
      <w:pPr>
        <w:suppressAutoHyphens/>
        <w:jc w:val="both"/>
        <w:rPr>
          <w:rFonts w:ascii="Arial" w:hAnsi="Arial" w:cs="Arial"/>
          <w:spacing w:val="-2"/>
          <w:szCs w:val="22"/>
        </w:rPr>
      </w:pPr>
      <w:r w:rsidRPr="00385E71">
        <w:rPr>
          <w:rFonts w:ascii="Arial" w:hAnsi="Arial" w:cs="Arial"/>
          <w:spacing w:val="-2"/>
          <w:szCs w:val="22"/>
        </w:rPr>
        <w:t xml:space="preserve">The Republic of Serbia has received financing in the amount of US$ 50,000,000 </w:t>
      </w:r>
      <w:proofErr w:type="gramStart"/>
      <w:r w:rsidRPr="00385E71">
        <w:rPr>
          <w:rFonts w:ascii="Arial" w:hAnsi="Arial" w:cs="Arial"/>
          <w:spacing w:val="-2"/>
          <w:szCs w:val="22"/>
        </w:rPr>
        <w:t>equivalent</w:t>
      </w:r>
      <w:proofErr w:type="gramEnd"/>
      <w:r w:rsidRPr="00385E71">
        <w:rPr>
          <w:rFonts w:ascii="Arial" w:hAnsi="Arial" w:cs="Arial"/>
          <w:spacing w:val="-2"/>
          <w:szCs w:val="22"/>
        </w:rPr>
        <w:t xml:space="preserve"> from the World Bank toward the cost of the SOFI Project, and it intends to apply part of the proceeds to payments for consulting services to be procured under this project. This project will be jointly financed by the Ministry of Finance of Serbia (</w:t>
      </w:r>
      <w:proofErr w:type="spellStart"/>
      <w:r w:rsidRPr="00385E71">
        <w:rPr>
          <w:rFonts w:ascii="Arial" w:hAnsi="Arial" w:cs="Arial"/>
          <w:spacing w:val="-2"/>
          <w:szCs w:val="22"/>
        </w:rPr>
        <w:t>MoF</w:t>
      </w:r>
      <w:proofErr w:type="spellEnd"/>
      <w:r w:rsidRPr="00385E71">
        <w:rPr>
          <w:rFonts w:ascii="Arial" w:hAnsi="Arial" w:cs="Arial"/>
          <w:spacing w:val="-2"/>
          <w:szCs w:val="22"/>
        </w:rPr>
        <w:t xml:space="preserve">) in the amount of US$ 6,000,000. </w:t>
      </w:r>
    </w:p>
    <w:p w:rsidR="000C3271" w:rsidRPr="00385E71" w:rsidRDefault="000C3271" w:rsidP="000C3271">
      <w:pPr>
        <w:suppressAutoHyphens/>
        <w:jc w:val="both"/>
        <w:rPr>
          <w:rFonts w:ascii="Arial" w:hAnsi="Arial" w:cs="Arial"/>
          <w:spacing w:val="-2"/>
          <w:szCs w:val="22"/>
        </w:rPr>
      </w:pPr>
    </w:p>
    <w:p w:rsidR="000C3271" w:rsidRPr="00385E71" w:rsidRDefault="000C3271" w:rsidP="000C3271">
      <w:pPr>
        <w:pStyle w:val="BodyText"/>
        <w:tabs>
          <w:tab w:val="left" w:pos="0"/>
        </w:tabs>
        <w:ind w:left="-90"/>
        <w:contextualSpacing/>
        <w:rPr>
          <w:rFonts w:ascii="Arial" w:hAnsi="Arial" w:cs="Arial"/>
          <w:sz w:val="22"/>
          <w:szCs w:val="22"/>
        </w:rPr>
      </w:pPr>
      <w:r w:rsidRPr="00385E71">
        <w:rPr>
          <w:rFonts w:ascii="Arial" w:hAnsi="Arial" w:cs="Arial"/>
          <w:b/>
          <w:sz w:val="22"/>
          <w:szCs w:val="22"/>
          <w:u w:val="single"/>
        </w:rPr>
        <w:t>Scope of work</w:t>
      </w:r>
      <w:r w:rsidRPr="00385E71">
        <w:rPr>
          <w:rFonts w:ascii="Arial" w:hAnsi="Arial" w:cs="Arial"/>
          <w:sz w:val="22"/>
          <w:szCs w:val="22"/>
        </w:rPr>
        <w:t xml:space="preserve"> </w:t>
      </w:r>
    </w:p>
    <w:p w:rsidR="000C3271" w:rsidRPr="00385E71" w:rsidRDefault="000C3271" w:rsidP="000C3271">
      <w:pPr>
        <w:pStyle w:val="BodyText"/>
        <w:tabs>
          <w:tab w:val="left" w:pos="0"/>
        </w:tabs>
        <w:ind w:left="-90"/>
        <w:contextualSpacing/>
        <w:rPr>
          <w:rFonts w:ascii="Arial" w:hAnsi="Arial" w:cs="Arial"/>
          <w:sz w:val="22"/>
          <w:szCs w:val="22"/>
        </w:rPr>
      </w:pPr>
    </w:p>
    <w:p w:rsidR="00D34990" w:rsidRPr="00D34990" w:rsidRDefault="00D34990" w:rsidP="00D34990">
      <w:pPr>
        <w:ind w:left="-90"/>
        <w:contextualSpacing/>
        <w:jc w:val="both"/>
        <w:rPr>
          <w:rFonts w:ascii="Arial" w:hAnsi="Arial" w:cs="Arial"/>
          <w:noProof/>
          <w:szCs w:val="22"/>
        </w:rPr>
      </w:pPr>
      <w:r w:rsidRPr="00D34990">
        <w:rPr>
          <w:rFonts w:ascii="Arial" w:hAnsi="Arial" w:cs="Arial"/>
          <w:noProof/>
          <w:szCs w:val="22"/>
        </w:rPr>
        <w:t>Consultancy services to assist the Ministry of Finance in undertaking the analysis and evaluation of the Guarantee Schemes, as measure of support to the economy for mitigating the consequences and negative impact of the COVID-19 pandemic shall focus in particular on:</w:t>
      </w:r>
    </w:p>
    <w:p w:rsidR="00D34990" w:rsidRPr="00D34990" w:rsidRDefault="00D34990" w:rsidP="00D34990">
      <w:pPr>
        <w:tabs>
          <w:tab w:val="left" w:pos="0"/>
        </w:tabs>
        <w:ind w:left="-90"/>
        <w:contextualSpacing/>
        <w:jc w:val="both"/>
        <w:rPr>
          <w:rFonts w:ascii="Arial" w:hAnsi="Arial" w:cs="Arial"/>
          <w:noProof/>
          <w:szCs w:val="22"/>
        </w:rPr>
      </w:pPr>
    </w:p>
    <w:p w:rsidR="00D34990" w:rsidRPr="00D34990" w:rsidRDefault="00D34990" w:rsidP="00D34990">
      <w:pPr>
        <w:pStyle w:val="ListParagraph"/>
        <w:numPr>
          <w:ilvl w:val="0"/>
          <w:numId w:val="2"/>
        </w:numPr>
        <w:spacing w:after="160" w:line="276" w:lineRule="auto"/>
        <w:jc w:val="both"/>
        <w:rPr>
          <w:rFonts w:ascii="Arial" w:hAnsi="Arial" w:cs="Arial"/>
          <w:noProof/>
          <w:szCs w:val="22"/>
        </w:rPr>
      </w:pPr>
      <w:r w:rsidRPr="00D34990">
        <w:rPr>
          <w:rFonts w:ascii="Arial" w:hAnsi="Arial" w:cs="Arial"/>
          <w:noProof/>
          <w:szCs w:val="22"/>
        </w:rPr>
        <w:t>Analysis and evaluation of the effects of the Guarantee Schemes</w:t>
      </w:r>
    </w:p>
    <w:p w:rsidR="00D34990" w:rsidRPr="00D34990" w:rsidRDefault="00D34990" w:rsidP="00D34990">
      <w:pPr>
        <w:pStyle w:val="Heading2"/>
        <w:numPr>
          <w:ilvl w:val="0"/>
          <w:numId w:val="7"/>
        </w:numPr>
        <w:spacing w:after="240"/>
        <w:rPr>
          <w:rFonts w:ascii="Arial" w:hAnsi="Arial" w:cs="Arial"/>
          <w:bCs/>
          <w:sz w:val="22"/>
          <w:szCs w:val="22"/>
          <w:lang w:val="en-US"/>
        </w:rPr>
      </w:pPr>
      <w:bookmarkStart w:id="1" w:name="_Toc95288704"/>
      <w:r w:rsidRPr="00D34990">
        <w:rPr>
          <w:rFonts w:ascii="Arial" w:hAnsi="Arial" w:cs="Arial"/>
          <w:bCs/>
          <w:sz w:val="22"/>
          <w:szCs w:val="22"/>
          <w:lang w:val="en-US"/>
        </w:rPr>
        <w:t>Analysis of the „as-</w:t>
      </w:r>
      <w:proofErr w:type="gramStart"/>
      <w:r w:rsidRPr="00D34990">
        <w:rPr>
          <w:rFonts w:ascii="Arial" w:hAnsi="Arial" w:cs="Arial"/>
          <w:bCs/>
          <w:sz w:val="22"/>
          <w:szCs w:val="22"/>
          <w:lang w:val="en-US"/>
        </w:rPr>
        <w:t>is“ situation</w:t>
      </w:r>
      <w:bookmarkEnd w:id="1"/>
      <w:proofErr w:type="gramEnd"/>
    </w:p>
    <w:p w:rsidR="00D34990" w:rsidRPr="00D34990" w:rsidRDefault="00D34990" w:rsidP="00D34990">
      <w:pPr>
        <w:pStyle w:val="Heading2"/>
        <w:numPr>
          <w:ilvl w:val="0"/>
          <w:numId w:val="7"/>
        </w:numPr>
        <w:spacing w:after="240"/>
        <w:rPr>
          <w:rFonts w:ascii="Arial" w:hAnsi="Arial" w:cs="Arial"/>
          <w:bCs/>
          <w:sz w:val="22"/>
          <w:szCs w:val="22"/>
          <w:lang w:val="en-US"/>
        </w:rPr>
      </w:pPr>
      <w:bookmarkStart w:id="2" w:name="_Toc95288705"/>
      <w:r w:rsidRPr="00D34990">
        <w:rPr>
          <w:rFonts w:ascii="Arial" w:hAnsi="Arial" w:cs="Arial"/>
          <w:bCs/>
          <w:sz w:val="22"/>
          <w:szCs w:val="22"/>
          <w:lang w:val="en-US"/>
        </w:rPr>
        <w:t>Analysis and evaluation of the effects</w:t>
      </w:r>
      <w:bookmarkEnd w:id="2"/>
      <w:r w:rsidRPr="00D34990">
        <w:rPr>
          <w:rFonts w:ascii="Arial" w:hAnsi="Arial" w:cs="Arial"/>
          <w:sz w:val="22"/>
          <w:szCs w:val="22"/>
          <w:lang w:val="en-US"/>
        </w:rPr>
        <w:t xml:space="preserve"> </w:t>
      </w:r>
      <w:r w:rsidRPr="00D34990">
        <w:rPr>
          <w:rFonts w:ascii="Arial" w:hAnsi="Arial" w:cs="Arial"/>
          <w:bCs/>
          <w:sz w:val="22"/>
          <w:szCs w:val="22"/>
          <w:lang w:val="en-US"/>
        </w:rPr>
        <w:t>of the Guarantee Schemes</w:t>
      </w:r>
    </w:p>
    <w:p w:rsidR="000C3271" w:rsidRPr="00D34990" w:rsidRDefault="00D34990" w:rsidP="00D34990">
      <w:pPr>
        <w:pStyle w:val="BodyText"/>
        <w:numPr>
          <w:ilvl w:val="0"/>
          <w:numId w:val="2"/>
        </w:numPr>
        <w:tabs>
          <w:tab w:val="left" w:pos="0"/>
        </w:tabs>
        <w:contextualSpacing/>
        <w:jc w:val="both"/>
        <w:rPr>
          <w:rFonts w:ascii="Arial" w:hAnsi="Arial" w:cs="Arial"/>
          <w:spacing w:val="0"/>
          <w:sz w:val="22"/>
          <w:szCs w:val="22"/>
        </w:rPr>
      </w:pPr>
      <w:r w:rsidRPr="00D34990">
        <w:rPr>
          <w:rFonts w:ascii="Arial" w:hAnsi="Arial" w:cs="Arial"/>
          <w:noProof/>
          <w:sz w:val="22"/>
          <w:szCs w:val="22"/>
        </w:rPr>
        <w:t>Procedure for monitoring of and reporting on the implemented Guarantee Schemes</w:t>
      </w:r>
    </w:p>
    <w:p w:rsidR="000C3271" w:rsidRPr="00D34990" w:rsidRDefault="000C3271" w:rsidP="000C3271">
      <w:pPr>
        <w:pStyle w:val="BodyText"/>
        <w:tabs>
          <w:tab w:val="left" w:pos="0"/>
        </w:tabs>
        <w:ind w:left="-90"/>
        <w:contextualSpacing/>
        <w:rPr>
          <w:rFonts w:ascii="Arial" w:hAnsi="Arial" w:cs="Arial"/>
          <w:spacing w:val="0"/>
          <w:sz w:val="22"/>
          <w:szCs w:val="22"/>
        </w:rPr>
      </w:pPr>
    </w:p>
    <w:p w:rsidR="000C3271" w:rsidRPr="00D34990" w:rsidRDefault="000C3271" w:rsidP="000C3271">
      <w:pPr>
        <w:pStyle w:val="BodyText"/>
        <w:tabs>
          <w:tab w:val="left" w:pos="0"/>
        </w:tabs>
        <w:ind w:left="-90"/>
        <w:contextualSpacing/>
        <w:rPr>
          <w:rFonts w:ascii="Arial" w:hAnsi="Arial" w:cs="Arial"/>
          <w:sz w:val="22"/>
          <w:szCs w:val="22"/>
        </w:rPr>
      </w:pPr>
      <w:r w:rsidRPr="00D34990">
        <w:rPr>
          <w:rFonts w:ascii="Arial" w:hAnsi="Arial" w:cs="Arial"/>
          <w:sz w:val="22"/>
          <w:szCs w:val="22"/>
        </w:rPr>
        <w:t>The period of performance of the assignment envisaged by these Terms of Reference shall be December 31, 2022.</w:t>
      </w:r>
    </w:p>
    <w:p w:rsidR="000C3271" w:rsidRPr="00D34990" w:rsidRDefault="000C3271" w:rsidP="000C3271">
      <w:pPr>
        <w:pStyle w:val="BodyText"/>
        <w:tabs>
          <w:tab w:val="left" w:pos="0"/>
        </w:tabs>
        <w:ind w:left="-90"/>
        <w:contextualSpacing/>
        <w:rPr>
          <w:rFonts w:ascii="Arial" w:hAnsi="Arial" w:cs="Arial"/>
          <w:sz w:val="22"/>
          <w:szCs w:val="22"/>
        </w:rPr>
      </w:pPr>
    </w:p>
    <w:p w:rsidR="000C3271" w:rsidRPr="00D34990" w:rsidRDefault="000C3271" w:rsidP="000C3271">
      <w:pPr>
        <w:rPr>
          <w:rFonts w:ascii="Arial" w:hAnsi="Arial" w:cs="Arial"/>
          <w:b/>
          <w:szCs w:val="22"/>
          <w:u w:val="single"/>
        </w:rPr>
      </w:pPr>
      <w:r w:rsidRPr="00D34990">
        <w:rPr>
          <w:rFonts w:ascii="Arial" w:hAnsi="Arial" w:cs="Arial"/>
          <w:b/>
          <w:szCs w:val="22"/>
          <w:u w:val="single"/>
        </w:rPr>
        <w:t>CONSULTANT (COMPANY) QUALIFICATIONS</w:t>
      </w:r>
    </w:p>
    <w:p w:rsidR="000C3271" w:rsidRPr="00D34990" w:rsidRDefault="000C3271" w:rsidP="000C3271">
      <w:pPr>
        <w:rPr>
          <w:rFonts w:ascii="Arial" w:hAnsi="Arial" w:cs="Arial"/>
          <w:b/>
          <w:szCs w:val="22"/>
          <w:u w:val="single"/>
        </w:rPr>
      </w:pPr>
    </w:p>
    <w:p w:rsidR="00D34990" w:rsidRPr="00D34990" w:rsidRDefault="00D34990" w:rsidP="00D34990">
      <w:pPr>
        <w:spacing w:line="276" w:lineRule="auto"/>
        <w:jc w:val="both"/>
        <w:rPr>
          <w:rFonts w:ascii="Arial" w:hAnsi="Arial" w:cs="Arial"/>
          <w:noProof/>
          <w:szCs w:val="22"/>
        </w:rPr>
      </w:pPr>
      <w:r w:rsidRPr="00D34990">
        <w:rPr>
          <w:rFonts w:ascii="Arial" w:hAnsi="Arial" w:cs="Arial"/>
          <w:noProof/>
          <w:szCs w:val="22"/>
        </w:rPr>
        <w:t xml:space="preserve">In order to perform the Services, Consultants may associate with each other in the form of a joint venture or of a sub-consultancy agreement to complement their respective areas of expertise, strengthen the technical responsiveness of their proposals and make available bigger pools of experts, provide better approaches and methodologies, and, in some cases, offer lower prices. </w:t>
      </w:r>
    </w:p>
    <w:p w:rsidR="00D34990" w:rsidRPr="00D34990" w:rsidRDefault="00D34990" w:rsidP="00D34990">
      <w:pPr>
        <w:spacing w:line="276" w:lineRule="auto"/>
        <w:jc w:val="both"/>
        <w:rPr>
          <w:rFonts w:ascii="Arial" w:hAnsi="Arial" w:cs="Arial"/>
          <w:noProof/>
          <w:szCs w:val="22"/>
        </w:rPr>
      </w:pPr>
      <w:r w:rsidRPr="00D34990">
        <w:rPr>
          <w:rFonts w:ascii="Arial" w:hAnsi="Arial" w:cs="Arial"/>
          <w:noProof/>
          <w:szCs w:val="22"/>
        </w:rPr>
        <w:t xml:space="preserve">However, in order to be selected, the Consultant must possess, at the minimum, the following qualifications:  </w:t>
      </w:r>
    </w:p>
    <w:p w:rsidR="00D34990" w:rsidRPr="00D34990" w:rsidRDefault="00D34990" w:rsidP="00D34990">
      <w:pPr>
        <w:pStyle w:val="ListParagraph"/>
        <w:numPr>
          <w:ilvl w:val="0"/>
          <w:numId w:val="8"/>
        </w:numPr>
        <w:spacing w:after="160" w:line="276" w:lineRule="auto"/>
        <w:jc w:val="both"/>
        <w:rPr>
          <w:rFonts w:ascii="Arial" w:hAnsi="Arial" w:cs="Arial"/>
          <w:noProof/>
          <w:szCs w:val="22"/>
        </w:rPr>
      </w:pPr>
      <w:r w:rsidRPr="00D34990">
        <w:rPr>
          <w:rFonts w:ascii="Arial" w:hAnsi="Arial" w:cs="Arial"/>
          <w:noProof/>
          <w:szCs w:val="22"/>
        </w:rPr>
        <w:t xml:space="preserve">It must be a legal entity; </w:t>
      </w:r>
    </w:p>
    <w:p w:rsidR="00D34990" w:rsidRPr="00D34990" w:rsidRDefault="00D34990" w:rsidP="00D34990">
      <w:pPr>
        <w:pStyle w:val="ListParagraph"/>
        <w:numPr>
          <w:ilvl w:val="0"/>
          <w:numId w:val="8"/>
        </w:numPr>
        <w:spacing w:after="160" w:line="276" w:lineRule="auto"/>
        <w:jc w:val="both"/>
        <w:rPr>
          <w:rFonts w:ascii="Arial" w:hAnsi="Arial" w:cs="Arial"/>
          <w:noProof/>
          <w:szCs w:val="22"/>
        </w:rPr>
      </w:pPr>
      <w:r w:rsidRPr="00D34990">
        <w:rPr>
          <w:rFonts w:ascii="Arial" w:hAnsi="Arial" w:cs="Arial"/>
          <w:noProof/>
          <w:szCs w:val="22"/>
        </w:rPr>
        <w:t xml:space="preserve">The Consultant must prove its capability by listing its experience in similar engagements in the field of evaluation of the effects of guarantee scheme, or related financial instruments in the previous five years (2016-2021) wll be considered as an advantage.  </w:t>
      </w:r>
    </w:p>
    <w:p w:rsidR="000C3271" w:rsidRPr="00D34990" w:rsidRDefault="00D34990" w:rsidP="00D34990">
      <w:pPr>
        <w:jc w:val="both"/>
        <w:rPr>
          <w:rFonts w:ascii="Arial" w:hAnsi="Arial" w:cs="Arial"/>
          <w:noProof/>
          <w:szCs w:val="22"/>
        </w:rPr>
      </w:pPr>
      <w:r w:rsidRPr="00D34990">
        <w:rPr>
          <w:rFonts w:ascii="Arial" w:hAnsi="Arial" w:cs="Arial"/>
          <w:noProof/>
          <w:szCs w:val="22"/>
        </w:rPr>
        <w:lastRenderedPageBreak/>
        <w:t>As a proof, the Consultant shall prepare a table listing following information: name of the relevant similar assignment, short scope of work, year of contract’s implementation, contracted amount, country/region, contact reference (name, e-mail, phone number).</w:t>
      </w:r>
    </w:p>
    <w:p w:rsidR="00D34990" w:rsidRDefault="00D34990" w:rsidP="00D34990">
      <w:pPr>
        <w:pStyle w:val="Heading2"/>
        <w:spacing w:before="0" w:after="199"/>
        <w:rPr>
          <w:rFonts w:ascii="Arial" w:eastAsia="Times New Roman" w:hAnsi="Arial" w:cs="Arial"/>
          <w:b/>
          <w:i/>
          <w:color w:val="000000"/>
          <w:sz w:val="22"/>
          <w:szCs w:val="22"/>
          <w:lang w:val="en-US"/>
        </w:rPr>
      </w:pPr>
      <w:bookmarkStart w:id="3" w:name="_Toc95288718"/>
    </w:p>
    <w:p w:rsidR="00D34990" w:rsidRPr="00D34990" w:rsidRDefault="00D34990" w:rsidP="00D34990">
      <w:pPr>
        <w:pStyle w:val="Heading2"/>
        <w:spacing w:before="0" w:after="199"/>
        <w:rPr>
          <w:rFonts w:ascii="Arial" w:eastAsia="Times New Roman" w:hAnsi="Arial" w:cs="Arial"/>
          <w:b/>
          <w:i/>
          <w:color w:val="000000"/>
          <w:sz w:val="22"/>
          <w:szCs w:val="22"/>
          <w:lang w:val="en-US"/>
        </w:rPr>
      </w:pPr>
      <w:r w:rsidRPr="00D34990">
        <w:rPr>
          <w:rFonts w:ascii="Arial" w:eastAsia="Times New Roman" w:hAnsi="Arial" w:cs="Arial"/>
          <w:b/>
          <w:i/>
          <w:color w:val="000000"/>
          <w:sz w:val="22"/>
          <w:szCs w:val="22"/>
          <w:lang w:val="en-US"/>
        </w:rPr>
        <w:t>Key staff qualifications</w:t>
      </w:r>
      <w:bookmarkEnd w:id="3"/>
    </w:p>
    <w:p w:rsidR="00D34990" w:rsidRPr="00D34990" w:rsidRDefault="00D34990" w:rsidP="00D34990">
      <w:pPr>
        <w:spacing w:line="360" w:lineRule="auto"/>
        <w:jc w:val="both"/>
        <w:rPr>
          <w:rFonts w:ascii="Arial" w:hAnsi="Arial" w:cs="Arial"/>
          <w:noProof/>
          <w:szCs w:val="22"/>
        </w:rPr>
      </w:pPr>
      <w:r w:rsidRPr="00D34990">
        <w:rPr>
          <w:rFonts w:ascii="Arial" w:hAnsi="Arial" w:cs="Arial"/>
          <w:noProof/>
          <w:szCs w:val="22"/>
        </w:rPr>
        <w:t>Consultant must ensure that the key staff that shall perform the Services possess the following qualifications:</w:t>
      </w:r>
    </w:p>
    <w:p w:rsidR="00D34990" w:rsidRPr="00D34990" w:rsidRDefault="00D34990" w:rsidP="00D34990">
      <w:pPr>
        <w:spacing w:line="276" w:lineRule="auto"/>
        <w:jc w:val="both"/>
        <w:rPr>
          <w:rFonts w:ascii="Arial" w:hAnsi="Arial" w:cs="Arial"/>
          <w:b/>
          <w:i/>
          <w:iCs/>
          <w:noProof/>
          <w:szCs w:val="22"/>
        </w:rPr>
      </w:pPr>
      <w:r w:rsidRPr="00D34990">
        <w:rPr>
          <w:rFonts w:ascii="Arial" w:hAnsi="Arial" w:cs="Arial"/>
          <w:b/>
          <w:i/>
          <w:iCs/>
          <w:noProof/>
          <w:szCs w:val="22"/>
        </w:rPr>
        <w:t>K-1 Team Leader</w:t>
      </w:r>
    </w:p>
    <w:p w:rsidR="00D34990" w:rsidRPr="00D34990" w:rsidRDefault="00D34990" w:rsidP="00D34990">
      <w:pPr>
        <w:pStyle w:val="ListParagraph"/>
        <w:numPr>
          <w:ilvl w:val="0"/>
          <w:numId w:val="9"/>
        </w:numPr>
        <w:spacing w:after="160" w:line="276" w:lineRule="auto"/>
        <w:jc w:val="both"/>
        <w:rPr>
          <w:rFonts w:ascii="Arial" w:hAnsi="Arial" w:cs="Arial"/>
          <w:noProof/>
          <w:szCs w:val="22"/>
        </w:rPr>
      </w:pPr>
      <w:r w:rsidRPr="00D34990">
        <w:rPr>
          <w:rFonts w:ascii="Arial" w:hAnsi="Arial" w:cs="Arial"/>
          <w:noProof/>
          <w:szCs w:val="22"/>
        </w:rPr>
        <w:t>Postgraduate academic or professional degree (master’s degree, specialist academic degree, or specialist professional degree), or graduate degree awarded following the completion of a course of study of at least four years’ duration (240 ESPB); finance, economics or related areas would be an advantage</w:t>
      </w:r>
    </w:p>
    <w:p w:rsidR="00D34990" w:rsidRPr="00D34990" w:rsidRDefault="00D34990" w:rsidP="00D34990">
      <w:pPr>
        <w:pStyle w:val="ListParagraph"/>
        <w:numPr>
          <w:ilvl w:val="0"/>
          <w:numId w:val="9"/>
        </w:numPr>
        <w:spacing w:after="160" w:line="276" w:lineRule="auto"/>
        <w:jc w:val="both"/>
        <w:rPr>
          <w:rFonts w:ascii="Arial" w:hAnsi="Arial" w:cs="Arial"/>
          <w:noProof/>
          <w:szCs w:val="22"/>
        </w:rPr>
      </w:pPr>
      <w:r w:rsidRPr="00D34990">
        <w:rPr>
          <w:rFonts w:ascii="Arial" w:hAnsi="Arial" w:cs="Arial"/>
          <w:noProof/>
          <w:szCs w:val="22"/>
        </w:rPr>
        <w:t>Experience as a team leader in at least one (1) prior consultative engagements of a similar nature in last 10 years; Adequate relevant experience in the Region would be an advantage</w:t>
      </w:r>
    </w:p>
    <w:p w:rsidR="00D34990" w:rsidRPr="00D34990" w:rsidRDefault="00D34990" w:rsidP="00D34990">
      <w:pPr>
        <w:pStyle w:val="ListParagraph"/>
        <w:numPr>
          <w:ilvl w:val="0"/>
          <w:numId w:val="9"/>
        </w:numPr>
        <w:spacing w:after="160" w:line="276" w:lineRule="auto"/>
        <w:jc w:val="both"/>
        <w:rPr>
          <w:rFonts w:ascii="Arial" w:hAnsi="Arial" w:cs="Arial"/>
          <w:noProof/>
          <w:szCs w:val="22"/>
        </w:rPr>
      </w:pPr>
      <w:r w:rsidRPr="00D34990">
        <w:rPr>
          <w:rFonts w:ascii="Arial" w:hAnsi="Arial" w:cs="Arial"/>
          <w:noProof/>
          <w:szCs w:val="22"/>
        </w:rPr>
        <w:t xml:space="preserve">At least 10 years of experience in financial sector (or related industry services), including comprehensive institutional analysis and diagnosis and developing and implementing strategies, policies and procedures, as well as analysis and evaluation of effects of the strategies, policies and procedures </w:t>
      </w:r>
    </w:p>
    <w:p w:rsidR="00D34990" w:rsidRPr="00D34990" w:rsidRDefault="00D34990" w:rsidP="00D34990">
      <w:pPr>
        <w:pStyle w:val="ListParagraph"/>
        <w:numPr>
          <w:ilvl w:val="0"/>
          <w:numId w:val="9"/>
        </w:numPr>
        <w:spacing w:after="160" w:line="276" w:lineRule="auto"/>
        <w:jc w:val="both"/>
        <w:rPr>
          <w:rFonts w:ascii="Arial" w:hAnsi="Arial" w:cs="Arial"/>
          <w:noProof/>
          <w:szCs w:val="22"/>
        </w:rPr>
      </w:pPr>
      <w:r w:rsidRPr="00D34990">
        <w:rPr>
          <w:rFonts w:ascii="Arial" w:hAnsi="Arial" w:cs="Arial"/>
          <w:noProof/>
          <w:szCs w:val="22"/>
        </w:rPr>
        <w:t xml:space="preserve">Leadership of or a significant contribution to policy development and implementation activities in the field of Public Sector would be an advantage; </w:t>
      </w:r>
    </w:p>
    <w:p w:rsidR="00D34990" w:rsidRPr="00D34990" w:rsidRDefault="00D34990" w:rsidP="00D34990">
      <w:pPr>
        <w:pStyle w:val="ListParagraph"/>
        <w:numPr>
          <w:ilvl w:val="0"/>
          <w:numId w:val="9"/>
        </w:numPr>
        <w:spacing w:after="160" w:line="276" w:lineRule="auto"/>
        <w:jc w:val="both"/>
        <w:rPr>
          <w:rFonts w:ascii="Arial" w:hAnsi="Arial" w:cs="Arial"/>
          <w:noProof/>
          <w:szCs w:val="22"/>
        </w:rPr>
      </w:pPr>
      <w:r w:rsidRPr="00D34990">
        <w:rPr>
          <w:rFonts w:ascii="Arial" w:hAnsi="Arial" w:cs="Arial"/>
          <w:noProof/>
          <w:szCs w:val="22"/>
        </w:rPr>
        <w:t xml:space="preserve">Excellent English written and presentation skills; </w:t>
      </w:r>
    </w:p>
    <w:p w:rsidR="00D34990" w:rsidRPr="00D34990" w:rsidRDefault="00D34990" w:rsidP="00D34990">
      <w:pPr>
        <w:pStyle w:val="ListParagraph"/>
        <w:numPr>
          <w:ilvl w:val="0"/>
          <w:numId w:val="9"/>
        </w:numPr>
        <w:spacing w:after="160" w:line="276" w:lineRule="auto"/>
        <w:jc w:val="both"/>
        <w:rPr>
          <w:rFonts w:ascii="Arial" w:hAnsi="Arial" w:cs="Arial"/>
          <w:noProof/>
          <w:szCs w:val="22"/>
        </w:rPr>
      </w:pPr>
      <w:r w:rsidRPr="00D34990">
        <w:rPr>
          <w:rFonts w:ascii="Arial" w:hAnsi="Arial" w:cs="Arial"/>
          <w:noProof/>
          <w:szCs w:val="22"/>
        </w:rPr>
        <w:t xml:space="preserve">Excellent communication, organization, and teamwork skills.  </w:t>
      </w:r>
    </w:p>
    <w:p w:rsidR="00D34990" w:rsidRPr="00D34990" w:rsidRDefault="00D34990" w:rsidP="00D34990">
      <w:pPr>
        <w:spacing w:line="276" w:lineRule="auto"/>
        <w:jc w:val="both"/>
        <w:rPr>
          <w:rFonts w:ascii="Arial" w:hAnsi="Arial" w:cs="Arial"/>
          <w:b/>
          <w:i/>
          <w:iCs/>
          <w:noProof/>
          <w:szCs w:val="22"/>
        </w:rPr>
      </w:pPr>
    </w:p>
    <w:p w:rsidR="00D34990" w:rsidRPr="00D34990" w:rsidRDefault="00D34990" w:rsidP="00D34990">
      <w:pPr>
        <w:spacing w:line="276" w:lineRule="auto"/>
        <w:jc w:val="both"/>
        <w:rPr>
          <w:rFonts w:ascii="Arial" w:hAnsi="Arial" w:cs="Arial"/>
          <w:b/>
          <w:i/>
          <w:iCs/>
          <w:noProof/>
          <w:szCs w:val="22"/>
        </w:rPr>
      </w:pPr>
      <w:r w:rsidRPr="00D34990">
        <w:rPr>
          <w:rFonts w:ascii="Arial" w:hAnsi="Arial" w:cs="Arial"/>
          <w:b/>
          <w:i/>
          <w:iCs/>
          <w:noProof/>
          <w:szCs w:val="22"/>
        </w:rPr>
        <w:t>K-2 Key expert</w:t>
      </w:r>
    </w:p>
    <w:p w:rsidR="00D34990" w:rsidRPr="00D34990" w:rsidRDefault="00D34990" w:rsidP="00D34990">
      <w:pPr>
        <w:pStyle w:val="ListParagraph"/>
        <w:numPr>
          <w:ilvl w:val="0"/>
          <w:numId w:val="9"/>
        </w:numPr>
        <w:spacing w:after="160" w:line="276" w:lineRule="auto"/>
        <w:jc w:val="both"/>
        <w:rPr>
          <w:rFonts w:ascii="Arial" w:hAnsi="Arial" w:cs="Arial"/>
          <w:noProof/>
          <w:szCs w:val="22"/>
        </w:rPr>
      </w:pPr>
      <w:r w:rsidRPr="00D34990">
        <w:rPr>
          <w:rFonts w:ascii="Arial" w:hAnsi="Arial" w:cs="Arial"/>
          <w:noProof/>
          <w:szCs w:val="22"/>
        </w:rPr>
        <w:t>Postgraduate academic or professional degree (master’s degree, specialist academic degree, or specialist professional degree), or graduate degree awarded following the completion of a course of study of at least four years’ duration (240 ESPB); finance, economics or related areas would be an advantage</w:t>
      </w:r>
    </w:p>
    <w:p w:rsidR="00D34990" w:rsidRPr="00D34990" w:rsidRDefault="00D34990" w:rsidP="00D34990">
      <w:pPr>
        <w:pStyle w:val="ListParagraph"/>
        <w:numPr>
          <w:ilvl w:val="0"/>
          <w:numId w:val="9"/>
        </w:numPr>
        <w:spacing w:after="160" w:line="276" w:lineRule="auto"/>
        <w:jc w:val="both"/>
        <w:rPr>
          <w:rFonts w:ascii="Arial" w:hAnsi="Arial" w:cs="Arial"/>
          <w:noProof/>
          <w:szCs w:val="22"/>
        </w:rPr>
      </w:pPr>
      <w:r w:rsidRPr="00D34990">
        <w:rPr>
          <w:rFonts w:ascii="Arial" w:hAnsi="Arial" w:cs="Arial"/>
          <w:noProof/>
          <w:szCs w:val="22"/>
        </w:rPr>
        <w:t xml:space="preserve">At least 5 years of professional experience in financial sector (or related industry services) in providing support in the field of analyses and evaluation of effects of the strategies, policies and procedures, as well as support in the development and implementation and / or upgrading of the strategies, policies and procedures </w:t>
      </w:r>
    </w:p>
    <w:p w:rsidR="00D34990" w:rsidRPr="00D34990" w:rsidRDefault="00D34990" w:rsidP="00D34990">
      <w:pPr>
        <w:pStyle w:val="ListParagraph"/>
        <w:numPr>
          <w:ilvl w:val="0"/>
          <w:numId w:val="9"/>
        </w:numPr>
        <w:spacing w:after="160" w:line="276" w:lineRule="auto"/>
        <w:jc w:val="both"/>
        <w:rPr>
          <w:rFonts w:ascii="Arial" w:hAnsi="Arial" w:cs="Arial"/>
          <w:noProof/>
          <w:szCs w:val="22"/>
        </w:rPr>
      </w:pPr>
      <w:r w:rsidRPr="00D34990">
        <w:rPr>
          <w:rFonts w:ascii="Arial" w:hAnsi="Arial" w:cs="Arial"/>
          <w:noProof/>
          <w:szCs w:val="22"/>
        </w:rPr>
        <w:t>Extensive knowledge of best international standards and good practices in banking</w:t>
      </w:r>
    </w:p>
    <w:p w:rsidR="00D34990" w:rsidRPr="00D34990" w:rsidRDefault="00D34990" w:rsidP="00D34990">
      <w:pPr>
        <w:pStyle w:val="ListParagraph"/>
        <w:numPr>
          <w:ilvl w:val="0"/>
          <w:numId w:val="9"/>
        </w:numPr>
        <w:spacing w:after="160" w:line="276" w:lineRule="auto"/>
        <w:jc w:val="both"/>
        <w:rPr>
          <w:rFonts w:ascii="Arial" w:hAnsi="Arial" w:cs="Arial"/>
          <w:noProof/>
          <w:szCs w:val="22"/>
        </w:rPr>
      </w:pPr>
      <w:r w:rsidRPr="00D34990">
        <w:rPr>
          <w:rFonts w:ascii="Arial" w:hAnsi="Arial" w:cs="Arial"/>
          <w:noProof/>
          <w:szCs w:val="22"/>
        </w:rPr>
        <w:t>Knowledge of Serbian Laws and bylaws is preferable</w:t>
      </w:r>
    </w:p>
    <w:p w:rsidR="00D34990" w:rsidRPr="00D34990" w:rsidRDefault="00D34990" w:rsidP="00D34990">
      <w:pPr>
        <w:pStyle w:val="ListParagraph"/>
        <w:numPr>
          <w:ilvl w:val="0"/>
          <w:numId w:val="9"/>
        </w:numPr>
        <w:spacing w:after="160" w:line="276" w:lineRule="auto"/>
        <w:jc w:val="both"/>
        <w:rPr>
          <w:rFonts w:ascii="Arial" w:hAnsi="Arial" w:cs="Arial"/>
          <w:noProof/>
          <w:szCs w:val="22"/>
        </w:rPr>
      </w:pPr>
      <w:r w:rsidRPr="00D34990">
        <w:rPr>
          <w:rFonts w:ascii="Arial" w:hAnsi="Arial" w:cs="Arial"/>
          <w:noProof/>
          <w:szCs w:val="22"/>
        </w:rPr>
        <w:t>Skills in data analysis and business analytics would be and advantage</w:t>
      </w:r>
    </w:p>
    <w:p w:rsidR="00D34990" w:rsidRPr="00D34990" w:rsidRDefault="00D34990" w:rsidP="00D34990">
      <w:pPr>
        <w:pStyle w:val="ListParagraph"/>
        <w:numPr>
          <w:ilvl w:val="0"/>
          <w:numId w:val="9"/>
        </w:numPr>
        <w:spacing w:after="160" w:line="276" w:lineRule="auto"/>
        <w:jc w:val="both"/>
        <w:rPr>
          <w:rFonts w:ascii="Arial" w:hAnsi="Arial" w:cs="Arial"/>
          <w:noProof/>
          <w:szCs w:val="22"/>
        </w:rPr>
      </w:pPr>
      <w:r w:rsidRPr="00D34990">
        <w:rPr>
          <w:rFonts w:ascii="Arial" w:hAnsi="Arial" w:cs="Arial"/>
          <w:noProof/>
          <w:szCs w:val="22"/>
        </w:rPr>
        <w:t xml:space="preserve">Excellent English written and presentation skills; </w:t>
      </w:r>
    </w:p>
    <w:p w:rsidR="00D34990" w:rsidRPr="00D34990" w:rsidRDefault="00D34990" w:rsidP="00D34990">
      <w:pPr>
        <w:pStyle w:val="ListParagraph"/>
        <w:numPr>
          <w:ilvl w:val="0"/>
          <w:numId w:val="9"/>
        </w:numPr>
        <w:spacing w:after="160" w:line="276" w:lineRule="auto"/>
        <w:jc w:val="both"/>
        <w:rPr>
          <w:rFonts w:ascii="Arial" w:hAnsi="Arial" w:cs="Arial"/>
          <w:noProof/>
          <w:szCs w:val="22"/>
        </w:rPr>
      </w:pPr>
      <w:r w:rsidRPr="00D34990">
        <w:rPr>
          <w:rFonts w:ascii="Arial" w:hAnsi="Arial" w:cs="Arial"/>
          <w:noProof/>
          <w:szCs w:val="22"/>
        </w:rPr>
        <w:t xml:space="preserve">Excellent communication, organization, and teamwork skills.  </w:t>
      </w:r>
    </w:p>
    <w:p w:rsidR="00D34990" w:rsidRPr="00D34990" w:rsidRDefault="00D34990" w:rsidP="00D34990">
      <w:pPr>
        <w:pStyle w:val="ListParagraph"/>
        <w:spacing w:line="276" w:lineRule="auto"/>
        <w:jc w:val="both"/>
        <w:rPr>
          <w:rFonts w:ascii="Arial" w:hAnsi="Arial" w:cs="Arial"/>
          <w:noProof/>
          <w:szCs w:val="22"/>
        </w:rPr>
      </w:pPr>
    </w:p>
    <w:p w:rsidR="00D34990" w:rsidRDefault="00D34990" w:rsidP="00D34990">
      <w:pPr>
        <w:tabs>
          <w:tab w:val="left" w:pos="0"/>
        </w:tabs>
        <w:ind w:left="-90"/>
        <w:contextualSpacing/>
        <w:rPr>
          <w:rFonts w:ascii="Arial" w:hAnsi="Arial" w:cs="Arial"/>
          <w:b/>
          <w:szCs w:val="22"/>
          <w:u w:val="single"/>
        </w:rPr>
      </w:pPr>
      <w:bookmarkStart w:id="4" w:name="_Toc95288719"/>
    </w:p>
    <w:p w:rsidR="00D34990" w:rsidRDefault="00D34990" w:rsidP="00D34990">
      <w:pPr>
        <w:tabs>
          <w:tab w:val="left" w:pos="0"/>
        </w:tabs>
        <w:ind w:left="-90"/>
        <w:contextualSpacing/>
        <w:rPr>
          <w:rFonts w:ascii="Arial" w:hAnsi="Arial" w:cs="Arial"/>
          <w:b/>
          <w:szCs w:val="22"/>
          <w:u w:val="single"/>
        </w:rPr>
      </w:pPr>
    </w:p>
    <w:p w:rsidR="00D34990" w:rsidRDefault="00D34990" w:rsidP="00D34990">
      <w:pPr>
        <w:tabs>
          <w:tab w:val="left" w:pos="0"/>
        </w:tabs>
        <w:ind w:left="-90"/>
        <w:contextualSpacing/>
        <w:rPr>
          <w:rFonts w:ascii="Arial" w:hAnsi="Arial" w:cs="Arial"/>
          <w:b/>
          <w:szCs w:val="22"/>
          <w:u w:val="single"/>
        </w:rPr>
      </w:pPr>
    </w:p>
    <w:p w:rsidR="00D34990" w:rsidRPr="00D34990" w:rsidRDefault="00D34990" w:rsidP="00D34990">
      <w:pPr>
        <w:tabs>
          <w:tab w:val="left" w:pos="0"/>
        </w:tabs>
        <w:ind w:left="-90"/>
        <w:contextualSpacing/>
        <w:rPr>
          <w:rFonts w:ascii="Arial" w:hAnsi="Arial" w:cs="Arial"/>
          <w:b/>
          <w:szCs w:val="22"/>
          <w:u w:val="single"/>
        </w:rPr>
      </w:pPr>
      <w:r w:rsidRPr="00D34990">
        <w:rPr>
          <w:rFonts w:ascii="Arial" w:hAnsi="Arial" w:cs="Arial"/>
          <w:b/>
          <w:szCs w:val="22"/>
          <w:u w:val="single"/>
        </w:rPr>
        <w:lastRenderedPageBreak/>
        <w:t>Selection of the Consultant</w:t>
      </w:r>
      <w:bookmarkEnd w:id="4"/>
    </w:p>
    <w:p w:rsidR="00D34990" w:rsidRPr="00D34990" w:rsidRDefault="00D34990" w:rsidP="00D34990">
      <w:pPr>
        <w:tabs>
          <w:tab w:val="left" w:pos="0"/>
        </w:tabs>
        <w:ind w:left="-90"/>
        <w:contextualSpacing/>
        <w:rPr>
          <w:rFonts w:ascii="Arial" w:hAnsi="Arial" w:cs="Arial"/>
          <w:b/>
          <w:szCs w:val="22"/>
          <w:u w:val="single"/>
        </w:rPr>
      </w:pPr>
    </w:p>
    <w:p w:rsidR="00D34990" w:rsidRPr="00D34990" w:rsidRDefault="00D34990" w:rsidP="00D34990">
      <w:pPr>
        <w:spacing w:line="276" w:lineRule="auto"/>
        <w:jc w:val="both"/>
        <w:rPr>
          <w:rFonts w:ascii="Arial" w:hAnsi="Arial" w:cs="Arial"/>
          <w:color w:val="000000"/>
          <w:szCs w:val="22"/>
        </w:rPr>
      </w:pPr>
      <w:r w:rsidRPr="00D34990">
        <w:rPr>
          <w:rFonts w:ascii="Arial" w:hAnsi="Arial" w:cs="Arial"/>
          <w:color w:val="000000"/>
          <w:szCs w:val="22"/>
        </w:rPr>
        <w:t>The Consultant will be selected in accordance with Consultant`s Qualifications Based Selection (</w:t>
      </w:r>
      <w:proofErr w:type="spellStart"/>
      <w:r w:rsidRPr="00D34990">
        <w:rPr>
          <w:rFonts w:ascii="Arial" w:hAnsi="Arial" w:cs="Arial"/>
          <w:color w:val="000000"/>
          <w:szCs w:val="22"/>
        </w:rPr>
        <w:t>CQS</w:t>
      </w:r>
      <w:proofErr w:type="spellEnd"/>
      <w:r w:rsidRPr="00D34990">
        <w:rPr>
          <w:rFonts w:ascii="Arial" w:hAnsi="Arial" w:cs="Arial"/>
          <w:color w:val="000000"/>
          <w:szCs w:val="22"/>
        </w:rPr>
        <w:t xml:space="preserve">) as set out in the </w:t>
      </w:r>
      <w:r w:rsidRPr="00D34990">
        <w:rPr>
          <w:rFonts w:ascii="Arial" w:hAnsi="Arial" w:cs="Arial"/>
          <w:b/>
          <w:i/>
          <w:color w:val="000000"/>
          <w:szCs w:val="22"/>
        </w:rPr>
        <w:t xml:space="preserve">World Bank’s Procurement Regulations for </w:t>
      </w:r>
      <w:proofErr w:type="spellStart"/>
      <w:r w:rsidRPr="00D34990">
        <w:rPr>
          <w:rFonts w:ascii="Arial" w:hAnsi="Arial" w:cs="Arial"/>
          <w:b/>
          <w:i/>
          <w:color w:val="000000"/>
          <w:szCs w:val="22"/>
        </w:rPr>
        <w:t>IPF</w:t>
      </w:r>
      <w:proofErr w:type="spellEnd"/>
      <w:r w:rsidRPr="00D34990">
        <w:rPr>
          <w:rFonts w:ascii="Arial" w:hAnsi="Arial" w:cs="Arial"/>
          <w:b/>
          <w:i/>
          <w:color w:val="000000"/>
          <w:szCs w:val="22"/>
        </w:rPr>
        <w:t xml:space="preserve"> Borrowers – Procurement in Investment Project Financing Goods, World, Non-Consulting and Consulting Services, July 2016, revised November 2017</w:t>
      </w:r>
      <w:r w:rsidRPr="00D34990">
        <w:rPr>
          <w:rFonts w:ascii="Arial" w:hAnsi="Arial" w:cs="Arial"/>
          <w:color w:val="000000"/>
          <w:szCs w:val="22"/>
        </w:rPr>
        <w:t xml:space="preserve"> </w:t>
      </w:r>
      <w:r w:rsidRPr="00D34990">
        <w:rPr>
          <w:rFonts w:ascii="Arial" w:hAnsi="Arial" w:cs="Arial"/>
          <w:b/>
          <w:i/>
          <w:color w:val="000000"/>
          <w:szCs w:val="22"/>
        </w:rPr>
        <w:t>and August 2018</w:t>
      </w:r>
      <w:r w:rsidRPr="00D34990">
        <w:rPr>
          <w:rFonts w:ascii="Arial" w:hAnsi="Arial" w:cs="Arial"/>
          <w:color w:val="000000"/>
          <w:szCs w:val="22"/>
        </w:rPr>
        <w:t xml:space="preserve"> (“the Regulations”). The Consultant that obtains the highest score during evaluation of expressions of interest will be invited to submit technical and financial proposals.</w:t>
      </w:r>
    </w:p>
    <w:p w:rsidR="00D34990" w:rsidRPr="00D34990" w:rsidRDefault="00D34990" w:rsidP="00D34990">
      <w:pPr>
        <w:spacing w:line="276" w:lineRule="auto"/>
        <w:jc w:val="both"/>
        <w:rPr>
          <w:rFonts w:ascii="Arial" w:hAnsi="Arial" w:cs="Arial"/>
          <w:noProof/>
          <w:szCs w:val="22"/>
        </w:rPr>
      </w:pPr>
    </w:p>
    <w:p w:rsidR="00D34990" w:rsidRPr="00D34990" w:rsidRDefault="00D34990" w:rsidP="00D34990">
      <w:pPr>
        <w:spacing w:line="276" w:lineRule="auto"/>
        <w:jc w:val="both"/>
        <w:rPr>
          <w:rFonts w:ascii="Arial" w:hAnsi="Arial" w:cs="Arial"/>
          <w:noProof/>
          <w:szCs w:val="22"/>
        </w:rPr>
      </w:pPr>
      <w:r w:rsidRPr="00D34990">
        <w:rPr>
          <w:rFonts w:ascii="Arial" w:hAnsi="Arial" w:cs="Arial"/>
          <w:noProof/>
          <w:szCs w:val="22"/>
        </w:rPr>
        <w:t xml:space="preserve">Evaluation of the Expressions of Interest will be done in accordance with following criteria: </w:t>
      </w:r>
    </w:p>
    <w:tbl>
      <w:tblPr>
        <w:tblStyle w:val="TableGrid"/>
        <w:tblW w:w="0" w:type="auto"/>
        <w:tblLook w:val="04A0" w:firstRow="1" w:lastRow="0" w:firstColumn="1" w:lastColumn="0" w:noHBand="0" w:noVBand="1"/>
      </w:tblPr>
      <w:tblGrid>
        <w:gridCol w:w="421"/>
        <w:gridCol w:w="7371"/>
        <w:gridCol w:w="1270"/>
      </w:tblGrid>
      <w:tr w:rsidR="00D34990" w:rsidRPr="00D34990" w:rsidTr="00E952F1">
        <w:tc>
          <w:tcPr>
            <w:tcW w:w="421" w:type="dxa"/>
          </w:tcPr>
          <w:p w:rsidR="00D34990" w:rsidRPr="00D34990" w:rsidRDefault="00D34990" w:rsidP="00E952F1">
            <w:pPr>
              <w:spacing w:line="360" w:lineRule="auto"/>
              <w:jc w:val="both"/>
              <w:rPr>
                <w:rFonts w:ascii="Arial" w:hAnsi="Arial" w:cs="Arial"/>
                <w:noProof/>
                <w:szCs w:val="22"/>
                <w:lang w:val="en-US"/>
              </w:rPr>
            </w:pPr>
            <w:r w:rsidRPr="00D34990">
              <w:rPr>
                <w:rFonts w:ascii="Arial" w:hAnsi="Arial" w:cs="Arial"/>
                <w:noProof/>
                <w:szCs w:val="22"/>
                <w:lang w:val="en-US"/>
              </w:rPr>
              <w:t>#</w:t>
            </w:r>
          </w:p>
        </w:tc>
        <w:tc>
          <w:tcPr>
            <w:tcW w:w="7371" w:type="dxa"/>
          </w:tcPr>
          <w:p w:rsidR="00D34990" w:rsidRPr="00D34990" w:rsidRDefault="00D34990" w:rsidP="00E952F1">
            <w:pPr>
              <w:spacing w:line="360" w:lineRule="auto"/>
              <w:jc w:val="both"/>
              <w:rPr>
                <w:rFonts w:ascii="Arial" w:hAnsi="Arial" w:cs="Arial"/>
                <w:i/>
                <w:iCs/>
                <w:noProof/>
                <w:szCs w:val="22"/>
                <w:lang w:val="en-US"/>
              </w:rPr>
            </w:pPr>
            <w:r w:rsidRPr="00D34990">
              <w:rPr>
                <w:rFonts w:ascii="Arial" w:hAnsi="Arial" w:cs="Arial"/>
                <w:i/>
                <w:iCs/>
                <w:noProof/>
                <w:szCs w:val="22"/>
                <w:lang w:val="en-US"/>
              </w:rPr>
              <w:t>Criteria</w:t>
            </w:r>
          </w:p>
        </w:tc>
        <w:tc>
          <w:tcPr>
            <w:tcW w:w="1270" w:type="dxa"/>
          </w:tcPr>
          <w:p w:rsidR="00D34990" w:rsidRPr="00D34990" w:rsidRDefault="00D34990" w:rsidP="00E952F1">
            <w:pPr>
              <w:spacing w:line="360" w:lineRule="auto"/>
              <w:jc w:val="center"/>
              <w:rPr>
                <w:rFonts w:ascii="Arial" w:hAnsi="Arial" w:cs="Arial"/>
                <w:i/>
                <w:iCs/>
                <w:noProof/>
                <w:szCs w:val="22"/>
                <w:lang w:val="en-US"/>
              </w:rPr>
            </w:pPr>
            <w:r w:rsidRPr="00D34990">
              <w:rPr>
                <w:rFonts w:ascii="Arial" w:hAnsi="Arial" w:cs="Arial"/>
                <w:i/>
                <w:iCs/>
                <w:noProof/>
                <w:szCs w:val="22"/>
                <w:lang w:val="en-US"/>
              </w:rPr>
              <w:t>Weight</w:t>
            </w:r>
          </w:p>
        </w:tc>
      </w:tr>
      <w:tr w:rsidR="00D34990" w:rsidRPr="00D34990" w:rsidTr="00E952F1">
        <w:tc>
          <w:tcPr>
            <w:tcW w:w="421" w:type="dxa"/>
          </w:tcPr>
          <w:p w:rsidR="00D34990" w:rsidRPr="00D34990" w:rsidRDefault="00D34990" w:rsidP="00E952F1">
            <w:pPr>
              <w:spacing w:line="360" w:lineRule="auto"/>
              <w:jc w:val="both"/>
              <w:rPr>
                <w:rFonts w:ascii="Arial" w:hAnsi="Arial" w:cs="Arial"/>
                <w:noProof/>
                <w:szCs w:val="22"/>
                <w:lang w:val="en-US"/>
              </w:rPr>
            </w:pPr>
            <w:r w:rsidRPr="00D34990">
              <w:rPr>
                <w:rFonts w:ascii="Arial" w:hAnsi="Arial" w:cs="Arial"/>
                <w:noProof/>
                <w:szCs w:val="22"/>
                <w:lang w:val="en-US"/>
              </w:rPr>
              <w:t>1</w:t>
            </w:r>
          </w:p>
        </w:tc>
        <w:tc>
          <w:tcPr>
            <w:tcW w:w="7371" w:type="dxa"/>
          </w:tcPr>
          <w:p w:rsidR="00D34990" w:rsidRPr="00D34990" w:rsidRDefault="00D34990" w:rsidP="00E952F1">
            <w:pPr>
              <w:spacing w:line="360" w:lineRule="auto"/>
              <w:rPr>
                <w:rFonts w:ascii="Arial" w:hAnsi="Arial" w:cs="Arial"/>
                <w:noProof/>
                <w:szCs w:val="22"/>
                <w:lang w:val="en-US"/>
              </w:rPr>
            </w:pPr>
            <w:r w:rsidRPr="00D34990">
              <w:rPr>
                <w:rFonts w:ascii="Arial" w:hAnsi="Arial" w:cs="Arial"/>
                <w:noProof/>
                <w:szCs w:val="22"/>
                <w:lang w:val="en-US"/>
              </w:rPr>
              <w:t>Specific experience of the Consultant (as a firm) relevant to the Services</w:t>
            </w:r>
          </w:p>
        </w:tc>
        <w:tc>
          <w:tcPr>
            <w:tcW w:w="1270" w:type="dxa"/>
          </w:tcPr>
          <w:p w:rsidR="00D34990" w:rsidRPr="00D34990" w:rsidRDefault="00D34990" w:rsidP="00E952F1">
            <w:pPr>
              <w:spacing w:line="360" w:lineRule="auto"/>
              <w:jc w:val="center"/>
              <w:rPr>
                <w:rFonts w:ascii="Arial" w:hAnsi="Arial" w:cs="Arial"/>
                <w:b/>
                <w:noProof/>
                <w:szCs w:val="22"/>
                <w:lang w:val="en-US"/>
              </w:rPr>
            </w:pPr>
            <w:r w:rsidRPr="00D34990">
              <w:rPr>
                <w:rFonts w:ascii="Arial" w:hAnsi="Arial" w:cs="Arial"/>
                <w:b/>
                <w:noProof/>
                <w:szCs w:val="22"/>
                <w:lang w:val="en-US"/>
              </w:rPr>
              <w:t>10</w:t>
            </w:r>
          </w:p>
        </w:tc>
      </w:tr>
      <w:tr w:rsidR="00D34990" w:rsidRPr="00D34990" w:rsidTr="00E952F1">
        <w:tc>
          <w:tcPr>
            <w:tcW w:w="421" w:type="dxa"/>
          </w:tcPr>
          <w:p w:rsidR="00D34990" w:rsidRPr="00D34990" w:rsidRDefault="00D34990" w:rsidP="00E952F1">
            <w:pPr>
              <w:spacing w:line="360" w:lineRule="auto"/>
              <w:jc w:val="both"/>
              <w:rPr>
                <w:rFonts w:ascii="Arial" w:hAnsi="Arial" w:cs="Arial"/>
                <w:noProof/>
                <w:szCs w:val="22"/>
                <w:lang w:val="en-US"/>
              </w:rPr>
            </w:pPr>
            <w:r w:rsidRPr="00D34990">
              <w:rPr>
                <w:rFonts w:ascii="Arial" w:hAnsi="Arial" w:cs="Arial"/>
                <w:noProof/>
                <w:szCs w:val="22"/>
                <w:lang w:val="en-US"/>
              </w:rPr>
              <w:t>2</w:t>
            </w:r>
          </w:p>
        </w:tc>
        <w:tc>
          <w:tcPr>
            <w:tcW w:w="7371" w:type="dxa"/>
          </w:tcPr>
          <w:p w:rsidR="00D34990" w:rsidRPr="00D34990" w:rsidRDefault="00D34990" w:rsidP="00E952F1">
            <w:pPr>
              <w:spacing w:line="360" w:lineRule="auto"/>
              <w:rPr>
                <w:rFonts w:ascii="Arial" w:hAnsi="Arial" w:cs="Arial"/>
                <w:noProof/>
                <w:szCs w:val="22"/>
                <w:lang w:val="en-US"/>
              </w:rPr>
            </w:pPr>
            <w:r w:rsidRPr="00D34990">
              <w:rPr>
                <w:rFonts w:ascii="Arial" w:hAnsi="Arial" w:cs="Arial"/>
                <w:noProof/>
                <w:szCs w:val="22"/>
                <w:lang w:val="en-US"/>
              </w:rPr>
              <w:t>Adequacy and quality of the proposed methodology and work plan in responding to the Terms of Reference</w:t>
            </w:r>
          </w:p>
        </w:tc>
        <w:tc>
          <w:tcPr>
            <w:tcW w:w="1270" w:type="dxa"/>
          </w:tcPr>
          <w:p w:rsidR="00D34990" w:rsidRPr="00D34990" w:rsidRDefault="00D34990" w:rsidP="00E952F1">
            <w:pPr>
              <w:spacing w:line="360" w:lineRule="auto"/>
              <w:jc w:val="center"/>
              <w:rPr>
                <w:rFonts w:ascii="Arial" w:hAnsi="Arial" w:cs="Arial"/>
                <w:b/>
                <w:noProof/>
                <w:szCs w:val="22"/>
                <w:lang w:val="en-US"/>
              </w:rPr>
            </w:pPr>
            <w:r w:rsidRPr="00D34990">
              <w:rPr>
                <w:rFonts w:ascii="Arial" w:hAnsi="Arial" w:cs="Arial"/>
                <w:b/>
                <w:noProof/>
                <w:szCs w:val="22"/>
                <w:lang w:val="en-US"/>
              </w:rPr>
              <w:t>40</w:t>
            </w:r>
          </w:p>
        </w:tc>
      </w:tr>
      <w:tr w:rsidR="00D34990" w:rsidRPr="00D34990" w:rsidTr="00E952F1">
        <w:tc>
          <w:tcPr>
            <w:tcW w:w="421" w:type="dxa"/>
          </w:tcPr>
          <w:p w:rsidR="00D34990" w:rsidRPr="00D34990" w:rsidRDefault="00D34990" w:rsidP="00E952F1">
            <w:pPr>
              <w:spacing w:line="360" w:lineRule="auto"/>
              <w:jc w:val="both"/>
              <w:rPr>
                <w:rFonts w:ascii="Arial" w:hAnsi="Arial" w:cs="Arial"/>
                <w:noProof/>
                <w:szCs w:val="22"/>
                <w:lang w:val="en-US"/>
              </w:rPr>
            </w:pPr>
          </w:p>
        </w:tc>
        <w:tc>
          <w:tcPr>
            <w:tcW w:w="7371" w:type="dxa"/>
          </w:tcPr>
          <w:p w:rsidR="00D34990" w:rsidRPr="00D34990" w:rsidRDefault="00D34990" w:rsidP="00E952F1">
            <w:pPr>
              <w:spacing w:line="360" w:lineRule="auto"/>
              <w:rPr>
                <w:rFonts w:ascii="Arial" w:hAnsi="Arial" w:cs="Arial"/>
                <w:noProof/>
                <w:szCs w:val="22"/>
                <w:lang w:val="en-US"/>
              </w:rPr>
            </w:pPr>
            <w:r w:rsidRPr="00D34990">
              <w:rPr>
                <w:rFonts w:ascii="Arial" w:hAnsi="Arial" w:cs="Arial"/>
                <w:noProof/>
                <w:szCs w:val="22"/>
                <w:lang w:val="en-US"/>
              </w:rPr>
              <w:t xml:space="preserve">Key Experts’ qualifications and competence for the Services </w:t>
            </w:r>
          </w:p>
          <w:p w:rsidR="00D34990" w:rsidRPr="00D34990" w:rsidRDefault="00D34990" w:rsidP="00E952F1">
            <w:pPr>
              <w:spacing w:line="360" w:lineRule="auto"/>
              <w:rPr>
                <w:rFonts w:ascii="Arial" w:hAnsi="Arial" w:cs="Arial"/>
                <w:noProof/>
                <w:szCs w:val="22"/>
                <w:lang w:val="en-US"/>
              </w:rPr>
            </w:pPr>
            <w:r w:rsidRPr="00D34990">
              <w:rPr>
                <w:rFonts w:ascii="Arial" w:hAnsi="Arial" w:cs="Arial"/>
                <w:noProof/>
                <w:szCs w:val="22"/>
                <w:lang w:val="en-US"/>
              </w:rPr>
              <w:t xml:space="preserve">a) K-1: Team Leader [points 30] </w:t>
            </w:r>
          </w:p>
          <w:p w:rsidR="00D34990" w:rsidRPr="00D34990" w:rsidRDefault="00D34990" w:rsidP="00E952F1">
            <w:pPr>
              <w:spacing w:line="360" w:lineRule="auto"/>
              <w:rPr>
                <w:rFonts w:ascii="Arial" w:hAnsi="Arial" w:cs="Arial"/>
                <w:noProof/>
                <w:szCs w:val="22"/>
                <w:lang w:val="en-US"/>
              </w:rPr>
            </w:pPr>
            <w:r w:rsidRPr="00D34990">
              <w:rPr>
                <w:rFonts w:ascii="Arial" w:hAnsi="Arial" w:cs="Arial"/>
                <w:noProof/>
                <w:szCs w:val="22"/>
                <w:lang w:val="en-US"/>
              </w:rPr>
              <w:t>b) K-2: Key expert [points 20]</w:t>
            </w:r>
          </w:p>
        </w:tc>
        <w:tc>
          <w:tcPr>
            <w:tcW w:w="1270" w:type="dxa"/>
          </w:tcPr>
          <w:p w:rsidR="00D34990" w:rsidRPr="00D34990" w:rsidRDefault="00D34990" w:rsidP="00E952F1">
            <w:pPr>
              <w:spacing w:line="360" w:lineRule="auto"/>
              <w:jc w:val="center"/>
              <w:rPr>
                <w:rFonts w:ascii="Arial" w:hAnsi="Arial" w:cs="Arial"/>
                <w:b/>
                <w:noProof/>
                <w:szCs w:val="22"/>
                <w:lang w:val="en-US"/>
              </w:rPr>
            </w:pPr>
            <w:r w:rsidRPr="00D34990">
              <w:rPr>
                <w:rFonts w:ascii="Arial" w:hAnsi="Arial" w:cs="Arial"/>
                <w:b/>
                <w:noProof/>
                <w:szCs w:val="22"/>
                <w:lang w:val="en-US"/>
              </w:rPr>
              <w:t>50</w:t>
            </w:r>
          </w:p>
        </w:tc>
      </w:tr>
      <w:tr w:rsidR="00D34990" w:rsidRPr="00D34990" w:rsidTr="00E952F1">
        <w:tc>
          <w:tcPr>
            <w:tcW w:w="9062" w:type="dxa"/>
            <w:gridSpan w:val="3"/>
          </w:tcPr>
          <w:p w:rsidR="00D34990" w:rsidRPr="00D34990" w:rsidRDefault="00D34990" w:rsidP="00E952F1">
            <w:pPr>
              <w:spacing w:line="360" w:lineRule="auto"/>
              <w:rPr>
                <w:rFonts w:ascii="Arial" w:hAnsi="Arial" w:cs="Arial"/>
                <w:noProof/>
                <w:szCs w:val="22"/>
                <w:lang w:val="en-US"/>
              </w:rPr>
            </w:pPr>
            <w:r w:rsidRPr="00D34990">
              <w:rPr>
                <w:rFonts w:ascii="Arial" w:hAnsi="Arial" w:cs="Arial"/>
                <w:noProof/>
                <w:szCs w:val="22"/>
                <w:lang w:val="en-US"/>
              </w:rPr>
              <w:t>The Key Experts’ qualifications shall be evaluated according to the following sub-criteria and their belonging weights:</w:t>
            </w:r>
          </w:p>
        </w:tc>
      </w:tr>
      <w:tr w:rsidR="00D34990" w:rsidRPr="00D34990" w:rsidTr="00E952F1">
        <w:tc>
          <w:tcPr>
            <w:tcW w:w="421" w:type="dxa"/>
          </w:tcPr>
          <w:p w:rsidR="00D34990" w:rsidRPr="00D34990" w:rsidRDefault="00D34990" w:rsidP="00E952F1">
            <w:pPr>
              <w:spacing w:line="360" w:lineRule="auto"/>
              <w:jc w:val="both"/>
              <w:rPr>
                <w:rFonts w:ascii="Arial" w:hAnsi="Arial" w:cs="Arial"/>
                <w:noProof/>
                <w:szCs w:val="22"/>
                <w:lang w:val="en-US"/>
              </w:rPr>
            </w:pPr>
            <w:r w:rsidRPr="00D34990">
              <w:rPr>
                <w:rFonts w:ascii="Arial" w:hAnsi="Arial" w:cs="Arial"/>
                <w:noProof/>
                <w:szCs w:val="22"/>
                <w:lang w:val="en-US"/>
              </w:rPr>
              <w:t>a)</w:t>
            </w:r>
          </w:p>
        </w:tc>
        <w:tc>
          <w:tcPr>
            <w:tcW w:w="7371" w:type="dxa"/>
          </w:tcPr>
          <w:p w:rsidR="00D34990" w:rsidRPr="00D34990" w:rsidRDefault="00D34990" w:rsidP="00E952F1">
            <w:pPr>
              <w:spacing w:line="360" w:lineRule="auto"/>
              <w:rPr>
                <w:rFonts w:ascii="Arial" w:hAnsi="Arial" w:cs="Arial"/>
                <w:noProof/>
                <w:szCs w:val="22"/>
                <w:lang w:val="en-US"/>
              </w:rPr>
            </w:pPr>
            <w:r w:rsidRPr="00D34990">
              <w:rPr>
                <w:rFonts w:ascii="Arial" w:hAnsi="Arial" w:cs="Arial"/>
                <w:noProof/>
                <w:szCs w:val="22"/>
                <w:lang w:val="en-US"/>
              </w:rPr>
              <w:t>General qualifications (general education and experience)</w:t>
            </w:r>
          </w:p>
        </w:tc>
        <w:tc>
          <w:tcPr>
            <w:tcW w:w="1270" w:type="dxa"/>
          </w:tcPr>
          <w:p w:rsidR="00D34990" w:rsidRPr="00D34990" w:rsidRDefault="00D34990" w:rsidP="00E952F1">
            <w:pPr>
              <w:spacing w:line="360" w:lineRule="auto"/>
              <w:jc w:val="center"/>
              <w:rPr>
                <w:rFonts w:ascii="Arial" w:hAnsi="Arial" w:cs="Arial"/>
                <w:b/>
                <w:noProof/>
                <w:szCs w:val="22"/>
                <w:lang w:val="en-US"/>
              </w:rPr>
            </w:pPr>
            <w:r w:rsidRPr="00D34990">
              <w:rPr>
                <w:rFonts w:ascii="Arial" w:hAnsi="Arial" w:cs="Arial"/>
                <w:b/>
                <w:noProof/>
                <w:szCs w:val="22"/>
                <w:lang w:val="en-US"/>
              </w:rPr>
              <w:t>30</w:t>
            </w:r>
          </w:p>
        </w:tc>
      </w:tr>
      <w:tr w:rsidR="00D34990" w:rsidRPr="00D34990" w:rsidTr="00E952F1">
        <w:tc>
          <w:tcPr>
            <w:tcW w:w="421" w:type="dxa"/>
          </w:tcPr>
          <w:p w:rsidR="00D34990" w:rsidRPr="00D34990" w:rsidRDefault="00D34990" w:rsidP="00E952F1">
            <w:pPr>
              <w:spacing w:line="360" w:lineRule="auto"/>
              <w:jc w:val="both"/>
              <w:rPr>
                <w:rFonts w:ascii="Arial" w:hAnsi="Arial" w:cs="Arial"/>
                <w:noProof/>
                <w:szCs w:val="22"/>
                <w:lang w:val="en-US"/>
              </w:rPr>
            </w:pPr>
            <w:r w:rsidRPr="00D34990">
              <w:rPr>
                <w:rFonts w:ascii="Arial" w:hAnsi="Arial" w:cs="Arial"/>
                <w:noProof/>
                <w:szCs w:val="22"/>
                <w:lang w:val="en-US"/>
              </w:rPr>
              <w:t>b)</w:t>
            </w:r>
          </w:p>
        </w:tc>
        <w:tc>
          <w:tcPr>
            <w:tcW w:w="7371" w:type="dxa"/>
          </w:tcPr>
          <w:p w:rsidR="00D34990" w:rsidRPr="00D34990" w:rsidRDefault="00D34990" w:rsidP="00E952F1">
            <w:pPr>
              <w:spacing w:line="360" w:lineRule="auto"/>
              <w:rPr>
                <w:rFonts w:ascii="Arial" w:hAnsi="Arial" w:cs="Arial"/>
                <w:noProof/>
                <w:szCs w:val="22"/>
                <w:lang w:val="en-US"/>
              </w:rPr>
            </w:pPr>
            <w:r w:rsidRPr="00D34990">
              <w:rPr>
                <w:rFonts w:ascii="Arial" w:hAnsi="Arial" w:cs="Arial"/>
                <w:noProof/>
                <w:szCs w:val="22"/>
                <w:lang w:val="en-US"/>
              </w:rPr>
              <w:t>Adequacy for the Services (relevant education and experience in the financial sector (or related industry services)/similar assignments)</w:t>
            </w:r>
          </w:p>
        </w:tc>
        <w:tc>
          <w:tcPr>
            <w:tcW w:w="1270" w:type="dxa"/>
          </w:tcPr>
          <w:p w:rsidR="00D34990" w:rsidRPr="00D34990" w:rsidRDefault="00D34990" w:rsidP="00E952F1">
            <w:pPr>
              <w:spacing w:line="360" w:lineRule="auto"/>
              <w:jc w:val="center"/>
              <w:rPr>
                <w:rFonts w:ascii="Arial" w:hAnsi="Arial" w:cs="Arial"/>
                <w:b/>
                <w:noProof/>
                <w:szCs w:val="22"/>
                <w:lang w:val="en-US"/>
              </w:rPr>
            </w:pPr>
            <w:r w:rsidRPr="00D34990">
              <w:rPr>
                <w:rFonts w:ascii="Arial" w:hAnsi="Arial" w:cs="Arial"/>
                <w:b/>
                <w:noProof/>
                <w:szCs w:val="22"/>
                <w:lang w:val="en-US"/>
              </w:rPr>
              <w:t>60</w:t>
            </w:r>
          </w:p>
        </w:tc>
      </w:tr>
      <w:tr w:rsidR="00D34990" w:rsidRPr="00D34990" w:rsidTr="00E952F1">
        <w:tc>
          <w:tcPr>
            <w:tcW w:w="421" w:type="dxa"/>
          </w:tcPr>
          <w:p w:rsidR="00D34990" w:rsidRPr="00D34990" w:rsidRDefault="00D34990" w:rsidP="00E952F1">
            <w:pPr>
              <w:spacing w:line="360" w:lineRule="auto"/>
              <w:jc w:val="both"/>
              <w:rPr>
                <w:rFonts w:ascii="Arial" w:hAnsi="Arial" w:cs="Arial"/>
                <w:noProof/>
                <w:szCs w:val="22"/>
                <w:lang w:val="en-US"/>
              </w:rPr>
            </w:pPr>
            <w:r w:rsidRPr="00D34990">
              <w:rPr>
                <w:rFonts w:ascii="Arial" w:hAnsi="Arial" w:cs="Arial"/>
                <w:noProof/>
                <w:szCs w:val="22"/>
                <w:lang w:val="en-US"/>
              </w:rPr>
              <w:t>c)</w:t>
            </w:r>
          </w:p>
        </w:tc>
        <w:tc>
          <w:tcPr>
            <w:tcW w:w="7371" w:type="dxa"/>
          </w:tcPr>
          <w:p w:rsidR="00D34990" w:rsidRPr="00D34990" w:rsidRDefault="00D34990" w:rsidP="00E952F1">
            <w:pPr>
              <w:spacing w:line="360" w:lineRule="auto"/>
              <w:rPr>
                <w:rFonts w:ascii="Arial" w:hAnsi="Arial" w:cs="Arial"/>
                <w:noProof/>
                <w:szCs w:val="22"/>
                <w:lang w:val="en-US"/>
              </w:rPr>
            </w:pPr>
            <w:r w:rsidRPr="00D34990">
              <w:rPr>
                <w:rFonts w:ascii="Arial" w:hAnsi="Arial" w:cs="Arial"/>
                <w:noProof/>
                <w:szCs w:val="22"/>
                <w:lang w:val="en-US"/>
              </w:rPr>
              <w:t>Relevant experience in the Public Sector (administrative system, government organization, etc.)</w:t>
            </w:r>
          </w:p>
        </w:tc>
        <w:tc>
          <w:tcPr>
            <w:tcW w:w="1270" w:type="dxa"/>
          </w:tcPr>
          <w:p w:rsidR="00D34990" w:rsidRPr="00D34990" w:rsidRDefault="00D34990" w:rsidP="00E952F1">
            <w:pPr>
              <w:spacing w:line="360" w:lineRule="auto"/>
              <w:jc w:val="center"/>
              <w:rPr>
                <w:rFonts w:ascii="Arial" w:hAnsi="Arial" w:cs="Arial"/>
                <w:b/>
                <w:noProof/>
                <w:szCs w:val="22"/>
                <w:lang w:val="en-US"/>
              </w:rPr>
            </w:pPr>
            <w:r w:rsidRPr="00D34990">
              <w:rPr>
                <w:rFonts w:ascii="Arial" w:hAnsi="Arial" w:cs="Arial"/>
                <w:b/>
                <w:noProof/>
                <w:szCs w:val="22"/>
                <w:lang w:val="en-US"/>
              </w:rPr>
              <w:t>10</w:t>
            </w:r>
          </w:p>
        </w:tc>
      </w:tr>
    </w:tbl>
    <w:p w:rsidR="00D34990" w:rsidRPr="00D34990" w:rsidRDefault="00D34990" w:rsidP="00D34990">
      <w:pPr>
        <w:shd w:val="clear" w:color="auto" w:fill="FFFFFF"/>
        <w:spacing w:before="240" w:after="100" w:afterAutospacing="1"/>
        <w:jc w:val="both"/>
        <w:rPr>
          <w:rFonts w:ascii="Arial" w:hAnsi="Arial" w:cs="Arial"/>
          <w:szCs w:val="22"/>
        </w:rPr>
      </w:pPr>
      <w:r w:rsidRPr="00D34990">
        <w:rPr>
          <w:rFonts w:ascii="Arial" w:hAnsi="Arial" w:cs="Arial"/>
          <w:szCs w:val="22"/>
        </w:rPr>
        <w:t>The attention of interested Consultants is drawn to paragraphs 3.14, 3.16 and 3.17 of the Regulations setting forth the World Bank’s policy on conflict of interest. </w:t>
      </w:r>
    </w:p>
    <w:p w:rsidR="000C3271" w:rsidRPr="00385E71" w:rsidRDefault="000C3271" w:rsidP="000C3271">
      <w:pPr>
        <w:suppressAutoHyphens/>
        <w:jc w:val="both"/>
        <w:rPr>
          <w:rFonts w:ascii="Arial" w:hAnsi="Arial" w:cs="Arial"/>
          <w:spacing w:val="-2"/>
          <w:szCs w:val="22"/>
          <w:lang w:val="sr-Latn-RS"/>
        </w:rPr>
      </w:pPr>
      <w:r w:rsidRPr="00385E71">
        <w:rPr>
          <w:rFonts w:ascii="Arial" w:hAnsi="Arial" w:cs="Arial"/>
          <w:szCs w:val="22"/>
        </w:rPr>
        <w:t>The detailed Terms of Reference for the above referenced consulting services is posted on the website of the Ministry of Finance</w:t>
      </w:r>
      <w:r w:rsidRPr="00385E71">
        <w:rPr>
          <w:rFonts w:ascii="Arial" w:hAnsi="Arial" w:cs="Arial"/>
          <w:color w:val="48535C"/>
          <w:szCs w:val="22"/>
        </w:rPr>
        <w:t xml:space="preserve"> </w:t>
      </w:r>
      <w:hyperlink r:id="rId5" w:history="1">
        <w:r w:rsidRPr="00385E71">
          <w:rPr>
            <w:rStyle w:val="Hyperlink"/>
            <w:rFonts w:ascii="Arial" w:hAnsi="Arial" w:cs="Arial"/>
            <w:szCs w:val="22"/>
            <w:lang w:val="sr-Cyrl-RS"/>
          </w:rPr>
          <w:t>https://www.mfin.gov.rs/en/documents/state-owned-financial-institutions-strengthening-project-sofi-general-procurement-notice</w:t>
        </w:r>
        <w:r w:rsidRPr="00385E71">
          <w:rPr>
            <w:rStyle w:val="Hyperlink"/>
            <w:rFonts w:ascii="Arial" w:hAnsi="Arial" w:cs="Arial"/>
            <w:szCs w:val="22"/>
            <w:lang w:val="sr-Latn-RS"/>
          </w:rPr>
          <w:t>-2</w:t>
        </w:r>
      </w:hyperlink>
      <w:r w:rsidRPr="00385E71">
        <w:rPr>
          <w:rFonts w:ascii="Arial" w:hAnsi="Arial" w:cs="Arial"/>
          <w:szCs w:val="22"/>
          <w:lang w:val="sr-Latn-RS"/>
        </w:rPr>
        <w:t xml:space="preserve"> </w:t>
      </w:r>
    </w:p>
    <w:p w:rsidR="000C3271" w:rsidRPr="00385E71" w:rsidRDefault="000C3271" w:rsidP="00D34990">
      <w:pPr>
        <w:shd w:val="clear" w:color="auto" w:fill="FFFFFF"/>
        <w:spacing w:before="240" w:after="100" w:afterAutospacing="1"/>
        <w:jc w:val="both"/>
        <w:rPr>
          <w:rFonts w:ascii="Arial" w:hAnsi="Arial" w:cs="Arial"/>
          <w:szCs w:val="22"/>
        </w:rPr>
      </w:pPr>
      <w:r w:rsidRPr="00385E71">
        <w:rPr>
          <w:rFonts w:ascii="Arial" w:hAnsi="Arial" w:cs="Arial"/>
          <w:szCs w:val="22"/>
        </w:rPr>
        <w:t>The Central Fiduciary Unit (CFU) of the Ministry of Finance now invites eligible Consultants to indicate their interest in providing the Services. Interested Consultants should provide information demonstrating that they have the required qualifications and relevant experience to perform the Services.</w:t>
      </w:r>
    </w:p>
    <w:p w:rsidR="000C3271" w:rsidRPr="00385E71" w:rsidRDefault="000C3271" w:rsidP="000C3271">
      <w:pPr>
        <w:jc w:val="both"/>
        <w:rPr>
          <w:rFonts w:ascii="Arial" w:hAnsi="Arial" w:cs="Arial"/>
          <w:szCs w:val="22"/>
        </w:rPr>
      </w:pPr>
      <w:r w:rsidRPr="00385E71">
        <w:rPr>
          <w:rFonts w:ascii="Arial" w:hAnsi="Arial" w:cs="Arial"/>
          <w:spacing w:val="-2"/>
          <w:szCs w:val="22"/>
        </w:rPr>
        <w:t xml:space="preserve">Expressions of interest in English language must be delivered in a written form to the </w:t>
      </w:r>
      <w:r w:rsidRPr="00385E71">
        <w:rPr>
          <w:rFonts w:ascii="Arial" w:hAnsi="Arial" w:cs="Arial"/>
          <w:b/>
          <w:spacing w:val="-2"/>
          <w:szCs w:val="22"/>
        </w:rPr>
        <w:t xml:space="preserve">e-mail addresses below, by June </w:t>
      </w:r>
      <w:r w:rsidR="00D34990">
        <w:rPr>
          <w:rFonts w:ascii="Arial" w:hAnsi="Arial" w:cs="Arial"/>
          <w:b/>
          <w:spacing w:val="-2"/>
          <w:szCs w:val="22"/>
        </w:rPr>
        <w:t>30</w:t>
      </w:r>
      <w:r w:rsidRPr="00385E71">
        <w:rPr>
          <w:rFonts w:ascii="Arial" w:hAnsi="Arial" w:cs="Arial"/>
          <w:b/>
          <w:spacing w:val="-2"/>
          <w:szCs w:val="22"/>
        </w:rPr>
        <w:t>, 2022, 12:00 hours, noon</w:t>
      </w:r>
      <w:r w:rsidRPr="00385E71">
        <w:rPr>
          <w:rFonts w:ascii="Arial" w:hAnsi="Arial" w:cs="Arial"/>
          <w:spacing w:val="-2"/>
          <w:szCs w:val="22"/>
        </w:rPr>
        <w:t>, local time.</w:t>
      </w:r>
      <w:r w:rsidRPr="00385E71">
        <w:rPr>
          <w:rFonts w:ascii="Arial" w:hAnsi="Arial" w:cs="Arial"/>
          <w:szCs w:val="22"/>
        </w:rPr>
        <w:t xml:space="preserve"> </w:t>
      </w:r>
    </w:p>
    <w:p w:rsidR="000C3271" w:rsidRPr="00385E71" w:rsidRDefault="000C3271" w:rsidP="000C3271">
      <w:pPr>
        <w:jc w:val="both"/>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65"/>
        <w:gridCol w:w="3663"/>
      </w:tblGrid>
      <w:tr w:rsidR="000C3271" w:rsidRPr="00385E71" w:rsidTr="00FE1BA3">
        <w:tc>
          <w:tcPr>
            <w:tcW w:w="1094" w:type="dxa"/>
            <w:shd w:val="clear" w:color="auto" w:fill="auto"/>
            <w:vAlign w:val="center"/>
          </w:tcPr>
          <w:p w:rsidR="000C3271" w:rsidRPr="00385E71" w:rsidRDefault="000C3271" w:rsidP="00FE1BA3">
            <w:pPr>
              <w:spacing w:after="75" w:line="360" w:lineRule="atLeast"/>
              <w:rPr>
                <w:rFonts w:ascii="Arial" w:hAnsi="Arial" w:cs="Arial"/>
                <w:b/>
                <w:spacing w:val="-2"/>
                <w:szCs w:val="22"/>
              </w:rPr>
            </w:pPr>
            <w:r w:rsidRPr="00385E71">
              <w:rPr>
                <w:rFonts w:ascii="Arial" w:hAnsi="Arial" w:cs="Arial"/>
                <w:b/>
                <w:spacing w:val="-2"/>
                <w:szCs w:val="22"/>
              </w:rPr>
              <w:t>Contact:</w:t>
            </w:r>
          </w:p>
        </w:tc>
        <w:tc>
          <w:tcPr>
            <w:tcW w:w="3765" w:type="dxa"/>
            <w:shd w:val="clear" w:color="auto" w:fill="auto"/>
            <w:vAlign w:val="center"/>
          </w:tcPr>
          <w:p w:rsidR="000C3271" w:rsidRPr="00385E71" w:rsidRDefault="000C3271" w:rsidP="00FE1BA3">
            <w:pPr>
              <w:spacing w:after="75" w:line="360" w:lineRule="atLeast"/>
              <w:rPr>
                <w:rFonts w:ascii="Arial" w:hAnsi="Arial" w:cs="Arial"/>
                <w:b/>
                <w:spacing w:val="-2"/>
                <w:szCs w:val="22"/>
              </w:rPr>
            </w:pPr>
            <w:r w:rsidRPr="00385E71">
              <w:rPr>
                <w:rFonts w:ascii="Arial" w:hAnsi="Arial" w:cs="Arial"/>
                <w:b/>
                <w:spacing w:val="-2"/>
                <w:szCs w:val="22"/>
              </w:rPr>
              <w:t>E–mail:</w:t>
            </w:r>
          </w:p>
        </w:tc>
        <w:tc>
          <w:tcPr>
            <w:tcW w:w="3663" w:type="dxa"/>
            <w:shd w:val="clear" w:color="auto" w:fill="auto"/>
            <w:vAlign w:val="center"/>
          </w:tcPr>
          <w:p w:rsidR="000C3271" w:rsidRPr="00385E71" w:rsidRDefault="000C3271" w:rsidP="00FE1BA3">
            <w:pPr>
              <w:spacing w:after="75" w:line="360" w:lineRule="atLeast"/>
              <w:rPr>
                <w:rFonts w:ascii="Arial" w:hAnsi="Arial" w:cs="Arial"/>
                <w:b/>
                <w:spacing w:val="-2"/>
                <w:szCs w:val="22"/>
              </w:rPr>
            </w:pPr>
            <w:r w:rsidRPr="00385E71">
              <w:rPr>
                <w:rFonts w:ascii="Arial" w:hAnsi="Arial" w:cs="Arial"/>
                <w:b/>
                <w:spacing w:val="-2"/>
                <w:szCs w:val="22"/>
              </w:rPr>
              <w:t>Address:</w:t>
            </w:r>
          </w:p>
        </w:tc>
      </w:tr>
      <w:tr w:rsidR="000C3271" w:rsidRPr="00385E71" w:rsidTr="00FE1BA3">
        <w:trPr>
          <w:trHeight w:val="872"/>
        </w:trPr>
        <w:tc>
          <w:tcPr>
            <w:tcW w:w="1094" w:type="dxa"/>
            <w:shd w:val="clear" w:color="auto" w:fill="auto"/>
          </w:tcPr>
          <w:p w:rsidR="000C3271" w:rsidRPr="00385E71" w:rsidRDefault="000C3271" w:rsidP="00FE1BA3">
            <w:pPr>
              <w:spacing w:after="75" w:line="360" w:lineRule="atLeast"/>
              <w:rPr>
                <w:rFonts w:ascii="Arial" w:hAnsi="Arial" w:cs="Arial"/>
                <w:szCs w:val="22"/>
              </w:rPr>
            </w:pPr>
            <w:r w:rsidRPr="00385E71">
              <w:rPr>
                <w:rFonts w:ascii="Arial" w:hAnsi="Arial" w:cs="Arial"/>
                <w:spacing w:val="-2"/>
                <w:szCs w:val="22"/>
              </w:rPr>
              <w:lastRenderedPageBreak/>
              <w:t>To:</w:t>
            </w:r>
          </w:p>
        </w:tc>
        <w:tc>
          <w:tcPr>
            <w:tcW w:w="3765" w:type="dxa"/>
            <w:shd w:val="clear" w:color="auto" w:fill="auto"/>
          </w:tcPr>
          <w:p w:rsidR="000C3271" w:rsidRPr="00385E71" w:rsidRDefault="00352FE8" w:rsidP="00FE1BA3">
            <w:pPr>
              <w:rPr>
                <w:rFonts w:ascii="Arial" w:hAnsi="Arial" w:cs="Arial"/>
                <w:spacing w:val="-2"/>
                <w:szCs w:val="22"/>
              </w:rPr>
            </w:pPr>
            <w:hyperlink r:id="rId6" w:history="1">
              <w:r w:rsidR="000C3271" w:rsidRPr="00385E71">
                <w:rPr>
                  <w:rStyle w:val="Hyperlink"/>
                  <w:rFonts w:ascii="Arial" w:hAnsi="Arial" w:cs="Arial"/>
                  <w:szCs w:val="22"/>
                </w:rPr>
                <w:t>zorica.petrovic@mfin.gov.rs</w:t>
              </w:r>
            </w:hyperlink>
          </w:p>
          <w:p w:rsidR="000C3271" w:rsidRPr="00385E71" w:rsidRDefault="000C3271" w:rsidP="00FE1BA3">
            <w:pPr>
              <w:rPr>
                <w:rFonts w:ascii="Arial" w:hAnsi="Arial" w:cs="Arial"/>
                <w:spacing w:val="-2"/>
                <w:szCs w:val="22"/>
              </w:rPr>
            </w:pPr>
            <w:r w:rsidRPr="00385E71">
              <w:rPr>
                <w:rFonts w:ascii="Arial" w:hAnsi="Arial" w:cs="Arial"/>
                <w:spacing w:val="-2"/>
                <w:szCs w:val="22"/>
              </w:rPr>
              <w:t xml:space="preserve">Ms. Zorica </w:t>
            </w:r>
            <w:proofErr w:type="spellStart"/>
            <w:r w:rsidRPr="00385E71">
              <w:rPr>
                <w:rFonts w:ascii="Arial" w:hAnsi="Arial" w:cs="Arial"/>
                <w:spacing w:val="-2"/>
                <w:szCs w:val="22"/>
              </w:rPr>
              <w:t>Petrovic</w:t>
            </w:r>
            <w:proofErr w:type="spellEnd"/>
          </w:p>
          <w:p w:rsidR="000C3271" w:rsidRPr="00385E71" w:rsidRDefault="000C3271" w:rsidP="00FE1BA3">
            <w:pPr>
              <w:rPr>
                <w:rFonts w:ascii="Arial" w:hAnsi="Arial" w:cs="Arial"/>
                <w:spacing w:val="-2"/>
                <w:szCs w:val="22"/>
              </w:rPr>
            </w:pPr>
            <w:r w:rsidRPr="00385E71">
              <w:rPr>
                <w:rFonts w:ascii="Arial" w:hAnsi="Arial" w:cs="Arial"/>
                <w:spacing w:val="-2"/>
                <w:szCs w:val="22"/>
              </w:rPr>
              <w:t>Procurement Specialist</w:t>
            </w:r>
          </w:p>
        </w:tc>
        <w:tc>
          <w:tcPr>
            <w:tcW w:w="3663" w:type="dxa"/>
            <w:vMerge w:val="restart"/>
            <w:shd w:val="clear" w:color="auto" w:fill="auto"/>
          </w:tcPr>
          <w:p w:rsidR="000C3271" w:rsidRPr="00385E71" w:rsidRDefault="000C3271" w:rsidP="00FE1BA3">
            <w:pPr>
              <w:spacing w:before="120"/>
              <w:rPr>
                <w:rFonts w:ascii="Arial" w:hAnsi="Arial" w:cs="Arial"/>
                <w:spacing w:val="-2"/>
                <w:szCs w:val="22"/>
              </w:rPr>
            </w:pPr>
            <w:r w:rsidRPr="00385E71">
              <w:rPr>
                <w:rFonts w:ascii="Arial" w:hAnsi="Arial" w:cs="Arial"/>
                <w:spacing w:val="-2"/>
                <w:szCs w:val="22"/>
              </w:rPr>
              <w:t>Ministry of Finance</w:t>
            </w:r>
          </w:p>
          <w:p w:rsidR="000C3271" w:rsidRPr="00385E71" w:rsidRDefault="000C3271" w:rsidP="00FE1BA3">
            <w:pPr>
              <w:spacing w:before="120"/>
              <w:rPr>
                <w:rFonts w:ascii="Arial" w:hAnsi="Arial" w:cs="Arial"/>
                <w:spacing w:val="-2"/>
                <w:szCs w:val="22"/>
              </w:rPr>
            </w:pPr>
            <w:r w:rsidRPr="00385E71">
              <w:rPr>
                <w:rFonts w:ascii="Arial" w:hAnsi="Arial" w:cs="Arial"/>
                <w:spacing w:val="-2"/>
                <w:szCs w:val="22"/>
              </w:rPr>
              <w:t>Central Fiduciary Unit</w:t>
            </w:r>
          </w:p>
          <w:p w:rsidR="000C3271" w:rsidRPr="00385E71" w:rsidRDefault="000C3271" w:rsidP="00FE1BA3">
            <w:pPr>
              <w:spacing w:before="120"/>
              <w:rPr>
                <w:rFonts w:ascii="Arial" w:hAnsi="Arial" w:cs="Arial"/>
                <w:spacing w:val="-2"/>
                <w:szCs w:val="22"/>
              </w:rPr>
            </w:pPr>
            <w:r w:rsidRPr="00385E71">
              <w:rPr>
                <w:rFonts w:ascii="Arial" w:hAnsi="Arial" w:cs="Arial"/>
                <w:spacing w:val="-2"/>
                <w:szCs w:val="22"/>
              </w:rPr>
              <w:t>3-5 Sremska St</w:t>
            </w:r>
          </w:p>
          <w:p w:rsidR="000C3271" w:rsidRPr="00385E71" w:rsidRDefault="000C3271" w:rsidP="00FE1BA3">
            <w:pPr>
              <w:spacing w:before="120"/>
              <w:rPr>
                <w:rFonts w:ascii="Arial" w:hAnsi="Arial" w:cs="Arial"/>
                <w:spacing w:val="-2"/>
                <w:szCs w:val="22"/>
              </w:rPr>
            </w:pPr>
            <w:r w:rsidRPr="00385E71">
              <w:rPr>
                <w:rFonts w:ascii="Arial" w:hAnsi="Arial" w:cs="Arial"/>
                <w:spacing w:val="-2"/>
                <w:szCs w:val="22"/>
              </w:rPr>
              <w:t>11000 Belgrade, Serbia</w:t>
            </w:r>
          </w:p>
          <w:p w:rsidR="000C3271" w:rsidRPr="00385E71" w:rsidRDefault="000C3271" w:rsidP="00FE1BA3">
            <w:pPr>
              <w:spacing w:before="120"/>
              <w:rPr>
                <w:rFonts w:ascii="Arial" w:hAnsi="Arial" w:cs="Arial"/>
                <w:spacing w:val="-2"/>
                <w:szCs w:val="22"/>
              </w:rPr>
            </w:pPr>
            <w:r w:rsidRPr="00385E71">
              <w:rPr>
                <w:rFonts w:ascii="Arial" w:hAnsi="Arial" w:cs="Arial"/>
                <w:spacing w:val="-2"/>
                <w:szCs w:val="22"/>
              </w:rPr>
              <w:t>Tel/Fax: (+381 11) 765 2587      </w:t>
            </w:r>
          </w:p>
        </w:tc>
      </w:tr>
      <w:tr w:rsidR="000C3271" w:rsidRPr="00385E71" w:rsidTr="00FE1BA3">
        <w:tc>
          <w:tcPr>
            <w:tcW w:w="1094" w:type="dxa"/>
            <w:shd w:val="clear" w:color="auto" w:fill="auto"/>
          </w:tcPr>
          <w:p w:rsidR="000C3271" w:rsidRPr="00385E71" w:rsidRDefault="000C3271" w:rsidP="00FE1BA3">
            <w:pPr>
              <w:spacing w:after="75" w:line="360" w:lineRule="atLeast"/>
              <w:rPr>
                <w:rFonts w:ascii="Arial" w:hAnsi="Arial" w:cs="Arial"/>
                <w:szCs w:val="22"/>
              </w:rPr>
            </w:pPr>
            <w:r w:rsidRPr="00385E71">
              <w:rPr>
                <w:rFonts w:ascii="Arial" w:hAnsi="Arial" w:cs="Arial"/>
                <w:spacing w:val="-2"/>
                <w:szCs w:val="22"/>
              </w:rPr>
              <w:t>Cc:</w:t>
            </w:r>
          </w:p>
        </w:tc>
        <w:tc>
          <w:tcPr>
            <w:tcW w:w="3765" w:type="dxa"/>
            <w:shd w:val="clear" w:color="auto" w:fill="auto"/>
          </w:tcPr>
          <w:p w:rsidR="000C3271" w:rsidRPr="00385E71" w:rsidRDefault="00352FE8" w:rsidP="00FE1BA3">
            <w:pPr>
              <w:spacing w:line="360" w:lineRule="atLeast"/>
              <w:rPr>
                <w:rStyle w:val="Hyperlink"/>
                <w:rFonts w:ascii="Arial" w:hAnsi="Arial" w:cs="Arial"/>
                <w:szCs w:val="22"/>
              </w:rPr>
            </w:pPr>
            <w:hyperlink r:id="rId7" w:history="1">
              <w:r w:rsidR="000C3271" w:rsidRPr="00385E71">
                <w:rPr>
                  <w:rStyle w:val="Hyperlink"/>
                  <w:rFonts w:ascii="Arial" w:hAnsi="Arial" w:cs="Arial"/>
                  <w:szCs w:val="22"/>
                </w:rPr>
                <w:t>ljiljana.dzuver@mfin.gov.rs</w:t>
              </w:r>
            </w:hyperlink>
          </w:p>
          <w:p w:rsidR="000C3271" w:rsidRPr="00385E71" w:rsidRDefault="00352FE8" w:rsidP="00FE1BA3">
            <w:pPr>
              <w:spacing w:line="360" w:lineRule="atLeast"/>
              <w:rPr>
                <w:rStyle w:val="Hyperlink"/>
                <w:rFonts w:ascii="Arial" w:hAnsi="Arial" w:cs="Arial"/>
                <w:szCs w:val="22"/>
              </w:rPr>
            </w:pPr>
            <w:hyperlink r:id="rId8" w:history="1">
              <w:r w:rsidR="000C3271" w:rsidRPr="00385E71">
                <w:rPr>
                  <w:rStyle w:val="Hyperlink"/>
                  <w:rFonts w:ascii="Arial" w:hAnsi="Arial" w:cs="Arial"/>
                  <w:szCs w:val="22"/>
                </w:rPr>
                <w:t>ognjen.popovic@mfin.gov.rs</w:t>
              </w:r>
            </w:hyperlink>
            <w:r w:rsidR="000C3271" w:rsidRPr="00385E71">
              <w:rPr>
                <w:rStyle w:val="Hyperlink"/>
                <w:rFonts w:ascii="Arial" w:hAnsi="Arial" w:cs="Arial"/>
                <w:szCs w:val="22"/>
              </w:rPr>
              <w:t xml:space="preserve"> </w:t>
            </w:r>
          </w:p>
          <w:p w:rsidR="000C3271" w:rsidRPr="00385E71" w:rsidRDefault="000C3271" w:rsidP="00FE1BA3">
            <w:pPr>
              <w:spacing w:line="360" w:lineRule="atLeast"/>
              <w:rPr>
                <w:rFonts w:ascii="Arial" w:hAnsi="Arial" w:cs="Arial"/>
                <w:szCs w:val="22"/>
                <w:u w:val="single"/>
              </w:rPr>
            </w:pPr>
          </w:p>
        </w:tc>
        <w:tc>
          <w:tcPr>
            <w:tcW w:w="3663" w:type="dxa"/>
            <w:vMerge/>
            <w:shd w:val="clear" w:color="auto" w:fill="auto"/>
          </w:tcPr>
          <w:p w:rsidR="000C3271" w:rsidRPr="00385E71" w:rsidRDefault="000C3271" w:rsidP="00FE1BA3">
            <w:pPr>
              <w:spacing w:after="75" w:line="360" w:lineRule="atLeast"/>
              <w:rPr>
                <w:rFonts w:ascii="Arial" w:hAnsi="Arial" w:cs="Arial"/>
                <w:spacing w:val="-2"/>
                <w:szCs w:val="22"/>
              </w:rPr>
            </w:pPr>
          </w:p>
        </w:tc>
      </w:tr>
    </w:tbl>
    <w:p w:rsidR="000C3271" w:rsidRPr="00385E71" w:rsidRDefault="000C3271" w:rsidP="00385E71">
      <w:pPr>
        <w:pStyle w:val="BodyText"/>
        <w:tabs>
          <w:tab w:val="left" w:pos="0"/>
        </w:tabs>
        <w:contextualSpacing/>
        <w:rPr>
          <w:rFonts w:ascii="Arial" w:hAnsi="Arial" w:cs="Arial"/>
          <w:sz w:val="22"/>
          <w:szCs w:val="22"/>
        </w:rPr>
      </w:pPr>
    </w:p>
    <w:p w:rsidR="000D7D5D" w:rsidRPr="00385E71" w:rsidRDefault="000D7D5D">
      <w:pPr>
        <w:rPr>
          <w:rFonts w:ascii="Arial" w:hAnsi="Arial" w:cs="Arial"/>
          <w:szCs w:val="22"/>
        </w:rPr>
      </w:pPr>
    </w:p>
    <w:sectPr w:rsidR="000D7D5D" w:rsidRPr="00385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EYInterstate Light">
    <w:altName w:val="Franklin Gothic Medium Cond"/>
    <w:charset w:val="EE"/>
    <w:family w:val="auto"/>
    <w:pitch w:val="variable"/>
    <w:sig w:usb0="00000001"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11DED"/>
    <w:multiLevelType w:val="hybridMultilevel"/>
    <w:tmpl w:val="6BD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93F6E"/>
    <w:multiLevelType w:val="hybridMultilevel"/>
    <w:tmpl w:val="416427EE"/>
    <w:lvl w:ilvl="0" w:tplc="241A0001">
      <w:start w:val="1"/>
      <w:numFmt w:val="bullet"/>
      <w:lvlText w:val=""/>
      <w:lvlJc w:val="left"/>
      <w:pPr>
        <w:ind w:left="720" w:hanging="360"/>
      </w:pPr>
      <w:rPr>
        <w:rFonts w:ascii="Symbol" w:hAnsi="Symbol"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483301AA"/>
    <w:multiLevelType w:val="hybridMultilevel"/>
    <w:tmpl w:val="EEDE70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60B123EB"/>
    <w:multiLevelType w:val="hybridMultilevel"/>
    <w:tmpl w:val="0BFE6E82"/>
    <w:lvl w:ilvl="0" w:tplc="0046C18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0C478E"/>
    <w:multiLevelType w:val="hybridMultilevel"/>
    <w:tmpl w:val="C080976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820CCC"/>
    <w:multiLevelType w:val="hybridMultilevel"/>
    <w:tmpl w:val="2418FA5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697320E6"/>
    <w:multiLevelType w:val="hybridMultilevel"/>
    <w:tmpl w:val="8ED89292"/>
    <w:lvl w:ilvl="0" w:tplc="0409000F">
      <w:start w:val="1"/>
      <w:numFmt w:val="decimal"/>
      <w:lvlText w:val="%1."/>
      <w:lvlJc w:val="left"/>
      <w:pPr>
        <w:ind w:left="720" w:hanging="360"/>
      </w:pPr>
      <w:rPr>
        <w:rFont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76F74394"/>
    <w:multiLevelType w:val="hybridMultilevel"/>
    <w:tmpl w:val="A78E7C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FC36D0"/>
    <w:multiLevelType w:val="hybridMultilevel"/>
    <w:tmpl w:val="C1A2179A"/>
    <w:lvl w:ilvl="0" w:tplc="E6F4ADC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7"/>
  </w:num>
  <w:num w:numId="2">
    <w:abstractNumId w:val="8"/>
  </w:num>
  <w:num w:numId="3">
    <w:abstractNumId w:val="4"/>
  </w:num>
  <w:num w:numId="4">
    <w:abstractNumId w:val="0"/>
  </w:num>
  <w:num w:numId="5">
    <w:abstractNumId w:val="5"/>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71"/>
    <w:rsid w:val="00003CFF"/>
    <w:rsid w:val="000078CF"/>
    <w:rsid w:val="00016BDA"/>
    <w:rsid w:val="00024845"/>
    <w:rsid w:val="00025F83"/>
    <w:rsid w:val="0003564B"/>
    <w:rsid w:val="00080CFE"/>
    <w:rsid w:val="000B21E6"/>
    <w:rsid w:val="000C3271"/>
    <w:rsid w:val="000D7D5D"/>
    <w:rsid w:val="0010266C"/>
    <w:rsid w:val="00112155"/>
    <w:rsid w:val="001B1370"/>
    <w:rsid w:val="00287E44"/>
    <w:rsid w:val="002B1ED2"/>
    <w:rsid w:val="002E3FE2"/>
    <w:rsid w:val="00314360"/>
    <w:rsid w:val="00317C3C"/>
    <w:rsid w:val="00352FE8"/>
    <w:rsid w:val="00356ED7"/>
    <w:rsid w:val="00385E71"/>
    <w:rsid w:val="0038668D"/>
    <w:rsid w:val="00390FF2"/>
    <w:rsid w:val="003962C4"/>
    <w:rsid w:val="003E48A3"/>
    <w:rsid w:val="004A7E45"/>
    <w:rsid w:val="004D675F"/>
    <w:rsid w:val="004F5C78"/>
    <w:rsid w:val="004F61DF"/>
    <w:rsid w:val="00522F63"/>
    <w:rsid w:val="00591A41"/>
    <w:rsid w:val="006377C4"/>
    <w:rsid w:val="006C3186"/>
    <w:rsid w:val="006F2C7C"/>
    <w:rsid w:val="00715BF4"/>
    <w:rsid w:val="00734EA1"/>
    <w:rsid w:val="00740915"/>
    <w:rsid w:val="00764ABF"/>
    <w:rsid w:val="0079706C"/>
    <w:rsid w:val="007A263E"/>
    <w:rsid w:val="007B7F7C"/>
    <w:rsid w:val="00842D81"/>
    <w:rsid w:val="0085478F"/>
    <w:rsid w:val="00865DDF"/>
    <w:rsid w:val="0087290A"/>
    <w:rsid w:val="00904DFD"/>
    <w:rsid w:val="00960607"/>
    <w:rsid w:val="00964D24"/>
    <w:rsid w:val="0097034E"/>
    <w:rsid w:val="009930E9"/>
    <w:rsid w:val="009B2687"/>
    <w:rsid w:val="009D3E86"/>
    <w:rsid w:val="00A06A04"/>
    <w:rsid w:val="00A36ED4"/>
    <w:rsid w:val="00A47E0A"/>
    <w:rsid w:val="00AA3271"/>
    <w:rsid w:val="00AC1BAF"/>
    <w:rsid w:val="00B17B86"/>
    <w:rsid w:val="00B21821"/>
    <w:rsid w:val="00B34EC7"/>
    <w:rsid w:val="00B52997"/>
    <w:rsid w:val="00B577AA"/>
    <w:rsid w:val="00B72FB1"/>
    <w:rsid w:val="00BC2728"/>
    <w:rsid w:val="00C75BAE"/>
    <w:rsid w:val="00D05F0C"/>
    <w:rsid w:val="00D12DCD"/>
    <w:rsid w:val="00D34990"/>
    <w:rsid w:val="00D6457A"/>
    <w:rsid w:val="00DA5F4F"/>
    <w:rsid w:val="00DF6929"/>
    <w:rsid w:val="00E226EA"/>
    <w:rsid w:val="00E55737"/>
    <w:rsid w:val="00E94F60"/>
    <w:rsid w:val="00FB55F3"/>
    <w:rsid w:val="00FC2A8A"/>
    <w:rsid w:val="00FF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5A71"/>
  <w15:chartTrackingRefBased/>
  <w15:docId w15:val="{2179DE21-A12E-4ECA-A44D-10EB221D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271"/>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uiPriority w:val="9"/>
    <w:unhideWhenUsed/>
    <w:qFormat/>
    <w:rsid w:val="00D34990"/>
    <w:pPr>
      <w:keepNext/>
      <w:keepLines/>
      <w:spacing w:before="40" w:line="259" w:lineRule="auto"/>
      <w:outlineLvl w:val="1"/>
    </w:pPr>
    <w:rPr>
      <w:rFonts w:ascii="EYInterstate Light" w:eastAsiaTheme="majorEastAsia" w:hAnsi="EYInterstate Light" w:cstheme="majorBidi"/>
      <w:sz w:val="26"/>
      <w:szCs w:val="26"/>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rsid w:val="000C3271"/>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0C32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odyText">
    <w:name w:val="Body Text"/>
    <w:basedOn w:val="Normal"/>
    <w:link w:val="BodyTextChar"/>
    <w:rsid w:val="000C3271"/>
    <w:pPr>
      <w:suppressAutoHyphens/>
    </w:pPr>
    <w:rPr>
      <w:spacing w:val="-2"/>
      <w:sz w:val="24"/>
    </w:rPr>
  </w:style>
  <w:style w:type="character" w:customStyle="1" w:styleId="BodyTextChar">
    <w:name w:val="Body Text Char"/>
    <w:basedOn w:val="DefaultParagraphFont"/>
    <w:link w:val="BodyText"/>
    <w:rsid w:val="000C3271"/>
    <w:rPr>
      <w:rFonts w:ascii="CG Times" w:eastAsia="Times New Roman" w:hAnsi="CG Times" w:cs="Times New Roman"/>
      <w:spacing w:val="-2"/>
      <w:sz w:val="24"/>
      <w:szCs w:val="20"/>
    </w:rPr>
  </w:style>
  <w:style w:type="paragraph" w:styleId="ListParagraph">
    <w:name w:val="List Paragraph"/>
    <w:aliases w:val="123 List Paragraph,Bullets,Colorful List - Accent 11,List Paragraph (numbered (a)),List Paragraph nowy,List Paragraph1,List_Paragraph,Liste 1,Main numbered paragraph,Multilevel para_II,Numbered List Paragraph,Numbered Paragraph,References"/>
    <w:basedOn w:val="Normal"/>
    <w:link w:val="ListParagraphChar"/>
    <w:uiPriority w:val="34"/>
    <w:qFormat/>
    <w:rsid w:val="000C3271"/>
    <w:pPr>
      <w:ind w:left="720"/>
      <w:contextualSpacing/>
    </w:pPr>
  </w:style>
  <w:style w:type="character" w:customStyle="1" w:styleId="ListParagraphChar">
    <w:name w:val="List Paragraph Char"/>
    <w:aliases w:val="123 List Paragraph Char,Bullets Char,Colorful List - Accent 11 Char,List Paragraph (numbered (a)) Char,List Paragraph nowy Char,List Paragraph1 Char,List_Paragraph Char,Liste 1 Char,Main numbered paragraph Char,References Char"/>
    <w:basedOn w:val="DefaultParagraphFont"/>
    <w:link w:val="ListParagraph"/>
    <w:uiPriority w:val="34"/>
    <w:qFormat/>
    <w:locked/>
    <w:rsid w:val="000C3271"/>
    <w:rPr>
      <w:rFonts w:ascii="CG Times" w:eastAsia="Times New Roman" w:hAnsi="CG Times" w:cs="Times New Roman"/>
      <w:szCs w:val="20"/>
    </w:rPr>
  </w:style>
  <w:style w:type="character" w:styleId="Hyperlink">
    <w:name w:val="Hyperlink"/>
    <w:basedOn w:val="DefaultParagraphFont"/>
    <w:rsid w:val="000C3271"/>
    <w:rPr>
      <w:color w:val="0000FF"/>
      <w:u w:val="single"/>
    </w:rPr>
  </w:style>
  <w:style w:type="paragraph" w:styleId="CommentText">
    <w:name w:val="annotation text"/>
    <w:basedOn w:val="Normal"/>
    <w:link w:val="CommentTextChar"/>
    <w:uiPriority w:val="99"/>
    <w:semiHidden/>
    <w:unhideWhenUsed/>
    <w:rsid w:val="00385E71"/>
    <w:rPr>
      <w:rFonts w:ascii="Times New Roman" w:hAnsi="Times New Roman"/>
      <w:sz w:val="20"/>
    </w:rPr>
  </w:style>
  <w:style w:type="character" w:customStyle="1" w:styleId="CommentTextChar">
    <w:name w:val="Comment Text Char"/>
    <w:basedOn w:val="DefaultParagraphFont"/>
    <w:link w:val="CommentText"/>
    <w:uiPriority w:val="99"/>
    <w:semiHidden/>
    <w:rsid w:val="00385E7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34990"/>
    <w:rPr>
      <w:sz w:val="16"/>
      <w:szCs w:val="16"/>
    </w:rPr>
  </w:style>
  <w:style w:type="character" w:customStyle="1" w:styleId="Heading2Char">
    <w:name w:val="Heading 2 Char"/>
    <w:basedOn w:val="DefaultParagraphFont"/>
    <w:link w:val="Heading2"/>
    <w:rsid w:val="00D34990"/>
    <w:rPr>
      <w:rFonts w:ascii="EYInterstate Light" w:eastAsiaTheme="majorEastAsia" w:hAnsi="EYInterstate Light" w:cstheme="majorBidi"/>
      <w:sz w:val="26"/>
      <w:szCs w:val="26"/>
      <w:lang w:val="sr-Latn-RS"/>
    </w:rPr>
  </w:style>
  <w:style w:type="table" w:styleId="TableGrid">
    <w:name w:val="Table Grid"/>
    <w:basedOn w:val="TableNormal"/>
    <w:uiPriority w:val="39"/>
    <w:rsid w:val="00D34990"/>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njen.popovic@mfin.gov.rs" TargetMode="External"/><Relationship Id="rId3" Type="http://schemas.openxmlformats.org/officeDocument/2006/relationships/settings" Target="settings.xml"/><Relationship Id="rId7" Type="http://schemas.openxmlformats.org/officeDocument/2006/relationships/hyperlink" Target="mailto:ljiljana.dzuver@mfi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rica.petrovic@mfin.gov.rs" TargetMode="External"/><Relationship Id="rId5" Type="http://schemas.openxmlformats.org/officeDocument/2006/relationships/hyperlink" Target="https://www.mfin.gov.rs/en/documents/state-owned-financial-institutions-strengthening-project-sofi-general-procurement-notice-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Dragojević</dc:creator>
  <cp:keywords/>
  <dc:description/>
  <cp:lastModifiedBy>Windows User</cp:lastModifiedBy>
  <cp:revision>6</cp:revision>
  <dcterms:created xsi:type="dcterms:W3CDTF">2022-05-24T07:29:00Z</dcterms:created>
  <dcterms:modified xsi:type="dcterms:W3CDTF">2022-06-16T06:00:00Z</dcterms:modified>
</cp:coreProperties>
</file>