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D9" w:rsidRDefault="004A462B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0D44D9" w:rsidRDefault="004A462B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изменама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допунама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посебним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поступцима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реализације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међународне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специјализоване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изложбе</w:t>
      </w:r>
      <w:proofErr w:type="spellEnd"/>
      <w:r>
        <w:rPr>
          <w:rFonts w:ascii="Verdana" w:eastAsia="Verdana" w:hAnsi="Verdana" w:cs="Verdana"/>
          <w:b/>
        </w:rPr>
        <w:t xml:space="preserve"> EXPO BELGRADE 2027</w:t>
      </w:r>
    </w:p>
    <w:p w:rsidR="000D44D9" w:rsidRDefault="004A462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Закону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посебним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поступцима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реализације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међународне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специјализоване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изложбе</w:t>
      </w:r>
      <w:proofErr w:type="spellEnd"/>
      <w:r>
        <w:rPr>
          <w:rFonts w:ascii="Verdana" w:eastAsia="Verdana" w:hAnsi="Verdana" w:cs="Verdana"/>
        </w:rPr>
        <w:t xml:space="preserve"> EXPO BELGRADE 2027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</w:t>
      </w:r>
      <w:r>
        <w:rPr>
          <w:rFonts w:ascii="Verdana" w:eastAsia="Verdana" w:hAnsi="Verdana" w:cs="Verdana"/>
        </w:rPr>
        <w:t>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92/23), у </w:t>
      </w:r>
      <w:proofErr w:type="spellStart"/>
      <w:r>
        <w:rPr>
          <w:rFonts w:ascii="Verdana" w:eastAsia="Verdana" w:hAnsi="Verdana" w:cs="Verdana"/>
        </w:rPr>
        <w:t>члану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1</w:t>
      </w:r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1.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мењају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 xml:space="preserve">: </w:t>
      </w:r>
    </w:p>
    <w:p w:rsidR="000D44D9" w:rsidRDefault="004A462B">
      <w:pPr>
        <w:spacing w:line="210" w:lineRule="atLeast"/>
      </w:pPr>
      <w:proofErr w:type="gramStart"/>
      <w:r>
        <w:rPr>
          <w:rFonts w:ascii="Verdana" w:eastAsia="Verdana" w:hAnsi="Verdana" w:cs="Verdana"/>
        </w:rPr>
        <w:t>„</w:t>
      </w: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критеријуми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реализацију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међународне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специјализоване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изложбе</w:t>
      </w:r>
      <w:proofErr w:type="spellEnd"/>
      <w:r>
        <w:rPr>
          <w:rFonts w:ascii="Verdana" w:eastAsia="Verdana" w:hAnsi="Verdana" w:cs="Verdana"/>
        </w:rPr>
        <w:t xml:space="preserve"> EXPO BELGRADE 2027 и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садржаја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подручја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</w:t>
      </w:r>
      <w:r>
        <w:rPr>
          <w:rFonts w:ascii="Verdana" w:eastAsia="Verdana" w:hAnsi="Verdana" w:cs="Verdana"/>
        </w:rPr>
        <w:t>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Националног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фудбалског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стадиона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подручја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Националног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фудбалског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стадиона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друга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фаза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подручја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Националног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фудбалског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стадиона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садржаја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неопходну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инфраструктуру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непосредно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функцији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изграђени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за </w:t>
      </w:r>
      <w:proofErr w:type="spellStart"/>
      <w:r>
        <w:rPr>
          <w:rFonts w:ascii="Verdana" w:eastAsia="Verdana" w:hAnsi="Verdana" w:cs="Verdana"/>
        </w:rPr>
        <w:t>изградњу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Националног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фудбалског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стадиона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стамбених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смештај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учесника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посетилаца</w:t>
      </w:r>
      <w:proofErr w:type="spellEnd"/>
      <w:r>
        <w:rPr>
          <w:rFonts w:ascii="Verdana" w:eastAsia="Verdana" w:hAnsi="Verdana" w:cs="Verdana"/>
        </w:rPr>
        <w:t>.</w:t>
      </w:r>
      <w:proofErr w:type="gramEnd"/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Изградња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r>
        <w:rPr>
          <w:rFonts w:ascii="Verdana" w:eastAsia="Verdana" w:hAnsi="Verdana" w:cs="Verdana"/>
        </w:rPr>
        <w:t>ржаја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укључује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изградњу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инфраструктуре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неопходне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функционисање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садржаја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подручја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Националног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фудбалског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стадиона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подручја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Националног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фудбалског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стад</w:t>
      </w:r>
      <w:r>
        <w:rPr>
          <w:rFonts w:ascii="Verdana" w:eastAsia="Verdana" w:hAnsi="Verdana" w:cs="Verdana"/>
        </w:rPr>
        <w:t>иона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друга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фаза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подручја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Националног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фудбалског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стадиона.ˮ</w:t>
      </w:r>
      <w:proofErr w:type="spellEnd"/>
    </w:p>
    <w:p w:rsidR="000D44D9" w:rsidRDefault="004A462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члану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тачка</w:t>
      </w:r>
      <w:proofErr w:type="spellEnd"/>
      <w:proofErr w:type="gramEnd"/>
      <w:r>
        <w:rPr>
          <w:rFonts w:ascii="Verdana" w:eastAsia="Verdana" w:hAnsi="Verdana" w:cs="Verdana"/>
        </w:rPr>
        <w:t xml:space="preserve"> 1) </w:t>
      </w:r>
      <w:proofErr w:type="spellStart"/>
      <w:r>
        <w:rPr>
          <w:rFonts w:ascii="Verdana" w:eastAsia="Verdana" w:hAnsi="Verdana" w:cs="Verdana"/>
        </w:rPr>
        <w:t>мења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гласи</w:t>
      </w:r>
      <w:proofErr w:type="spellEnd"/>
      <w:r>
        <w:rPr>
          <w:rFonts w:ascii="Verdana" w:eastAsia="Verdana" w:hAnsi="Verdana" w:cs="Verdana"/>
        </w:rPr>
        <w:t>:</w:t>
      </w:r>
    </w:p>
    <w:p w:rsidR="000D44D9" w:rsidRDefault="004A462B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„1) EXPO BELGRADE 2027 </w:t>
      </w:r>
      <w:proofErr w:type="spellStart"/>
      <w:r>
        <w:rPr>
          <w:rFonts w:ascii="Verdana" w:eastAsia="Verdana" w:hAnsi="Verdana" w:cs="Verdana"/>
        </w:rPr>
        <w:t>јесте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обухвата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фазе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реализације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међународне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</w:t>
      </w:r>
      <w:r>
        <w:rPr>
          <w:rFonts w:ascii="Verdana" w:eastAsia="Verdana" w:hAnsi="Verdana" w:cs="Verdana"/>
        </w:rPr>
        <w:t>ијализоване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изложбе</w:t>
      </w:r>
      <w:proofErr w:type="spellEnd"/>
      <w:r>
        <w:rPr>
          <w:rFonts w:ascii="Verdana" w:eastAsia="Verdana" w:hAnsi="Verdana" w:cs="Verdana"/>
        </w:rPr>
        <w:t xml:space="preserve"> EXPO BELGRADE 2027,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садржаја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садржаја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неопходну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инфраструктуру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непосредно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функцији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изграђени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од</w:t>
      </w:r>
      <w:r>
        <w:rPr>
          <w:rFonts w:ascii="Verdana" w:eastAsia="Verdana" w:hAnsi="Verdana" w:cs="Verdana"/>
        </w:rPr>
        <w:t>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пројекат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целини</w:t>
      </w:r>
      <w:proofErr w:type="spellEnd"/>
      <w:r>
        <w:rPr>
          <w:rFonts w:ascii="Verdana" w:eastAsia="Verdana" w:hAnsi="Verdana" w:cs="Verdana"/>
        </w:rPr>
        <w:t xml:space="preserve"> и на </w:t>
      </w:r>
      <w:proofErr w:type="spellStart"/>
      <w:r>
        <w:rPr>
          <w:rFonts w:ascii="Verdana" w:eastAsia="Verdana" w:hAnsi="Verdana" w:cs="Verdana"/>
        </w:rPr>
        <w:t>појединачне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локације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радње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одређене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реализацију</w:t>
      </w:r>
      <w:proofErr w:type="spellEnd"/>
      <w:r>
        <w:rPr>
          <w:rFonts w:ascii="Verdana" w:eastAsia="Verdana" w:hAnsi="Verdana" w:cs="Verdana"/>
        </w:rPr>
        <w:t>;</w:t>
      </w:r>
      <w:proofErr w:type="gramEnd"/>
      <w:r>
        <w:rPr>
          <w:rFonts w:ascii="Verdana" w:eastAsia="Verdana" w:hAnsi="Verdana" w:cs="Verdana"/>
        </w:rPr>
        <w:t xml:space="preserve"> 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2) </w:t>
      </w:r>
      <w:proofErr w:type="spellStart"/>
      <w:r>
        <w:rPr>
          <w:rFonts w:ascii="Verdana" w:eastAsia="Verdana" w:hAnsi="Verdana" w:cs="Verdana"/>
        </w:rPr>
        <w:t>речи</w:t>
      </w:r>
      <w:proofErr w:type="spellEnd"/>
      <w:r>
        <w:rPr>
          <w:rFonts w:ascii="Verdana" w:eastAsia="Verdana" w:hAnsi="Verdana" w:cs="Verdana"/>
        </w:rPr>
        <w:t>: „</w:t>
      </w:r>
      <w:proofErr w:type="spellStart"/>
      <w:r>
        <w:rPr>
          <w:rFonts w:ascii="Verdana" w:eastAsia="Verdana" w:hAnsi="Verdana" w:cs="Verdana"/>
        </w:rPr>
        <w:t>другим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целинама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обухвата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, а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функцији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реализације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пројекта</w:t>
      </w:r>
      <w:proofErr w:type="spellEnd"/>
      <w:r>
        <w:rPr>
          <w:rFonts w:ascii="Verdana" w:eastAsia="Verdana" w:hAnsi="Verdana" w:cs="Verdana"/>
        </w:rPr>
        <w:t xml:space="preserve"> EXPO BELGRADE 2027</w:t>
      </w:r>
      <w:proofErr w:type="gramStart"/>
      <w:r>
        <w:rPr>
          <w:rFonts w:ascii="Verdana" w:eastAsia="Verdana" w:hAnsi="Verdana" w:cs="Verdana"/>
        </w:rPr>
        <w:t>,ˮ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бришу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4)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</w:t>
      </w:r>
      <w:proofErr w:type="spellEnd"/>
      <w:r>
        <w:rPr>
          <w:rFonts w:ascii="Verdana" w:eastAsia="Verdana" w:hAnsi="Verdana" w:cs="Verdana"/>
        </w:rPr>
        <w:t>: „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” </w:t>
      </w:r>
      <w:proofErr w:type="spellStart"/>
      <w:r>
        <w:rPr>
          <w:rFonts w:ascii="Verdana" w:eastAsia="Verdana" w:hAnsi="Verdana" w:cs="Verdana"/>
        </w:rPr>
        <w:t>додају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запета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речи</w:t>
      </w:r>
      <w:proofErr w:type="spellEnd"/>
      <w:r>
        <w:rPr>
          <w:rFonts w:ascii="Verdana" w:eastAsia="Verdana" w:hAnsi="Verdana" w:cs="Verdana"/>
        </w:rPr>
        <w:t>: „</w:t>
      </w:r>
      <w:proofErr w:type="spellStart"/>
      <w:r>
        <w:rPr>
          <w:rFonts w:ascii="Verdana" w:eastAsia="Verdana" w:hAnsi="Verdana" w:cs="Verdana"/>
        </w:rPr>
        <w:t>јединица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самоуправе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имаоци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овлашћења</w:t>
      </w:r>
      <w:proofErr w:type="spellEnd"/>
      <w:r>
        <w:rPr>
          <w:rFonts w:ascii="Verdana" w:eastAsia="Verdana" w:hAnsi="Verdana" w:cs="Verdana"/>
        </w:rPr>
        <w:t>”.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9) </w:t>
      </w:r>
      <w:proofErr w:type="spellStart"/>
      <w:r>
        <w:rPr>
          <w:rFonts w:ascii="Verdana" w:eastAsia="Verdana" w:hAnsi="Verdana" w:cs="Verdana"/>
        </w:rPr>
        <w:t>после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</w:t>
      </w:r>
      <w:proofErr w:type="spellEnd"/>
      <w:r>
        <w:rPr>
          <w:rFonts w:ascii="Verdana" w:eastAsia="Verdana" w:hAnsi="Verdana" w:cs="Verdana"/>
        </w:rPr>
        <w:t>: „</w:t>
      </w:r>
      <w:proofErr w:type="spellStart"/>
      <w:r>
        <w:rPr>
          <w:rFonts w:ascii="Verdana" w:eastAsia="Verdana" w:hAnsi="Verdana" w:cs="Verdana"/>
        </w:rPr>
        <w:t>локацију</w:t>
      </w:r>
      <w:proofErr w:type="spellEnd"/>
      <w:r>
        <w:rPr>
          <w:rFonts w:ascii="Verdana" w:eastAsia="Verdana" w:hAnsi="Verdana" w:cs="Verdana"/>
        </w:rPr>
        <w:t xml:space="preserve">” </w:t>
      </w:r>
      <w:proofErr w:type="spellStart"/>
      <w:r>
        <w:rPr>
          <w:rFonts w:ascii="Verdana" w:eastAsia="Verdana" w:hAnsi="Verdana" w:cs="Verdana"/>
        </w:rPr>
        <w:t>додају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запета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речи</w:t>
      </w:r>
      <w:proofErr w:type="spellEnd"/>
      <w:r>
        <w:rPr>
          <w:rFonts w:ascii="Verdana" w:eastAsia="Verdana" w:hAnsi="Verdana" w:cs="Verdana"/>
        </w:rPr>
        <w:t>: „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привредно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оснива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реализације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управљањ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садржајима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, a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послује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положај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друштава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чији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заступник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физичко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регистровано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Републици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Србији</w:t>
      </w:r>
      <w:proofErr w:type="spellEnd"/>
      <w:r>
        <w:rPr>
          <w:rFonts w:ascii="Verdana" w:eastAsia="Verdana" w:hAnsi="Verdana" w:cs="Verdana"/>
        </w:rPr>
        <w:t>”.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lastRenderedPageBreak/>
        <w:t>Тачка</w:t>
      </w:r>
      <w:proofErr w:type="spellEnd"/>
      <w:r>
        <w:rPr>
          <w:rFonts w:ascii="Verdana" w:eastAsia="Verdana" w:hAnsi="Verdana" w:cs="Verdana"/>
        </w:rPr>
        <w:t xml:space="preserve"> 12) </w:t>
      </w:r>
      <w:proofErr w:type="spellStart"/>
      <w:r>
        <w:rPr>
          <w:rFonts w:ascii="Verdana" w:eastAsia="Verdana" w:hAnsi="Verdana" w:cs="Verdana"/>
        </w:rPr>
        <w:t>мења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гласи</w:t>
      </w:r>
      <w:proofErr w:type="spellEnd"/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„12) </w:t>
      </w:r>
      <w:proofErr w:type="spellStart"/>
      <w:r>
        <w:rPr>
          <w:rFonts w:ascii="Verdana" w:eastAsia="Verdana" w:hAnsi="Verdana" w:cs="Verdana"/>
        </w:rPr>
        <w:t>Учесник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учесника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међународне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специјализоване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изложбе</w:t>
      </w:r>
      <w:proofErr w:type="spellEnd"/>
      <w:r>
        <w:rPr>
          <w:rFonts w:ascii="Verdana" w:eastAsia="Verdana" w:hAnsi="Verdana" w:cs="Verdana"/>
        </w:rPr>
        <w:t xml:space="preserve"> EXPO BELGRADE 2027,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Конвенцијом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међународним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изложбама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прописима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донетим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њено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спровођење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спонзор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партнер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друго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стекне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н</w:t>
      </w:r>
      <w:r>
        <w:rPr>
          <w:rFonts w:ascii="Verdana" w:eastAsia="Verdana" w:hAnsi="Verdana" w:cs="Verdana"/>
        </w:rPr>
        <w:t xml:space="preserve">а </w:t>
      </w:r>
      <w:proofErr w:type="spellStart"/>
      <w:r>
        <w:rPr>
          <w:rFonts w:ascii="Verdana" w:eastAsia="Verdana" w:hAnsi="Verdana" w:cs="Verdana"/>
        </w:rPr>
        <w:t>постављање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павиљона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учеснике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специјализованој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изложби</w:t>
      </w:r>
      <w:proofErr w:type="spellEnd"/>
      <w:r>
        <w:rPr>
          <w:rFonts w:ascii="Verdana" w:eastAsia="Verdana" w:hAnsi="Verdana" w:cs="Verdana"/>
        </w:rPr>
        <w:t xml:space="preserve"> EXPO BELGRADE 2027;”.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13) </w:t>
      </w:r>
      <w:proofErr w:type="spellStart"/>
      <w:r>
        <w:rPr>
          <w:rFonts w:ascii="Verdana" w:eastAsia="Verdana" w:hAnsi="Verdana" w:cs="Verdana"/>
        </w:rPr>
        <w:t>тачка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запетом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После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13) </w:t>
      </w:r>
      <w:proofErr w:type="spellStart"/>
      <w:r>
        <w:rPr>
          <w:rFonts w:ascii="Verdana" w:eastAsia="Verdana" w:hAnsi="Verdana" w:cs="Verdana"/>
        </w:rPr>
        <w:t>додају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тач. 14)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15),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 xml:space="preserve">: 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„14) </w:t>
      </w:r>
      <w:proofErr w:type="spellStart"/>
      <w:r>
        <w:rPr>
          <w:rFonts w:ascii="Verdana" w:eastAsia="Verdana" w:hAnsi="Verdana" w:cs="Verdana"/>
        </w:rPr>
        <w:t>Павиљон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учеснике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13.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привремени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поставља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уклања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одредбама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учешћа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специјализованој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изложби</w:t>
      </w:r>
      <w:proofErr w:type="spellEnd"/>
      <w:r>
        <w:rPr>
          <w:rFonts w:ascii="Verdana" w:eastAsia="Verdana" w:hAnsi="Verdana" w:cs="Verdana"/>
        </w:rPr>
        <w:t xml:space="preserve"> EXPO BELGRADE 2027; 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15) EXPO </w:t>
      </w:r>
      <w:proofErr w:type="spellStart"/>
      <w:r>
        <w:rPr>
          <w:rFonts w:ascii="Verdana" w:eastAsia="Verdana" w:hAnsi="Verdana" w:cs="Verdana"/>
        </w:rPr>
        <w:t>комплекс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</w:t>
      </w:r>
      <w:r>
        <w:rPr>
          <w:rFonts w:ascii="Verdana" w:eastAsia="Verdana" w:hAnsi="Verdana" w:cs="Verdana"/>
        </w:rPr>
        <w:t>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просторно-функционална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целина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>.</w:t>
      </w:r>
      <w:proofErr w:type="gramStart"/>
      <w:r>
        <w:rPr>
          <w:rFonts w:ascii="Verdana" w:eastAsia="Verdana" w:hAnsi="Verdana" w:cs="Verdana"/>
        </w:rPr>
        <w:t>”.</w:t>
      </w:r>
      <w:proofErr w:type="gramEnd"/>
    </w:p>
    <w:p w:rsidR="000D44D9" w:rsidRDefault="004A462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члану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мења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гласи</w:t>
      </w:r>
      <w:proofErr w:type="spellEnd"/>
      <w:r>
        <w:rPr>
          <w:rFonts w:ascii="Verdana" w:eastAsia="Verdana" w:hAnsi="Verdana" w:cs="Verdana"/>
        </w:rPr>
        <w:t>: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>„</w:t>
      </w:r>
      <w:proofErr w:type="spellStart"/>
      <w:r>
        <w:rPr>
          <w:rFonts w:ascii="Verdana" w:eastAsia="Verdana" w:hAnsi="Verdana" w:cs="Verdana"/>
        </w:rPr>
        <w:t>Инвеститор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управљање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деловима</w:t>
      </w:r>
      <w:proofErr w:type="spellEnd"/>
      <w:r>
        <w:rPr>
          <w:rFonts w:ascii="Verdana" w:eastAsia="Verdana" w:hAnsi="Verdana" w:cs="Verdana"/>
        </w:rPr>
        <w:t xml:space="preserve"> EXPO </w:t>
      </w:r>
      <w:proofErr w:type="spellStart"/>
      <w:r>
        <w:rPr>
          <w:rFonts w:ascii="Verdana" w:eastAsia="Verdana" w:hAnsi="Verdana" w:cs="Verdana"/>
        </w:rPr>
        <w:t>комплекса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друштву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</w:t>
      </w:r>
      <w:r>
        <w:rPr>
          <w:rFonts w:ascii="Verdana" w:eastAsia="Verdana" w:hAnsi="Verdana" w:cs="Verdana"/>
        </w:rPr>
        <w:t>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осталог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регулишу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управљања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услови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непокретности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управљање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давати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закуп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коришћење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накнада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управљање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враћања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непокретности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истеку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управљања.ˮ</w:t>
      </w:r>
      <w:proofErr w:type="spellEnd"/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После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додаје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</w:t>
      </w:r>
      <w:r>
        <w:rPr>
          <w:rFonts w:ascii="Verdana" w:eastAsia="Verdana" w:hAnsi="Verdana" w:cs="Verdana"/>
        </w:rPr>
        <w:t>в</w:t>
      </w:r>
      <w:proofErr w:type="spellEnd"/>
      <w:r>
        <w:rPr>
          <w:rFonts w:ascii="Verdana" w:eastAsia="Verdana" w:hAnsi="Verdana" w:cs="Verdana"/>
        </w:rPr>
        <w:t xml:space="preserve"> 9,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гласи</w:t>
      </w:r>
      <w:proofErr w:type="spellEnd"/>
      <w:r>
        <w:rPr>
          <w:rFonts w:ascii="Verdana" w:eastAsia="Verdana" w:hAnsi="Verdana" w:cs="Verdana"/>
        </w:rPr>
        <w:t>: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>„</w:t>
      </w:r>
      <w:proofErr w:type="spellStart"/>
      <w:r>
        <w:rPr>
          <w:rFonts w:ascii="Verdana" w:eastAsia="Verdana" w:hAnsi="Verdana" w:cs="Verdana"/>
        </w:rPr>
        <w:t>Управљање</w:t>
      </w:r>
      <w:proofErr w:type="spellEnd"/>
      <w:r>
        <w:rPr>
          <w:rFonts w:ascii="Verdana" w:eastAsia="Verdana" w:hAnsi="Verdana" w:cs="Verdana"/>
        </w:rPr>
        <w:t xml:space="preserve"> EXPO </w:t>
      </w:r>
      <w:proofErr w:type="spellStart"/>
      <w:r>
        <w:rPr>
          <w:rFonts w:ascii="Verdana" w:eastAsia="Verdana" w:hAnsi="Verdana" w:cs="Verdana"/>
        </w:rPr>
        <w:t>комплексом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нарочито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обухвата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дефинисање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комерцијалних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некомерцијалних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целина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простора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организацију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програма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давање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коришћење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учесницима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трећим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лицима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давање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закуп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непосредном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</w:t>
      </w:r>
      <w:r>
        <w:rPr>
          <w:rFonts w:ascii="Verdana" w:eastAsia="Verdana" w:hAnsi="Verdana" w:cs="Verdana"/>
        </w:rPr>
        <w:t>огодбом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ангажовање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трећих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циљу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одржавања</w:t>
      </w:r>
      <w:proofErr w:type="spellEnd"/>
      <w:r>
        <w:rPr>
          <w:rFonts w:ascii="Verdana" w:eastAsia="Verdana" w:hAnsi="Verdana" w:cs="Verdana"/>
        </w:rPr>
        <w:t xml:space="preserve"> и/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пружања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услуга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спровођење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активности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>.”.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досадашњем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ставу</w:t>
      </w:r>
      <w:proofErr w:type="spellEnd"/>
      <w:r>
        <w:rPr>
          <w:rFonts w:ascii="Verdana" w:eastAsia="Verdana" w:hAnsi="Verdana" w:cs="Verdana"/>
        </w:rPr>
        <w:t xml:space="preserve"> 9,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10, </w:t>
      </w:r>
      <w:proofErr w:type="spellStart"/>
      <w:r>
        <w:rPr>
          <w:rFonts w:ascii="Verdana" w:eastAsia="Verdana" w:hAnsi="Verdana" w:cs="Verdana"/>
        </w:rPr>
        <w:t>речи</w:t>
      </w:r>
      <w:proofErr w:type="spellEnd"/>
      <w:r>
        <w:rPr>
          <w:rFonts w:ascii="Verdana" w:eastAsia="Verdana" w:hAnsi="Verdana" w:cs="Verdana"/>
        </w:rPr>
        <w:t>: „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6.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чланаˮ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речима</w:t>
      </w:r>
      <w:proofErr w:type="spellEnd"/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</w:rPr>
        <w:t xml:space="preserve"> „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7.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чланаˮ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 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13. </w:t>
      </w:r>
      <w:proofErr w:type="spellStart"/>
      <w:proofErr w:type="gramStart"/>
      <w:r>
        <w:rPr>
          <w:rFonts w:ascii="Verdana" w:eastAsia="Verdana" w:hAnsi="Verdana" w:cs="Verdana"/>
        </w:rPr>
        <w:t>мења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гласи</w:t>
      </w:r>
      <w:proofErr w:type="spellEnd"/>
      <w:r>
        <w:rPr>
          <w:rFonts w:ascii="Verdana" w:eastAsia="Verdana" w:hAnsi="Verdana" w:cs="Verdana"/>
        </w:rPr>
        <w:t>:</w:t>
      </w:r>
    </w:p>
    <w:p w:rsidR="000D44D9" w:rsidRDefault="004A462B">
      <w:pPr>
        <w:spacing w:line="210" w:lineRule="atLeast"/>
        <w:jc w:val="center"/>
      </w:pPr>
      <w:r>
        <w:rPr>
          <w:rFonts w:ascii="Verdana" w:eastAsia="Verdana" w:hAnsi="Verdana" w:cs="Verdana"/>
        </w:rPr>
        <w:t>„</w:t>
      </w: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13.</w:t>
      </w:r>
    </w:p>
    <w:p w:rsidR="000D44D9" w:rsidRDefault="004A462B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Објекти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инфраструктурни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инфраструктурни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обухваћени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планом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неопходну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инфраструктуру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непосредно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функцији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изграђени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Просторног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</w:t>
      </w:r>
      <w:r>
        <w:rPr>
          <w:rFonts w:ascii="Verdana" w:eastAsia="Verdana" w:hAnsi="Verdana" w:cs="Verdana"/>
        </w:rPr>
        <w:t>ана</w:t>
      </w:r>
      <w:proofErr w:type="spellEnd"/>
      <w:r>
        <w:rPr>
          <w:rFonts w:ascii="Verdana" w:eastAsia="Verdana" w:hAnsi="Verdana" w:cs="Verdana"/>
        </w:rPr>
        <w:t xml:space="preserve">, за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привремена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одобрењу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извођење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радова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користити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пустити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прикључити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комуналну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осталу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инфраструктуру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lastRenderedPageBreak/>
        <w:t>позитивног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Комис</w:t>
      </w:r>
      <w:r>
        <w:rPr>
          <w:rFonts w:ascii="Verdana" w:eastAsia="Verdana" w:hAnsi="Verdana" w:cs="Verdana"/>
        </w:rPr>
        <w:t>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технички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преглед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констатацију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објекат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планирање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изградња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други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подзаконским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актом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8.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предлог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користи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пусти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Објекти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користити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пустити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најдуже</w:t>
      </w:r>
      <w:proofErr w:type="spellEnd"/>
      <w:r>
        <w:rPr>
          <w:rFonts w:ascii="Verdana" w:eastAsia="Verdana" w:hAnsi="Verdana" w:cs="Verdana"/>
        </w:rPr>
        <w:t xml:space="preserve"> 24 </w:t>
      </w:r>
      <w:proofErr w:type="spellStart"/>
      <w:r>
        <w:rPr>
          <w:rFonts w:ascii="Verdana" w:eastAsia="Verdana" w:hAnsi="Verdana" w:cs="Verdana"/>
        </w:rPr>
        <w:t>месеца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позитивног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Комисије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технички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преглед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Комисија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технички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преглед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155.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пла</w:t>
      </w:r>
      <w:r>
        <w:rPr>
          <w:rFonts w:ascii="Verdana" w:eastAsia="Verdana" w:hAnsi="Verdana" w:cs="Verdana"/>
        </w:rPr>
        <w:t>нирању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изградњи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предузеће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поверено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техничког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прегледа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позитиван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коришћење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пуштање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и о </w:t>
      </w:r>
      <w:proofErr w:type="spellStart"/>
      <w:r>
        <w:rPr>
          <w:rFonts w:ascii="Verdana" w:eastAsia="Verdana" w:hAnsi="Verdana" w:cs="Verdana"/>
        </w:rPr>
        <w:t>томе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одлагања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обавештава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</w:t>
      </w:r>
      <w:r>
        <w:rPr>
          <w:rFonts w:ascii="Verdana" w:eastAsia="Verdana" w:hAnsi="Verdana" w:cs="Verdana"/>
        </w:rPr>
        <w:t>тарство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r>
        <w:rPr>
          <w:rFonts w:ascii="Verdana" w:eastAsia="Verdana" w:hAnsi="Verdana" w:cs="Verdana"/>
        </w:rPr>
        <w:t xml:space="preserve">За </w:t>
      </w:r>
      <w:proofErr w:type="spellStart"/>
      <w:r>
        <w:rPr>
          <w:rFonts w:ascii="Verdana" w:eastAsia="Verdana" w:hAnsi="Verdana" w:cs="Verdana"/>
        </w:rPr>
        <w:t>постављање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уклањање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павиљона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учеснике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налазе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унутар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Министарство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привремену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чланом</w:t>
      </w:r>
      <w:proofErr w:type="spellEnd"/>
      <w:r>
        <w:rPr>
          <w:rFonts w:ascii="Verdana" w:eastAsia="Verdana" w:hAnsi="Verdana" w:cs="Verdana"/>
        </w:rPr>
        <w:t xml:space="preserve"> 147.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планирању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изградњи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издавање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</w:t>
      </w:r>
      <w:r>
        <w:rPr>
          <w:rFonts w:ascii="Verdana" w:eastAsia="Verdana" w:hAnsi="Verdana" w:cs="Verdana"/>
        </w:rPr>
        <w:t>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за </w:t>
      </w:r>
      <w:proofErr w:type="spellStart"/>
      <w:r>
        <w:rPr>
          <w:rFonts w:ascii="Verdana" w:eastAsia="Verdana" w:hAnsi="Verdana" w:cs="Verdana"/>
        </w:rPr>
        <w:t>постављање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уклањање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павиљона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учеснике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налазе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унутар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поднети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добијању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објекте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а </w:t>
      </w:r>
      <w:proofErr w:type="spellStart"/>
      <w:r>
        <w:rPr>
          <w:rFonts w:ascii="Verdana" w:eastAsia="Verdana" w:hAnsi="Verdana" w:cs="Verdana"/>
        </w:rPr>
        <w:t>извођење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отпочети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позитивног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Комисије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технички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преглед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коришћењу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пуштању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издавање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прилажу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локацијски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</w:t>
      </w:r>
      <w:proofErr w:type="spellEnd"/>
      <w:r>
        <w:rPr>
          <w:rFonts w:ascii="Verdana" w:eastAsia="Verdana" w:hAnsi="Verdana" w:cs="Verdana"/>
        </w:rPr>
        <w:t xml:space="preserve">, а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</w:t>
      </w:r>
      <w:r>
        <w:rPr>
          <w:rFonts w:ascii="Verdana" w:eastAsia="Verdana" w:hAnsi="Verdana" w:cs="Verdana"/>
        </w:rPr>
        <w:t>оказ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одговарајућем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објекту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прилаже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коначно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грађевинској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објекат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Привремена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инвеститора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учесника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финансијера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издавање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приложена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инвеститора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носилац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грађевинске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буде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учесник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ближе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коришћење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пуштање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</w:t>
      </w:r>
      <w:r>
        <w:rPr>
          <w:rFonts w:ascii="Verdana" w:eastAsia="Verdana" w:hAnsi="Verdana" w:cs="Verdana"/>
        </w:rPr>
        <w:t>држину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Комисије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технички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преглед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правила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постављање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уклањање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павиљона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отпочињању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коришћења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пуштању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објеката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самоуправе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јавне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службе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други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</w:t>
      </w:r>
      <w:r>
        <w:rPr>
          <w:rFonts w:ascii="Verdana" w:eastAsia="Verdana" w:hAnsi="Verdana" w:cs="Verdana"/>
        </w:rPr>
        <w:t>гани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тела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обавези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преузму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одржавање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површина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намене</w:t>
      </w:r>
      <w:proofErr w:type="spellEnd"/>
      <w:r>
        <w:rPr>
          <w:rFonts w:ascii="Verdana" w:eastAsia="Verdana" w:hAnsi="Verdana" w:cs="Verdana"/>
        </w:rPr>
        <w:t xml:space="preserve"> предвиђених </w:t>
      </w:r>
      <w:proofErr w:type="spellStart"/>
      <w:r>
        <w:rPr>
          <w:rFonts w:ascii="Verdana" w:eastAsia="Verdana" w:hAnsi="Verdana" w:cs="Verdana"/>
        </w:rPr>
        <w:t>Просторним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изграђене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користе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>.”.</w:t>
      </w:r>
    </w:p>
    <w:p w:rsidR="000D44D9" w:rsidRDefault="004A462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Поступци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започети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Закону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посебним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поступцима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реализације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међународне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</w:t>
      </w:r>
      <w:r>
        <w:rPr>
          <w:rFonts w:ascii="Verdana" w:eastAsia="Verdana" w:hAnsi="Verdana" w:cs="Verdana"/>
        </w:rPr>
        <w:t>ијализоване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изложбе</w:t>
      </w:r>
      <w:proofErr w:type="spellEnd"/>
      <w:r>
        <w:rPr>
          <w:rFonts w:ascii="Verdana" w:eastAsia="Verdana" w:hAnsi="Verdana" w:cs="Verdana"/>
        </w:rPr>
        <w:t xml:space="preserve"> EXPO BELGRADE 2027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РСˮ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92/23), а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окончани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окончаће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одредбама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>.</w:t>
      </w:r>
    </w:p>
    <w:p w:rsidR="000D44D9" w:rsidRDefault="004A462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lastRenderedPageBreak/>
        <w:t>Члан</w:t>
      </w:r>
      <w:proofErr w:type="spellEnd"/>
      <w:r>
        <w:rPr>
          <w:rFonts w:ascii="Verdana" w:eastAsia="Verdana" w:hAnsi="Verdana" w:cs="Verdana"/>
        </w:rPr>
        <w:t xml:space="preserve"> 6.</w:t>
      </w:r>
    </w:p>
    <w:p w:rsidR="000D44D9" w:rsidRDefault="004A462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</w:t>
      </w:r>
      <w:r>
        <w:rPr>
          <w:rFonts w:ascii="Verdana" w:eastAsia="Verdana" w:hAnsi="Verdana" w:cs="Verdana"/>
        </w:rPr>
        <w:t>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”. </w:t>
      </w:r>
    </w:p>
    <w:sectPr w:rsidR="000D44D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D9"/>
    <w:rsid w:val="000D44D9"/>
    <w:rsid w:val="004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005BB-DFFA-48A4-BA26-96809FA5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2025-10-24T07:49:00Z</dcterms:created>
  <dcterms:modified xsi:type="dcterms:W3CDTF">2025-10-24T07:49:00Z</dcterms:modified>
</cp:coreProperties>
</file>