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38" w:rsidRDefault="00310DDE" w:rsidP="00310DDE">
      <w:pPr>
        <w:spacing w:after="150"/>
        <w:jc w:val="right"/>
      </w:pPr>
      <w:r>
        <w:rPr>
          <w:rFonts w:ascii="Arial"/>
          <w:color w:val="000000"/>
        </w:rPr>
        <w:t>﻿</w:t>
      </w:r>
      <w:r>
        <w:t xml:space="preserve"> </w:t>
      </w: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974A38" w:rsidRDefault="00310DDE">
      <w:pPr>
        <w:spacing w:after="150"/>
      </w:pPr>
      <w:r>
        <w:rPr>
          <w:color w:val="000000"/>
        </w:rPr>
        <w:t> </w:t>
      </w:r>
    </w:p>
    <w:p w:rsidR="00974A38" w:rsidRDefault="00310DDE">
      <w:pPr>
        <w:spacing w:after="150"/>
      </w:pPr>
      <w:r>
        <w:rPr>
          <w:color w:val="000000"/>
        </w:rPr>
        <w:t> 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153/20),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74A38" w:rsidRDefault="00310DDE">
      <w:pPr>
        <w:spacing w:after="225"/>
        <w:jc w:val="center"/>
      </w:pPr>
      <w:r>
        <w:rPr>
          <w:b/>
          <w:color w:val="000000"/>
        </w:rPr>
        <w:t>ПРАВИЛНИК</w:t>
      </w:r>
    </w:p>
    <w:p w:rsidR="00974A38" w:rsidRDefault="00310DDE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процедури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елемента</w:t>
      </w:r>
      <w:proofErr w:type="spellEnd"/>
    </w:p>
    <w:p w:rsidR="00974A38" w:rsidRDefault="00310DDE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2021, 96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процедура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хардверски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</w:t>
      </w:r>
      <w:r>
        <w:rPr>
          <w:color w:val="000000"/>
        </w:rPr>
        <w:t>кализације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>:</w:t>
      </w:r>
    </w:p>
    <w:p w:rsidR="00974A38" w:rsidRDefault="00310DDE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аутентичности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дигиталног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интернетом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</w:t>
      </w:r>
      <w:r>
        <w:rPr>
          <w:color w:val="000000"/>
        </w:rPr>
        <w:t>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криптографије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кључа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верификације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</w:t>
      </w:r>
      <w:r>
        <w:rPr>
          <w:color w:val="000000"/>
        </w:rPr>
        <w:t>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персонализован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неодговарајућег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</w:t>
      </w:r>
      <w:r>
        <w:rPr>
          <w:color w:val="000000"/>
        </w:rPr>
        <w:t>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увећавају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974A38" w:rsidRDefault="00310DDE">
      <w:pPr>
        <w:spacing w:after="150"/>
      </w:pPr>
      <w:r>
        <w:rPr>
          <w:color w:val="000000"/>
        </w:rPr>
        <w:lastRenderedPageBreak/>
        <w:t xml:space="preserve">1) </w:t>
      </w:r>
      <w:proofErr w:type="spellStart"/>
      <w:r>
        <w:rPr>
          <w:color w:val="000000"/>
        </w:rPr>
        <w:t>бројач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бројаче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</w:t>
      </w:r>
      <w:r>
        <w:rPr>
          <w:color w:val="000000"/>
        </w:rPr>
        <w:t>је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бројач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стопама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бројач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безбедносном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увећава</w:t>
      </w:r>
      <w:proofErr w:type="spellEnd"/>
      <w:r>
        <w:rPr>
          <w:color w:val="000000"/>
        </w:rPr>
        <w:t>:</w:t>
      </w:r>
    </w:p>
    <w:p w:rsidR="00974A38" w:rsidRDefault="00310DDE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сертификатом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сертификатом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укупна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стопама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укупна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облицима</w:t>
      </w:r>
      <w:proofErr w:type="spellEnd"/>
      <w:r>
        <w:rPr>
          <w:color w:val="000000"/>
        </w:rPr>
        <w:t>:</w:t>
      </w:r>
    </w:p>
    <w:p w:rsidR="00974A38" w:rsidRDefault="00310DDE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паметна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картица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паметна</w:t>
      </w:r>
      <w:proofErr w:type="spellEnd"/>
      <w:r>
        <w:rPr>
          <w:color w:val="000000"/>
        </w:rPr>
        <w:t xml:space="preserve"> SD </w:t>
      </w:r>
      <w:proofErr w:type="spellStart"/>
      <w:r>
        <w:rPr>
          <w:color w:val="000000"/>
        </w:rPr>
        <w:t>картица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3) USB </w:t>
      </w:r>
      <w:proofErr w:type="spellStart"/>
      <w:r>
        <w:rPr>
          <w:color w:val="000000"/>
        </w:rPr>
        <w:t>токен</w:t>
      </w:r>
      <w:proofErr w:type="spellEnd"/>
      <w:r>
        <w:rPr>
          <w:color w:val="000000"/>
        </w:rPr>
        <w:t>;</w:t>
      </w:r>
    </w:p>
    <w:p w:rsidR="00974A38" w:rsidRDefault="00310DDE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заштићени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фајл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pfx</w:t>
      </w:r>
      <w:proofErr w:type="spellEnd"/>
      <w:r>
        <w:rPr>
          <w:color w:val="000000"/>
        </w:rPr>
        <w:t xml:space="preserve"> – personal exchange format).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репродукује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репродукује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лозинку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5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6.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proofErr w:type="spellStart"/>
      <w:r>
        <w:rPr>
          <w:b/>
          <w:color w:val="000000"/>
        </w:rPr>
        <w:t>Безбедносни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</w:t>
      </w:r>
      <w:r>
        <w:rPr>
          <w:b/>
          <w:color w:val="000000"/>
        </w:rPr>
        <w:t>здаје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обвезнику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поднете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Пореској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управи.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r>
        <w:rPr>
          <w:b/>
          <w:color w:val="000000"/>
        </w:rPr>
        <w:t xml:space="preserve">У </w:t>
      </w:r>
      <w:proofErr w:type="spellStart"/>
      <w:r>
        <w:rPr>
          <w:b/>
          <w:color w:val="000000"/>
        </w:rPr>
        <w:t>пријаву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става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овог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уносе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следећи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подаци</w:t>
      </w:r>
      <w:proofErr w:type="spellEnd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r>
        <w:rPr>
          <w:b/>
          <w:color w:val="000000"/>
        </w:rPr>
        <w:t xml:space="preserve">1) </w:t>
      </w:r>
      <w:proofErr w:type="spellStart"/>
      <w:r>
        <w:rPr>
          <w:b/>
          <w:color w:val="000000"/>
        </w:rPr>
        <w:t>техничка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спецификација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преузимања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безбедносног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елемента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r>
        <w:rPr>
          <w:b/>
          <w:color w:val="000000"/>
        </w:rPr>
        <w:t xml:space="preserve">2) </w:t>
      </w: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безбедносних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елемената.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proofErr w:type="spellStart"/>
      <w:r>
        <w:rPr>
          <w:b/>
          <w:color w:val="000000"/>
        </w:rPr>
        <w:lastRenderedPageBreak/>
        <w:t>Пореска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року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седам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подношења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генерише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обавештава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обвезника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фисклаизације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може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преузме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издаје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потврду</w:t>
      </w:r>
      <w:proofErr w:type="spellEnd"/>
      <w:r>
        <w:rPr>
          <w:b/>
          <w:color w:val="000000"/>
        </w:rPr>
        <w:t xml:space="preserve"> о </w:t>
      </w:r>
      <w:proofErr w:type="gramStart"/>
      <w:r>
        <w:rPr>
          <w:b/>
          <w:color w:val="000000"/>
        </w:rPr>
        <w:t>преузимању.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става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овог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подноси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електронском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облику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портала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управе</w:t>
      </w:r>
      <w:proofErr w:type="spellEnd"/>
      <w:r>
        <w:rPr>
          <w:b/>
          <w:color w:val="000000"/>
        </w:rPr>
        <w:t xml:space="preserve">, а </w:t>
      </w:r>
      <w:proofErr w:type="spellStart"/>
      <w:r>
        <w:rPr>
          <w:b/>
          <w:color w:val="000000"/>
        </w:rPr>
        <w:t>потврда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става</w:t>
      </w:r>
      <w:proofErr w:type="spellEnd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овог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лично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уручује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овлашћеном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обвезника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приликом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преузимања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</w:t>
      </w:r>
      <w:r>
        <w:rPr>
          <w:b/>
          <w:color w:val="000000"/>
        </w:rPr>
        <w:t>носног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елемента.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proofErr w:type="spellStart"/>
      <w:r>
        <w:rPr>
          <w:b/>
          <w:color w:val="000000"/>
        </w:rPr>
        <w:t>Пореска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елемената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издатих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става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овог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члана.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4A38" w:rsidRDefault="00310DDE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96/2021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сертификатом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974A38" w:rsidRDefault="00310DDE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крађе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уништења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пожар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земљотрес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деактивације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974A38" w:rsidRDefault="00310DDE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974A38" w:rsidRDefault="00310DDE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110-00-150/2021-04</w:t>
      </w:r>
    </w:p>
    <w:p w:rsidR="00974A38" w:rsidRDefault="00310DDE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974A38" w:rsidRDefault="00310DDE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974A38" w:rsidRDefault="00310DDE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974A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38"/>
    <w:rsid w:val="00310DDE"/>
    <w:rsid w:val="009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3A02C-1A06-4988-AF5B-C1140F14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2021-10-11T07:11:00Z</dcterms:created>
  <dcterms:modified xsi:type="dcterms:W3CDTF">2021-10-11T07:11:00Z</dcterms:modified>
</cp:coreProperties>
</file>