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EB" w:rsidRDefault="004B0679">
      <w:pPr>
        <w:spacing w:after="150"/>
      </w:pPr>
      <w:bookmarkStart w:id="0" w:name="_GoBack"/>
      <w:bookmarkEnd w:id="0"/>
      <w:r>
        <w:t xml:space="preserve"> </w:t>
      </w:r>
    </w:p>
    <w:p w:rsidR="008B3FEB" w:rsidRDefault="004B0679">
      <w:pPr>
        <w:spacing w:after="225"/>
        <w:jc w:val="center"/>
      </w:pPr>
      <w:r>
        <w:rPr>
          <w:b/>
          <w:color w:val="000000"/>
        </w:rPr>
        <w:t>ЗАКОН</w:t>
      </w:r>
    </w:p>
    <w:p w:rsidR="008B3FEB" w:rsidRDefault="004B0679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обављању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плаћања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предузетника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физичких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</w:t>
      </w:r>
      <w:proofErr w:type="spellEnd"/>
    </w:p>
    <w:p w:rsidR="008B3FEB" w:rsidRDefault="004B0679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68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августа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2015.</w:t>
      </w:r>
    </w:p>
    <w:p w:rsidR="008B3FEB" w:rsidRDefault="004B0679">
      <w:pPr>
        <w:spacing w:after="120"/>
        <w:jc w:val="center"/>
      </w:pPr>
      <w:r>
        <w:rPr>
          <w:color w:val="000000"/>
        </w:rPr>
        <w:t> </w:t>
      </w:r>
    </w:p>
    <w:p w:rsidR="008B3FEB" w:rsidRDefault="004B067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предузетника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физичких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отварањем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текућег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обављањем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Oдрeдбe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oвoг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зaкoнa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</w:t>
      </w:r>
      <w:r>
        <w:rPr>
          <w:color w:val="000000"/>
        </w:rPr>
        <w:t>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oднoсe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прaвнa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примeњуjу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сe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oгрaнкe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стрaних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приврeдних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друштaвa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кojи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oснoвaни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склaду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зaкoнoм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кojим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урeђуje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oснивaњe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приврeдних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друштaвa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</w:t>
      </w:r>
      <w:r>
        <w:rPr>
          <w:color w:val="000000"/>
        </w:rPr>
        <w:t>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</w:t>
      </w:r>
      <w:r>
        <w:rPr>
          <w:color w:val="000000"/>
        </w:rPr>
        <w:t>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текуће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пружалаца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имаоци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новцем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иностранством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девизн</w:t>
      </w:r>
      <w:r>
        <w:rPr>
          <w:color w:val="000000"/>
        </w:rPr>
        <w:t>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пословању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случајеве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r>
        <w:rPr>
          <w:color w:val="000000"/>
        </w:rPr>
        <w:t>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примљене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готовом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lastRenderedPageBreak/>
        <w:t>Одредба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мењачких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готовог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оствареног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мењачким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мењачки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готовог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реч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исплати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готовог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600.000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ефективног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600.000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600</w:t>
      </w:r>
      <w:r>
        <w:rPr>
          <w:color w:val="000000"/>
        </w:rPr>
        <w:t xml:space="preserve">.000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исплаћује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готовом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новцу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предузетника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Физичка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r>
        <w:rPr>
          <w:color w:val="000000"/>
        </w:rPr>
        <w:t>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пружалаца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имаоци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r>
        <w:rPr>
          <w:color w:val="000000"/>
        </w:rPr>
        <w:t>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новцем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1. и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иностранством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девизном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пословању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20"/>
        <w:jc w:val="center"/>
      </w:pPr>
      <w:proofErr w:type="spellStart"/>
      <w:r>
        <w:rPr>
          <w:color w:val="000000"/>
        </w:rPr>
        <w:t>Ч</w:t>
      </w:r>
      <w:r>
        <w:rPr>
          <w:color w:val="000000"/>
        </w:rPr>
        <w:t>лан</w:t>
      </w:r>
      <w:proofErr w:type="spellEnd"/>
      <w:r>
        <w:rPr>
          <w:color w:val="000000"/>
        </w:rPr>
        <w:t xml:space="preserve"> 5.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међусобне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измиривати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уговарањем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поверилаца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одређеном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облигационом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асигнација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цесија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.), </w:t>
      </w:r>
      <w:proofErr w:type="spellStart"/>
      <w:r>
        <w:rPr>
          <w:color w:val="000000"/>
        </w:rPr>
        <w:t>пребијањем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компензаци</w:t>
      </w:r>
      <w:r>
        <w:rPr>
          <w:color w:val="000000"/>
        </w:rPr>
        <w:t>ја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међусобне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тренутку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блокирани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принудне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друкчије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пребијањем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компензација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евидентирају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једанпут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месечно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</w:t>
      </w:r>
      <w:r>
        <w:rPr>
          <w:color w:val="000000"/>
        </w:rPr>
        <w:t>ца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Плаћање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међусобних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учесника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6.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Надзор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одредаба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Пореска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Новчаном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50.000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2.000.000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казниће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прекршај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>:</w:t>
      </w:r>
    </w:p>
    <w:p w:rsidR="008B3FEB" w:rsidRDefault="004B0679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</w:t>
      </w:r>
      <w:r>
        <w:rPr>
          <w:color w:val="000000"/>
        </w:rPr>
        <w:t>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1);</w:t>
      </w:r>
    </w:p>
    <w:p w:rsidR="008B3FEB" w:rsidRDefault="004B0679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примљене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готовом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1);</w:t>
      </w:r>
    </w:p>
    <w:p w:rsidR="008B3FEB" w:rsidRDefault="004B0679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тренут</w:t>
      </w:r>
      <w:r>
        <w:rPr>
          <w:color w:val="000000"/>
        </w:rPr>
        <w:t>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блокирани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принудне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супротно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члану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2).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казниће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прекршај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одговорно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новчаном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5.000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150</w:t>
      </w:r>
      <w:r>
        <w:rPr>
          <w:color w:val="000000"/>
        </w:rPr>
        <w:t xml:space="preserve">.000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казниће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прекршај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предузетник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новчаном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10.000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500.000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Акт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донеће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готовом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новцу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77/11), </w:t>
      </w:r>
      <w:proofErr w:type="spellStart"/>
      <w:r>
        <w:rPr>
          <w:color w:val="000000"/>
        </w:rPr>
        <w:t>укoликo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ниj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супрoтнoсти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зaкoнoм</w:t>
      </w:r>
      <w:proofErr w:type="spellEnd"/>
      <w:r>
        <w:rPr>
          <w:color w:val="000000"/>
        </w:rPr>
        <w:t>.</w:t>
      </w:r>
    </w:p>
    <w:p w:rsidR="008B3FEB" w:rsidRDefault="004B067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8B3FEB" w:rsidRDefault="004B0679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2015.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sectPr w:rsidR="008B3F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EB"/>
    <w:rsid w:val="004B0679"/>
    <w:rsid w:val="008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6031"/>
  <w15:docId w15:val="{7A58DCCD-DA73-428B-99F9-94A7C9AE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Obrenovic</dc:creator>
  <cp:lastModifiedBy>Ana Obrenovic</cp:lastModifiedBy>
  <cp:revision>2</cp:revision>
  <dcterms:created xsi:type="dcterms:W3CDTF">2019-12-11T14:53:00Z</dcterms:created>
  <dcterms:modified xsi:type="dcterms:W3CDTF">2019-12-11T14:53:00Z</dcterms:modified>
</cp:coreProperties>
</file>