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26" w:rsidRDefault="00C97468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>На основу члана 115б став 5. Закона о играма на срећу („Службени гласник РС”, бр. 18/20 и 94/24),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Министар финансија доноси</w:t>
      </w:r>
    </w:p>
    <w:p w:rsidR="00473D26" w:rsidRDefault="00C97468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ПРАВИЛНИК</w:t>
      </w:r>
    </w:p>
    <w:p w:rsidR="00473D26" w:rsidRDefault="00C97468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ближим условима, документацији, начину и поступку организовања џекпот-а, испитивању испуњености потребних услова за џекпот системе и размену података</w:t>
      </w:r>
    </w:p>
    <w:p w:rsidR="00473D26" w:rsidRDefault="00C97468">
      <w:pPr>
        <w:spacing w:line="210" w:lineRule="atLeast"/>
        <w:jc w:val="center"/>
      </w:pPr>
      <w:r>
        <w:rPr>
          <w:rFonts w:ascii="Verdana" w:eastAsia="Verdana" w:hAnsi="Verdana" w:cs="Verdana"/>
        </w:rPr>
        <w:t>"Службени гласник РС", број 112 од 12. децембра 2025.</w:t>
      </w:r>
    </w:p>
    <w:p w:rsidR="00473D26" w:rsidRDefault="00C97468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Овим правилником прописују се ближи услови</w:t>
      </w:r>
      <w:r>
        <w:rPr>
          <w:rFonts w:ascii="Verdana" w:eastAsia="Verdana" w:hAnsi="Verdana" w:cs="Verdana"/>
        </w:rPr>
        <w:t>, документација, начин и поступак организовања џекпот-а, испитивање испуњености потребних услова за џекпот системе и размену података са Управом за игре на срећу (у даљем тексту: Управа).</w:t>
      </w:r>
    </w:p>
    <w:p w:rsidR="00473D26" w:rsidRDefault="00C97468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Управа даје сагласност за организовање џекпот-а (у даљем тек</w:t>
      </w:r>
      <w:r>
        <w:rPr>
          <w:rFonts w:ascii="Verdana" w:eastAsia="Verdana" w:hAnsi="Verdana" w:cs="Verdana"/>
        </w:rPr>
        <w:t>сту: сагласност) приређивачу посебних игара на срећу (у даљем тексту: приређивач) на основу захтева приређивача за организовање џекпот-а и то за период од максимално једне календарске године – од 1. јануара до 31. децембра исте календарске године, укључују</w:t>
      </w:r>
      <w:r>
        <w:rPr>
          <w:rFonts w:ascii="Verdana" w:eastAsia="Verdana" w:hAnsi="Verdana" w:cs="Verdana"/>
        </w:rPr>
        <w:t>ћи оба датума.</w:t>
      </w:r>
    </w:p>
    <w:p w:rsidR="00473D26" w:rsidRDefault="00C97468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За време трајања сагласности, максимални износ укупно исплаћеног џекпот-а не може прећи: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1) за посебне игре на срећу – клађење – 20% од основице коју чини разлика између укупно остварене вредности улога и укупно остварене вредности д</w:t>
      </w:r>
      <w:r>
        <w:rPr>
          <w:rFonts w:ascii="Verdana" w:eastAsia="Verdana" w:hAnsi="Verdana" w:cs="Verdana"/>
        </w:rPr>
        <w:t>обитака играча у вези са посебним играма на срећу – клађење код приређивача, у претходној календарској години, односно у текућој календарској години код приређивача који је право да приређује игре на срећу – клађење стекао у текућој календарској години;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2)</w:t>
      </w:r>
      <w:r>
        <w:rPr>
          <w:rFonts w:ascii="Verdana" w:eastAsia="Verdana" w:hAnsi="Verdana" w:cs="Verdana"/>
        </w:rPr>
        <w:t xml:space="preserve"> за посебне игре на срећу на аутоматима – 20% од основице коју чини разлика између укупно остварене вредности улога и укупно остварене вредности добитака играча у вези са посебним играма на срећу на аутоматима код приређивача, у претходној календарској год</w:t>
      </w:r>
      <w:r>
        <w:rPr>
          <w:rFonts w:ascii="Verdana" w:eastAsia="Verdana" w:hAnsi="Verdana" w:cs="Verdana"/>
        </w:rPr>
        <w:t>ини, односно у текућој календарској години код приређивача који је право да приређује игре на срећу на аутоматима стекао у текућој календарској години;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3) за посебне игре на срећу преко средстава електронске комуникације – 20% на основицу коју чини разлика</w:t>
      </w:r>
      <w:r>
        <w:rPr>
          <w:rFonts w:ascii="Verdana" w:eastAsia="Verdana" w:hAnsi="Verdana" w:cs="Verdana"/>
        </w:rPr>
        <w:t xml:space="preserve"> између укупно остварене вредности улога и укупно остварене вредности добитака играча у вези са посебним играма на срећу преко средстава електронске комуникације код приређивача, у претходној календарској години, односно у текућој календарској години код п</w:t>
      </w:r>
      <w:r>
        <w:rPr>
          <w:rFonts w:ascii="Verdana" w:eastAsia="Verdana" w:hAnsi="Verdana" w:cs="Verdana"/>
        </w:rPr>
        <w:t>риређивача који је право да приређује игре на срећу преко средстава електронске комуникације стекао у текућој календарској години.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lastRenderedPageBreak/>
        <w:t>Ограничења из става 1. овог члана не важе за исплаћени џекпот који не умањује основицу за обрачун накнаде за приређивање посе</w:t>
      </w:r>
      <w:r>
        <w:rPr>
          <w:rFonts w:ascii="Verdana" w:eastAsia="Verdana" w:hAnsi="Verdana" w:cs="Verdana"/>
        </w:rPr>
        <w:t>бних игара на срећу и када економски терет исплаћеног џекпот-а сноси треће лице.</w:t>
      </w:r>
    </w:p>
    <w:p w:rsidR="00473D26" w:rsidRDefault="00C97468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Управа неће дати сагласност ако је приређивач у претходној или текућој календарској години прекорачио максимални износ исплаћених џекпот-ова из члана 3. став 1. овог п</w:t>
      </w:r>
      <w:r>
        <w:rPr>
          <w:rFonts w:ascii="Verdana" w:eastAsia="Verdana" w:hAnsi="Verdana" w:cs="Verdana"/>
        </w:rPr>
        <w:t>равилника.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За употребу појма „џекпот” није потребно прибављати сагласност ако су истовремено испуњена оба услова: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1) појам „џекпот” се користи искључиво за означавање добитка који се остварује у циклусу реализације свих комбинација добитака које се могу пр</w:t>
      </w:r>
      <w:r>
        <w:rPr>
          <w:rFonts w:ascii="Verdana" w:eastAsia="Verdana" w:hAnsi="Verdana" w:cs="Verdana"/>
        </w:rPr>
        <w:t>ограмирати; и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2) не издваја се део уплата за исплату тог добитка.</w:t>
      </w:r>
    </w:p>
    <w:p w:rsidR="00473D26" w:rsidRDefault="00C97468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Захтев за организовање џекпот-а подноси се за сваку предстојећу календарску годину и то најкасније до краја текуће календарске године.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Изузетно од става 1. овог члана, приређивач кој</w:t>
      </w:r>
      <w:r>
        <w:rPr>
          <w:rFonts w:ascii="Verdana" w:eastAsia="Verdana" w:hAnsi="Verdana" w:cs="Verdana"/>
        </w:rPr>
        <w:t>и је право да приређује игре на срећу стекао у текућој календарској години, може у року од 90 дана од дана добијање дозволе Владе, односно одобрења Управе поднети захтев за организовање џекпот-а у текућој календарској години.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Захтев из ст. 1. и 2. овог чла</w:t>
      </w:r>
      <w:r>
        <w:rPr>
          <w:rFonts w:ascii="Verdana" w:eastAsia="Verdana" w:hAnsi="Verdana" w:cs="Verdana"/>
        </w:rPr>
        <w:t>на приређивач је дужан да поднесе Управи најкасније 30 дана пре почетка организовања џекпот-а.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Уз захтев за организовање џекпот-а, који садржи податке о називу и седишту приређивача, доставља се следећа документација: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1) уверење о испуњености услова џекпот система;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2) одлука надлежног органа приређивача о организовању џекпот-а;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3) правила џекпот-а.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Приређивач који користи џекпот систем трећих лица где исплаћени џекпот не умањује основицу за обрачун накнаде за приређивањ</w:t>
      </w:r>
      <w:r>
        <w:rPr>
          <w:rFonts w:ascii="Verdana" w:eastAsia="Verdana" w:hAnsi="Verdana" w:cs="Verdana"/>
        </w:rPr>
        <w:t>е посебних игара на срећу и када економски терет исплаћеног џекпота сноси треће лице, не подноси захтев за организовање таквог џекпота, али без одлагања доставља Управи: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1) одлуку надлежног органа приређивача о учествовању у џекпоту које организује треће л</w:t>
      </w:r>
      <w:r>
        <w:rPr>
          <w:rFonts w:ascii="Verdana" w:eastAsia="Verdana" w:hAnsi="Verdana" w:cs="Verdana"/>
        </w:rPr>
        <w:t>ице;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2) доказ о правном основу да исплаћени џекпот не умањује основицу за обрачун накнаде за приређивање посебних игара на срећу и да економски терет исплаћеног џекпот-а сноси треће лице.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Документа из ст. 4. и 5. овог члана достављају се у оригиналу или ов</w:t>
      </w:r>
      <w:r>
        <w:rPr>
          <w:rFonts w:ascii="Verdana" w:eastAsia="Verdana" w:hAnsi="Verdana" w:cs="Verdana"/>
        </w:rPr>
        <w:t>ереном препису.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 xml:space="preserve">Уколико у току године у којој приређивач организује џекпот дође до промене било ког податка у вези са ставом 4. тачка 1) овог члана, </w:t>
      </w:r>
      <w:r>
        <w:rPr>
          <w:rFonts w:ascii="Verdana" w:eastAsia="Verdana" w:hAnsi="Verdana" w:cs="Verdana"/>
        </w:rPr>
        <w:lastRenderedPageBreak/>
        <w:t>приређивач је дужан да достави допунско уверење о испуњености услова џекпот система и прибави допунску сагл</w:t>
      </w:r>
      <w:r>
        <w:rPr>
          <w:rFonts w:ascii="Verdana" w:eastAsia="Verdana" w:hAnsi="Verdana" w:cs="Verdana"/>
        </w:rPr>
        <w:t>асност Управе пре наставка организовања тог џекпот-а.</w:t>
      </w:r>
    </w:p>
    <w:p w:rsidR="00473D26" w:rsidRDefault="00C97468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Џекпот се организује искључиво кроз џекпот систем.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Приређивач може организовати искључиво следеће врсте џекпот-ова: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1) џекпот у прогресивним износима (у даљем тексту: прогресивни џекпот);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2) џекпот у фиксном износу (у даљем тексту: џекпот са фиксним износом).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Прогресивни џекпот представља врсту џекпот-а који настаје акумулацијом дефинисаног дела улога учесника, при чему се џекпот добитак додељује коришћењем генератора случајних бројева (енг</w:t>
      </w:r>
      <w:r>
        <w:rPr>
          <w:rFonts w:ascii="Verdana" w:eastAsia="Verdana" w:hAnsi="Verdana" w:cs="Verdana"/>
        </w:rPr>
        <w:t>. RNG – Random Number Generator).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Конфигурација прогресивног џекпот-а може бити заснована на: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1) моделу у коме се додела врши након што акумулација улога достигне унапред дефинисани гранични износ џекпот-а, или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2) моделу у коме максимални износ џекпот-а ни</w:t>
      </w:r>
      <w:r>
        <w:rPr>
          <w:rFonts w:ascii="Verdana" w:eastAsia="Verdana" w:hAnsi="Verdana" w:cs="Verdana"/>
        </w:rPr>
        <w:t>је унапред дефинисан, али се вероватноћа доделе прогресивног џекпот-а повећава сразмерно расту акумулираног износа улога.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Систем прогресивног џекпот-а мора омогућавати параметарску конфигурацију која укључује: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1) минимални износ прогресивног џекпот-а,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2) м</w:t>
      </w:r>
      <w:r>
        <w:rPr>
          <w:rFonts w:ascii="Verdana" w:eastAsia="Verdana" w:hAnsi="Verdana" w:cs="Verdana"/>
        </w:rPr>
        <w:t>аксимални износ џекпот-а (уколико је применљиво),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3) почетни износ џекпот-а,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4) проценат удела улога који се додаје на износ из тачке 3) овог става,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5) параметре који утичу на износ или вероватноћу доделе прогресивног џекпот-а.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Џекпот са фиксним износом им</w:t>
      </w:r>
      <w:r>
        <w:rPr>
          <w:rFonts w:ascii="Verdana" w:eastAsia="Verdana" w:hAnsi="Verdana" w:cs="Verdana"/>
        </w:rPr>
        <w:t>а фиксну вредност џекпот-а, док шанса за добијање џекпот-а може бити променљива.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Џекпот са фиксним износом мора бити конфигурисан на начин да омогућава избор износа џекпот-а, шансе за добијање износа џекпот-а, време приређивања џекпот-а, опционо повећање ш</w:t>
      </w:r>
      <w:r>
        <w:rPr>
          <w:rFonts w:ascii="Verdana" w:eastAsia="Verdana" w:hAnsi="Verdana" w:cs="Verdana"/>
        </w:rPr>
        <w:t>ансе у односу на време, количину или број улога, као и елементе који учествују у одређивању износа џекпот-а.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Одабир добитника џекпот-а са фиксним износом врши се насумично, коришћењем генератора случајних бројева (енг: RNG – Random Number Generator).</w:t>
      </w:r>
    </w:p>
    <w:p w:rsidR="00473D26" w:rsidRDefault="00C97468">
      <w:pPr>
        <w:spacing w:line="210" w:lineRule="atLeast"/>
        <w:jc w:val="center"/>
      </w:pPr>
      <w:r>
        <w:rPr>
          <w:rFonts w:ascii="Verdana" w:eastAsia="Verdana" w:hAnsi="Verdana" w:cs="Verdana"/>
        </w:rPr>
        <w:t xml:space="preserve">Члан </w:t>
      </w:r>
      <w:r>
        <w:rPr>
          <w:rFonts w:ascii="Verdana" w:eastAsia="Verdana" w:hAnsi="Verdana" w:cs="Verdana"/>
        </w:rPr>
        <w:t>7.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Џекпот систем приређивача мора испуњавати следеће услове за организовање џекпот-а: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lastRenderedPageBreak/>
        <w:t>1) да обезбеђује сталну сигурност обраде и чувања података, односно да: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(1) поседује механизам енкрипције за пренос, обраду и чување података,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(2) садржи протокол за чување и резервно копирање података, као и заштиту од губитка података и неовлашћеног приступа џекпот систему;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2) да насумичне радње које се врше путем џекпот система (додела џекпот-а, одређивање износа у случају прогресивног џекпот-</w:t>
      </w:r>
      <w:r>
        <w:rPr>
          <w:rFonts w:ascii="Verdana" w:eastAsia="Verdana" w:hAnsi="Verdana" w:cs="Verdana"/>
        </w:rPr>
        <w:t>а и друго) морају бити одређене генератором случајних бројева (енг: RNG – Random Number Generator), односно да: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(1) се све насумичне радње које се врше путем џекпот система заснивају искључиво на генератору случајних бројева (RNG),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 xml:space="preserve">(2) генератор случајних </w:t>
      </w:r>
      <w:r>
        <w:rPr>
          <w:rFonts w:ascii="Verdana" w:eastAsia="Verdana" w:hAnsi="Verdana" w:cs="Verdana"/>
        </w:rPr>
        <w:t>бројева (RNG) коришћен у џекпот систему остварује резултате у границама прихватљивих статистичких одступања, те да испуњава критеријуме насумичности,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 xml:space="preserve">(3) извор ентропије и начин генерисања почетних вредности (seed values) обезбеђује довољан ниво ентропије </w:t>
      </w:r>
      <w:r>
        <w:rPr>
          <w:rFonts w:ascii="Verdana" w:eastAsia="Verdana" w:hAnsi="Verdana" w:cs="Verdana"/>
        </w:rPr>
        <w:t>и непредвидивост иницијалних вредности,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(4) не постоји могућност ручне интервенције у резултате генератора случајних бројева (RNG-а);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3) да су износ и вероватноћа џекпот исплате програмирани на начин да се џекпот исплата може разумно очекивати у року од го</w:t>
      </w:r>
      <w:r>
        <w:rPr>
          <w:rFonts w:ascii="Verdana" w:eastAsia="Verdana" w:hAnsi="Verdana" w:cs="Verdana"/>
        </w:rPr>
        <w:t>дину дана од дана активације џекпот система, односно да: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(1) конфигурација алгоритма и логика прорачуна вероватноће исплате обезбеђују да се џекпот исплата може статистички разумно очекивати у року од једне године од дана активације џекпот система,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(2) џек</w:t>
      </w:r>
      <w:r>
        <w:rPr>
          <w:rFonts w:ascii="Verdana" w:eastAsia="Verdana" w:hAnsi="Verdana" w:cs="Verdana"/>
        </w:rPr>
        <w:t>пот систем испуњава све услове у погледу стабилности алгоритма и уједначености вероватноће добитка у складу са важећим техничким стандардима;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4) да генератор случајних бројева који је део џекпот система мора бити у складу са стандардима овлашћене лаборатор</w:t>
      </w:r>
      <w:r>
        <w:rPr>
          <w:rFonts w:ascii="Verdana" w:eastAsia="Verdana" w:hAnsi="Verdana" w:cs="Verdana"/>
        </w:rPr>
        <w:t>ије, односно да: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(1) генератор случајних бројева (RNG) који је део џекпот система испуњава стандарде прописане интерним документима овлашћене лабораторије,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(2) софтверски модул генератора случајних бројева (RNG-а) поседује важећу hash-верификацију, чиме је</w:t>
      </w:r>
      <w:r>
        <w:rPr>
          <w:rFonts w:ascii="Verdana" w:eastAsia="Verdana" w:hAnsi="Verdana" w:cs="Verdana"/>
        </w:rPr>
        <w:t xml:space="preserve"> потврђен интегритет и непроменљивост извршног кода у односу на одобрени референтни узорак;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5) да права приступа хардверу и софтверу џекпот система морају бити организована и обезбеђена на начин који онемогућава приступ подацима који се могу оправдано смат</w:t>
      </w:r>
      <w:r>
        <w:rPr>
          <w:rFonts w:ascii="Verdana" w:eastAsia="Verdana" w:hAnsi="Verdana" w:cs="Verdana"/>
        </w:rPr>
        <w:t>рати ризичним у погледу могућности манипулације доделом џекпот-а, односно да: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(1) садржи логичку и физичку сегментацију у циљу спречавања неовлашћеног приступа компонентама џекпот система који садрже поверљиве податке и податке који би могли да омогуће ман</w:t>
      </w:r>
      <w:r>
        <w:rPr>
          <w:rFonts w:ascii="Verdana" w:eastAsia="Verdana" w:hAnsi="Verdana" w:cs="Verdana"/>
        </w:rPr>
        <w:t>ипулацију доделом џекпот-а,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lastRenderedPageBreak/>
        <w:t>(2) садржи могућност контроле приступа, ограничење административних привилегија и вођење евиденције о свим приступима и изменама извршеним у џекпот систему,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(3) обезбеђује тренутну детекцију и блокаду сваког покушаја неовлашћене</w:t>
      </w:r>
      <w:r>
        <w:rPr>
          <w:rFonts w:ascii="Verdana" w:eastAsia="Verdana" w:hAnsi="Verdana" w:cs="Verdana"/>
        </w:rPr>
        <w:t xml:space="preserve"> интервенције или измене параметара који могу утицати на доделу џекпот-а;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6) да не постоји могућност организовања других врсти џекпот-ова осим оних који су овим правилником прописани, односно да: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 xml:space="preserve">(1) подржава искључиво организовање прогресивног џекпот-а и </w:t>
      </w:r>
      <w:r>
        <w:rPr>
          <w:rFonts w:ascii="Verdana" w:eastAsia="Verdana" w:hAnsi="Verdana" w:cs="Verdana"/>
        </w:rPr>
        <w:t>џекпот-а са фиксним износом,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(2) садржи системску конфигурацију која онемогућава касније активирање могућности организовања других врста џекпот-ова;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7) да постоји могућност остваривања сталне везе између џекпот система и информационо-комуникационог система</w:t>
      </w:r>
      <w:r>
        <w:rPr>
          <w:rFonts w:ascii="Verdana" w:eastAsia="Verdana" w:hAnsi="Verdana" w:cs="Verdana"/>
        </w:rPr>
        <w:t xml:space="preserve"> приређивача, односно да: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(1) остварује стабилну, континуирану и сигурну везу са информационо-комуникационим системом приређивача, у складу са техничким условима и стандардима,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(2) омогућава поуздан пренос података без кашњења, уз примену одговарајућих мех</w:t>
      </w:r>
      <w:r>
        <w:rPr>
          <w:rFonts w:ascii="Verdana" w:eastAsia="Verdana" w:hAnsi="Verdana" w:cs="Verdana"/>
        </w:rPr>
        <w:t>анизама шифровања и заштите интегритета информација,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(3) обезбеђује потпуну синхронизацију и евиденцију свих релевантних догађаја у реалном времену, као и обезбеђује тачност и усклађеност података између свих компоненти џекпот система;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8) да постоји могућн</w:t>
      </w:r>
      <w:r>
        <w:rPr>
          <w:rFonts w:ascii="Verdana" w:eastAsia="Verdana" w:hAnsi="Verdana" w:cs="Verdana"/>
        </w:rPr>
        <w:t>ост размене информација са информационим системом Управе у реалном времену, односно да: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(1) поседује техничке могућности за размену података са информационим системом Управе у реалном времену, компатибилност формата података и комуникационих протокола са ф</w:t>
      </w:r>
      <w:r>
        <w:rPr>
          <w:rFonts w:ascii="Verdana" w:eastAsia="Verdana" w:hAnsi="Verdana" w:cs="Verdana"/>
        </w:rPr>
        <w:t>орматима неопходним за размену података,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(2) омогућава логичку синхронизацију са информационим системом Управе, укључујући идентификацију и корекцију евентуалних неслагања података током и након преноса.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Уверење о испуњености услова џекпот система из члана</w:t>
      </w:r>
      <w:r>
        <w:rPr>
          <w:rFonts w:ascii="Verdana" w:eastAsia="Verdana" w:hAnsi="Verdana" w:cs="Verdana"/>
        </w:rPr>
        <w:t xml:space="preserve"> 5. став 4. тачка 1) овог правилника, као и допунско уверење из члана 5. став 7. овог правилника, приређивачу издаје лабораторија овлашћена од стране министра финансија по утврђивању испуњености услова из става 1. овог члана.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Образац Уверења о испуњености услова џекпот система (Прилог 1) и образац Допунског уверења о испуњености услова џекпот система (Прилог 2), одштампани су уз овај правилник и чине његов саставни део.</w:t>
      </w:r>
    </w:p>
    <w:p w:rsidR="00473D26" w:rsidRDefault="00C97468">
      <w:pPr>
        <w:spacing w:line="210" w:lineRule="atLeast"/>
        <w:jc w:val="center"/>
      </w:pPr>
      <w:r>
        <w:rPr>
          <w:rFonts w:ascii="Verdana" w:eastAsia="Verdana" w:hAnsi="Verdana" w:cs="Verdana"/>
        </w:rPr>
        <w:t>Члан 8.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Овај правилник ступа на снагу осмог дана од дана о</w:t>
      </w:r>
      <w:r>
        <w:rPr>
          <w:rFonts w:ascii="Verdana" w:eastAsia="Verdana" w:hAnsi="Verdana" w:cs="Verdana"/>
        </w:rPr>
        <w:t>бјављивања у „Службеном гласнику Републике Србије”.</w:t>
      </w:r>
    </w:p>
    <w:p w:rsidR="00473D26" w:rsidRDefault="00C97468">
      <w:pPr>
        <w:spacing w:line="210" w:lineRule="atLeast"/>
        <w:jc w:val="right"/>
      </w:pPr>
      <w:r>
        <w:rPr>
          <w:rFonts w:ascii="Verdana" w:eastAsia="Verdana" w:hAnsi="Verdana" w:cs="Verdana"/>
        </w:rPr>
        <w:t>Број 004734898 2025 10520 027 000 012 001</w:t>
      </w:r>
    </w:p>
    <w:p w:rsidR="00473D26" w:rsidRDefault="00C97468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11. децембра 2025. године</w:t>
      </w:r>
    </w:p>
    <w:p w:rsidR="00473D26" w:rsidRDefault="00C97468">
      <w:pPr>
        <w:spacing w:line="210" w:lineRule="atLeast"/>
        <w:jc w:val="right"/>
      </w:pPr>
      <w:r>
        <w:rPr>
          <w:rFonts w:ascii="Verdana" w:eastAsia="Verdana" w:hAnsi="Verdana" w:cs="Verdana"/>
        </w:rPr>
        <w:lastRenderedPageBreak/>
        <w:t>Министар,</w:t>
      </w:r>
    </w:p>
    <w:p w:rsidR="00473D26" w:rsidRDefault="00C97468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Синиша Мали</w:t>
      </w:r>
      <w:r>
        <w:rPr>
          <w:rFonts w:ascii="Verdana" w:eastAsia="Verdana" w:hAnsi="Verdana" w:cs="Verdana"/>
        </w:rPr>
        <w:t>, с.р.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Прилог 1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Број уверења: _________________ Датум издавања: ____________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На основу члана 115б. Зако</w:t>
      </w:r>
      <w:r>
        <w:rPr>
          <w:rFonts w:ascii="Verdana" w:eastAsia="Verdana" w:hAnsi="Verdana" w:cs="Verdana"/>
        </w:rPr>
        <w:t>на о играма на срећу („Службени гласник РС”, бр. 18/20 и 94/24) и чланa 7. Правилника о ближим условима, документацији, начину и поступку организовања џекпот-а, испитивању испуњености потребних услова за џекпот системе и размену података („Службени гласник</w:t>
      </w:r>
      <w:r>
        <w:rPr>
          <w:rFonts w:ascii="Verdana" w:eastAsia="Verdana" w:hAnsi="Verdana" w:cs="Verdana"/>
        </w:rPr>
        <w:t xml:space="preserve"> РС”, брoj 112/25), поступајући по захтеву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Подносилац захтева: ______________________________________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Датум подношења захтева: _________________________________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Деловодни број: __________________________________________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Овлашћена лабораторија _____________</w:t>
      </w:r>
      <w:r>
        <w:rPr>
          <w:rFonts w:ascii="Verdana" w:eastAsia="Verdana" w:hAnsi="Verdana" w:cs="Verdana"/>
        </w:rPr>
        <w:t>________________ издаје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УВЕРЕЊЕ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О ИСПУЊЕНОСТИ УСЛОВА ЏЕКПОТ СИСТЕМА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9"/>
        <w:gridCol w:w="27"/>
      </w:tblGrid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Подаци о подносиоцу захтева</w:t>
            </w:r>
          </w:p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Пословно име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Улица и број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Место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Матични број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ПИБ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Подаци о џекпот систему</w:t>
            </w:r>
          </w:p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Назив џекпот система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Верзија софтвера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Произвођач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RNG тип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IP адреса централног рачунара са џекпот системом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Путања/путање до датотеке/датотека са извршним кодом џекпот система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Дигитални потпис/потписи џекпот система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Путања дo датотеке са извршним кодом RNG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Дигитални потпис RNG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Датум од када је џекпот систем активан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</w:tbl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 xml:space="preserve">Испитивањем је утврђено да предметни џекпот систем задовољава услове прописане у члану 7. став 1. Правилника о ближим условима, </w:t>
      </w:r>
      <w:r>
        <w:rPr>
          <w:rFonts w:ascii="Verdana" w:eastAsia="Verdana" w:hAnsi="Verdana" w:cs="Verdana"/>
        </w:rPr>
        <w:lastRenderedPageBreak/>
        <w:t>документацији, начину и поступку организовања џекпот-а, испитивању испуњености потребни</w:t>
      </w:r>
      <w:r>
        <w:rPr>
          <w:rFonts w:ascii="Verdana" w:eastAsia="Verdana" w:hAnsi="Verdana" w:cs="Verdana"/>
        </w:rPr>
        <w:t>х услова за џекпот системе и размену података.</w:t>
      </w:r>
    </w:p>
    <w:p w:rsidR="00473D26" w:rsidRDefault="00C97468">
      <w:pPr>
        <w:spacing w:line="210" w:lineRule="atLeast"/>
        <w:jc w:val="right"/>
      </w:pPr>
      <w:r>
        <w:rPr>
          <w:rFonts w:ascii="Verdana" w:eastAsia="Verdana" w:hAnsi="Verdana" w:cs="Verdana"/>
        </w:rPr>
        <w:t>ОВЛАШЋЕНО ЛИЦЕ</w:t>
      </w:r>
    </w:p>
    <w:p w:rsidR="00473D26" w:rsidRDefault="00C97468">
      <w:pPr>
        <w:spacing w:line="210" w:lineRule="atLeast"/>
        <w:jc w:val="right"/>
      </w:pPr>
      <w:r>
        <w:rPr>
          <w:rFonts w:ascii="Verdana" w:eastAsia="Verdana" w:hAnsi="Verdana" w:cs="Verdana"/>
        </w:rPr>
        <w:t>____________________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Прилог 2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Број допунског уверења: ___________ Датум издавања: _________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На основу члана 115б. Закона о играма на срећу („Службени гласник РС”, бр. 18/20 и 94/24) и чланa 7. Правилника о ближим условима, документацији, начину и поступку организовања џекпот-а, испитивању испуњености потребних услова за џекпот системе и размену п</w:t>
      </w:r>
      <w:r>
        <w:rPr>
          <w:rFonts w:ascii="Verdana" w:eastAsia="Verdana" w:hAnsi="Verdana" w:cs="Verdana"/>
        </w:rPr>
        <w:t>одатака („Службени гласник РС”, број 112/25), поступајући по захтеву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Подносилац захтева: ______________________________________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Датум подношења захтева: _________________________________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Деловодни број: __________________________________________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 xml:space="preserve">Овлашћена </w:t>
      </w:r>
      <w:r>
        <w:rPr>
          <w:rFonts w:ascii="Verdana" w:eastAsia="Verdana" w:hAnsi="Verdana" w:cs="Verdana"/>
        </w:rPr>
        <w:t>лабораторија _____________________________ издаје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ДОПУНСКО УВЕРЕЊЕ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ЗА УВЕРЕЊЕ БРОЈ ________________ ОД __________ ГОДИНЕ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О ИСПУЊЕНОСТИ УСЛОВА ЏЕКПОТ СИСТЕМА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9"/>
        <w:gridCol w:w="27"/>
      </w:tblGrid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Подаци о подносиоцу захтева</w:t>
            </w:r>
          </w:p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Пословно име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Улица и број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Место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Матични број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ПИБ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Подаци о џекпот систему</w:t>
            </w:r>
          </w:p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Назив џекпот система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Верзија софтвера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Произвођач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RNG тип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IP адреса централног рачунара са џекпот системом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Путања/путање до датотеке/датотека са извршним кодом џекпот система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Дигитални потпис/потписи џекпот система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Путања дo датотеке са извршним кодом RNG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Дигитални потпис RNG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  <w:tr w:rsidR="00473D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C97468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Датум од када је џекпот систем активан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3D26" w:rsidRDefault="00473D26"/>
        </w:tc>
      </w:tr>
    </w:tbl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Разлог за издавање допунског уверења: _________________________________________________________________________ _____________________________________</w:t>
      </w:r>
      <w:r>
        <w:rPr>
          <w:rFonts w:ascii="Verdana" w:eastAsia="Verdana" w:hAnsi="Verdana" w:cs="Verdana"/>
        </w:rPr>
        <w:t>___________________________________________________________________________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Извршено испитивање обухватало је проверу следећих елемената џекпот система: _______________________________________________________________________________________________________</w:t>
      </w:r>
      <w:r>
        <w:rPr>
          <w:rFonts w:ascii="Verdana" w:eastAsia="Verdana" w:hAnsi="Verdana" w:cs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</w:rPr>
        <w:t>___________________</w:t>
      </w:r>
    </w:p>
    <w:p w:rsidR="00473D26" w:rsidRDefault="00C97468">
      <w:pPr>
        <w:spacing w:line="210" w:lineRule="atLeast"/>
      </w:pPr>
      <w:r>
        <w:rPr>
          <w:rFonts w:ascii="Verdana" w:eastAsia="Verdana" w:hAnsi="Verdana" w:cs="Verdana"/>
        </w:rPr>
        <w:t>Испитивањем је утврђено да предметни џекпот систем задовољава услове прописане у члану 7. став 1. Правилника о ближим условима, документацији, начину и поступку организовања џекпот-а, испитивању испуњености потребних услова за џекпот си</w:t>
      </w:r>
      <w:r>
        <w:rPr>
          <w:rFonts w:ascii="Verdana" w:eastAsia="Verdana" w:hAnsi="Verdana" w:cs="Verdana"/>
        </w:rPr>
        <w:t>стеме и размену података.</w:t>
      </w:r>
    </w:p>
    <w:p w:rsidR="00473D26" w:rsidRDefault="00C97468">
      <w:pPr>
        <w:spacing w:line="210" w:lineRule="atLeast"/>
        <w:jc w:val="right"/>
      </w:pPr>
      <w:r>
        <w:rPr>
          <w:rFonts w:ascii="Verdana" w:eastAsia="Verdana" w:hAnsi="Verdana" w:cs="Verdana"/>
        </w:rPr>
        <w:t>ОВЛАШЋЕНО ЛИЦЕ</w:t>
      </w:r>
    </w:p>
    <w:p w:rsidR="00473D26" w:rsidRDefault="00C97468">
      <w:pPr>
        <w:spacing w:line="210" w:lineRule="atLeast"/>
        <w:jc w:val="right"/>
      </w:pPr>
      <w:r>
        <w:rPr>
          <w:rFonts w:ascii="Verdana" w:eastAsia="Verdana" w:hAnsi="Verdana" w:cs="Verdana"/>
        </w:rPr>
        <w:t>___________________</w:t>
      </w:r>
    </w:p>
    <w:sectPr w:rsidR="00473D2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26"/>
    <w:rsid w:val="00473D26"/>
    <w:rsid w:val="00C9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183A17-7ECE-4CB8-9439-872C6E45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2025-12-16T10:40:00Z</dcterms:created>
  <dcterms:modified xsi:type="dcterms:W3CDTF">2025-12-16T10:40:00Z</dcterms:modified>
</cp:coreProperties>
</file>