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78B187B9" w14:textId="77777777" w:rsidR="00FB2DF9" w:rsidRPr="00FB2DF9" w:rsidRDefault="0023220A" w:rsidP="00FB2DF9">
      <w:pPr>
        <w:pStyle w:val="BodyText"/>
        <w:rPr>
          <w:rFonts w:ascii="Times New Roman" w:hAnsi="Times New Roman"/>
          <w:spacing w:val="0"/>
          <w:sz w:val="22"/>
          <w:szCs w:val="24"/>
        </w:rPr>
      </w:pPr>
      <w:r w:rsidRPr="0023220A">
        <w:rPr>
          <w:rFonts w:ascii="Times New Roman" w:hAnsi="Times New Roman"/>
          <w:b/>
          <w:spacing w:val="0"/>
          <w:sz w:val="22"/>
          <w:szCs w:val="24"/>
        </w:rPr>
        <w:t xml:space="preserve">Assignment Title: </w:t>
      </w:r>
      <w:r w:rsidR="00FB2DF9" w:rsidRPr="00FB2DF9">
        <w:rPr>
          <w:rFonts w:ascii="Times New Roman" w:hAnsi="Times New Roman"/>
          <w:spacing w:val="0"/>
          <w:sz w:val="22"/>
          <w:szCs w:val="24"/>
        </w:rPr>
        <w:t>Fiscal risk management Specialist for LSGs</w:t>
      </w:r>
    </w:p>
    <w:p w14:paraId="7DEBF756" w14:textId="77777777" w:rsidR="00FB2DF9" w:rsidRDefault="00FB2DF9" w:rsidP="00FB2DF9">
      <w:pPr>
        <w:pStyle w:val="BodyText"/>
        <w:rPr>
          <w:rFonts w:ascii="Times New Roman" w:hAnsi="Times New Roman"/>
          <w:spacing w:val="0"/>
          <w:sz w:val="22"/>
          <w:szCs w:val="24"/>
        </w:rPr>
      </w:pPr>
      <w:proofErr w:type="gramStart"/>
      <w:r w:rsidRPr="00FB2DF9">
        <w:rPr>
          <w:rFonts w:ascii="Times New Roman" w:hAnsi="Times New Roman"/>
          <w:spacing w:val="0"/>
          <w:sz w:val="22"/>
          <w:szCs w:val="24"/>
        </w:rPr>
        <w:t>for</w:t>
      </w:r>
      <w:proofErr w:type="gramEnd"/>
      <w:r w:rsidRPr="00FB2DF9">
        <w:rPr>
          <w:rFonts w:ascii="Times New Roman" w:hAnsi="Times New Roman"/>
          <w:spacing w:val="0"/>
          <w:sz w:val="22"/>
          <w:szCs w:val="24"/>
        </w:rPr>
        <w:t xml:space="preserve"> Improving Public Financial Management for the Green Transition Operation</w:t>
      </w:r>
    </w:p>
    <w:p w14:paraId="25816810" w14:textId="77777777" w:rsidR="00FB2DF9" w:rsidRDefault="00FB2DF9" w:rsidP="00FB2DF9">
      <w:pPr>
        <w:pStyle w:val="BodyText"/>
        <w:rPr>
          <w:rFonts w:ascii="Times New Roman" w:hAnsi="Times New Roman"/>
          <w:spacing w:val="0"/>
          <w:sz w:val="22"/>
          <w:szCs w:val="24"/>
        </w:rPr>
      </w:pPr>
    </w:p>
    <w:p w14:paraId="7AF5D1B0" w14:textId="221C20E6" w:rsidR="00AF2E68" w:rsidRPr="0023220A" w:rsidRDefault="0023220A" w:rsidP="00FB2DF9">
      <w:pPr>
        <w:pStyle w:val="BodyText"/>
      </w:pPr>
      <w:r w:rsidRPr="00346998">
        <w:rPr>
          <w:rFonts w:ascii="Times New Roman" w:hAnsi="Times New Roman"/>
          <w:b/>
          <w:szCs w:val="24"/>
        </w:rPr>
        <w:t xml:space="preserve">Reference No.: </w:t>
      </w:r>
      <w:r w:rsidR="002C72C6">
        <w:rPr>
          <w:rFonts w:ascii="Times New Roman" w:hAnsi="Times New Roman"/>
          <w:b/>
          <w:szCs w:val="24"/>
        </w:rPr>
        <w:t>SER-IPFMGT-IC-CS-</w:t>
      </w:r>
      <w:r w:rsidR="00FB2DF9">
        <w:rPr>
          <w:rFonts w:ascii="Times New Roman" w:hAnsi="Times New Roman"/>
          <w:b/>
          <w:szCs w:val="24"/>
        </w:rPr>
        <w:t>24</w:t>
      </w:r>
      <w:r w:rsidR="002C72C6" w:rsidRPr="00B64626">
        <w:rPr>
          <w:rFonts w:ascii="Times New Roman" w:hAnsi="Times New Roman"/>
          <w:b/>
          <w:szCs w:val="24"/>
        </w:rPr>
        <w:t>-</w:t>
      </w:r>
      <w:r w:rsidR="00FB2DF9">
        <w:rPr>
          <w:rFonts w:ascii="Times New Roman" w:hAnsi="Times New Roman"/>
          <w:b/>
          <w:szCs w:val="24"/>
        </w:rPr>
        <w:t>09</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The Republic of Serbia has received financing from the World Bank and the Agency </w:t>
      </w:r>
      <w:proofErr w:type="spellStart"/>
      <w:r w:rsidRPr="00346998">
        <w:rPr>
          <w:rFonts w:ascii="Times New Roman" w:hAnsi="Times New Roman"/>
          <w:spacing w:val="-2"/>
          <w:szCs w:val="22"/>
        </w:rPr>
        <w:t>Francaise</w:t>
      </w:r>
      <w:proofErr w:type="spellEnd"/>
      <w:r w:rsidRPr="00346998">
        <w:rPr>
          <w:rFonts w:ascii="Times New Roman" w:hAnsi="Times New Roman"/>
          <w:spacing w:val="-2"/>
          <w:szCs w:val="22"/>
        </w:rPr>
        <w:t xml:space="preserv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3C3DEE37" w14:textId="15A6F239" w:rsidR="001701DD" w:rsidRDefault="0023220A" w:rsidP="00346998">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2C42CB8" w14:textId="40A7245D" w:rsidR="00F61CFC" w:rsidRPr="00346998" w:rsidRDefault="001701DD" w:rsidP="00BE4AD6">
      <w:pPr>
        <w:suppressAutoHyphens/>
        <w:jc w:val="both"/>
        <w:rPr>
          <w:rFonts w:ascii="Times New Roman" w:hAnsi="Times New Roman"/>
          <w:spacing w:val="-2"/>
          <w:szCs w:val="22"/>
        </w:rPr>
      </w:pPr>
      <w:r w:rsidRPr="001701DD">
        <w:rPr>
          <w:rFonts w:ascii="Times New Roman" w:hAnsi="Times New Roman"/>
          <w:spacing w:val="-2"/>
          <w:szCs w:val="22"/>
        </w:rPr>
        <w:t>The main objectives of this consultancy are to enhance the organization's program budgeting capacity with special attention to key performance indicators related to expenditure efficiency, environmental impact, and gender-specific aspects of performance.</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72DD376F" w:rsidR="00DC3271" w:rsidRDefault="00FC2C6B" w:rsidP="00DC3271">
      <w:pPr>
        <w:suppressAutoHyphens/>
        <w:jc w:val="both"/>
        <w:rPr>
          <w:rFonts w:ascii="Times New Roman" w:hAnsi="Times New Roman"/>
          <w:b/>
          <w:szCs w:val="22"/>
        </w:rPr>
      </w:pPr>
      <w:r w:rsidRPr="000A2B41">
        <w:rPr>
          <w:rFonts w:ascii="Times New Roman" w:hAnsi="Times New Roman"/>
          <w:b/>
          <w:szCs w:val="22"/>
        </w:rPr>
        <w:t xml:space="preserve">The scope of work of the Consultant will be as follows: </w:t>
      </w:r>
    </w:p>
    <w:p w14:paraId="2BA48D58" w14:textId="77777777" w:rsidR="00FB2DF9" w:rsidRPr="000A2B41" w:rsidRDefault="00FB2DF9" w:rsidP="00DC3271">
      <w:pPr>
        <w:suppressAutoHyphens/>
        <w:jc w:val="both"/>
        <w:rPr>
          <w:rFonts w:ascii="Times New Roman" w:hAnsi="Times New Roman"/>
          <w:b/>
          <w:szCs w:val="22"/>
        </w:rPr>
      </w:pPr>
    </w:p>
    <w:p w14:paraId="1A1EE457" w14:textId="77777777" w:rsidR="00FB2DF9" w:rsidRPr="00FB2DF9" w:rsidRDefault="00FB2DF9" w:rsidP="00FB2DF9">
      <w:pPr>
        <w:widowControl w:val="0"/>
        <w:autoSpaceDE w:val="0"/>
        <w:autoSpaceDN w:val="0"/>
        <w:spacing w:line="262" w:lineRule="exact"/>
        <w:ind w:left="130"/>
        <w:rPr>
          <w:rFonts w:ascii="Times New Roman" w:hAnsi="Times New Roman"/>
          <w:sz w:val="23"/>
          <w:szCs w:val="23"/>
          <w:lang w:bidi="en-US"/>
        </w:rPr>
      </w:pPr>
      <w:r w:rsidRPr="00FB2DF9">
        <w:rPr>
          <w:rFonts w:ascii="Times New Roman" w:hAnsi="Times New Roman"/>
          <w:sz w:val="23"/>
          <w:szCs w:val="23"/>
          <w:lang w:bidi="en-US"/>
        </w:rPr>
        <w:t>The Individual Consultant will perform the following tasks:</w:t>
      </w:r>
    </w:p>
    <w:p w14:paraId="2E2A919B" w14:textId="77777777" w:rsidR="00FB2DF9" w:rsidRPr="00FB2DF9" w:rsidRDefault="00FB2DF9" w:rsidP="00FB2DF9">
      <w:pPr>
        <w:widowControl w:val="0"/>
        <w:autoSpaceDE w:val="0"/>
        <w:autoSpaceDN w:val="0"/>
        <w:spacing w:line="262" w:lineRule="exact"/>
        <w:ind w:left="130"/>
        <w:rPr>
          <w:rFonts w:ascii="Times New Roman" w:hAnsi="Times New Roman"/>
          <w:sz w:val="23"/>
          <w:szCs w:val="23"/>
          <w:lang w:bidi="en-US"/>
        </w:rPr>
      </w:pPr>
    </w:p>
    <w:p w14:paraId="3220C366" w14:textId="77777777" w:rsidR="00FB2DF9" w:rsidRPr="00FB2DF9" w:rsidRDefault="00FB2DF9" w:rsidP="00FB2DF9">
      <w:pPr>
        <w:widowControl w:val="0"/>
        <w:numPr>
          <w:ilvl w:val="0"/>
          <w:numId w:val="23"/>
        </w:numPr>
        <w:tabs>
          <w:tab w:val="left" w:pos="831"/>
        </w:tabs>
        <w:autoSpaceDE w:val="0"/>
        <w:autoSpaceDN w:val="0"/>
        <w:spacing w:before="4"/>
        <w:ind w:right="125"/>
        <w:jc w:val="both"/>
        <w:rPr>
          <w:rFonts w:ascii="Times New Roman" w:hAnsi="Times New Roman"/>
          <w:sz w:val="23"/>
          <w:szCs w:val="22"/>
          <w:lang w:bidi="en-US"/>
        </w:rPr>
      </w:pPr>
      <w:r w:rsidRPr="00FB2DF9">
        <w:rPr>
          <w:rFonts w:ascii="Times New Roman" w:hAnsi="Times New Roman"/>
          <w:sz w:val="23"/>
          <w:szCs w:val="22"/>
          <w:lang w:bidi="en-US"/>
        </w:rPr>
        <w:t xml:space="preserve">Analysis of the current LSGs monitoring model envisaged by the Unified Methodology for Monitoring Fiscal Risks. Guidance to FRMD </w:t>
      </w:r>
      <w:proofErr w:type="gramStart"/>
      <w:r w:rsidRPr="00FB2DF9">
        <w:rPr>
          <w:rFonts w:ascii="Times New Roman" w:hAnsi="Times New Roman"/>
          <w:sz w:val="23"/>
          <w:szCs w:val="22"/>
          <w:lang w:bidi="en-US"/>
        </w:rPr>
        <w:t>for  application</w:t>
      </w:r>
      <w:proofErr w:type="gramEnd"/>
      <w:r w:rsidRPr="00FB2DF9">
        <w:rPr>
          <w:rFonts w:ascii="Times New Roman" w:hAnsi="Times New Roman"/>
          <w:sz w:val="23"/>
          <w:szCs w:val="22"/>
          <w:lang w:bidi="en-US"/>
        </w:rPr>
        <w:t xml:space="preserve"> of the model in practice, as well as its scope and the effects. </w:t>
      </w:r>
    </w:p>
    <w:p w14:paraId="2DF4DC99" w14:textId="77777777" w:rsidR="00FB2DF9" w:rsidRPr="00FB2DF9" w:rsidRDefault="00FB2DF9" w:rsidP="00FB2DF9">
      <w:pPr>
        <w:widowControl w:val="0"/>
        <w:numPr>
          <w:ilvl w:val="0"/>
          <w:numId w:val="23"/>
        </w:numPr>
        <w:tabs>
          <w:tab w:val="left" w:pos="831"/>
        </w:tabs>
        <w:autoSpaceDE w:val="0"/>
        <w:autoSpaceDN w:val="0"/>
        <w:spacing w:before="4"/>
        <w:ind w:right="125"/>
        <w:jc w:val="both"/>
        <w:rPr>
          <w:rFonts w:ascii="Times New Roman" w:hAnsi="Times New Roman"/>
          <w:sz w:val="23"/>
          <w:szCs w:val="22"/>
          <w:lang w:bidi="en-US"/>
        </w:rPr>
      </w:pPr>
      <w:r w:rsidRPr="00FB2DF9">
        <w:rPr>
          <w:rFonts w:ascii="Times New Roman" w:hAnsi="Times New Roman"/>
          <w:sz w:val="23"/>
          <w:szCs w:val="22"/>
          <w:lang w:bidi="en-US"/>
        </w:rPr>
        <w:t>Hands-on support to FRMD in populating the LSG model with historical data and assessing obtained results in order to be able to appropriately set the risk grading thresholds</w:t>
      </w:r>
    </w:p>
    <w:p w14:paraId="25BFAA6E" w14:textId="77777777" w:rsidR="00FB2DF9" w:rsidRPr="00FB2DF9" w:rsidRDefault="00FB2DF9" w:rsidP="00FB2DF9">
      <w:pPr>
        <w:widowControl w:val="0"/>
        <w:numPr>
          <w:ilvl w:val="0"/>
          <w:numId w:val="23"/>
        </w:numPr>
        <w:tabs>
          <w:tab w:val="left" w:pos="831"/>
        </w:tabs>
        <w:autoSpaceDE w:val="0"/>
        <w:autoSpaceDN w:val="0"/>
        <w:spacing w:before="4"/>
        <w:ind w:right="125"/>
        <w:jc w:val="both"/>
        <w:rPr>
          <w:rFonts w:ascii="Times New Roman" w:hAnsi="Times New Roman"/>
          <w:sz w:val="23"/>
          <w:szCs w:val="22"/>
          <w:lang w:bidi="en-US"/>
        </w:rPr>
      </w:pPr>
      <w:r w:rsidRPr="00FB2DF9">
        <w:rPr>
          <w:rFonts w:ascii="Times New Roman" w:hAnsi="Times New Roman"/>
          <w:sz w:val="23"/>
          <w:szCs w:val="22"/>
          <w:lang w:bidi="en-US"/>
        </w:rPr>
        <w:t xml:space="preserve">Providing its expert opinion and suggestion for   </w:t>
      </w:r>
      <w:proofErr w:type="spellStart"/>
      <w:r w:rsidRPr="00FB2DF9">
        <w:rPr>
          <w:rFonts w:ascii="Times New Roman" w:hAnsi="Times New Roman"/>
          <w:sz w:val="23"/>
          <w:szCs w:val="22"/>
          <w:lang w:bidi="en-US"/>
        </w:rPr>
        <w:t>for</w:t>
      </w:r>
      <w:proofErr w:type="spellEnd"/>
      <w:r w:rsidRPr="00FB2DF9">
        <w:rPr>
          <w:rFonts w:ascii="Times New Roman" w:hAnsi="Times New Roman"/>
          <w:sz w:val="23"/>
          <w:szCs w:val="22"/>
          <w:lang w:bidi="en-US"/>
        </w:rPr>
        <w:t xml:space="preserve"> monitoring fiscal risks from LSGs, with reference to the best international practice in this field, as well obligations of the Ministry of Finance in the process of EU integrations, as well as under various arrangements with international partners such as AFD, WB, </w:t>
      </w:r>
      <w:proofErr w:type="gramStart"/>
      <w:r w:rsidRPr="00FB2DF9">
        <w:rPr>
          <w:rFonts w:ascii="Times New Roman" w:hAnsi="Times New Roman"/>
          <w:sz w:val="23"/>
          <w:szCs w:val="22"/>
          <w:lang w:bidi="en-US"/>
        </w:rPr>
        <w:t>IMF</w:t>
      </w:r>
      <w:proofErr w:type="gramEnd"/>
      <w:r w:rsidRPr="00FB2DF9">
        <w:rPr>
          <w:rFonts w:ascii="Times New Roman" w:hAnsi="Times New Roman"/>
          <w:sz w:val="23"/>
          <w:szCs w:val="22"/>
          <w:lang w:bidi="en-US"/>
        </w:rPr>
        <w:t xml:space="preserve"> etc.  </w:t>
      </w:r>
    </w:p>
    <w:p w14:paraId="44FA176D" w14:textId="77777777" w:rsidR="00FB2DF9" w:rsidRPr="00FB2DF9" w:rsidRDefault="00FB2DF9" w:rsidP="00FB2DF9">
      <w:pPr>
        <w:widowControl w:val="0"/>
        <w:numPr>
          <w:ilvl w:val="0"/>
          <w:numId w:val="23"/>
        </w:numPr>
        <w:tabs>
          <w:tab w:val="left" w:pos="831"/>
        </w:tabs>
        <w:autoSpaceDE w:val="0"/>
        <w:autoSpaceDN w:val="0"/>
        <w:spacing w:before="4"/>
        <w:ind w:right="125"/>
        <w:jc w:val="both"/>
        <w:rPr>
          <w:rFonts w:ascii="Times New Roman" w:hAnsi="Times New Roman"/>
          <w:sz w:val="23"/>
          <w:szCs w:val="22"/>
          <w:lang w:bidi="en-US"/>
        </w:rPr>
      </w:pPr>
      <w:r w:rsidRPr="00FB2DF9">
        <w:rPr>
          <w:rFonts w:ascii="Times New Roman" w:hAnsi="Times New Roman"/>
          <w:sz w:val="23"/>
          <w:szCs w:val="22"/>
          <w:lang w:bidi="en-US"/>
        </w:rPr>
        <w:t>Providing guidance and hands-on support to FRMD in reporting on fiscal risks from LSGs</w:t>
      </w:r>
    </w:p>
    <w:p w14:paraId="496185CA" w14:textId="77777777" w:rsidR="00FB2DF9" w:rsidRPr="00FB2DF9" w:rsidRDefault="00FB2DF9" w:rsidP="00FB2DF9">
      <w:pPr>
        <w:widowControl w:val="0"/>
        <w:numPr>
          <w:ilvl w:val="0"/>
          <w:numId w:val="23"/>
        </w:numPr>
        <w:tabs>
          <w:tab w:val="left" w:pos="830"/>
          <w:tab w:val="left" w:pos="831"/>
        </w:tabs>
        <w:autoSpaceDE w:val="0"/>
        <w:autoSpaceDN w:val="0"/>
        <w:spacing w:before="3"/>
        <w:rPr>
          <w:rFonts w:ascii="Times New Roman" w:hAnsi="Times New Roman"/>
          <w:sz w:val="23"/>
          <w:szCs w:val="22"/>
          <w:lang w:bidi="en-US"/>
        </w:rPr>
      </w:pPr>
      <w:r w:rsidRPr="00FB2DF9">
        <w:rPr>
          <w:rFonts w:ascii="Times New Roman" w:hAnsi="Times New Roman"/>
          <w:sz w:val="23"/>
          <w:szCs w:val="22"/>
          <w:lang w:bidi="en-US"/>
        </w:rPr>
        <w:t xml:space="preserve">Cooperation with the budget and treasury sectors, as the units responsible for collection of the relevant data  </w:t>
      </w:r>
    </w:p>
    <w:p w14:paraId="3D568461" w14:textId="77777777" w:rsidR="00FB2DF9" w:rsidRPr="00FB2DF9" w:rsidRDefault="00FB2DF9" w:rsidP="00FB2DF9">
      <w:pPr>
        <w:widowControl w:val="0"/>
        <w:numPr>
          <w:ilvl w:val="0"/>
          <w:numId w:val="23"/>
        </w:numPr>
        <w:tabs>
          <w:tab w:val="left" w:pos="830"/>
          <w:tab w:val="left" w:pos="831"/>
        </w:tabs>
        <w:autoSpaceDE w:val="0"/>
        <w:autoSpaceDN w:val="0"/>
        <w:spacing w:before="11"/>
        <w:ind w:right="123"/>
        <w:rPr>
          <w:rFonts w:ascii="Times New Roman" w:hAnsi="Times New Roman"/>
          <w:sz w:val="23"/>
          <w:szCs w:val="22"/>
          <w:lang w:bidi="en-US"/>
        </w:rPr>
      </w:pPr>
      <w:r w:rsidRPr="00FB2DF9">
        <w:rPr>
          <w:rFonts w:ascii="Times New Roman" w:hAnsi="Times New Roman"/>
          <w:sz w:val="23"/>
          <w:szCs w:val="22"/>
          <w:lang w:bidi="en-US"/>
        </w:rPr>
        <w:t xml:space="preserve">Testing the LSG fiscal risk model and providing recommendations to address any </w:t>
      </w:r>
      <w:r w:rsidRPr="00FB2DF9">
        <w:rPr>
          <w:rFonts w:ascii="Times New Roman" w:hAnsi="Times New Roman"/>
          <w:sz w:val="23"/>
          <w:szCs w:val="22"/>
          <w:lang w:bidi="en-US"/>
        </w:rPr>
        <w:lastRenderedPageBreak/>
        <w:t xml:space="preserve">issues related to results and functioning of the model, as well as the input data </w:t>
      </w:r>
    </w:p>
    <w:p w14:paraId="3B214997" w14:textId="77777777" w:rsidR="00FB2DF9" w:rsidRPr="00FB2DF9" w:rsidRDefault="00FB2DF9" w:rsidP="00FB2DF9">
      <w:pPr>
        <w:widowControl w:val="0"/>
        <w:numPr>
          <w:ilvl w:val="0"/>
          <w:numId w:val="23"/>
        </w:numPr>
        <w:tabs>
          <w:tab w:val="left" w:pos="830"/>
          <w:tab w:val="left" w:pos="831"/>
        </w:tabs>
        <w:autoSpaceDE w:val="0"/>
        <w:autoSpaceDN w:val="0"/>
        <w:spacing w:before="3"/>
        <w:rPr>
          <w:rFonts w:ascii="Times New Roman" w:hAnsi="Times New Roman"/>
          <w:sz w:val="23"/>
          <w:szCs w:val="22"/>
          <w:lang w:bidi="en-US"/>
        </w:rPr>
      </w:pPr>
      <w:proofErr w:type="spellStart"/>
      <w:r w:rsidRPr="00FB2DF9">
        <w:rPr>
          <w:rFonts w:ascii="Times New Roman" w:hAnsi="Times New Roman"/>
          <w:sz w:val="23"/>
          <w:szCs w:val="22"/>
          <w:lang w:bidi="en-US"/>
        </w:rPr>
        <w:t>roviding</w:t>
      </w:r>
      <w:proofErr w:type="spellEnd"/>
      <w:r w:rsidRPr="00FB2DF9">
        <w:rPr>
          <w:rFonts w:ascii="Times New Roman" w:hAnsi="Times New Roman"/>
          <w:sz w:val="23"/>
          <w:szCs w:val="22"/>
          <w:lang w:bidi="en-US"/>
        </w:rPr>
        <w:t xml:space="preserve"> suggestions and proposals for the  improvement of fiscal risk monitoring of LSGs</w:t>
      </w:r>
    </w:p>
    <w:p w14:paraId="07110338" w14:textId="77777777" w:rsidR="00FB2DF9" w:rsidRPr="00FB2DF9" w:rsidRDefault="00FB2DF9" w:rsidP="00FB2DF9">
      <w:pPr>
        <w:widowControl w:val="0"/>
        <w:numPr>
          <w:ilvl w:val="0"/>
          <w:numId w:val="23"/>
        </w:numPr>
        <w:tabs>
          <w:tab w:val="left" w:pos="830"/>
          <w:tab w:val="left" w:pos="831"/>
        </w:tabs>
        <w:autoSpaceDE w:val="0"/>
        <w:autoSpaceDN w:val="0"/>
        <w:spacing w:before="73"/>
        <w:rPr>
          <w:rFonts w:ascii="Times New Roman" w:hAnsi="Times New Roman"/>
          <w:sz w:val="23"/>
          <w:szCs w:val="22"/>
          <w:lang w:bidi="en-US"/>
        </w:rPr>
      </w:pPr>
      <w:r w:rsidRPr="00FB2DF9">
        <w:rPr>
          <w:rFonts w:ascii="Times New Roman" w:hAnsi="Times New Roman"/>
          <w:sz w:val="23"/>
          <w:szCs w:val="22"/>
          <w:lang w:bidi="en-US"/>
        </w:rPr>
        <w:t>Providing support to beneficiaries in the effective application of the model</w:t>
      </w:r>
    </w:p>
    <w:p w14:paraId="32B53B42" w14:textId="77777777" w:rsidR="00FB2DF9" w:rsidRPr="00FB2DF9" w:rsidRDefault="00FB2DF9" w:rsidP="00FB2DF9">
      <w:pPr>
        <w:widowControl w:val="0"/>
        <w:numPr>
          <w:ilvl w:val="0"/>
          <w:numId w:val="23"/>
        </w:numPr>
        <w:tabs>
          <w:tab w:val="left" w:pos="830"/>
          <w:tab w:val="left" w:pos="831"/>
        </w:tabs>
        <w:autoSpaceDE w:val="0"/>
        <w:autoSpaceDN w:val="0"/>
        <w:spacing w:before="73"/>
        <w:rPr>
          <w:rFonts w:ascii="Times New Roman" w:hAnsi="Times New Roman"/>
          <w:sz w:val="23"/>
          <w:szCs w:val="22"/>
          <w:lang w:bidi="en-US"/>
        </w:rPr>
      </w:pPr>
      <w:r w:rsidRPr="00FB2DF9">
        <w:rPr>
          <w:rFonts w:ascii="Times New Roman" w:hAnsi="Times New Roman"/>
          <w:sz w:val="23"/>
          <w:szCs w:val="22"/>
          <w:lang w:bidi="en-US"/>
        </w:rPr>
        <w:t>Providing hands-on training to FRMD on monitoring fiscal risks from LSGs</w:t>
      </w:r>
    </w:p>
    <w:p w14:paraId="6DAF2A7E" w14:textId="77777777" w:rsidR="00FB2DF9" w:rsidRPr="00FB2DF9" w:rsidRDefault="00FB2DF9" w:rsidP="00FB2DF9">
      <w:pPr>
        <w:widowControl w:val="0"/>
        <w:numPr>
          <w:ilvl w:val="0"/>
          <w:numId w:val="23"/>
        </w:numPr>
        <w:tabs>
          <w:tab w:val="left" w:pos="830"/>
          <w:tab w:val="left" w:pos="831"/>
        </w:tabs>
        <w:autoSpaceDE w:val="0"/>
        <w:autoSpaceDN w:val="0"/>
        <w:spacing w:before="68"/>
        <w:rPr>
          <w:rFonts w:ascii="Times New Roman" w:hAnsi="Times New Roman"/>
          <w:sz w:val="23"/>
          <w:szCs w:val="22"/>
          <w:lang w:bidi="en-US"/>
        </w:rPr>
      </w:pPr>
      <w:r w:rsidRPr="00FB2DF9">
        <w:rPr>
          <w:rFonts w:ascii="Times New Roman" w:hAnsi="Times New Roman"/>
          <w:sz w:val="23"/>
          <w:szCs w:val="22"/>
          <w:lang w:bidi="en-US"/>
        </w:rPr>
        <w:t>All other activities necessary in terms of monitoring fiscal risks from LSGs.</w:t>
      </w:r>
    </w:p>
    <w:p w14:paraId="73FE039B" w14:textId="77777777" w:rsidR="00FB2DF9" w:rsidRPr="00FB2DF9" w:rsidRDefault="00FB2DF9" w:rsidP="00FB2DF9">
      <w:pPr>
        <w:widowControl w:val="0"/>
        <w:autoSpaceDE w:val="0"/>
        <w:autoSpaceDN w:val="0"/>
        <w:spacing w:before="3"/>
        <w:rPr>
          <w:rFonts w:ascii="Times New Roman" w:hAnsi="Times New Roman"/>
          <w:sz w:val="23"/>
          <w:szCs w:val="23"/>
          <w:highlight w:val="yellow"/>
          <w:lang w:bidi="en-US"/>
        </w:rPr>
      </w:pPr>
      <w:bookmarkStart w:id="0" w:name="Institutional_Arrangements"/>
      <w:bookmarkEnd w:id="0"/>
    </w:p>
    <w:p w14:paraId="5E78C5A3" w14:textId="60B118AC" w:rsidR="00F135C1" w:rsidRPr="002C72C6" w:rsidRDefault="00F135C1" w:rsidP="00346998">
      <w:pPr>
        <w:spacing w:after="120"/>
        <w:jc w:val="both"/>
        <w:rPr>
          <w:rFonts w:ascii="Times New Roman" w:hAnsi="Times New Roman"/>
          <w:b/>
          <w:spacing w:val="-2"/>
          <w:szCs w:val="22"/>
          <w:highlight w:val="yellow"/>
        </w:rPr>
      </w:pPr>
    </w:p>
    <w:p w14:paraId="08BCE7E2" w14:textId="5AFB27CA" w:rsidR="00473DE7" w:rsidRPr="000A2B41" w:rsidRDefault="00FC2C6B" w:rsidP="00346998">
      <w:pPr>
        <w:spacing w:after="120"/>
        <w:jc w:val="both"/>
        <w:rPr>
          <w:rFonts w:ascii="Times New Roman" w:hAnsi="Times New Roman"/>
          <w:b/>
          <w:szCs w:val="22"/>
        </w:rPr>
      </w:pPr>
      <w:r w:rsidRPr="000A2B41">
        <w:rPr>
          <w:rFonts w:ascii="Times New Roman" w:hAnsi="Times New Roman"/>
          <w:b/>
          <w:spacing w:val="-2"/>
          <w:szCs w:val="22"/>
        </w:rPr>
        <w:t>The Consultant shall have the following qualifications and experience</w:t>
      </w:r>
      <w:r w:rsidR="00F02757" w:rsidRPr="000A2B41">
        <w:rPr>
          <w:rFonts w:ascii="Times New Roman" w:hAnsi="Times New Roman"/>
          <w:b/>
          <w:szCs w:val="22"/>
        </w:rPr>
        <w:t xml:space="preserve">: </w:t>
      </w:r>
    </w:p>
    <w:p w14:paraId="1152329F" w14:textId="77777777" w:rsidR="00FB2DF9" w:rsidRPr="00FB2DF9" w:rsidRDefault="00FB2DF9" w:rsidP="00FB2DF9">
      <w:pPr>
        <w:tabs>
          <w:tab w:val="left" w:pos="0"/>
        </w:tabs>
        <w:spacing w:before="120"/>
        <w:ind w:left="360"/>
        <w:jc w:val="both"/>
        <w:rPr>
          <w:rFonts w:ascii="Times New Roman" w:hAnsi="Times New Roman"/>
          <w:spacing w:val="-2"/>
          <w:szCs w:val="22"/>
          <w:lang w:bidi="en-US"/>
        </w:rPr>
      </w:pPr>
      <w:r w:rsidRPr="00FB2DF9">
        <w:rPr>
          <w:rFonts w:ascii="Times New Roman" w:hAnsi="Times New Roman"/>
          <w:spacing w:val="-2"/>
          <w:szCs w:val="22"/>
          <w:lang w:bidi="en-US"/>
        </w:rPr>
        <w:t xml:space="preserve">The Applicant for this position </w:t>
      </w:r>
      <w:proofErr w:type="gramStart"/>
      <w:r w:rsidRPr="00FB2DF9">
        <w:rPr>
          <w:rFonts w:ascii="Times New Roman" w:hAnsi="Times New Roman"/>
          <w:spacing w:val="-2"/>
          <w:szCs w:val="22"/>
          <w:lang w:bidi="en-US"/>
        </w:rPr>
        <w:t>is expected</w:t>
      </w:r>
      <w:proofErr w:type="gramEnd"/>
      <w:r w:rsidRPr="00FB2DF9">
        <w:rPr>
          <w:rFonts w:ascii="Times New Roman" w:hAnsi="Times New Roman"/>
          <w:spacing w:val="-2"/>
          <w:szCs w:val="22"/>
          <w:lang w:bidi="en-US"/>
        </w:rPr>
        <w:t xml:space="preserve"> to meet the following minimum qualification requirements:</w:t>
      </w:r>
    </w:p>
    <w:p w14:paraId="196CAA32" w14:textId="77777777" w:rsidR="00FB2DF9" w:rsidRPr="00FB2DF9" w:rsidRDefault="00FB2DF9" w:rsidP="00FB2DF9">
      <w:pPr>
        <w:numPr>
          <w:ilvl w:val="0"/>
          <w:numId w:val="24"/>
        </w:numPr>
        <w:tabs>
          <w:tab w:val="left" w:pos="0"/>
        </w:tabs>
        <w:spacing w:before="120"/>
        <w:jc w:val="both"/>
        <w:rPr>
          <w:rFonts w:ascii="Times New Roman" w:hAnsi="Times New Roman"/>
          <w:spacing w:val="-2"/>
          <w:szCs w:val="22"/>
          <w:lang w:bidi="en-US"/>
        </w:rPr>
      </w:pPr>
      <w:r w:rsidRPr="00FB2DF9">
        <w:rPr>
          <w:rFonts w:ascii="Times New Roman" w:hAnsi="Times New Roman"/>
          <w:spacing w:val="-2"/>
          <w:szCs w:val="22"/>
          <w:lang w:bidi="en-US"/>
        </w:rPr>
        <w:t>A university degree in Economics, Public Administration, Business Administration, or other relevant fields, a Master would be advantage.</w:t>
      </w:r>
    </w:p>
    <w:p w14:paraId="78CA0EFC" w14:textId="77777777" w:rsidR="00FB2DF9" w:rsidRPr="00FB2DF9" w:rsidRDefault="00FB2DF9" w:rsidP="00FB2DF9">
      <w:pPr>
        <w:numPr>
          <w:ilvl w:val="0"/>
          <w:numId w:val="24"/>
        </w:numPr>
        <w:tabs>
          <w:tab w:val="left" w:pos="0"/>
        </w:tabs>
        <w:spacing w:before="120"/>
        <w:jc w:val="both"/>
        <w:rPr>
          <w:rFonts w:ascii="Times New Roman" w:hAnsi="Times New Roman"/>
          <w:spacing w:val="-2"/>
          <w:szCs w:val="22"/>
          <w:lang w:bidi="en-US"/>
        </w:rPr>
      </w:pPr>
      <w:r w:rsidRPr="00FB2DF9">
        <w:rPr>
          <w:rFonts w:ascii="Times New Roman" w:hAnsi="Times New Roman"/>
          <w:spacing w:val="-2"/>
          <w:szCs w:val="22"/>
          <w:lang w:bidi="en-US"/>
        </w:rPr>
        <w:t xml:space="preserve">Minimum of 10 years of relevant working experience in finance </w:t>
      </w:r>
    </w:p>
    <w:p w14:paraId="7AADDD0B" w14:textId="77777777" w:rsidR="00FB2DF9" w:rsidRPr="00FB2DF9" w:rsidRDefault="00FB2DF9" w:rsidP="00FB2DF9">
      <w:pPr>
        <w:numPr>
          <w:ilvl w:val="0"/>
          <w:numId w:val="24"/>
        </w:numPr>
        <w:tabs>
          <w:tab w:val="left" w:pos="0"/>
        </w:tabs>
        <w:spacing w:before="120"/>
        <w:jc w:val="both"/>
        <w:rPr>
          <w:rFonts w:ascii="Times New Roman" w:hAnsi="Times New Roman"/>
          <w:spacing w:val="-2"/>
          <w:szCs w:val="22"/>
          <w:lang w:bidi="en-US"/>
        </w:rPr>
      </w:pPr>
      <w:r w:rsidRPr="00FB2DF9">
        <w:rPr>
          <w:rFonts w:ascii="Times New Roman" w:hAnsi="Times New Roman"/>
          <w:spacing w:val="-2"/>
          <w:szCs w:val="22"/>
          <w:lang w:bidi="en-US"/>
        </w:rPr>
        <w:t>Experience working with or within both the public and private sector</w:t>
      </w:r>
    </w:p>
    <w:p w14:paraId="7B05E6CE" w14:textId="77777777" w:rsidR="00FB2DF9" w:rsidRPr="00FB2DF9" w:rsidRDefault="00FB2DF9" w:rsidP="00FB2DF9">
      <w:pPr>
        <w:numPr>
          <w:ilvl w:val="0"/>
          <w:numId w:val="24"/>
        </w:numPr>
        <w:tabs>
          <w:tab w:val="left" w:pos="0"/>
        </w:tabs>
        <w:spacing w:before="120"/>
        <w:jc w:val="both"/>
        <w:rPr>
          <w:rFonts w:ascii="Times New Roman" w:hAnsi="Times New Roman"/>
          <w:spacing w:val="-2"/>
          <w:szCs w:val="22"/>
          <w:lang w:bidi="en-US"/>
        </w:rPr>
      </w:pPr>
      <w:r w:rsidRPr="00FB2DF9">
        <w:rPr>
          <w:rFonts w:ascii="Times New Roman" w:hAnsi="Times New Roman"/>
          <w:spacing w:val="-2"/>
          <w:szCs w:val="22"/>
          <w:lang w:bidi="en-US"/>
        </w:rPr>
        <w:t>Minimum of 5 years of relevant experience in financial modeling</w:t>
      </w:r>
    </w:p>
    <w:p w14:paraId="2C7457C3" w14:textId="77777777" w:rsidR="00FB2DF9" w:rsidRPr="00FB2DF9" w:rsidRDefault="00FB2DF9" w:rsidP="00FB2DF9">
      <w:pPr>
        <w:numPr>
          <w:ilvl w:val="0"/>
          <w:numId w:val="24"/>
        </w:numPr>
        <w:tabs>
          <w:tab w:val="left" w:pos="0"/>
        </w:tabs>
        <w:spacing w:before="120"/>
        <w:jc w:val="both"/>
        <w:rPr>
          <w:rFonts w:ascii="Times New Roman" w:hAnsi="Times New Roman"/>
          <w:spacing w:val="-2"/>
          <w:szCs w:val="22"/>
          <w:lang w:bidi="en-US"/>
        </w:rPr>
      </w:pPr>
      <w:r w:rsidRPr="00FB2DF9">
        <w:rPr>
          <w:rFonts w:ascii="Times New Roman" w:hAnsi="Times New Roman"/>
          <w:spacing w:val="-2"/>
          <w:szCs w:val="22"/>
          <w:lang w:bidi="en-US"/>
        </w:rPr>
        <w:t>Deep knowledge of public finance system in Serbia</w:t>
      </w:r>
    </w:p>
    <w:p w14:paraId="06578F1D" w14:textId="77777777" w:rsidR="00FB2DF9" w:rsidRPr="00FB2DF9" w:rsidRDefault="00FB2DF9" w:rsidP="00FB2DF9">
      <w:pPr>
        <w:numPr>
          <w:ilvl w:val="0"/>
          <w:numId w:val="24"/>
        </w:numPr>
        <w:tabs>
          <w:tab w:val="left" w:pos="0"/>
        </w:tabs>
        <w:spacing w:before="120"/>
        <w:jc w:val="both"/>
        <w:rPr>
          <w:rFonts w:ascii="Times New Roman" w:hAnsi="Times New Roman"/>
          <w:spacing w:val="-2"/>
          <w:szCs w:val="22"/>
          <w:lang w:bidi="en-US"/>
        </w:rPr>
      </w:pPr>
      <w:r w:rsidRPr="00FB2DF9">
        <w:rPr>
          <w:rFonts w:ascii="Times New Roman" w:hAnsi="Times New Roman"/>
          <w:spacing w:val="-2"/>
          <w:szCs w:val="22"/>
          <w:lang w:bidi="en-US"/>
        </w:rPr>
        <w:t>Experience in financial analyses</w:t>
      </w:r>
    </w:p>
    <w:p w14:paraId="6819F2A5" w14:textId="77777777" w:rsidR="00FB2DF9" w:rsidRPr="00FB2DF9" w:rsidRDefault="00FB2DF9" w:rsidP="00FB2DF9">
      <w:pPr>
        <w:numPr>
          <w:ilvl w:val="0"/>
          <w:numId w:val="24"/>
        </w:numPr>
        <w:tabs>
          <w:tab w:val="left" w:pos="0"/>
        </w:tabs>
        <w:spacing w:before="120"/>
        <w:jc w:val="both"/>
        <w:rPr>
          <w:rFonts w:ascii="Times New Roman" w:hAnsi="Times New Roman"/>
          <w:spacing w:val="-2"/>
          <w:szCs w:val="22"/>
          <w:lang w:bidi="en-US"/>
        </w:rPr>
      </w:pPr>
      <w:r w:rsidRPr="00FB2DF9">
        <w:rPr>
          <w:rFonts w:ascii="Times New Roman" w:hAnsi="Times New Roman"/>
          <w:spacing w:val="-2"/>
          <w:szCs w:val="22"/>
          <w:lang w:bidi="en-US"/>
        </w:rPr>
        <w:t>Experience in preparation of various methodologies</w:t>
      </w:r>
    </w:p>
    <w:p w14:paraId="467E9D1A" w14:textId="77777777" w:rsidR="00FB2DF9" w:rsidRPr="00FB2DF9" w:rsidRDefault="00FB2DF9" w:rsidP="00FB2DF9">
      <w:pPr>
        <w:numPr>
          <w:ilvl w:val="0"/>
          <w:numId w:val="24"/>
        </w:numPr>
        <w:tabs>
          <w:tab w:val="left" w:pos="0"/>
        </w:tabs>
        <w:spacing w:before="120"/>
        <w:jc w:val="both"/>
        <w:rPr>
          <w:rFonts w:ascii="Times New Roman" w:hAnsi="Times New Roman"/>
          <w:spacing w:val="-2"/>
          <w:szCs w:val="22"/>
          <w:lang w:bidi="en-US"/>
        </w:rPr>
      </w:pPr>
      <w:r w:rsidRPr="00FB2DF9">
        <w:rPr>
          <w:rFonts w:ascii="Times New Roman" w:hAnsi="Times New Roman"/>
          <w:spacing w:val="-2"/>
          <w:szCs w:val="22"/>
          <w:lang w:bidi="en-US"/>
        </w:rPr>
        <w:t>Experience working with IFI’s would be advantage</w:t>
      </w:r>
    </w:p>
    <w:p w14:paraId="025DBD46" w14:textId="77777777" w:rsidR="00FB2DF9" w:rsidRPr="00FB2DF9" w:rsidRDefault="00FB2DF9" w:rsidP="00FB2DF9">
      <w:pPr>
        <w:numPr>
          <w:ilvl w:val="0"/>
          <w:numId w:val="24"/>
        </w:numPr>
        <w:tabs>
          <w:tab w:val="left" w:pos="0"/>
        </w:tabs>
        <w:spacing w:before="120"/>
        <w:jc w:val="both"/>
        <w:rPr>
          <w:rFonts w:ascii="Times New Roman" w:hAnsi="Times New Roman"/>
          <w:spacing w:val="-2"/>
          <w:szCs w:val="22"/>
          <w:lang w:bidi="en-US"/>
        </w:rPr>
      </w:pPr>
      <w:r w:rsidRPr="00FB2DF9">
        <w:rPr>
          <w:rFonts w:ascii="Times New Roman" w:hAnsi="Times New Roman"/>
          <w:spacing w:val="-2"/>
          <w:szCs w:val="22"/>
          <w:lang w:bidi="en-US"/>
        </w:rPr>
        <w:t>Proficiency in using Microsoft Office standard package (Word, Excel, PowerPoint) and Internet skills.</w:t>
      </w:r>
    </w:p>
    <w:p w14:paraId="6132DD33" w14:textId="77777777" w:rsidR="00FB2DF9" w:rsidRPr="00FB2DF9" w:rsidRDefault="00FB2DF9" w:rsidP="00FB2DF9">
      <w:pPr>
        <w:numPr>
          <w:ilvl w:val="0"/>
          <w:numId w:val="24"/>
        </w:numPr>
        <w:tabs>
          <w:tab w:val="left" w:pos="0"/>
        </w:tabs>
        <w:spacing w:before="120"/>
        <w:jc w:val="both"/>
        <w:rPr>
          <w:rFonts w:ascii="Times New Roman" w:hAnsi="Times New Roman"/>
          <w:spacing w:val="-2"/>
          <w:szCs w:val="22"/>
          <w:lang w:bidi="en-US"/>
        </w:rPr>
      </w:pPr>
      <w:r w:rsidRPr="00FB2DF9">
        <w:rPr>
          <w:rFonts w:ascii="Times New Roman" w:hAnsi="Times New Roman"/>
          <w:spacing w:val="-2"/>
          <w:szCs w:val="22"/>
          <w:lang w:bidi="en-US"/>
        </w:rPr>
        <w:t>Fluency in Serbian and English languages</w:t>
      </w:r>
      <w:bookmarkStart w:id="1" w:name="Evaluation_criteria"/>
      <w:bookmarkEnd w:id="1"/>
    </w:p>
    <w:p w14:paraId="27270165" w14:textId="77777777" w:rsidR="0062398C" w:rsidRPr="000A2B41" w:rsidRDefault="0062398C" w:rsidP="0062398C">
      <w:pPr>
        <w:tabs>
          <w:tab w:val="left" w:pos="0"/>
        </w:tabs>
        <w:spacing w:before="120"/>
        <w:ind w:left="360"/>
        <w:jc w:val="both"/>
        <w:rPr>
          <w:rFonts w:ascii="Times New Roman" w:hAnsi="Times New Roman"/>
          <w:spacing w:val="-2"/>
          <w:szCs w:val="22"/>
        </w:rPr>
      </w:pPr>
    </w:p>
    <w:p w14:paraId="30C8F272" w14:textId="27DE0784" w:rsidR="008B211D" w:rsidRPr="00346998" w:rsidRDefault="00FC2C6B" w:rsidP="00346998">
      <w:pPr>
        <w:suppressAutoHyphens/>
        <w:spacing w:after="120"/>
        <w:jc w:val="both"/>
        <w:rPr>
          <w:rFonts w:ascii="Times New Roman" w:hAnsi="Times New Roman"/>
          <w:spacing w:val="-2"/>
          <w:szCs w:val="22"/>
        </w:rPr>
      </w:pPr>
      <w:r w:rsidRPr="00492835">
        <w:rPr>
          <w:rFonts w:ascii="Times New Roman" w:hAnsi="Times New Roman"/>
          <w:spacing w:val="-2"/>
          <w:szCs w:val="22"/>
        </w:rPr>
        <w:t xml:space="preserve">The Terms of Reference for the above referenced consulting services </w:t>
      </w:r>
      <w:proofErr w:type="gramStart"/>
      <w:r w:rsidRPr="00492835">
        <w:rPr>
          <w:rFonts w:ascii="Times New Roman" w:hAnsi="Times New Roman"/>
          <w:spacing w:val="-2"/>
          <w:szCs w:val="22"/>
        </w:rPr>
        <w:t>are posted</w:t>
      </w:r>
      <w:proofErr w:type="gramEnd"/>
      <w:r w:rsidRPr="00492835">
        <w:rPr>
          <w:rFonts w:ascii="Times New Roman" w:hAnsi="Times New Roman"/>
          <w:spacing w:val="-2"/>
          <w:szCs w:val="22"/>
        </w:rPr>
        <w:t xml:space="preserve"> on the website of the Ministry of Finance</w:t>
      </w:r>
      <w:r w:rsidR="009979A1" w:rsidRPr="00492835">
        <w:rPr>
          <w:rFonts w:ascii="Times New Roman" w:hAnsi="Times New Roman"/>
          <w:spacing w:val="-2"/>
          <w:szCs w:val="22"/>
        </w:rPr>
        <w:t>,</w:t>
      </w:r>
      <w:r w:rsidR="009979A1" w:rsidRPr="00492835">
        <w:t xml:space="preserve"> </w:t>
      </w:r>
      <w:hyperlink r:id="rId8" w:history="1">
        <w:r w:rsidR="009979A1" w:rsidRPr="00D65B4F">
          <w:rPr>
            <w:rStyle w:val="Hyperlink"/>
            <w:rFonts w:ascii="Times New Roman" w:hAnsi="Times New Roman"/>
            <w:spacing w:val="-2"/>
            <w:szCs w:val="22"/>
          </w:rPr>
          <w:t>https://www.mfin.gov.rs/dokumenti2/projekti</w:t>
        </w:r>
      </w:hyperlink>
      <w:r w:rsidR="00360EC3">
        <w:rPr>
          <w:rFonts w:ascii="Times New Roman" w:hAnsi="Times New Roman"/>
          <w:spacing w:val="-2"/>
          <w:szCs w:val="22"/>
        </w:rPr>
        <w:t xml:space="preserve"> </w:t>
      </w:r>
    </w:p>
    <w:p w14:paraId="190D8548" w14:textId="77777777"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 xml:space="preserve">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w:t>
      </w:r>
      <w:proofErr w:type="gramStart"/>
      <w:r w:rsidRPr="005A6EBF">
        <w:rPr>
          <w:rFonts w:ascii="Times New Roman" w:hAnsi="Times New Roman"/>
          <w:spacing w:val="-2"/>
          <w:szCs w:val="22"/>
        </w:rPr>
        <w:t>( scanned</w:t>
      </w:r>
      <w:proofErr w:type="gramEnd"/>
      <w:r w:rsidRPr="005A6EBF">
        <w:rPr>
          <w:rFonts w:ascii="Times New Roman" w:hAnsi="Times New Roman"/>
          <w:spacing w:val="-2"/>
          <w:szCs w:val="22"/>
        </w:rPr>
        <w:t xml:space="preserve"> diplomas to be sent with CV).</w:t>
      </w:r>
    </w:p>
    <w:p w14:paraId="36BED839" w14:textId="77777777" w:rsidR="00FC2C6B" w:rsidRPr="006F248B"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The evaluation criteria for the assignment are as follows:</w:t>
      </w:r>
    </w:p>
    <w:p w14:paraId="5279DDF8" w14:textId="291ED1D5" w:rsidR="00FC2C6B" w:rsidRPr="006F248B" w:rsidRDefault="00FC2C6B" w:rsidP="00FC2C6B">
      <w:pPr>
        <w:suppressAutoHyphens/>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t xml:space="preserve">Specific Experience relevant to the Assignment       </w:t>
      </w:r>
      <w:r w:rsidR="007D041E">
        <w:rPr>
          <w:rFonts w:ascii="Times New Roman" w:hAnsi="Times New Roman"/>
          <w:spacing w:val="-2"/>
          <w:szCs w:val="22"/>
        </w:rPr>
        <w:t>(</w:t>
      </w:r>
      <w:r w:rsidRPr="006F248B">
        <w:rPr>
          <w:rFonts w:ascii="Times New Roman" w:hAnsi="Times New Roman"/>
          <w:spacing w:val="-2"/>
          <w:szCs w:val="22"/>
        </w:rPr>
        <w:t>60 Points)</w:t>
      </w:r>
    </w:p>
    <w:p w14:paraId="28455613" w14:textId="0A0D61B3" w:rsidR="00FC2C6B" w:rsidRPr="005A6EBF"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r>
      <w:r w:rsidR="000922F5" w:rsidRPr="000922F5">
        <w:rPr>
          <w:rFonts w:ascii="Times New Roman" w:hAnsi="Times New Roman"/>
          <w:spacing w:val="-2"/>
          <w:szCs w:val="22"/>
        </w:rPr>
        <w:t>General experience</w:t>
      </w:r>
      <w:r w:rsidRPr="006F248B">
        <w:rPr>
          <w:rFonts w:ascii="Times New Roman" w:hAnsi="Times New Roman"/>
          <w:spacing w:val="-2"/>
          <w:szCs w:val="22"/>
        </w:rPr>
        <w:tab/>
      </w:r>
      <w:r w:rsidR="007D041E">
        <w:rPr>
          <w:rFonts w:ascii="Times New Roman" w:hAnsi="Times New Roman"/>
          <w:spacing w:val="-2"/>
          <w:szCs w:val="22"/>
        </w:rPr>
        <w:t xml:space="preserve">                                            </w:t>
      </w:r>
      <w:r w:rsidRPr="006F248B">
        <w:rPr>
          <w:rFonts w:ascii="Times New Roman" w:hAnsi="Times New Roman"/>
          <w:spacing w:val="-2"/>
          <w:szCs w:val="22"/>
        </w:rPr>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47347064"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 xml:space="preserve">The type of contract will </w:t>
      </w:r>
      <w:r w:rsidR="00871604">
        <w:rPr>
          <w:rFonts w:ascii="Times New Roman" w:hAnsi="Times New Roman"/>
          <w:spacing w:val="-2"/>
          <w:szCs w:val="22"/>
        </w:rPr>
        <w:t>time based</w:t>
      </w:r>
      <w:r w:rsidR="004C05B4">
        <w:rPr>
          <w:rFonts w:ascii="Times New Roman" w:hAnsi="Times New Roman"/>
          <w:spacing w:val="-2"/>
          <w:szCs w:val="22"/>
        </w:rPr>
        <w:t xml:space="preserve"> </w:t>
      </w:r>
      <w:bookmarkStart w:id="2" w:name="_GoBack"/>
      <w:bookmarkEnd w:id="2"/>
      <w:r w:rsidR="001F0C27" w:rsidRPr="001F0C27">
        <w:rPr>
          <w:rFonts w:ascii="Times New Roman" w:hAnsi="Times New Roman"/>
          <w:spacing w:val="-2"/>
          <w:szCs w:val="22"/>
        </w:rPr>
        <w:t xml:space="preserve"> contract</w:t>
      </w:r>
      <w:r w:rsidR="00FC2C6B" w:rsidRPr="00346998">
        <w:rPr>
          <w:rFonts w:ascii="Times New Roman" w:hAnsi="Times New Roman"/>
          <w:spacing w:val="-2"/>
          <w:szCs w:val="22"/>
        </w:rPr>
        <w: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0D95DFA5" w:rsidR="00B84D53" w:rsidRPr="00FC2C6B" w:rsidRDefault="009830E4" w:rsidP="00CD54B9">
      <w:pPr>
        <w:jc w:val="both"/>
        <w:rPr>
          <w:rFonts w:ascii="Times New Roman" w:hAnsi="Times New Roman"/>
          <w:szCs w:val="22"/>
        </w:rPr>
      </w:pPr>
      <w:r w:rsidRPr="00D65B4F">
        <w:rPr>
          <w:rFonts w:ascii="Times New Roman" w:hAnsi="Times New Roman"/>
          <w:spacing w:val="-2"/>
          <w:szCs w:val="22"/>
        </w:rPr>
        <w:t xml:space="preserve">Expressions of interest </w:t>
      </w:r>
      <w:r w:rsidR="00EC3EA0" w:rsidRPr="00D65B4F">
        <w:rPr>
          <w:rFonts w:ascii="Times New Roman" w:hAnsi="Times New Roman"/>
          <w:b/>
          <w:spacing w:val="-2"/>
          <w:szCs w:val="22"/>
        </w:rPr>
        <w:t>in English language</w:t>
      </w:r>
      <w:r w:rsidR="00EC3EA0" w:rsidRPr="00D65B4F">
        <w:rPr>
          <w:rFonts w:ascii="Times New Roman" w:hAnsi="Times New Roman"/>
          <w:spacing w:val="-2"/>
          <w:szCs w:val="22"/>
        </w:rPr>
        <w:t xml:space="preserve"> </w:t>
      </w:r>
      <w:proofErr w:type="gramStart"/>
      <w:r w:rsidRPr="00D65B4F">
        <w:rPr>
          <w:rFonts w:ascii="Times New Roman" w:hAnsi="Times New Roman"/>
          <w:spacing w:val="-2"/>
          <w:szCs w:val="22"/>
        </w:rPr>
        <w:t>must be delivered</w:t>
      </w:r>
      <w:proofErr w:type="gramEnd"/>
      <w:r w:rsidRPr="00D65B4F">
        <w:rPr>
          <w:rFonts w:ascii="Times New Roman" w:hAnsi="Times New Roman"/>
          <w:spacing w:val="-2"/>
          <w:szCs w:val="22"/>
        </w:rPr>
        <w:t xml:space="preserve"> </w:t>
      </w:r>
      <w:r w:rsidR="008929AC" w:rsidRPr="00D65B4F">
        <w:rPr>
          <w:rFonts w:ascii="Times New Roman" w:hAnsi="Times New Roman"/>
          <w:spacing w:val="-2"/>
          <w:szCs w:val="22"/>
        </w:rPr>
        <w:t xml:space="preserve">in a written form </w:t>
      </w:r>
      <w:r w:rsidRPr="00D65B4F">
        <w:rPr>
          <w:rFonts w:ascii="Times New Roman" w:hAnsi="Times New Roman"/>
          <w:spacing w:val="-2"/>
          <w:szCs w:val="22"/>
        </w:rPr>
        <w:t xml:space="preserve">to the </w:t>
      </w:r>
      <w:r w:rsidR="00D563DE" w:rsidRPr="00D65B4F">
        <w:rPr>
          <w:rFonts w:ascii="Times New Roman" w:hAnsi="Times New Roman"/>
          <w:spacing w:val="-2"/>
          <w:szCs w:val="22"/>
        </w:rPr>
        <w:t>email below</w:t>
      </w:r>
      <w:r w:rsidR="008929AC" w:rsidRPr="00D65B4F">
        <w:rPr>
          <w:rFonts w:ascii="Times New Roman" w:hAnsi="Times New Roman"/>
          <w:spacing w:val="-2"/>
          <w:szCs w:val="22"/>
        </w:rPr>
        <w:t xml:space="preserve">, </w:t>
      </w:r>
      <w:r w:rsidRPr="00D65B4F">
        <w:rPr>
          <w:rFonts w:ascii="Times New Roman" w:hAnsi="Times New Roman"/>
          <w:spacing w:val="-2"/>
          <w:szCs w:val="22"/>
        </w:rPr>
        <w:t xml:space="preserve">by </w:t>
      </w:r>
      <w:r w:rsidR="00FB2DF9">
        <w:rPr>
          <w:rFonts w:ascii="Times New Roman" w:hAnsi="Times New Roman"/>
          <w:b/>
          <w:spacing w:val="-2"/>
          <w:szCs w:val="22"/>
        </w:rPr>
        <w:t>August</w:t>
      </w:r>
      <w:r w:rsidR="0062398C" w:rsidRPr="00D65B4F">
        <w:rPr>
          <w:rFonts w:ascii="Times New Roman" w:hAnsi="Times New Roman"/>
          <w:b/>
          <w:spacing w:val="-2"/>
          <w:szCs w:val="22"/>
        </w:rPr>
        <w:t xml:space="preserve"> </w:t>
      </w:r>
      <w:r w:rsidR="00033D7D">
        <w:rPr>
          <w:rFonts w:ascii="Times New Roman" w:hAnsi="Times New Roman"/>
          <w:b/>
          <w:spacing w:val="-2"/>
          <w:szCs w:val="22"/>
        </w:rPr>
        <w:t>23</w:t>
      </w:r>
      <w:r w:rsidR="00DE64C9" w:rsidRPr="00D65B4F">
        <w:rPr>
          <w:rFonts w:ascii="Times New Roman" w:hAnsi="Times New Roman"/>
          <w:b/>
          <w:spacing w:val="-2"/>
          <w:szCs w:val="22"/>
        </w:rPr>
        <w:t>, 20</w:t>
      </w:r>
      <w:r w:rsidR="00E25458" w:rsidRPr="00D65B4F">
        <w:rPr>
          <w:rFonts w:ascii="Times New Roman" w:hAnsi="Times New Roman"/>
          <w:b/>
          <w:spacing w:val="-2"/>
          <w:szCs w:val="22"/>
        </w:rPr>
        <w:t>2</w:t>
      </w:r>
      <w:r w:rsidR="00FB2DF9">
        <w:rPr>
          <w:rFonts w:ascii="Times New Roman" w:hAnsi="Times New Roman"/>
          <w:b/>
          <w:spacing w:val="-2"/>
          <w:szCs w:val="22"/>
        </w:rPr>
        <w:t>4</w:t>
      </w:r>
      <w:r w:rsidR="00EC3EA0" w:rsidRPr="00D65B4F">
        <w:rPr>
          <w:rFonts w:ascii="Times New Roman" w:hAnsi="Times New Roman"/>
          <w:b/>
          <w:spacing w:val="-2"/>
          <w:szCs w:val="22"/>
        </w:rPr>
        <w:t>,</w:t>
      </w:r>
      <w:r w:rsidR="00EC3EA0" w:rsidRPr="00346998">
        <w:rPr>
          <w:rFonts w:ascii="Times New Roman" w:hAnsi="Times New Roman"/>
          <w:b/>
          <w:spacing w:val="-2"/>
          <w:szCs w:val="22"/>
        </w:rPr>
        <w:t xml:space="preserve"> 12:00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36"/>
        <w:gridCol w:w="3706"/>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0922F5"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To:</w:t>
            </w:r>
          </w:p>
        </w:tc>
        <w:tc>
          <w:tcPr>
            <w:tcW w:w="3870" w:type="dxa"/>
            <w:shd w:val="clear" w:color="auto" w:fill="auto"/>
          </w:tcPr>
          <w:p w14:paraId="17B35626" w14:textId="1D73A8A2" w:rsidR="00FF5DF7" w:rsidRPr="00346998" w:rsidRDefault="00F22D71" w:rsidP="00982D78">
            <w:pPr>
              <w:spacing w:line="360" w:lineRule="atLeast"/>
              <w:rPr>
                <w:rFonts w:ascii="Times New Roman" w:hAnsi="Times New Roman"/>
                <w:spacing w:val="-2"/>
                <w:szCs w:val="22"/>
                <w:lang w:val="sv-SE"/>
              </w:rPr>
            </w:pPr>
            <w:hyperlink r:id="rId9"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3680BC25" w:rsidR="00FF5DF7" w:rsidRPr="00346998" w:rsidRDefault="0049210E" w:rsidP="00982D78">
            <w:pPr>
              <w:spacing w:before="120"/>
              <w:rPr>
                <w:rFonts w:ascii="Times New Roman" w:hAnsi="Times New Roman"/>
                <w:spacing w:val="-2"/>
                <w:szCs w:val="22"/>
                <w:lang w:val="de-AT"/>
              </w:rPr>
            </w:pPr>
            <w:r>
              <w:rPr>
                <w:rFonts w:ascii="Times New Roman" w:hAnsi="Times New Roman"/>
                <w:spacing w:val="-2"/>
                <w:szCs w:val="22"/>
                <w:lang w:val="de-AT"/>
              </w:rPr>
              <w:t>53 Balkanska</w:t>
            </w:r>
            <w:r w:rsidR="00FF5DF7" w:rsidRPr="00346998">
              <w:rPr>
                <w:rFonts w:ascii="Times New Roman" w:hAnsi="Times New Roman"/>
                <w:spacing w:val="-2"/>
                <w:szCs w:val="22"/>
                <w:lang w:val="de-AT"/>
              </w:rPr>
              <w:t xml:space="preserve"> St</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Cc:</w:t>
            </w:r>
          </w:p>
        </w:tc>
        <w:tc>
          <w:tcPr>
            <w:tcW w:w="3870" w:type="dxa"/>
            <w:shd w:val="clear" w:color="auto" w:fill="auto"/>
          </w:tcPr>
          <w:p w14:paraId="7FB6A43A" w14:textId="77777777" w:rsidR="00FF5DF7" w:rsidRPr="00346998" w:rsidRDefault="00F22D71" w:rsidP="00982D78">
            <w:pPr>
              <w:spacing w:line="360" w:lineRule="atLeast"/>
              <w:rPr>
                <w:rFonts w:ascii="Times New Roman" w:hAnsi="Times New Roman"/>
                <w:spacing w:val="-2"/>
                <w:szCs w:val="22"/>
                <w:highlight w:val="yellow"/>
              </w:rPr>
            </w:pPr>
            <w:hyperlink r:id="rId10"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52173E85" w14:textId="5019BB8D" w:rsidR="00A76AB6" w:rsidRPr="00346998" w:rsidRDefault="00F22D71" w:rsidP="00956D47">
            <w:pPr>
              <w:pStyle w:val="NormalWeb"/>
              <w:jc w:val="both"/>
              <w:rPr>
                <w:sz w:val="22"/>
                <w:szCs w:val="22"/>
              </w:rPr>
            </w:pPr>
            <w:hyperlink r:id="rId11" w:history="1">
              <w:r w:rsidR="00956D47" w:rsidRPr="00D65B4F">
                <w:rPr>
                  <w:rStyle w:val="Hyperlink"/>
                  <w:sz w:val="22"/>
                  <w:szCs w:val="22"/>
                </w:rPr>
                <w:t>pfmgt@mfin.gov.rs</w:t>
              </w:r>
            </w:hyperlink>
            <w:r w:rsidR="00956D47">
              <w:rPr>
                <w:sz w:val="22"/>
                <w:szCs w:val="22"/>
              </w:rPr>
              <w:t xml:space="preserve"> </w:t>
            </w:r>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A1BBF" w14:textId="77777777" w:rsidR="00F22D71" w:rsidRDefault="00F22D71">
      <w:r>
        <w:separator/>
      </w:r>
    </w:p>
  </w:endnote>
  <w:endnote w:type="continuationSeparator" w:id="0">
    <w:p w14:paraId="3BFBC49C" w14:textId="77777777" w:rsidR="00F22D71" w:rsidRDefault="00F22D71">
      <w:r>
        <w:rPr>
          <w:sz w:val="24"/>
        </w:rPr>
        <w:t xml:space="preserve"> </w:t>
      </w:r>
    </w:p>
  </w:endnote>
  <w:endnote w:type="continuationNotice" w:id="1">
    <w:p w14:paraId="093E4C2F" w14:textId="77777777" w:rsidR="00F22D71" w:rsidRDefault="00F22D7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9726C" w14:textId="77777777" w:rsidR="00F22D71" w:rsidRDefault="00F22D71">
      <w:r>
        <w:rPr>
          <w:sz w:val="24"/>
        </w:rPr>
        <w:separator/>
      </w:r>
    </w:p>
  </w:footnote>
  <w:footnote w:type="continuationSeparator" w:id="0">
    <w:p w14:paraId="0B6C3D9F" w14:textId="77777777" w:rsidR="00F22D71" w:rsidRDefault="00F22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6C28"/>
    <w:multiLevelType w:val="hybridMultilevel"/>
    <w:tmpl w:val="3870A1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9595369"/>
    <w:multiLevelType w:val="hybridMultilevel"/>
    <w:tmpl w:val="758C1318"/>
    <w:lvl w:ilvl="0" w:tplc="E1588966">
      <w:numFmt w:val="bullet"/>
      <w:lvlText w:val=""/>
      <w:lvlJc w:val="left"/>
      <w:pPr>
        <w:ind w:left="831" w:hanging="350"/>
      </w:pPr>
      <w:rPr>
        <w:rFonts w:ascii="Symbol" w:eastAsia="Symbol" w:hAnsi="Symbol" w:cs="Symbol" w:hint="default"/>
        <w:w w:val="100"/>
        <w:sz w:val="23"/>
        <w:szCs w:val="23"/>
        <w:lang w:val="en-US" w:eastAsia="en-US" w:bidi="en-US"/>
      </w:rPr>
    </w:lvl>
    <w:lvl w:ilvl="1" w:tplc="B0C85EA6">
      <w:numFmt w:val="bullet"/>
      <w:lvlText w:val="•"/>
      <w:lvlJc w:val="left"/>
      <w:pPr>
        <w:ind w:left="1658" w:hanging="350"/>
      </w:pPr>
      <w:rPr>
        <w:rFonts w:hint="default"/>
        <w:lang w:val="en-US" w:eastAsia="en-US" w:bidi="en-US"/>
      </w:rPr>
    </w:lvl>
    <w:lvl w:ilvl="2" w:tplc="977039B4">
      <w:numFmt w:val="bullet"/>
      <w:lvlText w:val="•"/>
      <w:lvlJc w:val="left"/>
      <w:pPr>
        <w:ind w:left="2476" w:hanging="350"/>
      </w:pPr>
      <w:rPr>
        <w:rFonts w:hint="default"/>
        <w:lang w:val="en-US" w:eastAsia="en-US" w:bidi="en-US"/>
      </w:rPr>
    </w:lvl>
    <w:lvl w:ilvl="3" w:tplc="3D4E6B24">
      <w:numFmt w:val="bullet"/>
      <w:lvlText w:val="•"/>
      <w:lvlJc w:val="left"/>
      <w:pPr>
        <w:ind w:left="3294" w:hanging="350"/>
      </w:pPr>
      <w:rPr>
        <w:rFonts w:hint="default"/>
        <w:lang w:val="en-US" w:eastAsia="en-US" w:bidi="en-US"/>
      </w:rPr>
    </w:lvl>
    <w:lvl w:ilvl="4" w:tplc="D5188C9E">
      <w:numFmt w:val="bullet"/>
      <w:lvlText w:val="•"/>
      <w:lvlJc w:val="left"/>
      <w:pPr>
        <w:ind w:left="4112" w:hanging="350"/>
      </w:pPr>
      <w:rPr>
        <w:rFonts w:hint="default"/>
        <w:lang w:val="en-US" w:eastAsia="en-US" w:bidi="en-US"/>
      </w:rPr>
    </w:lvl>
    <w:lvl w:ilvl="5" w:tplc="EEE43A9C">
      <w:numFmt w:val="bullet"/>
      <w:lvlText w:val="•"/>
      <w:lvlJc w:val="left"/>
      <w:pPr>
        <w:ind w:left="4930" w:hanging="350"/>
      </w:pPr>
      <w:rPr>
        <w:rFonts w:hint="default"/>
        <w:lang w:val="en-US" w:eastAsia="en-US" w:bidi="en-US"/>
      </w:rPr>
    </w:lvl>
    <w:lvl w:ilvl="6" w:tplc="E0FE0630">
      <w:numFmt w:val="bullet"/>
      <w:lvlText w:val="•"/>
      <w:lvlJc w:val="left"/>
      <w:pPr>
        <w:ind w:left="5748" w:hanging="350"/>
      </w:pPr>
      <w:rPr>
        <w:rFonts w:hint="default"/>
        <w:lang w:val="en-US" w:eastAsia="en-US" w:bidi="en-US"/>
      </w:rPr>
    </w:lvl>
    <w:lvl w:ilvl="7" w:tplc="A482A8AE">
      <w:numFmt w:val="bullet"/>
      <w:lvlText w:val="•"/>
      <w:lvlJc w:val="left"/>
      <w:pPr>
        <w:ind w:left="6566" w:hanging="350"/>
      </w:pPr>
      <w:rPr>
        <w:rFonts w:hint="default"/>
        <w:lang w:val="en-US" w:eastAsia="en-US" w:bidi="en-US"/>
      </w:rPr>
    </w:lvl>
    <w:lvl w:ilvl="8" w:tplc="941EB9A0">
      <w:numFmt w:val="bullet"/>
      <w:lvlText w:val="•"/>
      <w:lvlJc w:val="left"/>
      <w:pPr>
        <w:ind w:left="7384" w:hanging="350"/>
      </w:pPr>
      <w:rPr>
        <w:rFonts w:hint="default"/>
        <w:lang w:val="en-US" w:eastAsia="en-US" w:bidi="en-US"/>
      </w:rPr>
    </w:lvl>
  </w:abstractNum>
  <w:abstractNum w:abstractNumId="4"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2B65CD"/>
    <w:multiLevelType w:val="hybridMultilevel"/>
    <w:tmpl w:val="5398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0C478E"/>
    <w:multiLevelType w:val="hybridMultilevel"/>
    <w:tmpl w:val="5C42B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9465E9"/>
    <w:multiLevelType w:val="hybridMultilevel"/>
    <w:tmpl w:val="DBCCC8A0"/>
    <w:lvl w:ilvl="0" w:tplc="15465B86">
      <w:start w:val="1"/>
      <w:numFmt w:val="lowerRoman"/>
      <w:lvlText w:val="%1."/>
      <w:lvlJc w:val="left"/>
      <w:pPr>
        <w:ind w:left="656" w:hanging="300"/>
        <w:jc w:val="right"/>
      </w:pPr>
      <w:rPr>
        <w:rFonts w:ascii="Times New Roman" w:eastAsia="Times New Roman" w:hAnsi="Times New Roman" w:cs="Times New Roman" w:hint="default"/>
        <w:spacing w:val="-6"/>
        <w:w w:val="99"/>
        <w:sz w:val="23"/>
        <w:szCs w:val="23"/>
        <w:lang w:val="en-US" w:eastAsia="en-US" w:bidi="en-US"/>
      </w:rPr>
    </w:lvl>
    <w:lvl w:ilvl="1" w:tplc="824CFEB6">
      <w:start w:val="1"/>
      <w:numFmt w:val="lowerRoman"/>
      <w:lvlText w:val="%2."/>
      <w:lvlJc w:val="left"/>
      <w:pPr>
        <w:ind w:left="831" w:hanging="470"/>
        <w:jc w:val="right"/>
      </w:pPr>
      <w:rPr>
        <w:rFonts w:ascii="Times New Roman" w:eastAsia="Times New Roman" w:hAnsi="Times New Roman" w:cs="Times New Roman" w:hint="default"/>
        <w:spacing w:val="-19"/>
        <w:w w:val="99"/>
        <w:sz w:val="23"/>
        <w:szCs w:val="23"/>
        <w:lang w:val="en-US" w:eastAsia="en-US" w:bidi="en-US"/>
      </w:rPr>
    </w:lvl>
    <w:lvl w:ilvl="2" w:tplc="2C60CC54">
      <w:numFmt w:val="bullet"/>
      <w:lvlText w:val="•"/>
      <w:lvlJc w:val="left"/>
      <w:pPr>
        <w:ind w:left="1748" w:hanging="470"/>
      </w:pPr>
      <w:rPr>
        <w:rFonts w:hint="default"/>
        <w:lang w:val="en-US" w:eastAsia="en-US" w:bidi="en-US"/>
      </w:rPr>
    </w:lvl>
    <w:lvl w:ilvl="3" w:tplc="38ACABAA">
      <w:numFmt w:val="bullet"/>
      <w:lvlText w:val="•"/>
      <w:lvlJc w:val="left"/>
      <w:pPr>
        <w:ind w:left="2657" w:hanging="470"/>
      </w:pPr>
      <w:rPr>
        <w:rFonts w:hint="default"/>
        <w:lang w:val="en-US" w:eastAsia="en-US" w:bidi="en-US"/>
      </w:rPr>
    </w:lvl>
    <w:lvl w:ilvl="4" w:tplc="1BF4CA44">
      <w:numFmt w:val="bullet"/>
      <w:lvlText w:val="•"/>
      <w:lvlJc w:val="left"/>
      <w:pPr>
        <w:ind w:left="3566" w:hanging="470"/>
      </w:pPr>
      <w:rPr>
        <w:rFonts w:hint="default"/>
        <w:lang w:val="en-US" w:eastAsia="en-US" w:bidi="en-US"/>
      </w:rPr>
    </w:lvl>
    <w:lvl w:ilvl="5" w:tplc="4A08650A">
      <w:numFmt w:val="bullet"/>
      <w:lvlText w:val="•"/>
      <w:lvlJc w:val="left"/>
      <w:pPr>
        <w:ind w:left="4475" w:hanging="470"/>
      </w:pPr>
      <w:rPr>
        <w:rFonts w:hint="default"/>
        <w:lang w:val="en-US" w:eastAsia="en-US" w:bidi="en-US"/>
      </w:rPr>
    </w:lvl>
    <w:lvl w:ilvl="6" w:tplc="8A4E58B2">
      <w:numFmt w:val="bullet"/>
      <w:lvlText w:val="•"/>
      <w:lvlJc w:val="left"/>
      <w:pPr>
        <w:ind w:left="5384" w:hanging="470"/>
      </w:pPr>
      <w:rPr>
        <w:rFonts w:hint="default"/>
        <w:lang w:val="en-US" w:eastAsia="en-US" w:bidi="en-US"/>
      </w:rPr>
    </w:lvl>
    <w:lvl w:ilvl="7" w:tplc="38CC3AE2">
      <w:numFmt w:val="bullet"/>
      <w:lvlText w:val="•"/>
      <w:lvlJc w:val="left"/>
      <w:pPr>
        <w:ind w:left="6293" w:hanging="470"/>
      </w:pPr>
      <w:rPr>
        <w:rFonts w:hint="default"/>
        <w:lang w:val="en-US" w:eastAsia="en-US" w:bidi="en-US"/>
      </w:rPr>
    </w:lvl>
    <w:lvl w:ilvl="8" w:tplc="5106CA9A">
      <w:numFmt w:val="bullet"/>
      <w:lvlText w:val="•"/>
      <w:lvlJc w:val="left"/>
      <w:pPr>
        <w:ind w:left="7202" w:hanging="470"/>
      </w:pPr>
      <w:rPr>
        <w:rFonts w:hint="default"/>
        <w:lang w:val="en-US" w:eastAsia="en-US" w:bidi="en-US"/>
      </w:rPr>
    </w:lvl>
  </w:abstractNum>
  <w:abstractNum w:abstractNumId="2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5"/>
  </w:num>
  <w:num w:numId="4">
    <w:abstractNumId w:val="20"/>
  </w:num>
  <w:num w:numId="5">
    <w:abstractNumId w:val="1"/>
  </w:num>
  <w:num w:numId="6">
    <w:abstractNumId w:val="17"/>
  </w:num>
  <w:num w:numId="7">
    <w:abstractNumId w:val="16"/>
  </w:num>
  <w:num w:numId="8">
    <w:abstractNumId w:val="18"/>
  </w:num>
  <w:num w:numId="9">
    <w:abstractNumId w:val="0"/>
  </w:num>
  <w:num w:numId="10">
    <w:abstractNumId w:val="22"/>
  </w:num>
  <w:num w:numId="11">
    <w:abstractNumId w:val="7"/>
  </w:num>
  <w:num w:numId="12">
    <w:abstractNumId w:val="10"/>
  </w:num>
  <w:num w:numId="13">
    <w:abstractNumId w:val="6"/>
  </w:num>
  <w:num w:numId="14">
    <w:abstractNumId w:val="4"/>
  </w:num>
  <w:num w:numId="15">
    <w:abstractNumId w:val="12"/>
  </w:num>
  <w:num w:numId="16">
    <w:abstractNumId w:val="11"/>
  </w:num>
  <w:num w:numId="17">
    <w:abstractNumId w:val="15"/>
  </w:num>
  <w:num w:numId="18">
    <w:abstractNumId w:val="13"/>
  </w:num>
  <w:num w:numId="19">
    <w:abstractNumId w:val="8"/>
  </w:num>
  <w:num w:numId="20">
    <w:abstractNumId w:val="9"/>
  </w:num>
  <w:num w:numId="21">
    <w:abstractNumId w:val="2"/>
  </w:num>
  <w:num w:numId="22">
    <w:abstractNumId w:val="19"/>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3D7D"/>
    <w:rsid w:val="000367C6"/>
    <w:rsid w:val="000922F5"/>
    <w:rsid w:val="000A2B41"/>
    <w:rsid w:val="000A4184"/>
    <w:rsid w:val="000A4AD0"/>
    <w:rsid w:val="000A6DBA"/>
    <w:rsid w:val="000A7704"/>
    <w:rsid w:val="000C0AD1"/>
    <w:rsid w:val="000C1A70"/>
    <w:rsid w:val="000C4041"/>
    <w:rsid w:val="000F7A9C"/>
    <w:rsid w:val="00115846"/>
    <w:rsid w:val="00121EDC"/>
    <w:rsid w:val="00123D63"/>
    <w:rsid w:val="00124F37"/>
    <w:rsid w:val="00127F0A"/>
    <w:rsid w:val="001363C0"/>
    <w:rsid w:val="00163F05"/>
    <w:rsid w:val="001701DD"/>
    <w:rsid w:val="0018597D"/>
    <w:rsid w:val="001A5D44"/>
    <w:rsid w:val="001B06FD"/>
    <w:rsid w:val="001B0D84"/>
    <w:rsid w:val="001D70EB"/>
    <w:rsid w:val="001F0C27"/>
    <w:rsid w:val="002140D1"/>
    <w:rsid w:val="00217E25"/>
    <w:rsid w:val="0023220A"/>
    <w:rsid w:val="00234E85"/>
    <w:rsid w:val="0026589C"/>
    <w:rsid w:val="002727A9"/>
    <w:rsid w:val="002A1EFC"/>
    <w:rsid w:val="002A580B"/>
    <w:rsid w:val="002B3FAB"/>
    <w:rsid w:val="002C72C6"/>
    <w:rsid w:val="002C7A2C"/>
    <w:rsid w:val="002F5399"/>
    <w:rsid w:val="0030697E"/>
    <w:rsid w:val="00307AA9"/>
    <w:rsid w:val="0033170E"/>
    <w:rsid w:val="00340D8F"/>
    <w:rsid w:val="00346998"/>
    <w:rsid w:val="0035409F"/>
    <w:rsid w:val="0035520E"/>
    <w:rsid w:val="00357959"/>
    <w:rsid w:val="00360EC3"/>
    <w:rsid w:val="00377776"/>
    <w:rsid w:val="00383F23"/>
    <w:rsid w:val="00392917"/>
    <w:rsid w:val="003B1240"/>
    <w:rsid w:val="003C58AB"/>
    <w:rsid w:val="003C7F9E"/>
    <w:rsid w:val="003F2C08"/>
    <w:rsid w:val="00406EB3"/>
    <w:rsid w:val="00436AB8"/>
    <w:rsid w:val="00450830"/>
    <w:rsid w:val="0045484A"/>
    <w:rsid w:val="00467D4E"/>
    <w:rsid w:val="00473DE7"/>
    <w:rsid w:val="004751C2"/>
    <w:rsid w:val="0049210E"/>
    <w:rsid w:val="00492835"/>
    <w:rsid w:val="004B1D9A"/>
    <w:rsid w:val="004C05B4"/>
    <w:rsid w:val="004D3B20"/>
    <w:rsid w:val="004E4B87"/>
    <w:rsid w:val="004E5125"/>
    <w:rsid w:val="004E721D"/>
    <w:rsid w:val="004F2B9A"/>
    <w:rsid w:val="004F4CD7"/>
    <w:rsid w:val="005117C9"/>
    <w:rsid w:val="00520D20"/>
    <w:rsid w:val="00524C47"/>
    <w:rsid w:val="005279AF"/>
    <w:rsid w:val="00530C02"/>
    <w:rsid w:val="00533C36"/>
    <w:rsid w:val="00544ACC"/>
    <w:rsid w:val="00553DB1"/>
    <w:rsid w:val="005865E7"/>
    <w:rsid w:val="005A16AF"/>
    <w:rsid w:val="005A180D"/>
    <w:rsid w:val="005B7A02"/>
    <w:rsid w:val="005C3A69"/>
    <w:rsid w:val="005D4DFF"/>
    <w:rsid w:val="005E02F2"/>
    <w:rsid w:val="005F591A"/>
    <w:rsid w:val="00601B34"/>
    <w:rsid w:val="00603AFF"/>
    <w:rsid w:val="00607FDC"/>
    <w:rsid w:val="006134C9"/>
    <w:rsid w:val="0062398C"/>
    <w:rsid w:val="00625388"/>
    <w:rsid w:val="006311BC"/>
    <w:rsid w:val="006459D2"/>
    <w:rsid w:val="00652BAB"/>
    <w:rsid w:val="00652FBC"/>
    <w:rsid w:val="00652FC7"/>
    <w:rsid w:val="00653213"/>
    <w:rsid w:val="00664033"/>
    <w:rsid w:val="0068331F"/>
    <w:rsid w:val="006879EC"/>
    <w:rsid w:val="006A15EC"/>
    <w:rsid w:val="006D6898"/>
    <w:rsid w:val="006E5B66"/>
    <w:rsid w:val="006F248B"/>
    <w:rsid w:val="006F3706"/>
    <w:rsid w:val="006F64BB"/>
    <w:rsid w:val="00743271"/>
    <w:rsid w:val="00745552"/>
    <w:rsid w:val="007804BD"/>
    <w:rsid w:val="00781CD9"/>
    <w:rsid w:val="00793A9A"/>
    <w:rsid w:val="0079727D"/>
    <w:rsid w:val="007B239D"/>
    <w:rsid w:val="007B73A2"/>
    <w:rsid w:val="007C13EC"/>
    <w:rsid w:val="007C31FA"/>
    <w:rsid w:val="007D041E"/>
    <w:rsid w:val="007D3487"/>
    <w:rsid w:val="007D59F6"/>
    <w:rsid w:val="007F6EF2"/>
    <w:rsid w:val="008260D8"/>
    <w:rsid w:val="00833217"/>
    <w:rsid w:val="008377D2"/>
    <w:rsid w:val="008432B9"/>
    <w:rsid w:val="00845EDA"/>
    <w:rsid w:val="00871604"/>
    <w:rsid w:val="008768F0"/>
    <w:rsid w:val="008929AC"/>
    <w:rsid w:val="008A30A8"/>
    <w:rsid w:val="008A4AA7"/>
    <w:rsid w:val="008B211D"/>
    <w:rsid w:val="008B6EE2"/>
    <w:rsid w:val="008F7BF0"/>
    <w:rsid w:val="00901116"/>
    <w:rsid w:val="00916E24"/>
    <w:rsid w:val="00930D65"/>
    <w:rsid w:val="00940E78"/>
    <w:rsid w:val="00956D47"/>
    <w:rsid w:val="0097182A"/>
    <w:rsid w:val="009830E4"/>
    <w:rsid w:val="0098505F"/>
    <w:rsid w:val="00994B88"/>
    <w:rsid w:val="009979A1"/>
    <w:rsid w:val="009B1125"/>
    <w:rsid w:val="009B499D"/>
    <w:rsid w:val="009B5861"/>
    <w:rsid w:val="009D07CB"/>
    <w:rsid w:val="009D0FFE"/>
    <w:rsid w:val="009E196C"/>
    <w:rsid w:val="009E1E12"/>
    <w:rsid w:val="00A05A45"/>
    <w:rsid w:val="00A16EC9"/>
    <w:rsid w:val="00A2777F"/>
    <w:rsid w:val="00A36B57"/>
    <w:rsid w:val="00A76AB6"/>
    <w:rsid w:val="00A83071"/>
    <w:rsid w:val="00AB40E2"/>
    <w:rsid w:val="00AC104A"/>
    <w:rsid w:val="00AC133F"/>
    <w:rsid w:val="00AD77FC"/>
    <w:rsid w:val="00AF2E68"/>
    <w:rsid w:val="00B31E31"/>
    <w:rsid w:val="00B3630A"/>
    <w:rsid w:val="00B42C66"/>
    <w:rsid w:val="00B4469E"/>
    <w:rsid w:val="00B64626"/>
    <w:rsid w:val="00B707EA"/>
    <w:rsid w:val="00B75267"/>
    <w:rsid w:val="00B84D53"/>
    <w:rsid w:val="00B8664E"/>
    <w:rsid w:val="00B936D9"/>
    <w:rsid w:val="00B963D7"/>
    <w:rsid w:val="00BA4299"/>
    <w:rsid w:val="00BB1579"/>
    <w:rsid w:val="00BB580B"/>
    <w:rsid w:val="00BB6224"/>
    <w:rsid w:val="00BC1BB9"/>
    <w:rsid w:val="00BD6CBC"/>
    <w:rsid w:val="00BE09A2"/>
    <w:rsid w:val="00BE4AD6"/>
    <w:rsid w:val="00BF19F5"/>
    <w:rsid w:val="00BF3C6F"/>
    <w:rsid w:val="00C40507"/>
    <w:rsid w:val="00C61EF4"/>
    <w:rsid w:val="00C65818"/>
    <w:rsid w:val="00C750A4"/>
    <w:rsid w:val="00CA1CA1"/>
    <w:rsid w:val="00CD54B9"/>
    <w:rsid w:val="00CE5C8E"/>
    <w:rsid w:val="00CF7350"/>
    <w:rsid w:val="00D0098E"/>
    <w:rsid w:val="00D170AD"/>
    <w:rsid w:val="00D200D6"/>
    <w:rsid w:val="00D50A97"/>
    <w:rsid w:val="00D563DE"/>
    <w:rsid w:val="00D65B4F"/>
    <w:rsid w:val="00D70AFC"/>
    <w:rsid w:val="00D720FA"/>
    <w:rsid w:val="00D77449"/>
    <w:rsid w:val="00DB6AED"/>
    <w:rsid w:val="00DC3271"/>
    <w:rsid w:val="00DC723F"/>
    <w:rsid w:val="00DD42E2"/>
    <w:rsid w:val="00DD74D3"/>
    <w:rsid w:val="00DE0696"/>
    <w:rsid w:val="00DE64C9"/>
    <w:rsid w:val="00E07E32"/>
    <w:rsid w:val="00E25458"/>
    <w:rsid w:val="00E5778C"/>
    <w:rsid w:val="00E62637"/>
    <w:rsid w:val="00E82C6E"/>
    <w:rsid w:val="00EB5460"/>
    <w:rsid w:val="00EC3EA0"/>
    <w:rsid w:val="00EC50B8"/>
    <w:rsid w:val="00ED4247"/>
    <w:rsid w:val="00F015B0"/>
    <w:rsid w:val="00F02757"/>
    <w:rsid w:val="00F135C1"/>
    <w:rsid w:val="00F17486"/>
    <w:rsid w:val="00F17721"/>
    <w:rsid w:val="00F22D71"/>
    <w:rsid w:val="00F251B1"/>
    <w:rsid w:val="00F2781B"/>
    <w:rsid w:val="00F40BAF"/>
    <w:rsid w:val="00F571C7"/>
    <w:rsid w:val="00F61CFC"/>
    <w:rsid w:val="00F72CD1"/>
    <w:rsid w:val="00FB2DF9"/>
    <w:rsid w:val="00FB6ED4"/>
    <w:rsid w:val="00FC2C6B"/>
    <w:rsid w:val="00FC777A"/>
    <w:rsid w:val="00FE3824"/>
    <w:rsid w:val="00FE3853"/>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dokumenti2/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mgt@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6B2E4-E2C6-4D2A-A050-65211785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6150</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Đorđe Perišić</cp:lastModifiedBy>
  <cp:revision>9</cp:revision>
  <cp:lastPrinted>2011-11-02T17:37:00Z</cp:lastPrinted>
  <dcterms:created xsi:type="dcterms:W3CDTF">2023-12-14T07:07:00Z</dcterms:created>
  <dcterms:modified xsi:type="dcterms:W3CDTF">2024-08-05T07:38:00Z</dcterms:modified>
</cp:coreProperties>
</file>