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13" w:rsidRDefault="009A5BC5">
      <w:pPr>
        <w:spacing w:after="150"/>
        <w:jc w:val="right"/>
      </w:pP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892C13" w:rsidRDefault="009A5BC5">
      <w:pPr>
        <w:spacing w:after="150"/>
      </w:pPr>
      <w:r>
        <w:rPr>
          <w:color w:val="000000"/>
        </w:rPr>
        <w:t> </w:t>
      </w:r>
    </w:p>
    <w:p w:rsidR="00892C13" w:rsidRDefault="009A5BC5">
      <w:pPr>
        <w:spacing w:after="150"/>
      </w:pPr>
      <w:r>
        <w:rPr>
          <w:color w:val="000000"/>
        </w:rPr>
        <w:t> </w:t>
      </w:r>
    </w:p>
    <w:p w:rsidR="00892C13" w:rsidRDefault="009A5BC5">
      <w:pPr>
        <w:spacing w:after="150"/>
      </w:pPr>
      <w:r>
        <w:rPr>
          <w:color w:val="000000"/>
        </w:rPr>
        <w:t xml:space="preserve">На основу члана 141.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2. Царинског закона („Службени гласник РС”, број 95/18),</w:t>
      </w:r>
    </w:p>
    <w:p w:rsidR="00892C13" w:rsidRDefault="009A5BC5">
      <w:pPr>
        <w:spacing w:after="150"/>
      </w:pPr>
      <w:r>
        <w:rPr>
          <w:color w:val="000000"/>
        </w:rPr>
        <w:t>Министар финансија доноси</w:t>
      </w:r>
    </w:p>
    <w:p w:rsidR="00892C13" w:rsidRDefault="009A5BC5">
      <w:pPr>
        <w:spacing w:after="225"/>
        <w:jc w:val="center"/>
      </w:pPr>
      <w:r>
        <w:rPr>
          <w:b/>
          <w:color w:val="000000"/>
        </w:rPr>
        <w:t>ПРАВИЛНИК</w:t>
      </w:r>
    </w:p>
    <w:p w:rsidR="00892C13" w:rsidRDefault="009A5BC5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одређивању царинских органа за царињење одређених врста робе или спровођење одређених поступака</w:t>
      </w:r>
    </w:p>
    <w:p w:rsidR="00892C13" w:rsidRDefault="009A5BC5">
      <w:pPr>
        <w:spacing w:after="120"/>
        <w:jc w:val="center"/>
      </w:pPr>
      <w:r>
        <w:rPr>
          <w:color w:val="000000"/>
        </w:rPr>
        <w:t xml:space="preserve">"Службени гласник РС", бр. </w:t>
      </w:r>
      <w:proofErr w:type="gramStart"/>
      <w:r>
        <w:rPr>
          <w:color w:val="000000"/>
        </w:rPr>
        <w:t>42</w:t>
      </w:r>
      <w:proofErr w:type="gramEnd"/>
      <w:r>
        <w:rPr>
          <w:color w:val="000000"/>
        </w:rPr>
        <w:t xml:space="preserve"> од 14.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2019, 86 од 6. </w:t>
      </w:r>
      <w:proofErr w:type="gramStart"/>
      <w:r>
        <w:rPr>
          <w:color w:val="000000"/>
        </w:rPr>
        <w:t>децембра</w:t>
      </w:r>
      <w:proofErr w:type="gramEnd"/>
      <w:r>
        <w:rPr>
          <w:color w:val="000000"/>
        </w:rPr>
        <w:t xml:space="preserve"> 2019, 96 од 31. </w:t>
      </w:r>
      <w:proofErr w:type="gramStart"/>
      <w:r>
        <w:rPr>
          <w:color w:val="000000"/>
        </w:rPr>
        <w:t>децембра</w:t>
      </w:r>
      <w:proofErr w:type="gramEnd"/>
      <w:r>
        <w:rPr>
          <w:color w:val="000000"/>
        </w:rPr>
        <w:t xml:space="preserve"> 2019, 57 од 16.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2020, 115 од 11. </w:t>
      </w:r>
      <w:proofErr w:type="gramStart"/>
      <w:r>
        <w:rPr>
          <w:color w:val="000000"/>
        </w:rPr>
        <w:t>септембра</w:t>
      </w:r>
      <w:proofErr w:type="gramEnd"/>
      <w:r>
        <w:rPr>
          <w:color w:val="000000"/>
        </w:rPr>
        <w:t xml:space="preserve"> 2020, 1</w:t>
      </w:r>
      <w:r>
        <w:rPr>
          <w:color w:val="000000"/>
        </w:rPr>
        <w:t xml:space="preserve">52 од 18. </w:t>
      </w:r>
      <w:proofErr w:type="gramStart"/>
      <w:r>
        <w:rPr>
          <w:color w:val="000000"/>
        </w:rPr>
        <w:t>децембра</w:t>
      </w:r>
      <w:proofErr w:type="gramEnd"/>
      <w:r>
        <w:rPr>
          <w:color w:val="000000"/>
        </w:rPr>
        <w:t xml:space="preserve"> 2020, 22 од 12.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2021.</w:t>
      </w:r>
    </w:p>
    <w:p w:rsidR="00892C13" w:rsidRDefault="009A5BC5">
      <w:pPr>
        <w:spacing w:after="120"/>
        <w:jc w:val="center"/>
      </w:pPr>
      <w:r>
        <w:rPr>
          <w:color w:val="000000"/>
        </w:rPr>
        <w:t>Члан 1.</w:t>
      </w:r>
    </w:p>
    <w:p w:rsidR="00892C13" w:rsidRDefault="009A5BC5">
      <w:pPr>
        <w:spacing w:after="150"/>
      </w:pPr>
      <w:r>
        <w:rPr>
          <w:color w:val="000000"/>
        </w:rPr>
        <w:t>Овим правилником одређују се царински органи за царињење одређених врста робе или спровођење одређених поступака.</w:t>
      </w:r>
    </w:p>
    <w:p w:rsidR="00892C13" w:rsidRDefault="009A5BC5">
      <w:pPr>
        <w:spacing w:after="120"/>
        <w:jc w:val="center"/>
      </w:pPr>
      <w:r>
        <w:rPr>
          <w:color w:val="000000"/>
        </w:rPr>
        <w:t>Члан 2.</w:t>
      </w:r>
    </w:p>
    <w:p w:rsidR="00892C13" w:rsidRDefault="009A5BC5">
      <w:pPr>
        <w:spacing w:after="150"/>
      </w:pPr>
      <w:r>
        <w:rPr>
          <w:color w:val="000000"/>
        </w:rPr>
        <w:t>Царински поступак транзита робе широке потрошње и текстила који се превозе у др</w:t>
      </w:r>
      <w:r>
        <w:rPr>
          <w:color w:val="000000"/>
        </w:rPr>
        <w:t>умском саобраћају и пореклом су из азијских и евроазијских земаља, о којима Управа царина не располаже подацима о царинској вредности, започиње допремањем те робе и подношењем царинске декларације, односно другог транзитног документа следећим отпремним цар</w:t>
      </w:r>
      <w:r>
        <w:rPr>
          <w:color w:val="000000"/>
        </w:rPr>
        <w:t>инским испоставама:</w:t>
      </w:r>
    </w:p>
    <w:p w:rsidR="00892C13" w:rsidRDefault="009A5BC5">
      <w:pPr>
        <w:spacing w:after="150"/>
      </w:pPr>
      <w:r>
        <w:rPr>
          <w:color w:val="000000"/>
        </w:rPr>
        <w:t>– Царинска испостава Батровци,</w:t>
      </w:r>
    </w:p>
    <w:p w:rsidR="00892C13" w:rsidRDefault="009A5BC5">
      <w:pPr>
        <w:spacing w:after="150"/>
      </w:pPr>
      <w:r>
        <w:rPr>
          <w:color w:val="000000"/>
        </w:rPr>
        <w:t>– Царинска испостава Ватин,</w:t>
      </w:r>
    </w:p>
    <w:p w:rsidR="00892C13" w:rsidRDefault="009A5BC5">
      <w:pPr>
        <w:spacing w:after="150"/>
      </w:pPr>
      <w:r>
        <w:rPr>
          <w:color w:val="000000"/>
        </w:rPr>
        <w:t>– Царинска испостава Терминал Градина,</w:t>
      </w:r>
    </w:p>
    <w:p w:rsidR="00892C13" w:rsidRDefault="009A5BC5">
      <w:pPr>
        <w:spacing w:after="150"/>
      </w:pPr>
      <w:r>
        <w:rPr>
          <w:color w:val="000000"/>
        </w:rPr>
        <w:t>– Царинска испостава Мали Зворник,</w:t>
      </w:r>
    </w:p>
    <w:p w:rsidR="00892C13" w:rsidRDefault="009A5BC5">
      <w:pPr>
        <w:spacing w:after="150"/>
      </w:pPr>
      <w:r>
        <w:rPr>
          <w:color w:val="000000"/>
        </w:rPr>
        <w:t>– Царинска испостава Прешево,</w:t>
      </w:r>
    </w:p>
    <w:p w:rsidR="00892C13" w:rsidRDefault="009A5BC5">
      <w:pPr>
        <w:spacing w:after="150"/>
      </w:pPr>
      <w:r>
        <w:rPr>
          <w:color w:val="000000"/>
        </w:rPr>
        <w:t>– Царинска испостава Терминал – Хоргош,</w:t>
      </w:r>
    </w:p>
    <w:p w:rsidR="00892C13" w:rsidRDefault="009A5BC5">
      <w:pPr>
        <w:spacing w:after="150"/>
      </w:pPr>
      <w:r>
        <w:rPr>
          <w:color w:val="000000"/>
        </w:rPr>
        <w:t>– Царинска испостава Шид,</w:t>
      </w:r>
    </w:p>
    <w:p w:rsidR="00892C13" w:rsidRDefault="009A5BC5">
      <w:pPr>
        <w:spacing w:after="150"/>
      </w:pPr>
      <w:r>
        <w:rPr>
          <w:color w:val="000000"/>
        </w:rPr>
        <w:t>– Царин</w:t>
      </w:r>
      <w:r>
        <w:rPr>
          <w:color w:val="000000"/>
        </w:rPr>
        <w:t>ска испостава Гостун.</w:t>
      </w:r>
    </w:p>
    <w:p w:rsidR="00892C13" w:rsidRDefault="009A5BC5">
      <w:pPr>
        <w:spacing w:after="120"/>
        <w:jc w:val="center"/>
      </w:pPr>
      <w:r>
        <w:rPr>
          <w:color w:val="000000"/>
        </w:rPr>
        <w:t>Члан 3.</w:t>
      </w:r>
    </w:p>
    <w:p w:rsidR="00892C13" w:rsidRDefault="009A5BC5">
      <w:pPr>
        <w:spacing w:after="150"/>
      </w:pPr>
      <w:r>
        <w:rPr>
          <w:color w:val="000000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 друмском саобраћају, преко: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25"/>
        <w:gridCol w:w="5002"/>
      </w:tblGrid>
      <w:tr w:rsidR="00892C13">
        <w:trPr>
          <w:trHeight w:val="90"/>
          <w:tblCellSpacing w:w="0" w:type="auto"/>
        </w:trPr>
        <w:tc>
          <w:tcPr>
            <w:tcW w:w="602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>– Царинарница Вршац</w:t>
            </w:r>
          </w:p>
        </w:tc>
        <w:tc>
          <w:tcPr>
            <w:tcW w:w="837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602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37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602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Царинарница Кладово</w:t>
            </w:r>
          </w:p>
        </w:tc>
        <w:tc>
          <w:tcPr>
            <w:tcW w:w="837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Ђердап;</w:t>
            </w:r>
          </w:p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Вршка Чука;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602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Царинарница Ниш</w:t>
            </w:r>
          </w:p>
        </w:tc>
        <w:tc>
          <w:tcPr>
            <w:tcW w:w="837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602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Царинарница Нови Сад</w:t>
            </w:r>
          </w:p>
        </w:tc>
        <w:tc>
          <w:tcPr>
            <w:tcW w:w="837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602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Царинарница Суботица</w:t>
            </w:r>
          </w:p>
        </w:tc>
        <w:tc>
          <w:tcPr>
            <w:tcW w:w="837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Терминал – Хоргош,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602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Царинарница Ужице</w:t>
            </w:r>
          </w:p>
        </w:tc>
        <w:tc>
          <w:tcPr>
            <w:tcW w:w="837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602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Царинарница Шабац</w:t>
            </w:r>
          </w:p>
        </w:tc>
        <w:tc>
          <w:tcPr>
            <w:tcW w:w="837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Мали Зворник;</w:t>
            </w:r>
          </w:p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Сремска Рача</w:t>
            </w:r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6029" w:type="dxa"/>
            <w:vAlign w:val="center"/>
          </w:tcPr>
          <w:p w:rsidR="00892C13" w:rsidRDefault="009A5BC5">
            <w:pPr>
              <w:spacing w:after="150"/>
            </w:pPr>
            <w:r>
              <w:rPr>
                <w:b/>
                <w:color w:val="000000"/>
              </w:rPr>
              <w:t>– Царинарница Зрењанин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8371" w:type="dxa"/>
            <w:vAlign w:val="center"/>
          </w:tcPr>
          <w:p w:rsidR="00892C13" w:rsidRDefault="009A5BC5">
            <w:pPr>
              <w:spacing w:after="150"/>
            </w:pPr>
            <w:r>
              <w:rPr>
                <w:b/>
                <w:color w:val="000000"/>
              </w:rPr>
              <w:t xml:space="preserve">– Царинска испостава </w:t>
            </w:r>
            <w:r>
              <w:rPr>
                <w:b/>
                <w:color w:val="000000"/>
              </w:rPr>
              <w:t>Српска Црња.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Изузетно од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толуен из тарифне ознаке 2902 30 00 00, може да се износи са царинског подручја Републике Србије у друмском саобраћају, преко: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0"/>
        <w:gridCol w:w="5247"/>
      </w:tblGrid>
      <w:tr w:rsidR="00892C13">
        <w:trPr>
          <w:trHeight w:val="90"/>
          <w:tblCellSpacing w:w="0" w:type="auto"/>
        </w:trPr>
        <w:tc>
          <w:tcPr>
            <w:tcW w:w="5622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Царинарница Шабац</w:t>
            </w:r>
          </w:p>
        </w:tc>
        <w:tc>
          <w:tcPr>
            <w:tcW w:w="8778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Сремска Рача.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>*Службени гласник РС, бро</w:t>
      </w:r>
      <w:r>
        <w:rPr>
          <w:color w:val="000000"/>
        </w:rPr>
        <w:t>ј 115/2020</w:t>
      </w:r>
    </w:p>
    <w:p w:rsidR="00892C13" w:rsidRDefault="009A5BC5">
      <w:pPr>
        <w:spacing w:after="120"/>
        <w:jc w:val="center"/>
      </w:pPr>
      <w:r>
        <w:rPr>
          <w:color w:val="000000"/>
        </w:rPr>
        <w:t>Члан 4.</w:t>
      </w:r>
    </w:p>
    <w:p w:rsidR="00892C13" w:rsidRDefault="009A5BC5">
      <w:pPr>
        <w:spacing w:after="150"/>
      </w:pPr>
      <w:r>
        <w:rPr>
          <w:color w:val="000000"/>
        </w:rPr>
        <w:t>Нафта и деривати нафте могу се ставити у поступак транзита код улазне царинарнице, ако се ради испоруке упућују до следећих одредишних царинарница:</w:t>
      </w:r>
    </w:p>
    <w:p w:rsidR="00892C13" w:rsidRDefault="009A5BC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друмском саобраћају до: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3"/>
        <w:gridCol w:w="3114"/>
      </w:tblGrid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Београд: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Лука Београд,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Панчево,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Лука и речно пристаниште Панчево;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>Царинарница Вршац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</w:t>
            </w:r>
            <w:r>
              <w:rPr>
                <w:color w:val="000000"/>
              </w:rPr>
              <w:t>ца Димитровград;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Зрењанин: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Зрењанин,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Кикинда;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Кладово: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Ђердап,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Зајечар,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Прахово;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Бор;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Крагујевац: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Смедерево,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Крагујевац,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Јагодина,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Слободна зона Крагујевац,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Слободна</w:t>
            </w:r>
            <w:r>
              <w:rPr>
                <w:color w:val="000000"/>
              </w:rPr>
              <w:t xml:space="preserve"> зона Смедерево;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Чачак</w:t>
            </w:r>
            <w:r>
              <w:rPr>
                <w:b/>
                <w:color w:val="000000"/>
              </w:rPr>
              <w:t>,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b/>
                <w:color w:val="000000"/>
              </w:rPr>
              <w:t>– Царински реферат Рашка;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>Царинарница Крушевац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Крушевац,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Слободна зона Крушевац;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Ниш: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Лесковац,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Врање,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Терминал Ниш,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Прокупље;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Слободна зона Нови Са</w:t>
            </w:r>
            <w:r>
              <w:rPr>
                <w:color w:val="000000"/>
              </w:rPr>
              <w:t>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Сомбор,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</w:t>
            </w:r>
            <w:r>
              <w:rPr>
                <w:color w:val="000000"/>
              </w:rPr>
              <w:t xml:space="preserve"> Сента;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Шабац: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lastRenderedPageBreak/>
              <w:t>Ваљево,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100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43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Шабац;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железничком саобраћају до: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23"/>
        <w:gridCol w:w="7120"/>
      </w:tblGrid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Београд: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Панчево,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892C13"/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Лука и речно пристаниште Панчево;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Крагујевац: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Смедерево,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Крагујевац,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Јагодина,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Младеновац;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Краљево: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</w:t>
            </w:r>
            <w:r>
              <w:rPr>
                <w:color w:val="000000"/>
              </w:rPr>
              <w:t>а испостава Крушевац;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Нови Сад,</w:t>
            </w:r>
          </w:p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</w:t>
            </w:r>
            <w:r>
              <w:rPr>
                <w:b/>
                <w:color w:val="000000"/>
              </w:rPr>
              <w:t>,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  <w:p w:rsidR="00892C13" w:rsidRDefault="009A5BC5">
            <w:pPr>
              <w:spacing w:after="150"/>
            </w:pPr>
            <w:r>
              <w:rPr>
                <w:b/>
                <w:color w:val="000000"/>
              </w:rPr>
              <w:t>– Царински реферат Слободна зона Нови Сад;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Сомбор,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lastRenderedPageBreak/>
              <w:t>Ужице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>– Царинска испостава Ужице,</w:t>
            </w:r>
          </w:p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>– Царински реферат Пожега;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>Царинарница Шабац: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Ваљево,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44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95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Шабац.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Изузетно од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моторна, компресорска и турбинска уља из тарифне ознаке 2710 19 81 00, хидраулична уља из тарифне ознаке 2710 19 83 00 и уља за мењаче и редукторе из тарифне ознаке 2710 19 87 00 Царинске тарифе, </w:t>
      </w:r>
      <w:r>
        <w:rPr>
          <w:color w:val="000000"/>
        </w:rPr>
        <w:t xml:space="preserve">сва у паковањима до 200 l, поред царинских испостава Царинарнице Београд из става 1.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1) овог члана, могу се упућивати у друмском саобраћају и до свих осталих царинских испостава Царинарнице Београд.</w:t>
      </w:r>
    </w:p>
    <w:p w:rsidR="00892C13" w:rsidRDefault="009A5BC5">
      <w:pPr>
        <w:spacing w:after="150"/>
      </w:pPr>
      <w:r>
        <w:rPr>
          <w:color w:val="000000"/>
        </w:rPr>
        <w:t>*Службени гласник РС, број 115/2020</w:t>
      </w:r>
    </w:p>
    <w:p w:rsidR="00892C13" w:rsidRDefault="009A5BC5">
      <w:pPr>
        <w:spacing w:after="150"/>
      </w:pPr>
      <w:r>
        <w:rPr>
          <w:color w:val="000000"/>
        </w:rPr>
        <w:t>**Службени глас</w:t>
      </w:r>
      <w:r>
        <w:rPr>
          <w:color w:val="000000"/>
        </w:rPr>
        <w:t>ник РС, број 22/2021</w:t>
      </w:r>
    </w:p>
    <w:p w:rsidR="00892C13" w:rsidRDefault="009A5BC5">
      <w:pPr>
        <w:spacing w:after="120"/>
        <w:jc w:val="center"/>
      </w:pPr>
      <w:r>
        <w:rPr>
          <w:color w:val="000000"/>
        </w:rPr>
        <w:t>Члан 5.</w:t>
      </w:r>
    </w:p>
    <w:p w:rsidR="00892C13" w:rsidRDefault="009A5BC5">
      <w:pPr>
        <w:spacing w:after="150"/>
      </w:pPr>
      <w:r>
        <w:rPr>
          <w:color w:val="000000"/>
        </w:rPr>
        <w:t>Нафта и деривати нафте у току поступка транзита могу се претоварити с једног превозног средства на друго превозно средство у следећим царинарницама: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72"/>
        <w:gridCol w:w="6971"/>
      </w:tblGrid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Београд: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Панчево,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Ран</w:t>
            </w:r>
            <w:r>
              <w:rPr>
                <w:color w:val="000000"/>
              </w:rPr>
              <w:t>жирна Железничка станица Макиш – Београд;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Нови Сад;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lastRenderedPageBreak/>
              <w:t>Шабац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>– Царинска испостава Сремска Митровица.</w:t>
            </w:r>
          </w:p>
        </w:tc>
      </w:tr>
    </w:tbl>
    <w:p w:rsidR="00892C13" w:rsidRDefault="009A5BC5">
      <w:pPr>
        <w:spacing w:after="120"/>
        <w:jc w:val="center"/>
      </w:pPr>
      <w:r>
        <w:rPr>
          <w:color w:val="000000"/>
        </w:rPr>
        <w:t>Члан 6.</w:t>
      </w:r>
    </w:p>
    <w:p w:rsidR="00892C13" w:rsidRDefault="009A5BC5">
      <w:pPr>
        <w:spacing w:after="150"/>
      </w:pPr>
      <w:r>
        <w:rPr>
          <w:color w:val="000000"/>
        </w:rPr>
        <w:t>Поступак стављања робе у слободан промет могу да спроводе следеће царинарнице, и то за:</w:t>
      </w:r>
    </w:p>
    <w:p w:rsidR="00892C13" w:rsidRDefault="009A5BC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коришћена</w:t>
      </w:r>
      <w:proofErr w:type="gramEnd"/>
      <w:r>
        <w:rPr>
          <w:color w:val="000000"/>
        </w:rPr>
        <w:t xml:space="preserve"> путничка и теретна моторна возила и аутобусе: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87"/>
        <w:gridCol w:w="6356"/>
      </w:tblGrid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Београд,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Димитровград: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Пирот;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Кладово: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Велико Градиште,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Ђердап,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Прахово,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Зајечар;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Крагујевац: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Крагујевац,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Јагодина;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Краљево;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Нови Пазар;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Крушевац;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Ниш: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Лесковац,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892C13"/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Врање;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Нови Сад;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lastRenderedPageBreak/>
              <w:t>Суботица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 xml:space="preserve">– Царинска испостава Железничка станица </w:t>
            </w:r>
            <w:r>
              <w:rPr>
                <w:color w:val="000000"/>
              </w:rPr>
              <w:lastRenderedPageBreak/>
              <w:t>Суботица;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>Царинарница Ужице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Пријепоље;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</w:t>
            </w:r>
            <w:r>
              <w:rPr>
                <w:color w:val="000000"/>
              </w:rPr>
              <w:t>нарница Шабац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Ваљево;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Шабац;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Трбушница.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нафту</w:t>
      </w:r>
      <w:proofErr w:type="gramEnd"/>
      <w:r>
        <w:rPr>
          <w:color w:val="000000"/>
        </w:rPr>
        <w:t xml:space="preserve"> и деривате нафте царинарнице наведене у члану 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правилника;</w:t>
      </w:r>
    </w:p>
    <w:p w:rsidR="00892C13" w:rsidRDefault="009A5BC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дуванске</w:t>
      </w:r>
      <w:proofErr w:type="gramEnd"/>
      <w:r>
        <w:rPr>
          <w:color w:val="000000"/>
        </w:rPr>
        <w:t xml:space="preserve"> прерађевине, </w:t>
      </w:r>
      <w:r>
        <w:rPr>
          <w:color w:val="000000"/>
        </w:rPr>
        <w:t>алкохолна пића и кафу који су допремљени: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61"/>
        <w:gridCol w:w="7082"/>
      </w:tblGrid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Београд: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Лука Београд,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Складишта,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Терминал – Београд,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Царинска испостава за курирске </w:t>
            </w:r>
            <w:r>
              <w:rPr>
                <w:color w:val="000000"/>
              </w:rPr>
              <w:t>пошиљке – DHL,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892C13"/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Остружница – Београд;</w:t>
            </w:r>
          </w:p>
          <w:p w:rsidR="00892C13" w:rsidRDefault="009A5BC5">
            <w:pPr>
              <w:spacing w:after="150"/>
            </w:pPr>
            <w:r>
              <w:rPr>
                <w:b/>
                <w:color w:val="000000"/>
              </w:rPr>
              <w:t>– Царинска испостава за послове царинског надзора – Београд;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892C13"/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Крагујевац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Крагујевац;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Јагодина;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Ниш: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Терминал Ниш,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Врање,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Лесковац,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Дуванска Ниш;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Сад: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</w:t>
            </w:r>
            <w:r>
              <w:rPr>
                <w:color w:val="000000"/>
              </w:rPr>
              <w:t>тава Железничка станица Шид,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за послове царинског надзора – Нови Сад,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Сента;</w:t>
            </w:r>
          </w:p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робу</w:t>
      </w:r>
      <w:proofErr w:type="gramEnd"/>
      <w:r>
        <w:rPr>
          <w:color w:val="000000"/>
        </w:rPr>
        <w:t xml:space="preserve"> широке потрошње и текстил који су пореклом из азијских и евроазијских земаља, о којима Управа царина не располаже подацима о царинској вредности: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43"/>
        <w:gridCol w:w="6400"/>
      </w:tblGrid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Складишта;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Царински испостава Терминал Ниш;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Суботица.</w:t>
            </w:r>
          </w:p>
        </w:tc>
      </w:tr>
    </w:tbl>
    <w:p w:rsidR="00892C13" w:rsidRDefault="009A5BC5">
      <w:pPr>
        <w:spacing w:after="120"/>
      </w:pPr>
      <w:r>
        <w:rPr>
          <w:color w:val="000000"/>
        </w:rPr>
        <w:t>*Службени гласник РС, број 86/2019</w:t>
      </w:r>
    </w:p>
    <w:p w:rsidR="00892C13" w:rsidRDefault="009A5BC5">
      <w:pPr>
        <w:spacing w:after="120"/>
        <w:jc w:val="center"/>
      </w:pPr>
      <w:r>
        <w:rPr>
          <w:color w:val="000000"/>
        </w:rPr>
        <w:t>Члан 7.</w:t>
      </w:r>
    </w:p>
    <w:p w:rsidR="00892C13" w:rsidRDefault="009A5BC5">
      <w:pPr>
        <w:spacing w:after="150"/>
      </w:pPr>
      <w:r>
        <w:rPr>
          <w:color w:val="000000"/>
        </w:rPr>
        <w:t xml:space="preserve">Сирови шећер из тар. </w:t>
      </w:r>
      <w:proofErr w:type="gramStart"/>
      <w:r>
        <w:rPr>
          <w:color w:val="000000"/>
        </w:rPr>
        <w:t>ознака</w:t>
      </w:r>
      <w:proofErr w:type="gramEnd"/>
      <w:r>
        <w:rPr>
          <w:color w:val="000000"/>
        </w:rPr>
        <w:t xml:space="preserve"> 1701 12 10 00, </w:t>
      </w:r>
      <w:r>
        <w:rPr>
          <w:color w:val="000000"/>
        </w:rPr>
        <w:t>1701 12 90 00, 1701 13 10 00, 1701 13 90 00, 1701 14 10 00 и 1701 14 90 00 Царинске тарифе, као и рафинисани шећер у кристалу из тарифног става 1701 99 10 00 (у даљем тексту: шећер), може:</w:t>
      </w:r>
    </w:p>
    <w:p w:rsidR="00892C13" w:rsidRDefault="009A5BC5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се уноси на царинско подручје Републике Србије само преко:</w:t>
      </w:r>
    </w:p>
    <w:p w:rsidR="00892C13" w:rsidRDefault="009A5BC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друмском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13"/>
        <w:gridCol w:w="5330"/>
      </w:tblGrid>
      <w:tr w:rsidR="00892C13">
        <w:trPr>
          <w:trHeight w:val="90"/>
          <w:tblCellSpacing w:w="0" w:type="auto"/>
        </w:trPr>
        <w:tc>
          <w:tcPr>
            <w:tcW w:w="566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873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566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873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566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873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Келебија;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566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873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Српска Црња;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5666" w:type="dxa"/>
            <w:vAlign w:val="center"/>
          </w:tcPr>
          <w:p w:rsidR="00892C13" w:rsidRDefault="009A5BC5">
            <w:pPr>
              <w:spacing w:after="150"/>
            </w:pPr>
            <w:r>
              <w:rPr>
                <w:b/>
                <w:color w:val="000000"/>
              </w:rPr>
              <w:t>Царинарница Вршац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8734" w:type="dxa"/>
            <w:vAlign w:val="center"/>
          </w:tcPr>
          <w:p w:rsidR="00892C13" w:rsidRDefault="009A5BC5">
            <w:pPr>
              <w:spacing w:after="150"/>
            </w:pPr>
            <w:r>
              <w:rPr>
                <w:b/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Царинска испостава Ватин;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566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873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566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873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Мали Зворник;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566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873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Сремска Рача;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lastRenderedPageBreak/>
        <w:t xml:space="preserve">2)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железничком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46"/>
        <w:gridCol w:w="6397"/>
      </w:tblGrid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Царински реферат </w:t>
            </w:r>
            <w:r>
              <w:rPr>
                <w:color w:val="000000"/>
              </w:rPr>
              <w:t>Железничка станица Ристовац;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Пријепоље;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Железничка станица Димитровград;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речном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81"/>
        <w:gridCol w:w="6662"/>
      </w:tblGrid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Кладово:</w:t>
            </w:r>
          </w:p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Прахово,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Велико Градиште;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Бездан–Мохач;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Царински реферат </w:t>
            </w:r>
            <w:r>
              <w:rPr>
                <w:color w:val="000000"/>
              </w:rPr>
              <w:t>за речни саобраћај Нови Сад;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се износи са царинског подручја Републике Србије само преко:</w:t>
      </w:r>
    </w:p>
    <w:p w:rsidR="00892C13" w:rsidRDefault="009A5BC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друмском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67"/>
        <w:gridCol w:w="6176"/>
      </w:tblGrid>
      <w:tr w:rsidR="00892C13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278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0278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Терминал Градина;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278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Прешево;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278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278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Келебија;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0278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278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Сремска Рача;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железничком са</w:t>
      </w:r>
      <w:r>
        <w:rPr>
          <w:color w:val="000000"/>
        </w:rPr>
        <w:t>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46"/>
        <w:gridCol w:w="6397"/>
      </w:tblGrid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Ристовац;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Царинарница Нови </w:t>
            </w:r>
            <w:r>
              <w:rPr>
                <w:color w:val="000000"/>
              </w:rPr>
              <w:lastRenderedPageBreak/>
              <w:t>Сад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lastRenderedPageBreak/>
              <w:t xml:space="preserve">– Царинска </w:t>
            </w:r>
            <w:r>
              <w:rPr>
                <w:color w:val="000000"/>
              </w:rPr>
              <w:t>испостава Железничка станица Шид;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0603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Пријепоље;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речном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16"/>
        <w:gridCol w:w="6727"/>
      </w:tblGrid>
      <w:tr w:rsidR="00892C13">
        <w:trPr>
          <w:trHeight w:val="90"/>
          <w:tblCellSpacing w:w="0" w:type="auto"/>
        </w:trPr>
        <w:tc>
          <w:tcPr>
            <w:tcW w:w="316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Кладово</w:t>
            </w:r>
          </w:p>
        </w:tc>
        <w:tc>
          <w:tcPr>
            <w:tcW w:w="1123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Велико Градиште;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се стави у</w:t>
      </w:r>
      <w:r>
        <w:rPr>
          <w:color w:val="000000"/>
        </w:rPr>
        <w:t xml:space="preserve"> слободан промет само преко:</w:t>
      </w:r>
    </w:p>
    <w:p w:rsidR="00892C13" w:rsidRDefault="009A5BC5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друмском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00"/>
        <w:gridCol w:w="6643"/>
      </w:tblGrid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Остружница – Београд;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Терминал Ниш;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Суботи</w:t>
            </w:r>
            <w:r>
              <w:rPr>
                <w:color w:val="000000"/>
              </w:rPr>
              <w:t>ца</w:t>
            </w:r>
          </w:p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железничком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93"/>
        <w:gridCol w:w="6950"/>
      </w:tblGrid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Железничка станица Ниш;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Пријепоље;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t>Димитровград</w:t>
            </w:r>
          </w:p>
        </w:tc>
        <w:tc>
          <w:tcPr>
            <w:tcW w:w="11676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речном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79"/>
        <w:gridCol w:w="6664"/>
      </w:tblGrid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892C13"/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120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Сад;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се извозно царини само у царинарницама: Београд, Зрењанин, Нови Сад, </w:t>
      </w:r>
      <w:r>
        <w:rPr>
          <w:b/>
          <w:color w:val="000000"/>
        </w:rPr>
        <w:t>Суботица, Шабац и Вршац;</w:t>
      </w:r>
      <w:r>
        <w:rPr>
          <w:rFonts w:ascii="Calibri"/>
          <w:b/>
          <w:color w:val="000000"/>
          <w:vertAlign w:val="superscript"/>
        </w:rPr>
        <w:t>*</w:t>
      </w:r>
    </w:p>
    <w:p w:rsidR="00892C13" w:rsidRDefault="009A5BC5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се поступак извозног царињења за извоз у земље Европске уније уз примену преференцијала, врши само преко: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95"/>
        <w:gridCol w:w="6248"/>
      </w:tblGrid>
      <w:tr w:rsidR="00892C13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Царинараница Београд</w:t>
            </w:r>
          </w:p>
        </w:tc>
        <w:tc>
          <w:tcPr>
            <w:tcW w:w="1041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Пан</w:t>
            </w:r>
            <w:r>
              <w:rPr>
                <w:color w:val="000000"/>
              </w:rPr>
              <w:t>чево;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Зрењанин:</w:t>
            </w:r>
          </w:p>
        </w:tc>
        <w:tc>
          <w:tcPr>
            <w:tcW w:w="1041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Зрењанин,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41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Кикинда;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Нови Сад:</w:t>
            </w:r>
          </w:p>
        </w:tc>
        <w:tc>
          <w:tcPr>
            <w:tcW w:w="1041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Царински реферат Врбас,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41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Нови Сад,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41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t>Суботица</w:t>
            </w:r>
          </w:p>
        </w:tc>
        <w:tc>
          <w:tcPr>
            <w:tcW w:w="1041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892C13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411" w:type="dxa"/>
            <w:vAlign w:val="center"/>
          </w:tcPr>
          <w:p w:rsidR="00892C13" w:rsidRDefault="009A5BC5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</w:tbl>
    <w:p w:rsidR="00892C13" w:rsidRDefault="009A5BC5">
      <w:pPr>
        <w:spacing w:after="150"/>
      </w:pPr>
      <w:r>
        <w:rPr>
          <w:color w:val="000000"/>
        </w:rPr>
        <w:t xml:space="preserve">Шећер чије се извозно царињење врши преко царинских испостава из алинеје пете овог члана мора да буде утоварен у превозна средства у фабрици шећера која га је </w:t>
      </w:r>
      <w:r>
        <w:rPr>
          <w:color w:val="000000"/>
        </w:rPr>
        <w:t>произвела и без претовара отпремљен преко тих царинских испостава.</w:t>
      </w:r>
    </w:p>
    <w:p w:rsidR="00892C13" w:rsidRDefault="009A5BC5">
      <w:pPr>
        <w:spacing w:after="150"/>
      </w:pPr>
      <w:r>
        <w:rPr>
          <w:color w:val="000000"/>
        </w:rPr>
        <w:t xml:space="preserve">Изузетно од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ако се странка у поступку извозног царињења определила за комбиновани – мултимодални саобраћај и у рубрику 25 ЈЦИ (Врста саобраћаја на граници) унела шифру </w:t>
      </w:r>
      <w:r>
        <w:rPr>
          <w:color w:val="000000"/>
        </w:rPr>
        <w:t>„60ˮ, може, уз сагласност Управе царина, да изврши претовар шећера.</w:t>
      </w:r>
    </w:p>
    <w:p w:rsidR="00892C13" w:rsidRDefault="009A5BC5">
      <w:pPr>
        <w:spacing w:after="150"/>
      </w:pPr>
      <w:r>
        <w:rPr>
          <w:color w:val="000000"/>
        </w:rPr>
        <w:t>*Службени гласник РС, број 96/2019</w:t>
      </w:r>
    </w:p>
    <w:p w:rsidR="00892C13" w:rsidRDefault="009A5BC5">
      <w:pPr>
        <w:spacing w:after="150"/>
      </w:pPr>
      <w:r>
        <w:rPr>
          <w:color w:val="000000"/>
        </w:rPr>
        <w:t>**Службени гласник РС, број 57/2020</w:t>
      </w:r>
    </w:p>
    <w:p w:rsidR="00892C13" w:rsidRDefault="009A5BC5">
      <w:pPr>
        <w:spacing w:after="120"/>
        <w:jc w:val="center"/>
      </w:pPr>
      <w:r>
        <w:rPr>
          <w:color w:val="000000"/>
        </w:rPr>
        <w:t>Члан 8.</w:t>
      </w:r>
    </w:p>
    <w:p w:rsidR="00892C13" w:rsidRDefault="009A5BC5">
      <w:pPr>
        <w:spacing w:after="150"/>
      </w:pPr>
      <w:r>
        <w:rPr>
          <w:color w:val="000000"/>
        </w:rPr>
        <w:t xml:space="preserve">Даном почетка примене овог правилника престаје да важи Правилник о одређивању царинских органа за царињење </w:t>
      </w:r>
      <w:r>
        <w:rPr>
          <w:color w:val="000000"/>
        </w:rPr>
        <w:t xml:space="preserve">одређених врста робе или спровођење одређених поступака („Службени гласник РСˮ, бр. </w:t>
      </w:r>
      <w:proofErr w:type="gramStart"/>
      <w:r>
        <w:rPr>
          <w:color w:val="000000"/>
        </w:rPr>
        <w:t>94/10, 1/11, 25/11, 66/11, 94/11, 54/12, 12/13, 18/13, 56/13, 76/13, 104/13, 24/14, 55/14, 64/14, 112/14, 6/15, 15/15, 24/15, 33/15, 45/15, 36/16, 44/16, 59/16, 95/16, 7/17</w:t>
      </w:r>
      <w:r>
        <w:rPr>
          <w:color w:val="000000"/>
        </w:rPr>
        <w:t>, 17/17, 46/17, 96/17, 101/17, 108/17, 25/18, 44/18 и 103/18).</w:t>
      </w:r>
      <w:proofErr w:type="gramEnd"/>
    </w:p>
    <w:p w:rsidR="00892C13" w:rsidRDefault="009A5BC5">
      <w:pPr>
        <w:spacing w:after="120"/>
        <w:jc w:val="center"/>
      </w:pPr>
      <w:r>
        <w:rPr>
          <w:color w:val="000000"/>
        </w:rPr>
        <w:t>Члан 9.</w:t>
      </w:r>
    </w:p>
    <w:p w:rsidR="00892C13" w:rsidRDefault="009A5BC5">
      <w:pPr>
        <w:spacing w:after="150"/>
      </w:pPr>
      <w:r>
        <w:rPr>
          <w:color w:val="000000"/>
        </w:rPr>
        <w:lastRenderedPageBreak/>
        <w:t xml:space="preserve">Овај правилник ступа на снагу наредног дана од дана објављивања у „Службеном гласнику Републике Србијеˮ, а примењује се од 17.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892C13" w:rsidRDefault="009A5BC5">
      <w:pPr>
        <w:spacing w:after="150"/>
        <w:jc w:val="right"/>
      </w:pPr>
      <w:r>
        <w:rPr>
          <w:color w:val="000000"/>
        </w:rPr>
        <w:t>Број 10-00-00329/2019-17</w:t>
      </w:r>
    </w:p>
    <w:p w:rsidR="00892C13" w:rsidRDefault="009A5BC5">
      <w:pPr>
        <w:spacing w:after="150"/>
        <w:jc w:val="right"/>
      </w:pPr>
      <w:r>
        <w:rPr>
          <w:color w:val="000000"/>
        </w:rPr>
        <w:t>У Београду, 6.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</w:p>
    <w:p w:rsidR="00892C13" w:rsidRDefault="009A5BC5">
      <w:pPr>
        <w:spacing w:after="150"/>
        <w:jc w:val="right"/>
      </w:pPr>
      <w:r>
        <w:rPr>
          <w:color w:val="000000"/>
        </w:rPr>
        <w:t>Министар,</w:t>
      </w:r>
    </w:p>
    <w:p w:rsidR="00892C13" w:rsidRDefault="009A5BC5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sectPr w:rsidR="00892C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13"/>
    <w:rsid w:val="00892C13"/>
    <w:rsid w:val="009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3E372-87F3-4086-8312-E349798F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2021-04-22T10:27:00Z</dcterms:created>
  <dcterms:modified xsi:type="dcterms:W3CDTF">2021-04-22T10:27:00Z</dcterms:modified>
</cp:coreProperties>
</file>