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8D" w:rsidRDefault="006F1CD3">
      <w:pPr>
        <w:spacing w:after="700"/>
        <w:jc w:val="center"/>
      </w:pPr>
      <w:proofErr w:type="spellStart"/>
      <w:r>
        <w:rPr>
          <w:rFonts w:ascii="Arial" w:eastAsia="Arial" w:hAnsi="Arial" w:cs="Arial"/>
          <w:b/>
          <w:color w:val="000000"/>
          <w:sz w:val="48"/>
        </w:rPr>
        <w:t>Нацрт</w:t>
      </w:r>
      <w:proofErr w:type="spellEnd"/>
      <w:r>
        <w:rPr>
          <w:rFonts w:ascii="Arial" w:eastAsia="Arial" w:hAnsi="Arial" w:cs="Arial"/>
          <w:b/>
          <w:color w:val="000000"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</w:rPr>
        <w:t>Програма</w:t>
      </w:r>
      <w:proofErr w:type="spellEnd"/>
      <w:r>
        <w:rPr>
          <w:rFonts w:ascii="Arial" w:eastAsia="Arial" w:hAnsi="Arial" w:cs="Arial"/>
          <w:b/>
          <w:color w:val="000000"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</w:rPr>
        <w:t>реформе</w:t>
      </w:r>
      <w:proofErr w:type="spellEnd"/>
      <w:r>
        <w:rPr>
          <w:rFonts w:ascii="Arial" w:eastAsia="Arial" w:hAnsi="Arial" w:cs="Arial"/>
          <w:b/>
          <w:color w:val="000000"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</w:rPr>
        <w:t>управљања</w:t>
      </w:r>
      <w:proofErr w:type="spellEnd"/>
      <w:r>
        <w:rPr>
          <w:rFonts w:ascii="Arial" w:eastAsia="Arial" w:hAnsi="Arial" w:cs="Arial"/>
          <w:b/>
          <w:color w:val="000000"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</w:rPr>
        <w:t>јавним</w:t>
      </w:r>
      <w:proofErr w:type="spellEnd"/>
      <w:r>
        <w:rPr>
          <w:rFonts w:ascii="Arial" w:eastAsia="Arial" w:hAnsi="Arial" w:cs="Arial"/>
          <w:b/>
          <w:color w:val="000000"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8"/>
        </w:rPr>
        <w:t>финансијама</w:t>
      </w:r>
      <w:proofErr w:type="spellEnd"/>
      <w:r>
        <w:rPr>
          <w:rFonts w:ascii="Arial" w:eastAsia="Arial" w:hAnsi="Arial" w:cs="Arial"/>
          <w:b/>
          <w:color w:val="000000"/>
          <w:sz w:val="48"/>
        </w:rPr>
        <w:t xml:space="preserve"> за </w:t>
      </w:r>
      <w:proofErr w:type="spellStart"/>
      <w:r>
        <w:rPr>
          <w:rFonts w:ascii="Arial" w:eastAsia="Arial" w:hAnsi="Arial" w:cs="Arial"/>
          <w:b/>
          <w:color w:val="000000"/>
          <w:sz w:val="48"/>
        </w:rPr>
        <w:t>период</w:t>
      </w:r>
      <w:proofErr w:type="spellEnd"/>
      <w:r>
        <w:rPr>
          <w:rFonts w:ascii="Arial" w:eastAsia="Arial" w:hAnsi="Arial" w:cs="Arial"/>
          <w:b/>
          <w:color w:val="000000"/>
          <w:sz w:val="48"/>
        </w:rPr>
        <w:t xml:space="preserve"> 2026-2030</w:t>
      </w:r>
    </w:p>
    <w:p w:rsidR="00BC538D" w:rsidRDefault="006F1CD3">
      <w:pPr>
        <w:spacing w:before="100" w:after="50" w:line="288" w:lineRule="auto"/>
      </w:pPr>
      <w:proofErr w:type="spellStart"/>
      <w:r>
        <w:rPr>
          <w:rFonts w:ascii="Arial" w:eastAsia="Arial" w:hAnsi="Arial" w:cs="Arial"/>
          <w:color w:val="000000"/>
          <w:sz w:val="28"/>
        </w:rPr>
        <w:t>Назив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органа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: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Министарство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финансија</w:t>
      </w:r>
      <w:proofErr w:type="spellEnd"/>
    </w:p>
    <w:p w:rsidR="00BC538D" w:rsidRDefault="006F1CD3">
      <w:pPr>
        <w:spacing w:before="100" w:after="0" w:line="288" w:lineRule="auto"/>
      </w:pPr>
      <w:proofErr w:type="spellStart"/>
      <w:r>
        <w:rPr>
          <w:rFonts w:ascii="Arial" w:eastAsia="Arial" w:hAnsi="Arial" w:cs="Arial"/>
          <w:color w:val="000000"/>
          <w:sz w:val="28"/>
        </w:rPr>
        <w:t>Укупно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време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трајања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процеса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: </w:t>
      </w:r>
      <w:r>
        <w:rPr>
          <w:rFonts w:ascii="Arial" w:eastAsia="Arial" w:hAnsi="Arial" w:cs="Arial"/>
          <w:b/>
          <w:color w:val="000000"/>
          <w:sz w:val="28"/>
        </w:rPr>
        <w:t xml:space="preserve">11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дана</w:t>
      </w:r>
      <w:proofErr w:type="spellEnd"/>
    </w:p>
    <w:p w:rsidR="00966BBB" w:rsidRPr="00966BBB" w:rsidRDefault="006F1CD3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eastAsia="Arial" w:hAnsi="Arial" w:cs="Arial"/>
          <w:color w:val="000000"/>
          <w:sz w:val="28"/>
        </w:rPr>
        <w:t>Опис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: </w:t>
      </w:r>
      <w:r w:rsidR="00966BBB" w:rsidRPr="00966BBB">
        <w:rPr>
          <w:rFonts w:ascii="Arial" w:hAnsi="Arial" w:cs="Arial"/>
          <w:sz w:val="22"/>
          <w:szCs w:val="22"/>
          <w:lang w:val="sr-Cyrl-RS"/>
        </w:rPr>
        <w:t>У складу са Законом о планском систему Републике Србије, Министарство финансија је спровело јавне консултације о Нацрту Програма реформе управљања јавним финансијама 2026–2030 (у даљем тексту: ПРУЈФ 2026–2030) и пратећег Акционог плана за период 2026–2028.</w:t>
      </w:r>
    </w:p>
    <w:p w:rsidR="00966BBB" w:rsidRPr="00966BBB" w:rsidRDefault="00966BBB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r w:rsidRPr="00966BBB">
        <w:rPr>
          <w:rFonts w:ascii="Arial" w:hAnsi="Arial" w:cs="Arial"/>
          <w:sz w:val="22"/>
          <w:szCs w:val="22"/>
          <w:lang w:val="sr-Cyrl-RS"/>
        </w:rPr>
        <w:t>Јавне консултације спроведене су у периоду од 27. октобра до 5. новембра 2025. године. Нацрт ПРУЈФ 2026–2030 и пратећи Акциони план били су објављени на Порталу е-Консултације (www.ekonsultacije.gov.rs) и на интернет страници Министарства финансија (</w:t>
      </w:r>
      <w:r w:rsidRPr="00966BBB">
        <w:rPr>
          <w:rFonts w:ascii="Arial" w:hAnsi="Arial" w:cs="Arial"/>
          <w:sz w:val="22"/>
          <w:szCs w:val="22"/>
        </w:rPr>
        <w:fldChar w:fldCharType="begin"/>
      </w:r>
      <w:r w:rsidRPr="00966BBB">
        <w:rPr>
          <w:rFonts w:ascii="Arial" w:hAnsi="Arial" w:cs="Arial"/>
          <w:sz w:val="22"/>
          <w:szCs w:val="22"/>
        </w:rPr>
        <w:instrText xml:space="preserve"> HYPERLINK "http://www.mfin.gov.rs" \t "_new" </w:instrText>
      </w:r>
      <w:r w:rsidRPr="00966BBB">
        <w:rPr>
          <w:rFonts w:ascii="Arial" w:hAnsi="Arial" w:cs="Arial"/>
          <w:sz w:val="22"/>
          <w:szCs w:val="22"/>
        </w:rPr>
        <w:fldChar w:fldCharType="separate"/>
      </w:r>
      <w:r w:rsidRPr="00966BBB">
        <w:rPr>
          <w:rStyle w:val="Hyperlink"/>
          <w:rFonts w:ascii="Arial" w:hAnsi="Arial" w:cs="Arial"/>
          <w:sz w:val="22"/>
          <w:szCs w:val="22"/>
          <w:lang w:val="sr-Cyrl-RS"/>
        </w:rPr>
        <w:t>www.mfin.gov.rs</w:t>
      </w:r>
      <w:r w:rsidRPr="00966BBB">
        <w:rPr>
          <w:rStyle w:val="Hyperlink"/>
          <w:rFonts w:ascii="Arial" w:hAnsi="Arial" w:cs="Arial"/>
          <w:sz w:val="22"/>
          <w:szCs w:val="22"/>
          <w:lang w:val="sr-Cyrl-RS"/>
        </w:rPr>
        <w:fldChar w:fldCharType="end"/>
      </w:r>
      <w:r w:rsidRPr="00966BBB">
        <w:rPr>
          <w:rFonts w:ascii="Arial" w:hAnsi="Arial" w:cs="Arial"/>
          <w:sz w:val="22"/>
          <w:szCs w:val="22"/>
          <w:lang w:val="sr-Cyrl-RS"/>
        </w:rPr>
        <w:t>), како би сви заинтересовани субјекти имали прилику да се упознају са садржином докумената и доставе своје коментаре и сугестије.</w:t>
      </w:r>
    </w:p>
    <w:p w:rsidR="00966BBB" w:rsidRPr="00966BBB" w:rsidRDefault="00966BBB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r w:rsidRPr="00966BBB">
        <w:rPr>
          <w:rFonts w:ascii="Arial" w:hAnsi="Arial" w:cs="Arial"/>
          <w:sz w:val="22"/>
          <w:szCs w:val="22"/>
          <w:lang w:val="sr-Cyrl-RS"/>
        </w:rPr>
        <w:t>Током трајања јавних консултација нису пристигли коментари заинтересованих страна.</w:t>
      </w:r>
    </w:p>
    <w:p w:rsidR="00966BBB" w:rsidRPr="00966BBB" w:rsidRDefault="00966BBB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r w:rsidRPr="00966BBB">
        <w:rPr>
          <w:rFonts w:ascii="Arial" w:hAnsi="Arial" w:cs="Arial"/>
          <w:sz w:val="22"/>
          <w:szCs w:val="22"/>
          <w:lang w:val="sr-Cyrl-RS"/>
        </w:rPr>
        <w:t xml:space="preserve">Имајући у виду да је неопходно да нови ПРУЈФ буде заснован на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PEFA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процени и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SIGMA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процени, напомиње се да је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SIGMA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процена управљања јавним финансијама спроведена током 2024. године</w:t>
      </w:r>
      <w:r w:rsidRPr="00966BBB">
        <w:rPr>
          <w:rFonts w:ascii="Arial" w:hAnsi="Arial" w:cs="Arial"/>
          <w:sz w:val="22"/>
          <w:szCs w:val="22"/>
        </w:rPr>
        <w:t xml:space="preserve"> 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у оквиру шире процене области реформе јавне управе у Републици Србији, као и да је Министарство финансија у августу 2024. године поднело захтев за израду нове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PEFA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процене у првој половини 2025. године. Светска банка је у првој половини 2025. године спровела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PEFA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процену, а прва радна верзија извештаја достављена је члановима Радне групе за израду, праћење и извештавање о спровођењу ПРУЈФ 2026–2030 почетком јула 2025. године.</w:t>
      </w:r>
    </w:p>
    <w:p w:rsidR="00966BBB" w:rsidRPr="00966BBB" w:rsidRDefault="00966BBB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r w:rsidRPr="00966BBB">
        <w:rPr>
          <w:rFonts w:ascii="Arial" w:hAnsi="Arial" w:cs="Arial"/>
          <w:sz w:val="22"/>
          <w:szCs w:val="22"/>
          <w:lang w:val="sr-Cyrl-RS"/>
        </w:rPr>
        <w:t xml:space="preserve">Радна група за израду, праћење и извештавање о спровођењу ПРУЈФ 2026–2030 формирана је Решењем министра финансија од 3. јуна 2025. године. Током јуна 2025. године, експерт из области реформе јавних финансија, ангажован уз подршку Европске комисије, припремио је </w:t>
      </w:r>
      <w:r w:rsidRPr="00966BBB">
        <w:rPr>
          <w:rFonts w:ascii="Arial" w:hAnsi="Arial" w:cs="Arial"/>
          <w:i/>
          <w:sz w:val="22"/>
          <w:szCs w:val="22"/>
        </w:rPr>
        <w:t>ex-ante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анализу, која је такође послужила као основ за израду новог Програма</w:t>
      </w:r>
      <w:r w:rsidRPr="00966BBB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966BBB">
        <w:rPr>
          <w:rFonts w:ascii="Arial" w:hAnsi="Arial" w:cs="Arial"/>
          <w:sz w:val="22"/>
          <w:szCs w:val="22"/>
          <w:lang w:val="sr-Cyrl-RS"/>
        </w:rPr>
        <w:t>а пружао је континуирану подршку Радној групи током припреме Нацрта ПРУЈФ 2026-2030.</w:t>
      </w:r>
    </w:p>
    <w:p w:rsidR="00966BBB" w:rsidRPr="00966BBB" w:rsidRDefault="00966BBB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r w:rsidRPr="00966BBB">
        <w:rPr>
          <w:rFonts w:ascii="Arial" w:hAnsi="Arial" w:cs="Arial"/>
          <w:sz w:val="22"/>
          <w:szCs w:val="22"/>
          <w:lang w:val="sr-Cyrl-RS"/>
        </w:rPr>
        <w:t xml:space="preserve">Након добијених прелиминарних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PEFA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оцена, Радна група је припремила прву радну верзију Акционог плана за период 2026–2028 и доставила је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SIGMA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-и почетком септембра 2025. године на коментаре.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SIGMA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 је доставила своје коментаре 23. септембра 2025. године. Почетком октобра 2025. године организована је радионица Радне групе на којој су разматрани коментари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SIGMA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-е. Коментари су, у највећој могућој мери, узети у обзир приликом припреме Нацрта ПРУЈФ 2026–2030 са пратећим Акционим планом 2026–2028. Унапређена верзија документа поново је достављена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SIGMA</w:t>
      </w:r>
      <w:r w:rsidRPr="00966BBB">
        <w:rPr>
          <w:rFonts w:ascii="Arial" w:hAnsi="Arial" w:cs="Arial"/>
          <w:sz w:val="22"/>
          <w:szCs w:val="22"/>
          <w:lang w:val="sr-Cyrl-RS"/>
        </w:rPr>
        <w:t xml:space="preserve">-и 24. октобра 2025. године на додатне коментаре, који се очекују до 17. новембра 2025. године. Уз то, достављена су и образложења уколико неки коментари односно препоруке нису могли да буду прихваћени. </w:t>
      </w:r>
    </w:p>
    <w:p w:rsidR="00966BBB" w:rsidRPr="00966BBB" w:rsidRDefault="00966BBB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r w:rsidRPr="00966BBB">
        <w:rPr>
          <w:rFonts w:ascii="Arial" w:hAnsi="Arial" w:cs="Arial"/>
          <w:sz w:val="22"/>
          <w:szCs w:val="22"/>
          <w:lang w:val="sr-Cyrl-RS"/>
        </w:rPr>
        <w:t xml:space="preserve">Укупно посматрано, коментари </w:t>
      </w:r>
      <w:r w:rsidRPr="00966BBB">
        <w:rPr>
          <w:rFonts w:ascii="Arial" w:hAnsi="Arial" w:cs="Arial"/>
          <w:i/>
          <w:sz w:val="22"/>
          <w:szCs w:val="22"/>
          <w:lang w:val="sr-Cyrl-RS"/>
        </w:rPr>
        <w:t>SIGMA</w:t>
      </w:r>
      <w:r w:rsidRPr="00966BBB">
        <w:rPr>
          <w:rFonts w:ascii="Arial" w:hAnsi="Arial" w:cs="Arial"/>
          <w:sz w:val="22"/>
          <w:szCs w:val="22"/>
          <w:lang w:val="sr-Cyrl-RS"/>
        </w:rPr>
        <w:t>-е били су изузетно значајни и допринели су унапређењу квалитета Нацрта ПРУЈФ 2026-2030. Коментари су се односили како на структуру тако и на садржај документа, укључујући формулисање индикатора на нивоу посебних циљева и мера, као и на области које би требало додатно унапредити. Њихово разматрање и уграђивање у Нацрт омогућили су да документ буде свеобухватнији, јаснији и у већој мери усклађен са међународним стандардима и добром праксом у области управљања јавним финансијама.</w:t>
      </w:r>
    </w:p>
    <w:p w:rsidR="00966BBB" w:rsidRPr="00966BBB" w:rsidRDefault="00966BBB" w:rsidP="00966BBB">
      <w:pPr>
        <w:pStyle w:val="NormalWeb"/>
        <w:jc w:val="both"/>
        <w:rPr>
          <w:rFonts w:ascii="Arial" w:hAnsi="Arial" w:cs="Arial"/>
          <w:sz w:val="22"/>
          <w:szCs w:val="22"/>
          <w:lang w:val="sr-Cyrl-RS"/>
        </w:rPr>
      </w:pPr>
      <w:r w:rsidRPr="00966BBB">
        <w:rPr>
          <w:rFonts w:ascii="Arial" w:hAnsi="Arial" w:cs="Arial"/>
          <w:sz w:val="22"/>
          <w:szCs w:val="22"/>
          <w:lang w:val="sr-Cyrl-RS"/>
        </w:rPr>
        <w:lastRenderedPageBreak/>
        <w:t>Након завршетка јавних консултација, предвиђено је да уследи фаза јавне расправе. У оквиру овог процеса биће организован састанак „Дијалог о политици управљања јавним финансијама“ који ће се одржати у Министарству финансија 17. новембра 2025. године. На овом састанку биће представљен Нацрт ПРУЈФ 2026–2030 и пратећи Акциони план за период 2026–2028, а скуп ће окупити представнике релевантних институција Републике Србије, међународних финансијских институција, донаторске заједнице и организација цивилног друштва.</w:t>
      </w:r>
    </w:p>
    <w:p w:rsidR="00BC538D" w:rsidRPr="00966BBB" w:rsidRDefault="00966BBB" w:rsidP="00966BBB">
      <w:pPr>
        <w:spacing w:before="100" w:after="0" w:line="288" w:lineRule="auto"/>
        <w:jc w:val="both"/>
        <w:rPr>
          <w:rFonts w:ascii="Arial" w:hAnsi="Arial" w:cs="Arial"/>
        </w:rPr>
      </w:pPr>
      <w:r w:rsidRPr="00966BBB">
        <w:rPr>
          <w:rFonts w:ascii="Arial" w:hAnsi="Arial" w:cs="Arial"/>
          <w:lang w:val="sr-Cyrl-RS"/>
        </w:rPr>
        <w:t>Састанак ће представљати прилику за размену мишљења</w:t>
      </w:r>
      <w:bookmarkStart w:id="0" w:name="_GoBack"/>
      <w:bookmarkEnd w:id="0"/>
      <w:r w:rsidRPr="00966BBB">
        <w:rPr>
          <w:rFonts w:ascii="Arial" w:hAnsi="Arial" w:cs="Arial"/>
          <w:lang w:val="sr-Cyrl-RS"/>
        </w:rPr>
        <w:t xml:space="preserve"> и предлога свих заинтересованих страна, са циљем да се кроз конструктивну дискусију дође до што квалитетнијег ПРУЈФ 2026-2030.</w:t>
      </w:r>
    </w:p>
    <w:p w:rsidR="00BC538D" w:rsidRDefault="006F1CD3">
      <w:pPr>
        <w:spacing w:before="100" w:after="0" w:line="288" w:lineRule="auto"/>
      </w:pPr>
      <w:proofErr w:type="spellStart"/>
      <w:r>
        <w:rPr>
          <w:rFonts w:ascii="Arial" w:eastAsia="Arial" w:hAnsi="Arial" w:cs="Arial"/>
          <w:color w:val="000000"/>
          <w:sz w:val="28"/>
        </w:rPr>
        <w:t>Врста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акта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: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Плански</w:t>
      </w:r>
      <w:proofErr w:type="spellEnd"/>
      <w:r>
        <w:rPr>
          <w:rFonts w:ascii="Arial" w:eastAsia="Arial" w:hAnsi="Arial" w:cs="Arial"/>
          <w:b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</w:rPr>
        <w:t>документ</w:t>
      </w:r>
      <w:proofErr w:type="spellEnd"/>
    </w:p>
    <w:p w:rsidR="00BC538D" w:rsidRDefault="006F1CD3">
      <w:pPr>
        <w:spacing w:before="100" w:after="0" w:line="288" w:lineRule="auto"/>
      </w:pPr>
      <w:proofErr w:type="spellStart"/>
      <w:r>
        <w:rPr>
          <w:rFonts w:ascii="Arial" w:eastAsia="Arial" w:hAnsi="Arial" w:cs="Arial"/>
          <w:color w:val="000000"/>
          <w:sz w:val="28"/>
        </w:rPr>
        <w:t>Пр</w:t>
      </w:r>
      <w:r>
        <w:rPr>
          <w:rFonts w:ascii="Arial" w:eastAsia="Arial" w:hAnsi="Arial" w:cs="Arial"/>
          <w:color w:val="000000"/>
          <w:sz w:val="28"/>
        </w:rPr>
        <w:t>опис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из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</w:rPr>
        <w:t>члана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 77. </w:t>
      </w:r>
      <w:proofErr w:type="spellStart"/>
      <w:proofErr w:type="gramStart"/>
      <w:r>
        <w:rPr>
          <w:rFonts w:ascii="Arial" w:eastAsia="Arial" w:hAnsi="Arial" w:cs="Arial"/>
          <w:color w:val="000000"/>
          <w:sz w:val="28"/>
        </w:rPr>
        <w:t>став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</w:rPr>
        <w:t xml:space="preserve"> 3: </w:t>
      </w:r>
      <w:r>
        <w:rPr>
          <w:rFonts w:ascii="Arial" w:eastAsia="Arial" w:hAnsi="Arial" w:cs="Arial"/>
          <w:b/>
          <w:color w:val="000000"/>
          <w:sz w:val="28"/>
        </w:rPr>
        <w:t>НЕ</w:t>
      </w:r>
    </w:p>
    <w:p w:rsidR="00BC538D" w:rsidRDefault="006F1CD3">
      <w:pPr>
        <w:spacing w:before="100" w:after="0" w:line="288" w:lineRule="auto"/>
      </w:pPr>
      <w:proofErr w:type="spellStart"/>
      <w:r>
        <w:rPr>
          <w:rFonts w:ascii="Arial" w:eastAsia="Arial" w:hAnsi="Arial" w:cs="Arial"/>
          <w:color w:val="000000"/>
          <w:sz w:val="28"/>
        </w:rPr>
        <w:t>Датум</w:t>
      </w:r>
      <w:proofErr w:type="spellEnd"/>
      <w:r>
        <w:rPr>
          <w:rFonts w:ascii="Arial" w:eastAsia="Arial" w:hAnsi="Arial" w:cs="Arial"/>
          <w:color w:val="000000"/>
          <w:sz w:val="28"/>
        </w:rPr>
        <w:t xml:space="preserve">: </w:t>
      </w:r>
      <w:r>
        <w:rPr>
          <w:rFonts w:ascii="Arial" w:eastAsia="Arial" w:hAnsi="Arial" w:cs="Arial"/>
          <w:b/>
          <w:color w:val="000000"/>
          <w:sz w:val="28"/>
        </w:rPr>
        <w:t>27.10.2025.</w:t>
      </w:r>
    </w:p>
    <w:p w:rsidR="00BC538D" w:rsidRDefault="00BC538D">
      <w:pPr>
        <w:spacing w:after="50"/>
        <w:jc w:val="center"/>
      </w:pPr>
    </w:p>
    <w:p w:rsidR="00BC538D" w:rsidRDefault="006F1CD3">
      <w:pPr>
        <w:spacing w:after="500"/>
        <w:jc w:val="center"/>
      </w:pPr>
      <w:r>
        <w:rPr>
          <w:rFonts w:ascii="Arial" w:eastAsia="Arial" w:hAnsi="Arial" w:cs="Arial"/>
          <w:b/>
          <w:color w:val="000000"/>
          <w:sz w:val="36"/>
        </w:rPr>
        <w:t>КОНСУЛТАЦИЈЕ</w:t>
      </w:r>
    </w:p>
    <w:p w:rsidR="00BC538D" w:rsidRDefault="006F1CD3">
      <w:pPr>
        <w:spacing w:after="100"/>
      </w:pPr>
      <w:r>
        <w:rPr>
          <w:rFonts w:ascii="Arial" w:eastAsia="Arial" w:hAnsi="Arial" w:cs="Arial"/>
          <w:b/>
          <w:color w:val="000000"/>
          <w:sz w:val="26"/>
        </w:rPr>
        <w:t xml:space="preserve">ФОКУС ГРУПА: </w:t>
      </w:r>
    </w:p>
    <w:p w:rsidR="00BC538D" w:rsidRDefault="006F1CD3">
      <w:pPr>
        <w:spacing w:after="50"/>
      </w:pPr>
      <w:proofErr w:type="spellStart"/>
      <w:r>
        <w:rPr>
          <w:rFonts w:ascii="Arial" w:eastAsia="Arial" w:hAnsi="Arial" w:cs="Arial"/>
          <w:color w:val="000000"/>
        </w:rPr>
        <w:t>Није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одржаних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фокус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група</w:t>
      </w:r>
      <w:proofErr w:type="spellEnd"/>
      <w:r>
        <w:rPr>
          <w:rFonts w:ascii="Arial" w:eastAsia="Arial" w:hAnsi="Arial" w:cs="Arial"/>
          <w:color w:val="000000"/>
        </w:rPr>
        <w:t xml:space="preserve"> у </w:t>
      </w:r>
      <w:proofErr w:type="spellStart"/>
      <w:r>
        <w:rPr>
          <w:rFonts w:ascii="Arial" w:eastAsia="Arial" w:hAnsi="Arial" w:cs="Arial"/>
          <w:color w:val="000000"/>
        </w:rPr>
        <w:t>току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ове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фазе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процеса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C538D" w:rsidRDefault="00BC538D">
      <w:pPr>
        <w:spacing w:after="50"/>
        <w:jc w:val="center"/>
      </w:pPr>
    </w:p>
    <w:p w:rsidR="00BC538D" w:rsidRDefault="006F1CD3">
      <w:pPr>
        <w:spacing w:after="100"/>
      </w:pPr>
      <w:r>
        <w:rPr>
          <w:rFonts w:ascii="Arial" w:eastAsia="Arial" w:hAnsi="Arial" w:cs="Arial"/>
          <w:b/>
          <w:color w:val="000000"/>
          <w:sz w:val="26"/>
        </w:rPr>
        <w:t xml:space="preserve">ПАНЕЛ: </w:t>
      </w:r>
    </w:p>
    <w:p w:rsidR="00BC538D" w:rsidRDefault="006F1CD3">
      <w:pPr>
        <w:spacing w:after="50"/>
      </w:pPr>
      <w:proofErr w:type="spellStart"/>
      <w:r>
        <w:rPr>
          <w:rFonts w:ascii="Arial" w:eastAsia="Arial" w:hAnsi="Arial" w:cs="Arial"/>
          <w:color w:val="000000"/>
        </w:rPr>
        <w:t>Није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одржаних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панел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догађаја</w:t>
      </w:r>
      <w:proofErr w:type="spellEnd"/>
      <w:r>
        <w:rPr>
          <w:rFonts w:ascii="Arial" w:eastAsia="Arial" w:hAnsi="Arial" w:cs="Arial"/>
          <w:color w:val="000000"/>
        </w:rPr>
        <w:t xml:space="preserve"> у </w:t>
      </w:r>
      <w:proofErr w:type="spellStart"/>
      <w:r>
        <w:rPr>
          <w:rFonts w:ascii="Arial" w:eastAsia="Arial" w:hAnsi="Arial" w:cs="Arial"/>
          <w:color w:val="000000"/>
        </w:rPr>
        <w:t>току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ове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фазе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процеса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C538D" w:rsidRDefault="00BC538D">
      <w:pPr>
        <w:spacing w:after="50"/>
        <w:jc w:val="center"/>
      </w:pPr>
    </w:p>
    <w:p w:rsidR="00BC538D" w:rsidRDefault="006F1CD3">
      <w:pPr>
        <w:spacing w:after="100"/>
      </w:pPr>
      <w:r>
        <w:rPr>
          <w:rFonts w:ascii="Arial" w:eastAsia="Arial" w:hAnsi="Arial" w:cs="Arial"/>
          <w:b/>
          <w:color w:val="000000"/>
          <w:sz w:val="26"/>
        </w:rPr>
        <w:t xml:space="preserve">ОКРУГЛИ СТО: </w:t>
      </w:r>
    </w:p>
    <w:p w:rsidR="00BC538D" w:rsidRDefault="006F1CD3">
      <w:pPr>
        <w:spacing w:after="50"/>
      </w:pPr>
      <w:proofErr w:type="spellStart"/>
      <w:r>
        <w:rPr>
          <w:rFonts w:ascii="Arial" w:eastAsia="Arial" w:hAnsi="Arial" w:cs="Arial"/>
          <w:color w:val="000000"/>
        </w:rPr>
        <w:t>Није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одржаних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округлих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столова</w:t>
      </w:r>
      <w:proofErr w:type="spellEnd"/>
      <w:r>
        <w:rPr>
          <w:rFonts w:ascii="Arial" w:eastAsia="Arial" w:hAnsi="Arial" w:cs="Arial"/>
          <w:color w:val="000000"/>
        </w:rPr>
        <w:t xml:space="preserve"> у </w:t>
      </w:r>
      <w:proofErr w:type="spellStart"/>
      <w:r>
        <w:rPr>
          <w:rFonts w:ascii="Arial" w:eastAsia="Arial" w:hAnsi="Arial" w:cs="Arial"/>
          <w:color w:val="000000"/>
        </w:rPr>
        <w:t>ток</w:t>
      </w:r>
      <w:r>
        <w:rPr>
          <w:rFonts w:ascii="Arial" w:eastAsia="Arial" w:hAnsi="Arial" w:cs="Arial"/>
          <w:color w:val="000000"/>
        </w:rPr>
        <w:t>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ове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фазе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процеса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C538D" w:rsidRDefault="00BC538D">
      <w:pPr>
        <w:spacing w:after="50"/>
        <w:jc w:val="center"/>
      </w:pPr>
    </w:p>
    <w:p w:rsidR="00BC538D" w:rsidRDefault="006F1CD3">
      <w:pPr>
        <w:spacing w:after="100"/>
      </w:pPr>
      <w:r>
        <w:rPr>
          <w:rFonts w:ascii="Arial" w:eastAsia="Arial" w:hAnsi="Arial" w:cs="Arial"/>
          <w:b/>
          <w:color w:val="000000"/>
          <w:sz w:val="26"/>
        </w:rPr>
        <w:t xml:space="preserve">ОСТАЛИ ДОГАЂАЈИ: </w:t>
      </w:r>
    </w:p>
    <w:p w:rsidR="00BC538D" w:rsidRDefault="006F1CD3">
      <w:pPr>
        <w:spacing w:after="50"/>
      </w:pPr>
      <w:proofErr w:type="spellStart"/>
      <w:r>
        <w:rPr>
          <w:rFonts w:ascii="Arial" w:eastAsia="Arial" w:hAnsi="Arial" w:cs="Arial"/>
          <w:color w:val="000000"/>
        </w:rPr>
        <w:t>Није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одржаних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осталих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догађаја</w:t>
      </w:r>
      <w:proofErr w:type="spellEnd"/>
      <w:r>
        <w:rPr>
          <w:rFonts w:ascii="Arial" w:eastAsia="Arial" w:hAnsi="Arial" w:cs="Arial"/>
          <w:color w:val="000000"/>
        </w:rPr>
        <w:t xml:space="preserve"> у </w:t>
      </w:r>
      <w:proofErr w:type="spellStart"/>
      <w:r>
        <w:rPr>
          <w:rFonts w:ascii="Arial" w:eastAsia="Arial" w:hAnsi="Arial" w:cs="Arial"/>
          <w:color w:val="000000"/>
        </w:rPr>
        <w:t>току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ове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фазе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процеса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C538D" w:rsidRDefault="00BC538D">
      <w:pPr>
        <w:spacing w:after="50"/>
        <w:jc w:val="center"/>
      </w:pPr>
    </w:p>
    <w:p w:rsidR="00BC538D" w:rsidRDefault="006F1CD3">
      <w:pPr>
        <w:spacing w:after="100"/>
      </w:pPr>
      <w:r>
        <w:rPr>
          <w:rFonts w:ascii="Arial" w:eastAsia="Arial" w:hAnsi="Arial" w:cs="Arial"/>
          <w:b/>
          <w:color w:val="000000"/>
          <w:sz w:val="26"/>
        </w:rPr>
        <w:t xml:space="preserve">АНКЕТА: </w:t>
      </w:r>
    </w:p>
    <w:p w:rsidR="00BC538D" w:rsidRDefault="006F1CD3">
      <w:pPr>
        <w:spacing w:after="50"/>
      </w:pPr>
      <w:proofErr w:type="spellStart"/>
      <w:r>
        <w:rPr>
          <w:rFonts w:ascii="Arial" w:eastAsia="Arial" w:hAnsi="Arial" w:cs="Arial"/>
          <w:color w:val="000000"/>
        </w:rPr>
        <w:t>Није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организованих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анкети</w:t>
      </w:r>
      <w:proofErr w:type="spellEnd"/>
      <w:r>
        <w:rPr>
          <w:rFonts w:ascii="Arial" w:eastAsia="Arial" w:hAnsi="Arial" w:cs="Arial"/>
          <w:color w:val="000000"/>
        </w:rPr>
        <w:t xml:space="preserve"> у </w:t>
      </w:r>
      <w:proofErr w:type="spellStart"/>
      <w:r>
        <w:rPr>
          <w:rFonts w:ascii="Arial" w:eastAsia="Arial" w:hAnsi="Arial" w:cs="Arial"/>
          <w:color w:val="000000"/>
        </w:rPr>
        <w:t>току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ове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фазе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процеса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C538D" w:rsidRDefault="00BC538D">
      <w:pPr>
        <w:spacing w:after="50"/>
        <w:jc w:val="center"/>
      </w:pPr>
    </w:p>
    <w:p w:rsidR="00BC538D" w:rsidRDefault="006F1CD3">
      <w:pPr>
        <w:spacing w:after="100"/>
      </w:pPr>
      <w:r>
        <w:rPr>
          <w:rFonts w:ascii="Arial" w:eastAsia="Arial" w:hAnsi="Arial" w:cs="Arial"/>
          <w:b/>
          <w:color w:val="000000"/>
          <w:sz w:val="26"/>
        </w:rPr>
        <w:t xml:space="preserve">ПРИКУПЉАЊЕ КОМЕНАТАРА: </w:t>
      </w:r>
    </w:p>
    <w:tbl>
      <w:tblPr>
        <w:tblW w:w="0" w:type="auto"/>
        <w:tblInd w:w="70" w:type="dxa"/>
        <w:tblBorders>
          <w:top w:val="thick" w:sz="20" w:space="0" w:color="auto"/>
          <w:left w:val="thick" w:sz="20" w:space="0" w:color="auto"/>
          <w:bottom w:val="thick" w:sz="20" w:space="0" w:color="auto"/>
          <w:right w:val="thick" w:sz="20" w:space="0" w:color="auto"/>
          <w:insideH w:val="single" w:sz="0" w:space="0" w:color="auto"/>
          <w:insideV w:val="single" w:sz="0" w:space="0" w:color="auto"/>
        </w:tblBorders>
        <w:tblCellMar>
          <w:top w:w="70" w:type="dxa"/>
          <w:left w:w="70" w:type="dxa"/>
          <w:bottom w:w="9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1923"/>
        <w:gridCol w:w="2115"/>
        <w:gridCol w:w="5455"/>
      </w:tblGrid>
      <w:tr w:rsidR="00BC538D">
        <w:tc>
          <w:tcPr>
            <w:tcW w:w="500" w:type="dxa"/>
          </w:tcPr>
          <w:p w:rsidR="00BC538D" w:rsidRDefault="006F1CD3">
            <w:pPr>
              <w:spacing w:before="100" w:after="0" w:line="288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Редни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</w:p>
        </w:tc>
        <w:tc>
          <w:tcPr>
            <w:tcW w:w="2000" w:type="dxa"/>
          </w:tcPr>
          <w:p w:rsidR="00BC538D" w:rsidRDefault="006F1CD3">
            <w:pPr>
              <w:spacing w:before="100" w:after="0" w:line="288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Период</w:t>
            </w:r>
            <w:proofErr w:type="spellEnd"/>
          </w:p>
        </w:tc>
        <w:tc>
          <w:tcPr>
            <w:tcW w:w="2200" w:type="dxa"/>
          </w:tcPr>
          <w:p w:rsidR="00BC538D" w:rsidRDefault="006F1CD3">
            <w:pPr>
              <w:spacing w:before="100" w:after="0" w:line="288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Наслов</w:t>
            </w:r>
            <w:proofErr w:type="spellEnd"/>
          </w:p>
        </w:tc>
        <w:tc>
          <w:tcPr>
            <w:tcW w:w="6000" w:type="dxa"/>
          </w:tcPr>
          <w:p w:rsidR="00BC538D" w:rsidRDefault="006F1CD3">
            <w:pPr>
              <w:spacing w:before="100" w:after="0" w:line="288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Текст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објаве</w:t>
            </w:r>
            <w:proofErr w:type="spellEnd"/>
          </w:p>
        </w:tc>
      </w:tr>
      <w:tr w:rsidR="00BC538D">
        <w:tc>
          <w:tcPr>
            <w:tcW w:w="5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2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27.10.2025.-05.11.2025.</w:t>
            </w:r>
          </w:p>
        </w:tc>
        <w:tc>
          <w:tcPr>
            <w:tcW w:w="2200" w:type="dxa"/>
          </w:tcPr>
          <w:p w:rsidR="00BC538D" w:rsidRDefault="006F1CD3">
            <w:pPr>
              <w:spacing w:before="100" w:after="0" w:line="288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Прикупљање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основне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информације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о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акту</w:t>
            </w:r>
            <w:proofErr w:type="spellEnd"/>
          </w:p>
        </w:tc>
        <w:tc>
          <w:tcPr>
            <w:tcW w:w="6000" w:type="dxa"/>
          </w:tcPr>
          <w:p w:rsidR="00BC538D" w:rsidRDefault="006F1CD3">
            <w:pPr>
              <w:spacing w:before="100" w:after="0" w:line="288" w:lineRule="auto"/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Нацрт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реформе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управљања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јавним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финансијама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2026-2030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пратећим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Акционим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планом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период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2026-2028,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представља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документ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јавне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политике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којим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настављају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започете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реформе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области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управљања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ј</w:t>
            </w:r>
            <w:r>
              <w:rPr>
                <w:rFonts w:ascii="Arial" w:eastAsia="Arial" w:hAnsi="Arial" w:cs="Arial"/>
                <w:color w:val="000000"/>
              </w:rPr>
              <w:t>авним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финансијама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Овај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документ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је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трећи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реду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Програм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реформе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управљања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јавним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финансијама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након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период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2016-2020 и 2021-2025.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Правни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основ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доношење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реформе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управљања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јавним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финансијама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2026-2030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пратећим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Акционим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планом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з</w:t>
            </w:r>
            <w:r>
              <w:rPr>
                <w:rFonts w:ascii="Arial" w:eastAsia="Arial" w:hAnsi="Arial" w:cs="Arial"/>
                <w:color w:val="000000"/>
              </w:rPr>
              <w:t xml:space="preserve">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период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2026-2028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су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члан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14.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и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члан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15.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Закона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о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планском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систему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Републике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Србије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(„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Службени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гласник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РС“,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бр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30/18).</w:t>
            </w:r>
          </w:p>
        </w:tc>
      </w:tr>
    </w:tbl>
    <w:p w:rsidR="00BC538D" w:rsidRDefault="00BC538D">
      <w:pPr>
        <w:spacing w:after="50"/>
        <w:jc w:val="center"/>
      </w:pPr>
    </w:p>
    <w:tbl>
      <w:tblPr>
        <w:tblW w:w="0" w:type="auto"/>
        <w:tblInd w:w="70" w:type="dxa"/>
        <w:tblBorders>
          <w:top w:val="thick" w:sz="20" w:space="0" w:color="auto"/>
          <w:left w:val="thick" w:sz="20" w:space="0" w:color="auto"/>
          <w:bottom w:val="thick" w:sz="20" w:space="0" w:color="auto"/>
          <w:right w:val="thick" w:sz="20" w:space="0" w:color="auto"/>
          <w:insideH w:val="single" w:sz="0" w:space="0" w:color="auto"/>
          <w:insideV w:val="single" w:sz="0" w:space="0" w:color="auto"/>
        </w:tblBorders>
        <w:tblCellMar>
          <w:top w:w="70" w:type="dxa"/>
          <w:left w:w="70" w:type="dxa"/>
          <w:bottom w:w="90" w:type="dxa"/>
          <w:right w:w="70" w:type="dxa"/>
        </w:tblCellMar>
        <w:tblLook w:val="0000" w:firstRow="0" w:lastRow="0" w:firstColumn="0" w:lastColumn="0" w:noHBand="0" w:noVBand="0"/>
      </w:tblPr>
      <w:tblGrid>
        <w:gridCol w:w="6583"/>
        <w:gridCol w:w="3727"/>
      </w:tblGrid>
      <w:tr w:rsidR="00966BBB" w:rsidTr="00966BBB">
        <w:tc>
          <w:tcPr>
            <w:tcW w:w="11000" w:type="dxa"/>
            <w:gridSpan w:val="2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6"/>
              </w:rPr>
              <w:t>ОПШТА СТАТИСТИКА КОМЕНТАРА У ФАЗИ КОНСУЛТАЦИЈА: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Укупан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објављених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прихваћених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одбијених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делимично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прихваћених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исти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део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текста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општих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специфичних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Процентуално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учешће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које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није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дат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одговор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укупном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0.00 %</w:t>
            </w:r>
          </w:p>
        </w:tc>
      </w:tr>
    </w:tbl>
    <w:p w:rsidR="00BC538D" w:rsidRDefault="00BC538D">
      <w:pPr>
        <w:spacing w:after="0"/>
      </w:pPr>
    </w:p>
    <w:tbl>
      <w:tblPr>
        <w:tblW w:w="0" w:type="auto"/>
        <w:tblInd w:w="70" w:type="dxa"/>
        <w:tblBorders>
          <w:top w:val="thick" w:sz="20" w:space="0" w:color="auto"/>
          <w:left w:val="thick" w:sz="20" w:space="0" w:color="auto"/>
          <w:bottom w:val="thick" w:sz="20" w:space="0" w:color="auto"/>
          <w:right w:val="thick" w:sz="20" w:space="0" w:color="auto"/>
          <w:insideH w:val="single" w:sz="0" w:space="0" w:color="auto"/>
          <w:insideV w:val="single" w:sz="0" w:space="0" w:color="auto"/>
        </w:tblBorders>
        <w:tblCellMar>
          <w:top w:w="70" w:type="dxa"/>
          <w:left w:w="70" w:type="dxa"/>
          <w:bottom w:w="90" w:type="dxa"/>
          <w:right w:w="70" w:type="dxa"/>
        </w:tblCellMar>
        <w:tblLook w:val="0000" w:firstRow="0" w:lastRow="0" w:firstColumn="0" w:lastColumn="0" w:noHBand="0" w:noVBand="0"/>
      </w:tblPr>
      <w:tblGrid>
        <w:gridCol w:w="6569"/>
        <w:gridCol w:w="3741"/>
      </w:tblGrid>
      <w:tr w:rsidR="00966BBB" w:rsidTr="00966BBB">
        <w:tc>
          <w:tcPr>
            <w:tcW w:w="11000" w:type="dxa"/>
            <w:gridSpan w:val="2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6"/>
              </w:rPr>
              <w:t>ОПШТА СТАТИСТИКА ПРИМЕНЕ МЕТОДА КОНСУЛТАЦИЈА У ПРОЦЕСУ: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Укупан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спроведених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Удео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Панел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дискусија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" 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укупном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спроведених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0.00</w:t>
            </w:r>
            <w:r>
              <w:rPr>
                <w:rFonts w:ascii="Arial" w:eastAsia="Arial" w:hAnsi="Arial" w:cs="Arial"/>
                <w:color w:val="000000"/>
              </w:rPr>
              <w:t xml:space="preserve"> %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Удео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Округли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сто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" 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укупном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спроведених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0.00 %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Удео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Фокус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група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" 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укупном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спроведених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0.00 %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Удео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Анкета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" 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укупном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спроведених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0.00 %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Удео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Остали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догађаји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" 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укупном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спроведених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0.00 %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Удео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Прикупљање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" у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укупном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спроведених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метода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100.00 %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одржаних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панела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одржаних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округлих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столова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одржаних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фокус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група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одржаних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анкета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одржаних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осталих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догађаја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538D">
        <w:tc>
          <w:tcPr>
            <w:tcW w:w="7000" w:type="dxa"/>
          </w:tcPr>
          <w:p w:rsidR="00BC538D" w:rsidRDefault="006F1CD3">
            <w:pPr>
              <w:spacing w:before="100" w:after="0" w:line="288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одржаних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прикупљања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коментара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 </w:t>
            </w:r>
          </w:p>
        </w:tc>
        <w:tc>
          <w:tcPr>
            <w:tcW w:w="4000" w:type="dxa"/>
          </w:tcPr>
          <w:p w:rsidR="00BC538D" w:rsidRDefault="006F1CD3">
            <w:pPr>
              <w:spacing w:before="100" w:after="0" w:line="288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</w:tbl>
    <w:p w:rsidR="006F1CD3" w:rsidRDefault="006F1CD3"/>
    <w:sectPr w:rsidR="006F1CD3">
      <w:pgSz w:w="12240" w:h="15840"/>
      <w:pgMar w:top="500" w:right="1000" w:bottom="10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538D"/>
    <w:rsid w:val="006F1CD3"/>
    <w:rsid w:val="00966BBB"/>
    <w:rsid w:val="00B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F823D-486F-4681-9CC3-7B7A8259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6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Vladimir Vasić</cp:lastModifiedBy>
  <cp:revision>2</cp:revision>
  <dcterms:created xsi:type="dcterms:W3CDTF">2025-11-07T08:33:00Z</dcterms:created>
  <dcterms:modified xsi:type="dcterms:W3CDTF">2025-11-07T08:45:00Z</dcterms:modified>
</cp:coreProperties>
</file>