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DA" w:rsidRPr="001A4D2F" w:rsidRDefault="00A278FF" w:rsidP="00C11F8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bookmarkStart w:id="0" w:name="_Toc32409904"/>
      <w:r w:rsidRPr="001A4D2F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Акциони план</w:t>
      </w:r>
      <w:bookmarkEnd w:id="0"/>
    </w:p>
    <w:p w:rsidR="009A5E51" w:rsidRPr="001A4D2F" w:rsidRDefault="009A5E51" w:rsidP="00C11F8E">
      <w:pPr>
        <w:rPr>
          <w:sz w:val="22"/>
          <w:szCs w:val="22"/>
          <w:lang w:val="sr-Cyrl-CS"/>
        </w:rPr>
      </w:pPr>
    </w:p>
    <w:tbl>
      <w:tblPr>
        <w:tblStyle w:val="TableGrid"/>
        <w:tblW w:w="13149" w:type="dxa"/>
        <w:tblLook w:val="04A0"/>
      </w:tblPr>
      <w:tblGrid>
        <w:gridCol w:w="3327"/>
        <w:gridCol w:w="9822"/>
      </w:tblGrid>
      <w:tr w:rsidR="00F43ECD" w:rsidRPr="001A4D2F" w:rsidTr="00C11F8E">
        <w:trPr>
          <w:trHeight w:val="230"/>
        </w:trPr>
        <w:tc>
          <w:tcPr>
            <w:tcW w:w="3327" w:type="dxa"/>
            <w:tcBorders>
              <w:top w:val="double" w:sz="4" w:space="0" w:color="auto"/>
              <w:left w:val="double" w:sz="4" w:space="0" w:color="auto"/>
            </w:tcBorders>
          </w:tcPr>
          <w:p w:rsidR="00F43ECD" w:rsidRPr="001A4D2F" w:rsidRDefault="00F43ECD" w:rsidP="00C11F8E">
            <w:pPr>
              <w:rPr>
                <w:b/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>Документ ЈП:</w:t>
            </w:r>
          </w:p>
        </w:tc>
        <w:tc>
          <w:tcPr>
            <w:tcW w:w="9822" w:type="dxa"/>
            <w:tcBorders>
              <w:top w:val="double" w:sz="4" w:space="0" w:color="auto"/>
              <w:right w:val="double" w:sz="4" w:space="0" w:color="auto"/>
            </w:tcBorders>
          </w:tcPr>
          <w:p w:rsidR="00F43ECD" w:rsidRPr="001A4D2F" w:rsidRDefault="00267777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С</w:t>
            </w:r>
            <w:r w:rsidR="00497818" w:rsidRPr="001A4D2F">
              <w:rPr>
                <w:sz w:val="22"/>
                <w:szCs w:val="22"/>
                <w:lang w:val="sr-Cyrl-CS"/>
              </w:rPr>
              <w:t>тратегија за борбу против прања новца и финансирања тероризма (2020-2024)</w:t>
            </w:r>
          </w:p>
        </w:tc>
      </w:tr>
      <w:tr w:rsidR="00F43ECD" w:rsidRPr="001A4D2F" w:rsidTr="00C11F8E">
        <w:trPr>
          <w:trHeight w:val="164"/>
        </w:trPr>
        <w:tc>
          <w:tcPr>
            <w:tcW w:w="3327" w:type="dxa"/>
            <w:tcBorders>
              <w:left w:val="double" w:sz="4" w:space="0" w:color="auto"/>
            </w:tcBorders>
          </w:tcPr>
          <w:p w:rsidR="00F43ECD" w:rsidRPr="001A4D2F" w:rsidRDefault="00F43ECD" w:rsidP="00C11F8E">
            <w:pPr>
              <w:rPr>
                <w:b/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>Акциони план:</w:t>
            </w:r>
          </w:p>
        </w:tc>
        <w:tc>
          <w:tcPr>
            <w:tcW w:w="9822" w:type="dxa"/>
            <w:tcBorders>
              <w:right w:val="double" w:sz="4" w:space="0" w:color="auto"/>
            </w:tcBorders>
          </w:tcPr>
          <w:p w:rsidR="00F43ECD" w:rsidRPr="001A4D2F" w:rsidRDefault="00497818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 xml:space="preserve">Акциони план за спровођење </w:t>
            </w:r>
            <w:r w:rsidR="00267777" w:rsidRPr="001A4D2F">
              <w:rPr>
                <w:sz w:val="22"/>
                <w:szCs w:val="22"/>
                <w:lang w:val="sr-Cyrl-CS"/>
              </w:rPr>
              <w:t>С</w:t>
            </w:r>
            <w:r w:rsidRPr="001A4D2F">
              <w:rPr>
                <w:sz w:val="22"/>
                <w:szCs w:val="22"/>
                <w:lang w:val="sr-Cyrl-CS"/>
              </w:rPr>
              <w:t xml:space="preserve">тратегије за борбу против прања новца и </w:t>
            </w:r>
            <w:r w:rsidR="00876914" w:rsidRPr="001A4D2F">
              <w:rPr>
                <w:sz w:val="22"/>
                <w:szCs w:val="22"/>
                <w:lang w:val="sr-Cyrl-CS"/>
              </w:rPr>
              <w:t>финансирања тероризма (2020-2022</w:t>
            </w:r>
            <w:r w:rsidRPr="001A4D2F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F43ECD" w:rsidRPr="001A4D2F" w:rsidTr="00C11F8E">
        <w:trPr>
          <w:trHeight w:val="230"/>
        </w:trPr>
        <w:tc>
          <w:tcPr>
            <w:tcW w:w="3327" w:type="dxa"/>
            <w:tcBorders>
              <w:left w:val="double" w:sz="4" w:space="0" w:color="auto"/>
            </w:tcBorders>
          </w:tcPr>
          <w:p w:rsidR="00F43ECD" w:rsidRPr="001A4D2F" w:rsidRDefault="00F43ECD" w:rsidP="00C11F8E">
            <w:pPr>
              <w:rPr>
                <w:b/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>Координација и извештавање</w:t>
            </w:r>
          </w:p>
        </w:tc>
        <w:tc>
          <w:tcPr>
            <w:tcW w:w="9822" w:type="dxa"/>
            <w:tcBorders>
              <w:right w:val="double" w:sz="4" w:space="0" w:color="auto"/>
            </w:tcBorders>
          </w:tcPr>
          <w:p w:rsidR="00F43ECD" w:rsidRPr="001A4D2F" w:rsidRDefault="00C1496A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Координационо тело за спречавање прања новца и финансирања тероризма</w:t>
            </w:r>
            <w:r w:rsidR="009E1129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(КТ)</w:t>
            </w:r>
          </w:p>
        </w:tc>
      </w:tr>
      <w:tr w:rsidR="00F43ECD" w:rsidRPr="001A4D2F" w:rsidTr="00C11F8E">
        <w:trPr>
          <w:trHeight w:val="230"/>
        </w:trPr>
        <w:tc>
          <w:tcPr>
            <w:tcW w:w="3327" w:type="dxa"/>
            <w:tcBorders>
              <w:left w:val="double" w:sz="4" w:space="0" w:color="auto"/>
              <w:bottom w:val="double" w:sz="4" w:space="0" w:color="auto"/>
            </w:tcBorders>
          </w:tcPr>
          <w:p w:rsidR="00F43ECD" w:rsidRPr="001A4D2F" w:rsidRDefault="00F43ECD" w:rsidP="00C11F8E">
            <w:pPr>
              <w:rPr>
                <w:b/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>Кровни документ ЈП:</w:t>
            </w:r>
          </w:p>
        </w:tc>
        <w:tc>
          <w:tcPr>
            <w:tcW w:w="9822" w:type="dxa"/>
            <w:tcBorders>
              <w:bottom w:val="double" w:sz="4" w:space="0" w:color="auto"/>
              <w:right w:val="double" w:sz="4" w:space="0" w:color="auto"/>
            </w:tcBorders>
          </w:tcPr>
          <w:p w:rsidR="00F43ECD" w:rsidRPr="001A4D2F" w:rsidRDefault="00267777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Ст</w:t>
            </w:r>
            <w:r w:rsidR="00497818" w:rsidRPr="001A4D2F">
              <w:rPr>
                <w:sz w:val="22"/>
                <w:szCs w:val="22"/>
                <w:lang w:val="sr-Cyrl-CS"/>
              </w:rPr>
              <w:t>ратегија за борбу против прања новца и финансирања тероризма (2020-2024)</w:t>
            </w:r>
          </w:p>
        </w:tc>
      </w:tr>
    </w:tbl>
    <w:p w:rsidR="00F43ECD" w:rsidRPr="001A4D2F" w:rsidRDefault="00F43ECD" w:rsidP="00C11F8E">
      <w:pPr>
        <w:rPr>
          <w:sz w:val="22"/>
          <w:szCs w:val="22"/>
          <w:lang w:val="sr-Cyrl-CS"/>
        </w:rPr>
      </w:pPr>
    </w:p>
    <w:tbl>
      <w:tblPr>
        <w:tblStyle w:val="TableGrid"/>
        <w:tblW w:w="14142" w:type="dxa"/>
        <w:tblLayout w:type="fixed"/>
        <w:tblLook w:val="04A0"/>
      </w:tblPr>
      <w:tblGrid>
        <w:gridCol w:w="3227"/>
        <w:gridCol w:w="1843"/>
        <w:gridCol w:w="1842"/>
        <w:gridCol w:w="2410"/>
        <w:gridCol w:w="1843"/>
        <w:gridCol w:w="1843"/>
        <w:gridCol w:w="1134"/>
      </w:tblGrid>
      <w:tr w:rsidR="00F43ECD" w:rsidRPr="001A4D2F" w:rsidTr="00DF0DDF">
        <w:trPr>
          <w:trHeight w:val="403"/>
        </w:trPr>
        <w:tc>
          <w:tcPr>
            <w:tcW w:w="141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F43ECD" w:rsidRPr="001A4D2F" w:rsidRDefault="00F43ECD" w:rsidP="00C11F8E">
            <w:pPr>
              <w:jc w:val="both"/>
              <w:rPr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>Општи циљ: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Pr="001A4D2F">
              <w:rPr>
                <w:b/>
                <w:sz w:val="22"/>
                <w:szCs w:val="22"/>
                <w:lang w:val="sr-Cyrl-CS"/>
              </w:rPr>
              <w:t>У потпуности заштитити привреду и финансијски систем државе од опасности које узрокују прање новца, финансирање тероризма и финансирање ширења оружја за масовно уништење, чиме се кроз активну сарадњу јавног и приватног сектора и приступ заснован на анализи и процени ризика јачају систем и интегритет институција финансијског и нефинансијског сектора и доприноси безбедности, сигурности и владавини права.</w:t>
            </w:r>
          </w:p>
        </w:tc>
      </w:tr>
      <w:tr w:rsidR="00F43ECD" w:rsidRPr="001A4D2F" w:rsidTr="00DF0DDF">
        <w:trPr>
          <w:trHeight w:val="377"/>
        </w:trPr>
        <w:tc>
          <w:tcPr>
            <w:tcW w:w="14142" w:type="dxa"/>
            <w:gridSpan w:val="7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Институција одговорна за праћење и контролу реализације: Координационо тело за спречавање прања новца и финансирања тероризма</w:t>
            </w:r>
          </w:p>
        </w:tc>
      </w:tr>
      <w:tr w:rsidR="00F35DC4" w:rsidRPr="001A4D2F" w:rsidTr="00EB4EE8">
        <w:trPr>
          <w:trHeight w:val="377"/>
        </w:trPr>
        <w:tc>
          <w:tcPr>
            <w:tcW w:w="322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Показатељ (и) на нивоу oпштег циља (показатељ eфекта)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Jединица мере</w:t>
            </w:r>
          </w:p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Извор провере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 xml:space="preserve">Почетна вредност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Базна година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4316AD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 xml:space="preserve">Циљaна вредност у </w:t>
            </w:r>
            <w:r w:rsidR="004316AD" w:rsidRPr="001A4D2F">
              <w:rPr>
                <w:sz w:val="22"/>
                <w:szCs w:val="22"/>
                <w:lang w:val="sr-Cyrl-CS"/>
              </w:rPr>
              <w:t>2022.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C11F8E">
            <w:pPr>
              <w:rPr>
                <w:sz w:val="20"/>
                <w:szCs w:val="20"/>
                <w:lang w:val="sr-Cyrl-CS"/>
              </w:rPr>
            </w:pPr>
            <w:r w:rsidRPr="001A4D2F">
              <w:rPr>
                <w:sz w:val="20"/>
                <w:szCs w:val="20"/>
                <w:lang w:val="sr-Cyrl-CS"/>
              </w:rPr>
              <w:t>Последња година важења АП</w:t>
            </w:r>
          </w:p>
        </w:tc>
      </w:tr>
      <w:tr w:rsidR="00F35DC4" w:rsidRPr="001A4D2F" w:rsidTr="00EB4EE8">
        <w:trPr>
          <w:trHeight w:val="176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41126" w:rsidRPr="001A4D2F" w:rsidRDefault="00741126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1.</w:t>
            </w:r>
            <w:r w:rsidR="006D56C2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6D56C2" w:rsidRPr="001A4D2F">
              <w:rPr>
                <w:b/>
                <w:sz w:val="22"/>
                <w:szCs w:val="22"/>
                <w:lang w:val="sr-Cyrl-CS"/>
              </w:rPr>
              <w:t>Оцена усклађености</w:t>
            </w:r>
            <w:r w:rsidRPr="001A4D2F">
              <w:rPr>
                <w:sz w:val="22"/>
                <w:szCs w:val="22"/>
                <w:lang w:val="sr-Cyrl-CS"/>
              </w:rPr>
              <w:t xml:space="preserve"> система за борбу против прања новца, финансирања тероризма и ширења оружја за масовно уништење у Републици Србији са међународним стандардима (ФАТФ) </w:t>
            </w:r>
            <w:r w:rsidRPr="001A4D2F">
              <w:rPr>
                <w:b/>
                <w:sz w:val="22"/>
                <w:szCs w:val="22"/>
                <w:lang w:val="sr-Cyrl-CS"/>
              </w:rPr>
              <w:t xml:space="preserve">на 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техничком нивоу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</w:p>
          <w:p w:rsidR="00741126" w:rsidRPr="001A4D2F" w:rsidRDefault="00741126" w:rsidP="00EB4EE8">
            <w:pPr>
              <w:shd w:val="clear" w:color="auto" w:fill="FFFFFF" w:themeFill="background1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56AE0" w:rsidP="00C11F8E">
            <w:pPr>
              <w:shd w:val="clear" w:color="auto" w:fill="FFFFFF" w:themeFill="background1"/>
              <w:rPr>
                <w:b/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1. Оцена у</w:t>
            </w:r>
            <w:r w:rsidRPr="001A4D2F">
              <w:rPr>
                <w:b/>
                <w:sz w:val="22"/>
                <w:szCs w:val="22"/>
                <w:lang w:val="sr-Cyrl-CS"/>
              </w:rPr>
              <w:t xml:space="preserve">склађености на 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техничком нивоу</w:t>
            </w:r>
            <w:r w:rsidR="00741126"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: </w:t>
            </w:r>
          </w:p>
          <w:p w:rsidR="00741126" w:rsidRPr="001A4D2F" w:rsidRDefault="00741126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color w:val="auto"/>
                <w:sz w:val="22"/>
                <w:szCs w:val="22"/>
                <w:lang w:val="sr-Cyrl-CS"/>
              </w:rPr>
              <w:t>а) неусклађен</w:t>
            </w:r>
          </w:p>
          <w:p w:rsidR="00741126" w:rsidRPr="001A4D2F" w:rsidRDefault="001A4D2F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color w:val="auto"/>
                <w:sz w:val="22"/>
                <w:szCs w:val="22"/>
                <w:lang w:val="sr-Cyrl-CS"/>
              </w:rPr>
              <w:t>б) дели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>мично усклађен</w:t>
            </w:r>
          </w:p>
          <w:p w:rsidR="00741126" w:rsidRPr="001A4D2F" w:rsidRDefault="00741126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color w:val="auto"/>
                <w:sz w:val="22"/>
                <w:szCs w:val="22"/>
                <w:lang w:val="sr-Cyrl-CS"/>
              </w:rPr>
              <w:t>в) у великој мери усклађен</w:t>
            </w:r>
          </w:p>
          <w:p w:rsidR="00741126" w:rsidRPr="001A4D2F" w:rsidRDefault="00741126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color w:val="auto"/>
                <w:sz w:val="22"/>
                <w:szCs w:val="22"/>
                <w:lang w:val="sr-Cyrl-CS"/>
              </w:rPr>
              <w:t>г) усклађен</w:t>
            </w:r>
          </w:p>
          <w:p w:rsidR="00741126" w:rsidRPr="001A4D2F" w:rsidRDefault="00741126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  <w:p w:rsidR="002702AB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702AB" w:rsidRPr="001A4D2F" w:rsidRDefault="002702AB" w:rsidP="00C11F8E">
            <w:pPr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1.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Извештај о евалуацији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Републике Србије од стране Комитета Манивал Савета Европе</w:t>
            </w:r>
          </w:p>
          <w:p w:rsidR="002702AB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702AB" w:rsidRPr="001A4D2F" w:rsidRDefault="002702AB" w:rsidP="00EB4EE8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>У</w:t>
            </w:r>
            <w:r w:rsidR="00C6078C" w:rsidRPr="001A4D2F">
              <w:rPr>
                <w:b/>
                <w:sz w:val="22"/>
                <w:szCs w:val="22"/>
                <w:lang w:val="sr-Cyrl-CS"/>
              </w:rPr>
              <w:t>склађеност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 на 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>техничком нивоу</w:t>
            </w:r>
            <w:r w:rsidRPr="001A4D2F">
              <w:rPr>
                <w:b/>
                <w:sz w:val="22"/>
                <w:szCs w:val="22"/>
                <w:lang w:val="sr-Cyrl-CS"/>
              </w:rPr>
              <w:t>: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Србија је </w:t>
            </w:r>
            <w:r w:rsidRPr="001A4D2F">
              <w:rPr>
                <w:sz w:val="22"/>
                <w:szCs w:val="22"/>
                <w:lang w:val="sr-Cyrl-CS"/>
              </w:rPr>
              <w:t xml:space="preserve">2016-2019. 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постигла изузетан напредак: Од 40 препорука ФАТФ – стандарда - у погледу 17 препорука ФАТФ, Србија је 2016. добила оцене 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>неусклађен</w:t>
            </w:r>
            <w:r w:rsidRPr="001A4D2F">
              <w:rPr>
                <w:i/>
                <w:sz w:val="22"/>
                <w:szCs w:val="22"/>
                <w:lang w:val="sr-Cyrl-CS"/>
              </w:rPr>
              <w:t>о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и 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>делимично усклађен</w:t>
            </w:r>
            <w:r w:rsidRPr="001A4D2F">
              <w:rPr>
                <w:i/>
                <w:sz w:val="22"/>
                <w:szCs w:val="22"/>
                <w:lang w:val="sr-Cyrl-CS"/>
              </w:rPr>
              <w:t>о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250537" w:rsidRPr="001A4D2F">
              <w:rPr>
                <w:sz w:val="22"/>
                <w:szCs w:val="22"/>
                <w:lang w:val="sr-Cyrl-CS"/>
              </w:rPr>
              <w:t>(незадовољавајуће оцене)</w:t>
            </w:r>
            <w:r w:rsidR="00C67B9A" w:rsidRPr="001A4D2F">
              <w:rPr>
                <w:sz w:val="22"/>
                <w:szCs w:val="22"/>
                <w:lang w:val="sr-Cyrl-CS"/>
              </w:rPr>
              <w:t xml:space="preserve">. До децембра 2019. 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оцене су подигнуте на 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>у великој мери усклађен</w:t>
            </w:r>
            <w:r w:rsidRPr="001A4D2F">
              <w:rPr>
                <w:i/>
                <w:sz w:val="22"/>
                <w:szCs w:val="22"/>
                <w:lang w:val="sr-Cyrl-CS"/>
              </w:rPr>
              <w:t>о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и 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>усклађен</w:t>
            </w:r>
            <w:r w:rsidRPr="001A4D2F">
              <w:rPr>
                <w:i/>
                <w:sz w:val="22"/>
                <w:szCs w:val="22"/>
                <w:lang w:val="sr-Cyrl-CS"/>
              </w:rPr>
              <w:t>о</w:t>
            </w:r>
            <w:r w:rsidR="00250537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250537" w:rsidRPr="001A4D2F">
              <w:rPr>
                <w:sz w:val="22"/>
                <w:szCs w:val="22"/>
                <w:lang w:val="sr-Cyrl-CS"/>
              </w:rPr>
              <w:lastRenderedPageBreak/>
              <w:t>(задовољавајуће оцене)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на 13 </w:t>
            </w:r>
            <w:r w:rsidR="00250537" w:rsidRPr="001A4D2F">
              <w:rPr>
                <w:sz w:val="22"/>
                <w:szCs w:val="22"/>
                <w:lang w:val="sr-Cyrl-CS"/>
              </w:rPr>
              <w:t xml:space="preserve">од тих 17 </w:t>
            </w:r>
            <w:r w:rsidR="00C6078C" w:rsidRPr="001A4D2F">
              <w:rPr>
                <w:sz w:val="22"/>
                <w:szCs w:val="22"/>
                <w:lang w:val="sr-Cyrl-CS"/>
              </w:rPr>
              <w:t>препорука ФАТФ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lastRenderedPageBreak/>
              <w:t>1.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Усклађеност на 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>техничком нивоу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: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2019.</w:t>
            </w:r>
          </w:p>
          <w:p w:rsidR="002702AB" w:rsidRPr="001A4D2F" w:rsidRDefault="002702AB" w:rsidP="00EB4EE8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702AB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1. 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Усклађеност на 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>техничком нивоу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: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Задовољавајуће оцене по свих 40 препорка ФАТФ (тј. </w:t>
            </w:r>
            <w:r w:rsidRPr="001A4D2F">
              <w:rPr>
                <w:i/>
                <w:color w:val="auto"/>
                <w:sz w:val="22"/>
                <w:szCs w:val="22"/>
                <w:lang w:val="sr-Cyrl-CS"/>
              </w:rPr>
              <w:t xml:space="preserve">усклађено 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или </w:t>
            </w:r>
            <w:r w:rsidRPr="001A4D2F">
              <w:rPr>
                <w:i/>
                <w:color w:val="auto"/>
                <w:sz w:val="22"/>
                <w:szCs w:val="22"/>
                <w:lang w:val="sr-Cyrl-CS"/>
              </w:rPr>
              <w:t>у великој мери усклађено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) </w:t>
            </w:r>
          </w:p>
          <w:p w:rsidR="00F43ECD" w:rsidRPr="001A4D2F" w:rsidRDefault="00F43ECD" w:rsidP="00EB4EE8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741126" w:rsidP="00C11F8E">
            <w:pPr>
              <w:shd w:val="clear" w:color="auto" w:fill="FFFFFF" w:themeFill="background1"/>
              <w:rPr>
                <w:b/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>2022.</w:t>
            </w:r>
          </w:p>
        </w:tc>
      </w:tr>
      <w:tr w:rsidR="00EB4EE8" w:rsidRPr="001A4D2F" w:rsidTr="00EB4EE8">
        <w:trPr>
          <w:trHeight w:val="176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lastRenderedPageBreak/>
              <w:t xml:space="preserve">2. </w:t>
            </w:r>
            <w:r w:rsidRPr="001A4D2F">
              <w:rPr>
                <w:b/>
                <w:color w:val="auto"/>
                <w:lang w:val="sr-Cyrl-CS"/>
              </w:rPr>
              <w:t>Оцена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Pr="001A4D2F">
              <w:rPr>
                <w:b/>
                <w:color w:val="auto"/>
                <w:lang w:val="sr-Cyrl-CS"/>
              </w:rPr>
              <w:t>усклађености</w:t>
            </w:r>
            <w:r w:rsidRPr="001A4D2F">
              <w:rPr>
                <w:color w:val="auto"/>
                <w:lang w:val="sr-Cyrl-CS"/>
              </w:rPr>
              <w:t xml:space="preserve"> система </w:t>
            </w:r>
            <w:r w:rsidRPr="001A4D2F">
              <w:rPr>
                <w:lang w:val="sr-Cyrl-CS"/>
              </w:rPr>
              <w:t xml:space="preserve">за борбу против прања новца, финансирања тероризма и ширења оружја за масовно уништење у Републици Србији са међународним стандардима (ФАТФ) </w:t>
            </w:r>
            <w:r w:rsidRPr="001A4D2F">
              <w:rPr>
                <w:b/>
                <w:lang w:val="sr-Cyrl-CS"/>
              </w:rPr>
              <w:t>на нивоу делотворности</w:t>
            </w:r>
            <w:r w:rsidRPr="001A4D2F">
              <w:rPr>
                <w:lang w:val="sr-Cyrl-CS"/>
              </w:rPr>
              <w:t>;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color w:val="FF0000"/>
                <w:lang w:val="sr-Cyrl-CS"/>
              </w:rPr>
            </w:pPr>
          </w:p>
          <w:p w:rsidR="00EB4EE8" w:rsidRPr="001A4D2F" w:rsidRDefault="00EB4EE8" w:rsidP="00C11F8E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2. Оцена делотворности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а) низак ниво делотворности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б) умерен ниво делотворности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в) значајан ниво делотворности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г) висок ниво делотворности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2.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Pr="001A4D2F">
              <w:rPr>
                <w:b/>
                <w:color w:val="auto"/>
                <w:lang w:val="sr-Cyrl-CS"/>
              </w:rPr>
              <w:t>Извештај о евалуацији</w:t>
            </w:r>
            <w:r w:rsidRPr="001A4D2F">
              <w:rPr>
                <w:color w:val="auto"/>
                <w:lang w:val="sr-Cyrl-CS"/>
              </w:rPr>
              <w:t xml:space="preserve"> Републике Србије од стране Комитета Манивал Савета Европе</w:t>
            </w:r>
          </w:p>
          <w:p w:rsidR="00EB4EE8" w:rsidRPr="001A4D2F" w:rsidRDefault="00EB4EE8" w:rsidP="00EB4EE8">
            <w:pPr>
              <w:rPr>
                <w:b/>
                <w:color w:val="auto"/>
                <w:lang w:val="sr-Cyrl-CS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lang w:val="sr-Cyrl-CS"/>
              </w:rPr>
              <w:t xml:space="preserve">2. Делотворност: </w:t>
            </w:r>
            <w:r w:rsidRPr="001A4D2F">
              <w:rPr>
                <w:lang w:val="sr-Cyrl-CS"/>
              </w:rPr>
              <w:t xml:space="preserve">Базна вредност је утврђена 2016, делимичну оцену за </w:t>
            </w:r>
            <w:r w:rsidRPr="001A4D2F">
              <w:rPr>
                <w:b/>
                <w:lang w:val="sr-Cyrl-CS"/>
              </w:rPr>
              <w:t>стратешки важна</w:t>
            </w:r>
            <w:r w:rsidRPr="001A4D2F">
              <w:rPr>
                <w:lang w:val="sr-Cyrl-CS"/>
              </w:rPr>
              <w:t xml:space="preserve"> питања (7 од 11 непосредних исхода по Методологији ФАТФ) дао је ФАТФ у јуну 2019. утврдивши да је Србија показала </w:t>
            </w:r>
            <w:r w:rsidRPr="001A4D2F">
              <w:rPr>
                <w:color w:val="auto"/>
                <w:lang w:val="sr-Cyrl-CS"/>
              </w:rPr>
              <w:t>напредак.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2. Делотворност:</w:t>
            </w:r>
            <w:r w:rsidRPr="001A4D2F">
              <w:rPr>
                <w:color w:val="auto"/>
                <w:lang w:val="sr-Cyrl-CS"/>
              </w:rPr>
              <w:t xml:space="preserve"> 2016, 2019.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2. Делотворност:</w:t>
            </w:r>
            <w:r w:rsidRPr="001A4D2F">
              <w:rPr>
                <w:color w:val="auto"/>
                <w:lang w:val="sr-Cyrl-CS"/>
              </w:rPr>
              <w:t xml:space="preserve"> позитиван и осетан напредак на свих 11 непосредних циљева по Методологији ФАТФ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lang w:val="sr-Cyrl-CS"/>
              </w:rPr>
            </w:pPr>
          </w:p>
        </w:tc>
      </w:tr>
      <w:tr w:rsidR="00EB4EE8" w:rsidRPr="001A4D2F" w:rsidTr="00EB4EE8">
        <w:trPr>
          <w:trHeight w:val="176"/>
        </w:trPr>
        <w:tc>
          <w:tcPr>
            <w:tcW w:w="322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3. </w:t>
            </w:r>
            <w:r w:rsidRPr="001A4D2F">
              <w:rPr>
                <w:b/>
                <w:color w:val="auto"/>
                <w:lang w:val="sr-Cyrl-CS"/>
              </w:rPr>
              <w:t>Ажурирана национална процена ризика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3.</w:t>
            </w:r>
            <w:r w:rsidRPr="001A4D2F">
              <w:rPr>
                <w:color w:val="auto"/>
                <w:lang w:val="sr-Cyrl-CS"/>
              </w:rPr>
              <w:t xml:space="preserve"> Да/Не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rPr>
                <w:b/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3. Закључак Владе</w:t>
            </w:r>
            <w:r w:rsidRPr="001A4D2F">
              <w:rPr>
                <w:color w:val="auto"/>
                <w:lang w:val="sr-Cyrl-CS"/>
              </w:rPr>
              <w:t xml:space="preserve"> о усвајању Извештаја о ажурираној Националној процени ризика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rPr>
                <w:b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3. Ажурирана Национална процена ризика: </w:t>
            </w:r>
            <w:r w:rsidRPr="001A4D2F">
              <w:rPr>
                <w:color w:val="auto"/>
                <w:lang w:val="sr-Cyrl-CS"/>
              </w:rPr>
              <w:t>Не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3. Национална процена ризика:</w:t>
            </w:r>
            <w:r w:rsidRPr="001A4D2F">
              <w:rPr>
                <w:color w:val="auto"/>
                <w:lang w:val="sr-Cyrl-CS"/>
              </w:rPr>
              <w:t xml:space="preserve"> 2019.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3. Национална процена ризика: </w:t>
            </w:r>
            <w:r w:rsidRPr="001A4D2F">
              <w:rPr>
                <w:color w:val="auto"/>
                <w:lang w:val="sr-Cyrl-CS"/>
              </w:rPr>
              <w:t>Да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lang w:val="sr-Cyrl-CS"/>
              </w:rPr>
            </w:pPr>
          </w:p>
        </w:tc>
      </w:tr>
    </w:tbl>
    <w:p w:rsidR="00C1496A" w:rsidRDefault="00C1496A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Pr="00173AE0" w:rsidRDefault="00173AE0" w:rsidP="00C11F8E"/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36"/>
        <w:gridCol w:w="1442"/>
        <w:gridCol w:w="2466"/>
        <w:gridCol w:w="1276"/>
        <w:gridCol w:w="1134"/>
        <w:gridCol w:w="1559"/>
        <w:gridCol w:w="1418"/>
        <w:gridCol w:w="1701"/>
      </w:tblGrid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43ECD" w:rsidRPr="001A4D2F" w:rsidRDefault="00F43ECD" w:rsidP="00C11F8E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1" w:name="_Toc32409905"/>
            <w:r w:rsidRPr="001A4D2F">
              <w:rPr>
                <w:szCs w:val="24"/>
                <w:lang w:val="sr-Cyrl-CS"/>
              </w:rPr>
              <w:lastRenderedPageBreak/>
              <w:t>Посебни циљ 1:</w:t>
            </w:r>
            <w:r w:rsidR="00B02F59" w:rsidRPr="001A4D2F">
              <w:rPr>
                <w:szCs w:val="24"/>
                <w:lang w:val="sr-Cyrl-CS"/>
              </w:rPr>
              <w:t xml:space="preserve"> </w:t>
            </w:r>
            <w:r w:rsidR="001B60B1" w:rsidRPr="001A4D2F">
              <w:rPr>
                <w:szCs w:val="24"/>
                <w:lang w:val="sr-Cyrl-CS"/>
              </w:rPr>
              <w:t>Смањивати ризике</w:t>
            </w:r>
            <w:r w:rsidRPr="001A4D2F">
              <w:rPr>
                <w:szCs w:val="24"/>
                <w:lang w:val="sr-Cyrl-CS"/>
              </w:rPr>
              <w:t xml:space="preserve"> од прања новца, финансирања тероризма и ширења оружја за масовно уништење кроз континуирано унапређење стратешког, законодавног и институционалног оквира, координацију и сарадњу свих учесника у систему борбе против прања новца и финансирања тероризма</w:t>
            </w:r>
            <w:r w:rsidR="00A765CF" w:rsidRPr="001A4D2F">
              <w:rPr>
                <w:szCs w:val="24"/>
                <w:lang w:val="sr-Cyrl-CS"/>
              </w:rPr>
              <w:t xml:space="preserve"> и међународну сарадњу</w:t>
            </w:r>
            <w:bookmarkEnd w:id="1"/>
          </w:p>
        </w:tc>
      </w:tr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>Институција одговорна за праћење и контролу реализације: Координационо тело за спречавање прања новца и финансирања тероризма</w:t>
            </w:r>
          </w:p>
        </w:tc>
      </w:tr>
      <w:tr w:rsidR="004316AD" w:rsidRPr="001A4D2F" w:rsidTr="00DF0DDF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885F9C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F43ECD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B5545" w:rsidRPr="001A4D2F" w:rsidRDefault="00CB5545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1.</w:t>
            </w:r>
            <w:r w:rsidR="002D69E2" w:rsidRPr="001A4D2F">
              <w:rPr>
                <w:lang w:val="sr-Cyrl-CS"/>
              </w:rPr>
              <w:t xml:space="preserve"> Ажурирана национална процена ризика</w:t>
            </w:r>
          </w:p>
          <w:p w:rsidR="000435FD" w:rsidRPr="001A4D2F" w:rsidRDefault="000435FD" w:rsidP="000435FD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7310" w:rsidRPr="001A4D2F" w:rsidRDefault="00CB5545" w:rsidP="006F731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435FD" w:rsidRPr="001A4D2F" w:rsidRDefault="00F43ECD" w:rsidP="000435F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</w:t>
            </w:r>
            <w:r w:rsidR="000A7CC4" w:rsidRPr="001A4D2F">
              <w:rPr>
                <w:lang w:val="sr-Cyrl-CS"/>
              </w:rPr>
              <w:t xml:space="preserve">ај о националној процени ризика, </w:t>
            </w:r>
          </w:p>
          <w:p w:rsidR="00467761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Манивала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903B6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  <w:r w:rsidR="000435FD" w:rsidRPr="001A4D2F">
              <w:rPr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  <w:tr w:rsidR="000435FD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 w:rsidP="008B4459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2. Одржавање напретка на релевантним непосредним резултатима у складу са Методологијом ФАТФ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 w:rsidP="000435F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Извештаји о раду координационих тела, надзорних органа, извештаји о раду других инсти</w:t>
            </w:r>
            <w:r w:rsidR="00A12C29" w:rsidRPr="001A4D2F">
              <w:rPr>
                <w:lang w:val="sr-Cyrl-CS"/>
              </w:rPr>
              <w:t>ту</w:t>
            </w:r>
            <w:r w:rsidR="00327445">
              <w:rPr>
                <w:lang w:val="sr-Cyrl-CS"/>
              </w:rPr>
              <w:t>ција</w:t>
            </w:r>
            <w:r w:rsidRPr="001A4D2F">
              <w:rPr>
                <w:lang w:val="sr-Cyrl-CS"/>
              </w:rPr>
              <w:t>,</w:t>
            </w:r>
          </w:p>
          <w:p w:rsidR="000435FD" w:rsidRPr="001A4D2F" w:rsidRDefault="000435FD" w:rsidP="000435F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Манивала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35FD" w:rsidRPr="001A4D2F" w:rsidRDefault="000435F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C1496A" w:rsidRDefault="00C1496A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2792"/>
        <w:gridCol w:w="1134"/>
        <w:gridCol w:w="2976"/>
        <w:gridCol w:w="709"/>
        <w:gridCol w:w="1134"/>
        <w:gridCol w:w="992"/>
        <w:gridCol w:w="1418"/>
        <w:gridCol w:w="1417"/>
        <w:gridCol w:w="1560"/>
      </w:tblGrid>
      <w:tr w:rsidR="00F43ECD" w:rsidRPr="001A4D2F" w:rsidTr="00DF0DDF"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2" w:name="_Toc32409906"/>
            <w:r w:rsidRPr="001A4D2F">
              <w:rPr>
                <w:rFonts w:cs="Times New Roman"/>
                <w:sz w:val="24"/>
                <w:lang w:val="sr-Cyrl-CS"/>
              </w:rPr>
              <w:t>Мера 1.1: Одржавање и унапређење свеобухватног разумевања ризика од прања новца и финансирања тероризма у Републици Србији</w:t>
            </w:r>
            <w:bookmarkEnd w:id="2"/>
          </w:p>
        </w:tc>
      </w:tr>
      <w:tr w:rsidR="00F43ECD" w:rsidRPr="001A4D2F" w:rsidTr="00DF0DDF"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>Институција одговорна за праћење и контролу реализације: Координационо тело за спречавање прања новца и финансирања тероризма</w:t>
            </w:r>
          </w:p>
        </w:tc>
      </w:tr>
      <w:tr w:rsidR="00F43ECD" w:rsidRPr="001A4D2F" w:rsidTr="00DF0DDF">
        <w:tc>
          <w:tcPr>
            <w:tcW w:w="69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A765CF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72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492C3B" w:rsidRPr="001A4D2F">
              <w:rPr>
                <w:lang w:val="sr-Cyrl-CS"/>
              </w:rPr>
              <w:t xml:space="preserve"> Информативно-едукативна</w:t>
            </w:r>
          </w:p>
        </w:tc>
      </w:tr>
      <w:tr w:rsidR="004316AD" w:rsidRPr="001A4D2F" w:rsidTr="00DF0DDF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327445" w:rsidRDefault="004316AD" w:rsidP="00C11F8E">
            <w:pPr>
              <w:rPr>
                <w:sz w:val="22"/>
                <w:szCs w:val="22"/>
                <w:lang w:val="sr-Cyrl-CS"/>
              </w:rPr>
            </w:pPr>
            <w:r w:rsidRPr="00327445">
              <w:rPr>
                <w:sz w:val="22"/>
                <w:szCs w:val="22"/>
                <w:lang w:val="sr-Cyrl-CS"/>
              </w:rPr>
              <w:t>Jединица мере</w:t>
            </w:r>
          </w:p>
          <w:p w:rsidR="004316AD" w:rsidRPr="00327445" w:rsidRDefault="004316AD" w:rsidP="00C11F8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885F9C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F43ECD" w:rsidRPr="001A4D2F" w:rsidTr="00DF0DDF"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77E3" w:rsidRPr="001A4D2F" w:rsidRDefault="00E377E3" w:rsidP="00465BE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1. </w:t>
            </w:r>
            <w:r w:rsidR="000435FD" w:rsidRPr="001A4D2F">
              <w:rPr>
                <w:lang w:val="sr-Cyrl-CS"/>
              </w:rPr>
              <w:t>Ажурирана национална процена ризика</w:t>
            </w:r>
            <w:r w:rsidR="00A42156" w:rsidRPr="001A4D2F">
              <w:rPr>
                <w:lang w:val="sr-Cyrl-CS"/>
              </w:rPr>
              <w:t xml:space="preserve"> и израђен план активности за ублажавање ризика</w:t>
            </w:r>
          </w:p>
          <w:p w:rsidR="00F43ECD" w:rsidRPr="001A4D2F" w:rsidRDefault="00F43ECD" w:rsidP="002D69E2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4CA1" w:rsidRPr="001A4D2F" w:rsidRDefault="00514CA1" w:rsidP="00514CA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  <w:p w:rsidR="00E377E3" w:rsidRPr="001A4D2F" w:rsidRDefault="00E377E3" w:rsidP="00514CA1">
            <w:pPr>
              <w:rPr>
                <w:lang w:val="sr-Cyrl-CS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Default="000435FD" w:rsidP="00514CA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Извештај о ажурираној националној процени ризика; </w:t>
            </w:r>
            <w:r w:rsidR="00F43ECD" w:rsidRPr="001A4D2F">
              <w:rPr>
                <w:lang w:val="sr-Cyrl-CS"/>
              </w:rPr>
              <w:t>План рада, билтени и годишњи извештаји</w:t>
            </w:r>
            <w:r w:rsidR="005A6DC3" w:rsidRPr="001A4D2F">
              <w:rPr>
                <w:lang w:val="sr-Cyrl-CS"/>
              </w:rPr>
              <w:t xml:space="preserve">; Извештаји </w:t>
            </w:r>
            <w:r w:rsidR="00514CA1" w:rsidRPr="001A4D2F">
              <w:rPr>
                <w:lang w:val="sr-Cyrl-CS"/>
              </w:rPr>
              <w:t>надзорних органа; Извештаји са обука и представљања резултата процене ризика</w:t>
            </w:r>
          </w:p>
          <w:p w:rsidR="00327445" w:rsidRPr="001A4D2F" w:rsidRDefault="00327445" w:rsidP="00514CA1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648D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</w:t>
            </w:r>
            <w:r w:rsidR="000435FD" w:rsidRPr="001A4D2F">
              <w:rPr>
                <w:lang w:val="sr-Cyrl-CS"/>
              </w:rPr>
              <w:t>9.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2D69E2" w:rsidP="00514CA1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2D69E2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2D69E2" w:rsidP="00514CA1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  <w:tr w:rsidR="002D69E2" w:rsidRPr="001A4D2F" w:rsidTr="00DF0DDF"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5F240E" w:rsidP="002D69E2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 Спроводи се</w:t>
            </w:r>
            <w:r w:rsidR="002D69E2" w:rsidRPr="001A4D2F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t>план</w:t>
            </w:r>
            <w:r w:rsidR="00A42156" w:rsidRPr="001A4D2F">
              <w:rPr>
                <w:lang w:val="sr-Cyrl-CS"/>
              </w:rPr>
              <w:t xml:space="preserve"> активности за ублажавање ризика</w:t>
            </w:r>
            <w:r w:rsidR="002D69E2" w:rsidRPr="001A4D2F">
              <w:rPr>
                <w:lang w:val="sr-Cyrl-CS"/>
              </w:rPr>
              <w:t xml:space="preserve"> </w:t>
            </w:r>
            <w:r w:rsidR="008B4459" w:rsidRPr="001A4D2F">
              <w:rPr>
                <w:lang w:val="sr-Cyrl-CS"/>
              </w:rPr>
              <w:t>у склад</w:t>
            </w:r>
            <w:r w:rsidR="008F0383" w:rsidRPr="001A4D2F">
              <w:rPr>
                <w:lang w:val="sr-Cyrl-CS"/>
              </w:rPr>
              <w:t>у</w:t>
            </w:r>
            <w:r w:rsidR="008B4459" w:rsidRPr="001A4D2F">
              <w:rPr>
                <w:lang w:val="sr-Cyrl-CS"/>
              </w:rPr>
              <w:t xml:space="preserve"> са ажурираном националном проценом ризика</w:t>
            </w:r>
          </w:p>
          <w:p w:rsidR="002D69E2" w:rsidRPr="001A4D2F" w:rsidRDefault="002D69E2" w:rsidP="00465BE6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2D69E2" w:rsidP="00514CA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A42156" w:rsidP="008F038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Унесене релевантне активности у</w:t>
            </w:r>
            <w:r w:rsidR="008F0383" w:rsidRPr="001A4D2F">
              <w:rPr>
                <w:lang w:val="sr-Cyrl-CS"/>
              </w:rPr>
              <w:t xml:space="preserve"> нови национални Акциони план</w:t>
            </w:r>
            <w:r w:rsidRPr="001A4D2F">
              <w:rPr>
                <w:lang w:val="sr-Cyrl-CS"/>
              </w:rPr>
              <w:t xml:space="preserve">; </w:t>
            </w:r>
            <w:r w:rsidR="002D69E2" w:rsidRPr="001A4D2F">
              <w:rPr>
                <w:lang w:val="sr-Cyrl-CS"/>
              </w:rPr>
              <w:t>План рада, билтени и годишњи извештаји; Извештаји надзорних органа; Извештаји са обука и представљања резултата процене ризика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A42156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2D69E2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</w:t>
            </w:r>
            <w:r w:rsidR="000435FD" w:rsidRPr="001A4D2F">
              <w:rPr>
                <w:lang w:val="sr-Cyrl-CS"/>
              </w:rPr>
              <w:t>19.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2D69E2" w:rsidP="00514CA1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69E2" w:rsidRPr="001A4D2F" w:rsidRDefault="00A42156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69E2" w:rsidRPr="001A4D2F" w:rsidRDefault="002D69E2" w:rsidP="00514CA1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607374" w:rsidRPr="001A4D2F" w:rsidRDefault="00607374" w:rsidP="00C11F8E">
      <w:pPr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361"/>
        <w:gridCol w:w="1128"/>
        <w:gridCol w:w="1222"/>
        <w:gridCol w:w="1145"/>
        <w:gridCol w:w="1554"/>
        <w:gridCol w:w="1143"/>
        <w:gridCol w:w="1933"/>
        <w:gridCol w:w="1829"/>
        <w:gridCol w:w="1860"/>
      </w:tblGrid>
      <w:tr w:rsidR="00B267CF" w:rsidRPr="001A4D2F" w:rsidTr="00B267CF">
        <w:trPr>
          <w:trHeight w:val="140"/>
          <w:tblHeader/>
        </w:trPr>
        <w:tc>
          <w:tcPr>
            <w:tcW w:w="83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39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536DA8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536DA8">
              <w:rPr>
                <w:b/>
                <w:sz w:val="14"/>
                <w:szCs w:val="14"/>
                <w:lang w:val="sr-Cyrl-CS"/>
              </w:rPr>
              <w:t>програмским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буџетом</w:t>
            </w:r>
          </w:p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3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  <w:r w:rsidRPr="00536DA8">
              <w:rPr>
                <w:rStyle w:val="FootnoteReference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DB34B7" w:rsidRPr="001A4D2F" w:rsidTr="00DB34B7">
        <w:trPr>
          <w:trHeight w:val="386"/>
          <w:tblHeader/>
        </w:trPr>
        <w:tc>
          <w:tcPr>
            <w:tcW w:w="83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31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8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45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656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DB34B7" w:rsidRPr="001A4D2F" w:rsidTr="00DB34B7">
        <w:trPr>
          <w:trHeight w:val="1280"/>
        </w:trPr>
        <w:tc>
          <w:tcPr>
            <w:tcW w:w="833" w:type="pct"/>
            <w:tcBorders>
              <w:left w:val="double" w:sz="4" w:space="0" w:color="auto"/>
            </w:tcBorders>
          </w:tcPr>
          <w:p w:rsidR="00DB34B7" w:rsidRPr="001A4D2F" w:rsidRDefault="00DB34B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1.1.1 Утврђивање методологије и ажурирање националне процене ризика од прања новца и финансирања тероризма </w:t>
            </w:r>
          </w:p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398" w:type="pct"/>
          </w:tcPr>
          <w:p w:rsidR="00DB34B7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DB34B7" w:rsidRPr="001A4D2F" w:rsidRDefault="00DB34B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Сви учесници у систему, по потреби</w:t>
            </w:r>
          </w:p>
        </w:tc>
        <w:tc>
          <w:tcPr>
            <w:tcW w:w="404" w:type="pct"/>
          </w:tcPr>
          <w:p w:rsidR="00DB34B7" w:rsidRPr="001A4D2F" w:rsidRDefault="002D69E2" w:rsidP="00D648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II</w:t>
            </w:r>
            <w:r w:rsidR="00DB34B7" w:rsidRPr="001A4D2F">
              <w:rPr>
                <w:lang w:val="sr-Cyrl-CS"/>
              </w:rPr>
              <w:t xml:space="preserve"> квартал 2021.</w:t>
            </w:r>
          </w:p>
        </w:tc>
        <w:tc>
          <w:tcPr>
            <w:tcW w:w="548" w:type="pct"/>
          </w:tcPr>
          <w:p w:rsidR="00DB34B7" w:rsidRPr="001A4D2F" w:rsidRDefault="00DD68A6" w:rsidP="00A4215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  <w:r w:rsidR="00DB34B7" w:rsidRPr="001A4D2F">
              <w:rPr>
                <w:lang w:val="sr-Cyrl-CS"/>
              </w:rPr>
              <w:t xml:space="preserve"> (</w:t>
            </w:r>
            <w:r w:rsidR="003214BC" w:rsidRPr="001A4D2F">
              <w:rPr>
                <w:lang w:val="sr-Cyrl-CS"/>
              </w:rPr>
              <w:t xml:space="preserve">нпр. </w:t>
            </w:r>
            <w:r w:rsidR="00DB34B7" w:rsidRPr="001A4D2F">
              <w:rPr>
                <w:lang w:val="sr-Cyrl-CS"/>
              </w:rPr>
              <w:t>Пројекат за спречавање прања новца у Републици Србији, ЕУ ИПА 2015)</w:t>
            </w:r>
            <w:r w:rsidR="00A42156" w:rsidRPr="001A4D2F">
              <w:rPr>
                <w:lang w:val="sr-Cyrl-CS"/>
              </w:rPr>
              <w:t>, ОЕБС</w:t>
            </w:r>
          </w:p>
        </w:tc>
        <w:tc>
          <w:tcPr>
            <w:tcW w:w="403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DB34B7" w:rsidRPr="001A4D2F" w:rsidRDefault="00DB34B7" w:rsidP="001A0C43">
            <w:pPr>
              <w:pStyle w:val="CommentText"/>
              <w:rPr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56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280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597E67" w:rsidRDefault="00363221" w:rsidP="00363221">
            <w:pPr>
              <w:rPr>
                <w:sz w:val="20"/>
                <w:szCs w:val="20"/>
                <w:lang w:val="sr-Cyrl-CS"/>
              </w:rPr>
            </w:pPr>
            <w:r w:rsidRPr="00597E67">
              <w:rPr>
                <w:sz w:val="20"/>
                <w:szCs w:val="20"/>
                <w:lang w:val="sr-Cyrl-CS"/>
              </w:rPr>
              <w:lastRenderedPageBreak/>
              <w:t>1.1.2. Утврдити план активности за ублажавање ризика утврђених као резултат активности под 1.1.1.</w:t>
            </w:r>
          </w:p>
        </w:tc>
        <w:tc>
          <w:tcPr>
            <w:tcW w:w="398" w:type="pct"/>
          </w:tcPr>
          <w:p w:rsidR="00363221" w:rsidRPr="00597E67" w:rsidRDefault="00363221" w:rsidP="00363221">
            <w:pPr>
              <w:rPr>
                <w:sz w:val="20"/>
                <w:szCs w:val="20"/>
                <w:lang w:val="sr-Cyrl-CS"/>
              </w:rPr>
            </w:pPr>
            <w:r w:rsidRPr="00597E67">
              <w:rPr>
                <w:sz w:val="20"/>
                <w:szCs w:val="20"/>
                <w:lang w:val="sr-Cyrl-CS"/>
              </w:rPr>
              <w:t>КТ</w:t>
            </w:r>
          </w:p>
        </w:tc>
        <w:tc>
          <w:tcPr>
            <w:tcW w:w="431" w:type="pct"/>
          </w:tcPr>
          <w:p w:rsidR="00363221" w:rsidRPr="00597E67" w:rsidRDefault="00363221" w:rsidP="00363221">
            <w:pPr>
              <w:rPr>
                <w:sz w:val="22"/>
                <w:szCs w:val="22"/>
                <w:lang w:val="sr-Cyrl-CS"/>
              </w:rPr>
            </w:pPr>
            <w:r w:rsidRPr="00597E67">
              <w:rPr>
                <w:sz w:val="22"/>
                <w:szCs w:val="22"/>
                <w:lang w:val="sr-Cyrl-CS"/>
              </w:rPr>
              <w:t>Сви учесници у систему, по потреби</w:t>
            </w:r>
          </w:p>
        </w:tc>
        <w:tc>
          <w:tcPr>
            <w:tcW w:w="404" w:type="pct"/>
          </w:tcPr>
          <w:p w:rsidR="00363221" w:rsidRPr="00597E67" w:rsidRDefault="00363221" w:rsidP="00C36273">
            <w:pPr>
              <w:rPr>
                <w:sz w:val="22"/>
                <w:szCs w:val="22"/>
                <w:lang w:val="sr-Cyrl-CS"/>
              </w:rPr>
            </w:pPr>
            <w:r w:rsidRPr="00597E67">
              <w:rPr>
                <w:sz w:val="22"/>
                <w:szCs w:val="22"/>
                <w:lang w:val="sr-Cyrl-CS"/>
              </w:rPr>
              <w:t>II квартал 202</w:t>
            </w:r>
            <w:r w:rsidR="00C36273" w:rsidRPr="00597E67">
              <w:rPr>
                <w:sz w:val="22"/>
                <w:szCs w:val="22"/>
                <w:lang w:val="sr-Cyrl-CS"/>
              </w:rPr>
              <w:t>2</w:t>
            </w:r>
            <w:r w:rsidRPr="00597E67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48" w:type="pct"/>
          </w:tcPr>
          <w:p w:rsidR="00363221" w:rsidRPr="001A4D2F" w:rsidRDefault="00363221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C36273" w:rsidRPr="001A4D2F" w:rsidRDefault="00C36273" w:rsidP="00363221">
            <w:pPr>
              <w:rPr>
                <w:lang w:val="sr-Cyrl-CS"/>
              </w:rPr>
            </w:pPr>
          </w:p>
          <w:p w:rsidR="00C36273" w:rsidRPr="001A4D2F" w:rsidRDefault="00C36273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 (нпр. ЕУ ИПА), ОЕБС</w:t>
            </w:r>
          </w:p>
          <w:p w:rsidR="00363221" w:rsidRPr="001A4D2F" w:rsidRDefault="00363221" w:rsidP="00363221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1A0C43">
            <w:pPr>
              <w:pStyle w:val="CommentText"/>
              <w:rPr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681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Default="00363221" w:rsidP="00C36273">
            <w:r w:rsidRPr="001A4D2F">
              <w:rPr>
                <w:lang w:val="sr-Cyrl-CS"/>
              </w:rPr>
              <w:t>1.1.</w:t>
            </w:r>
            <w:r w:rsidR="00C36273" w:rsidRPr="001A4D2F">
              <w:rPr>
                <w:lang w:val="sr-Cyrl-CS"/>
              </w:rPr>
              <w:t>3</w:t>
            </w:r>
            <w:r w:rsidRPr="001A4D2F">
              <w:rPr>
                <w:lang w:val="sr-Cyrl-CS"/>
              </w:rPr>
              <w:t xml:space="preserve"> Представљање резултата националне процене ризика свим учесницима у систему и подстицање учесника да примене одговарајуће закључке и смернице у свом раду, са циљем смањења утврђених ризика</w:t>
            </w:r>
          </w:p>
          <w:p w:rsidR="00DA0EC2" w:rsidRPr="00DA0EC2" w:rsidRDefault="00DA0EC2" w:rsidP="00C36273"/>
        </w:tc>
        <w:tc>
          <w:tcPr>
            <w:tcW w:w="398" w:type="pct"/>
          </w:tcPr>
          <w:p w:rsidR="00363221" w:rsidRPr="001A4D2F" w:rsidRDefault="0036322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363221" w:rsidRPr="001A4D2F" w:rsidRDefault="00363221" w:rsidP="00D648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Приватни сектор (нпр. удружења обвезника), непрофитни сектор</w:t>
            </w:r>
          </w:p>
        </w:tc>
        <w:tc>
          <w:tcPr>
            <w:tcW w:w="404" w:type="pct"/>
          </w:tcPr>
          <w:p w:rsidR="00363221" w:rsidRPr="001A4D2F" w:rsidRDefault="00363221" w:rsidP="00D648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 квартал 2022.</w:t>
            </w:r>
          </w:p>
        </w:tc>
        <w:tc>
          <w:tcPr>
            <w:tcW w:w="548" w:type="pct"/>
          </w:tcPr>
          <w:p w:rsidR="00363221" w:rsidRPr="001A4D2F" w:rsidRDefault="00363221" w:rsidP="003214B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 (нпр. Пројекат за спречавање прања новца у Републици Србији, ЕУ ИПА 2015), ОЕБС</w:t>
            </w: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543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1A4D2F" w:rsidRDefault="00363221" w:rsidP="00C3627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1.1.</w:t>
            </w:r>
            <w:r w:rsidR="00C36273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. Обезбедити да све институције приликом предузимања активности из својих надлежности утврђују приоритете на основу резултата националне процене ризика </w:t>
            </w:r>
          </w:p>
        </w:tc>
        <w:tc>
          <w:tcPr>
            <w:tcW w:w="398" w:type="pct"/>
          </w:tcPr>
          <w:p w:rsidR="00363221" w:rsidRPr="001A4D2F" w:rsidRDefault="0036322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363221" w:rsidRPr="001A4D2F" w:rsidRDefault="0036322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Сви учесници у систему, по потреби</w:t>
            </w:r>
          </w:p>
        </w:tc>
        <w:tc>
          <w:tcPr>
            <w:tcW w:w="404" w:type="pct"/>
          </w:tcPr>
          <w:p w:rsidR="00363221" w:rsidRPr="001A4D2F" w:rsidRDefault="00363221" w:rsidP="002D69E2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квартал 2021 - IV квартал 2022 </w:t>
            </w:r>
          </w:p>
        </w:tc>
        <w:tc>
          <w:tcPr>
            <w:tcW w:w="548" w:type="pct"/>
          </w:tcPr>
          <w:p w:rsidR="00363221" w:rsidRPr="001A4D2F" w:rsidRDefault="00363221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40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1A4D2F" w:rsidRDefault="00363221" w:rsidP="00C3627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1.1.</w:t>
            </w:r>
            <w:r w:rsidR="00C36273" w:rsidRPr="001A4D2F">
              <w:rPr>
                <w:lang w:val="sr-Cyrl-CS"/>
              </w:rPr>
              <w:t>5</w:t>
            </w:r>
            <w:r w:rsidRPr="001A4D2F">
              <w:rPr>
                <w:lang w:val="sr-Cyrl-CS"/>
              </w:rPr>
              <w:t xml:space="preserve"> Креирање софтверске апликације за статистичко праћење предмета прања новца и финансирања тероризма и њено пуштање у рад у складу са Смерницама за успостављање јединствене методологије израде извештаја и једнообразног праћења предмета прања новца и предмета </w:t>
            </w:r>
            <w:r w:rsidRPr="001A4D2F">
              <w:rPr>
                <w:lang w:val="sr-Cyrl-CS"/>
              </w:rPr>
              <w:lastRenderedPageBreak/>
              <w:t>финансирања тероризма</w:t>
            </w:r>
          </w:p>
        </w:tc>
        <w:tc>
          <w:tcPr>
            <w:tcW w:w="398" w:type="pct"/>
          </w:tcPr>
          <w:p w:rsidR="00363221" w:rsidRPr="001A4D2F" w:rsidRDefault="0036322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УСПН</w:t>
            </w:r>
          </w:p>
        </w:tc>
        <w:tc>
          <w:tcPr>
            <w:tcW w:w="431" w:type="pct"/>
          </w:tcPr>
          <w:p w:rsidR="00363221" w:rsidRPr="001A4D2F" w:rsidRDefault="0036322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ВКС, РЈТ, МУП, БИА, ПУ, УЦ, НБС, КХОВ, МП-ДУОИ</w:t>
            </w:r>
          </w:p>
        </w:tc>
        <w:tc>
          <w:tcPr>
            <w:tcW w:w="404" w:type="pct"/>
          </w:tcPr>
          <w:p w:rsidR="00363221" w:rsidRPr="001A4D2F" w:rsidRDefault="00363221" w:rsidP="00D648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II квартал 2020.</w:t>
            </w:r>
          </w:p>
        </w:tc>
        <w:tc>
          <w:tcPr>
            <w:tcW w:w="548" w:type="pct"/>
          </w:tcPr>
          <w:p w:rsidR="00363221" w:rsidRPr="001A4D2F" w:rsidRDefault="00363221" w:rsidP="003214B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Средства </w:t>
            </w:r>
            <w:r w:rsidRPr="00DA0EC2">
              <w:rPr>
                <w:sz w:val="20"/>
                <w:szCs w:val="20"/>
                <w:lang w:val="sr-Cyrl-CS"/>
              </w:rPr>
              <w:t>међународних</w:t>
            </w:r>
            <w:r w:rsidRPr="001A4D2F">
              <w:rPr>
                <w:lang w:val="sr-Cyrl-CS"/>
              </w:rPr>
              <w:t xml:space="preserve"> донатора (нпр. Пројекат за спречавање прања новца у Републици Србији, ЕУ ИПА 2015), ОЕБС</w:t>
            </w: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40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1A4D2F" w:rsidRDefault="00C36273" w:rsidP="001A0C4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1.1.6</w:t>
            </w:r>
            <w:r w:rsidR="00363221" w:rsidRPr="001A4D2F">
              <w:rPr>
                <w:lang w:val="sr-Cyrl-CS"/>
              </w:rPr>
              <w:t xml:space="preserve"> Обезбедити да сви релевантни учесници у систему користе софтверску апликацију за праћење предмета прања новца и фина</w:t>
            </w:r>
            <w:r w:rsidR="008066B1">
              <w:rPr>
                <w:lang w:val="sr-Cyrl-CS"/>
              </w:rPr>
              <w:t>нс</w:t>
            </w:r>
            <w:r w:rsidR="00363221" w:rsidRPr="001A4D2F">
              <w:rPr>
                <w:lang w:val="sr-Cyrl-CS"/>
              </w:rPr>
              <w:t>ирања тероризма из активности 1.1.4.</w:t>
            </w:r>
          </w:p>
        </w:tc>
        <w:tc>
          <w:tcPr>
            <w:tcW w:w="398" w:type="pct"/>
          </w:tcPr>
          <w:p w:rsidR="00363221" w:rsidRPr="001A4D2F" w:rsidRDefault="0036322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363221" w:rsidRPr="001A4D2F" w:rsidRDefault="0036322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РЈТ, УСПН, МУП и др.</w:t>
            </w:r>
          </w:p>
        </w:tc>
        <w:tc>
          <w:tcPr>
            <w:tcW w:w="404" w:type="pct"/>
          </w:tcPr>
          <w:p w:rsidR="00363221" w:rsidRPr="001A4D2F" w:rsidRDefault="00363221" w:rsidP="00BD0F8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548" w:type="pct"/>
          </w:tcPr>
          <w:p w:rsidR="00363221" w:rsidRPr="001A4D2F" w:rsidRDefault="00363221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363221" w:rsidRPr="001A4D2F" w:rsidRDefault="00363221" w:rsidP="00F251A1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</w:tbl>
    <w:p w:rsidR="00C1496A" w:rsidRPr="001A4D2F" w:rsidRDefault="00C1496A" w:rsidP="00C11F8E">
      <w:pPr>
        <w:rPr>
          <w:b/>
          <w:lang w:val="sr-Cyrl-CS"/>
        </w:rPr>
      </w:pPr>
    </w:p>
    <w:p w:rsidR="00F43ECD" w:rsidRPr="001A4D2F" w:rsidRDefault="00F43ECD" w:rsidP="00C11F8E">
      <w:pPr>
        <w:rPr>
          <w:b/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49"/>
        <w:gridCol w:w="1060"/>
        <w:gridCol w:w="3402"/>
        <w:gridCol w:w="992"/>
        <w:gridCol w:w="1134"/>
        <w:gridCol w:w="1418"/>
        <w:gridCol w:w="1559"/>
        <w:gridCol w:w="1418"/>
      </w:tblGrid>
      <w:tr w:rsidR="00F43ECD" w:rsidRPr="001A4D2F" w:rsidTr="004316AD">
        <w:trPr>
          <w:trHeight w:val="169"/>
        </w:trPr>
        <w:tc>
          <w:tcPr>
            <w:tcW w:w="1413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3" w:name="_Toc32409907"/>
            <w:r w:rsidRPr="001A4D2F">
              <w:rPr>
                <w:rFonts w:cs="Times New Roman"/>
                <w:sz w:val="24"/>
                <w:lang w:val="sr-Cyrl-CS"/>
              </w:rPr>
              <w:t xml:space="preserve">Мера 1.2: 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Смањивање препознатих ризика и континуирано </w:t>
            </w:r>
            <w:r w:rsidR="00607374" w:rsidRPr="001A4D2F">
              <w:rPr>
                <w:rFonts w:cs="Times New Roman"/>
                <w:sz w:val="24"/>
                <w:lang w:val="sr-Cyrl-CS"/>
              </w:rPr>
              <w:t xml:space="preserve">препознавање нових </w:t>
            </w:r>
            <w:r w:rsidR="00283830" w:rsidRPr="001A4D2F">
              <w:rPr>
                <w:rFonts w:cs="Times New Roman"/>
                <w:sz w:val="24"/>
                <w:lang w:val="sr-Cyrl-CS"/>
              </w:rPr>
              <w:t>претњи и рањивости</w:t>
            </w:r>
            <w:bookmarkEnd w:id="3"/>
          </w:p>
        </w:tc>
      </w:tr>
      <w:tr w:rsidR="00F43ECD" w:rsidRPr="001A4D2F" w:rsidTr="004316AD">
        <w:trPr>
          <w:trHeight w:val="300"/>
        </w:trPr>
        <w:tc>
          <w:tcPr>
            <w:tcW w:w="14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>Институција одговорна за праћење и контролу реализације: Координационо тело за спречавање прања новца и финансирања тероризма</w:t>
            </w:r>
          </w:p>
        </w:tc>
      </w:tr>
      <w:tr w:rsidR="00F43ECD" w:rsidRPr="001A4D2F" w:rsidTr="004316AD">
        <w:trPr>
          <w:trHeight w:val="300"/>
        </w:trPr>
        <w:tc>
          <w:tcPr>
            <w:tcW w:w="76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607374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E62F72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9A2486" w:rsidRPr="001A4D2F">
              <w:rPr>
                <w:lang w:val="sr-Cyrl-CS"/>
              </w:rPr>
              <w:t xml:space="preserve"> Институционал</w:t>
            </w:r>
            <w:r w:rsidR="00F77324" w:rsidRPr="001A4D2F">
              <w:rPr>
                <w:lang w:val="sr-Cyrl-CS"/>
              </w:rPr>
              <w:t>но-управљачко-организациона</w:t>
            </w:r>
          </w:p>
        </w:tc>
      </w:tr>
      <w:tr w:rsidR="004316AD" w:rsidRPr="001A4D2F" w:rsidTr="00985089">
        <w:trPr>
          <w:trHeight w:val="609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263780" w:rsidRDefault="004316AD" w:rsidP="00C11F8E">
            <w:pPr>
              <w:rPr>
                <w:sz w:val="20"/>
                <w:szCs w:val="20"/>
                <w:lang w:val="sr-Cyrl-CS"/>
              </w:rPr>
            </w:pPr>
            <w:r w:rsidRPr="00263780">
              <w:rPr>
                <w:sz w:val="20"/>
                <w:szCs w:val="20"/>
                <w:lang w:val="sr-Cyrl-CS"/>
              </w:rPr>
              <w:t>Jединица мере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263780" w:rsidRDefault="004316AD" w:rsidP="00C11F8E">
            <w:pPr>
              <w:rPr>
                <w:sz w:val="20"/>
                <w:szCs w:val="20"/>
                <w:lang w:val="sr-Cyrl-CS"/>
              </w:rPr>
            </w:pPr>
            <w:r w:rsidRPr="00263780">
              <w:rPr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Default="00885F9C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  <w:p w:rsidR="00597E67" w:rsidRPr="001A4D2F" w:rsidRDefault="00597E67" w:rsidP="004316AD">
            <w:pPr>
              <w:rPr>
                <w:lang w:val="sr-Cyrl-CS"/>
              </w:rPr>
            </w:pPr>
          </w:p>
        </w:tc>
      </w:tr>
      <w:tr w:rsidR="00F43ECD" w:rsidRPr="001A4D2F" w:rsidTr="00985089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BD0F86" w:rsidP="004B7C54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Одржавање</w:t>
            </w:r>
            <w:r w:rsidR="004B7C54" w:rsidRPr="001A4D2F">
              <w:rPr>
                <w:lang w:val="sr-Cyrl-CS"/>
              </w:rPr>
              <w:t xml:space="preserve"> континуитета </w:t>
            </w:r>
            <w:r w:rsidR="0069535B" w:rsidRPr="001A4D2F">
              <w:rPr>
                <w:lang w:val="sr-Cyrl-CS"/>
              </w:rPr>
              <w:t xml:space="preserve">у сагледавању претњи и рањивости, односно континуирано преиспитивање ризика </w:t>
            </w:r>
          </w:p>
        </w:tc>
        <w:tc>
          <w:tcPr>
            <w:tcW w:w="10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4B7C54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4B7C54" w:rsidP="004B7C54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Координационог тела сагледавајући број анализа (нпр.</w:t>
            </w:r>
            <w:r w:rsidR="0069535B" w:rsidRPr="001A4D2F">
              <w:rPr>
                <w:lang w:val="sr-Cyrl-CS"/>
              </w:rPr>
              <w:t xml:space="preserve"> претњи, рањивости</w:t>
            </w:r>
            <w:r w:rsidRPr="001A4D2F">
              <w:rPr>
                <w:lang w:val="sr-Cyrl-CS"/>
              </w:rPr>
              <w:t>); Национална процена ризика (документ)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4B7C54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4B7C54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4B7C54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Да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4B7C54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B267CF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536DA8" w:rsidRDefault="00536DA8" w:rsidP="00C11F8E">
      <w:pPr>
        <w:rPr>
          <w:b/>
        </w:rPr>
      </w:pPr>
    </w:p>
    <w:p w:rsidR="00536DA8" w:rsidRPr="00536DA8" w:rsidRDefault="00536DA8" w:rsidP="00C11F8E">
      <w:pPr>
        <w:rPr>
          <w:b/>
        </w:rPr>
      </w:pPr>
    </w:p>
    <w:p w:rsidR="00F43ECD" w:rsidRPr="001A4D2F" w:rsidRDefault="00F43ECD" w:rsidP="00C11F8E">
      <w:pPr>
        <w:rPr>
          <w:b/>
          <w:lang w:val="sr-Cyrl-CS"/>
        </w:rPr>
      </w:pPr>
    </w:p>
    <w:tbl>
      <w:tblPr>
        <w:tblStyle w:val="TableGrid"/>
        <w:tblW w:w="4997" w:type="pct"/>
        <w:tblInd w:w="-20" w:type="dxa"/>
        <w:tblLayout w:type="fixed"/>
        <w:tblLook w:val="04A0"/>
      </w:tblPr>
      <w:tblGrid>
        <w:gridCol w:w="2366"/>
        <w:gridCol w:w="1130"/>
        <w:gridCol w:w="1221"/>
        <w:gridCol w:w="1145"/>
        <w:gridCol w:w="1553"/>
        <w:gridCol w:w="1417"/>
        <w:gridCol w:w="1677"/>
        <w:gridCol w:w="1980"/>
        <w:gridCol w:w="1677"/>
      </w:tblGrid>
      <w:tr w:rsidR="00B267CF" w:rsidRPr="001A4D2F" w:rsidTr="002D69E2">
        <w:trPr>
          <w:trHeight w:val="140"/>
          <w:tblHeader/>
        </w:trPr>
        <w:tc>
          <w:tcPr>
            <w:tcW w:w="8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39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536DA8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Веза са програмским буџетом</w:t>
            </w:r>
          </w:p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DB34B7" w:rsidRPr="001A4D2F" w:rsidTr="002D69E2">
        <w:trPr>
          <w:trHeight w:val="386"/>
          <w:tblHeader/>
        </w:trPr>
        <w:tc>
          <w:tcPr>
            <w:tcW w:w="835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9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1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00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99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59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DB34B7" w:rsidRPr="001A4D2F" w:rsidTr="002D69E2">
        <w:trPr>
          <w:trHeight w:val="140"/>
        </w:trPr>
        <w:tc>
          <w:tcPr>
            <w:tcW w:w="835" w:type="pct"/>
            <w:tcBorders>
              <w:left w:val="double" w:sz="4" w:space="0" w:color="auto"/>
            </w:tcBorders>
          </w:tcPr>
          <w:p w:rsidR="00DB34B7" w:rsidRPr="001A4D2F" w:rsidRDefault="00DB34B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1.2.1 Утврђивање плана приоритетних анализа ради преиспитивања претњи и рањивости и утврђивање методологије њихове израде имајући у виду резултате националне процене ризика и других сличних активности, по потреби, попут супранационалне процене ризика Европске уније</w:t>
            </w:r>
          </w:p>
        </w:tc>
        <w:tc>
          <w:tcPr>
            <w:tcW w:w="399" w:type="pct"/>
          </w:tcPr>
          <w:p w:rsidR="00DB34B7" w:rsidRPr="001A4D2F" w:rsidRDefault="00BD0F86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1" w:type="pct"/>
          </w:tcPr>
          <w:p w:rsidR="00DB34B7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04" w:type="pct"/>
          </w:tcPr>
          <w:p w:rsidR="00DB34B7" w:rsidRPr="001A4D2F" w:rsidRDefault="0053445B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 квартал </w:t>
            </w:r>
            <w:r w:rsidR="00DB34B7" w:rsidRPr="001A4D2F">
              <w:rPr>
                <w:lang w:val="sr-Cyrl-CS"/>
              </w:rPr>
              <w:t>2020</w:t>
            </w:r>
            <w:r w:rsidRPr="001A4D2F">
              <w:rPr>
                <w:lang w:val="sr-Cyrl-CS"/>
              </w:rPr>
              <w:t>.</w:t>
            </w:r>
          </w:p>
        </w:tc>
        <w:tc>
          <w:tcPr>
            <w:tcW w:w="548" w:type="pct"/>
          </w:tcPr>
          <w:p w:rsidR="00DD68A6" w:rsidRPr="001A4D2F" w:rsidRDefault="00DD68A6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500" w:type="pct"/>
          </w:tcPr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699" w:type="pct"/>
          </w:tcPr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BD0F86" w:rsidRPr="001A4D2F" w:rsidTr="00C802E4">
        <w:trPr>
          <w:trHeight w:val="3727"/>
        </w:trPr>
        <w:tc>
          <w:tcPr>
            <w:tcW w:w="835" w:type="pct"/>
            <w:tcBorders>
              <w:left w:val="double" w:sz="4" w:space="0" w:color="auto"/>
            </w:tcBorders>
          </w:tcPr>
          <w:p w:rsidR="00BD0F86" w:rsidRPr="001A4D2F" w:rsidRDefault="00BD0F86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1.2.2 Спровођење анализа из активности 1.2.1 и прослеђивање резултата тих анализа у примереној форми учесницима у систему, по потреби. </w:t>
            </w:r>
          </w:p>
        </w:tc>
        <w:tc>
          <w:tcPr>
            <w:tcW w:w="399" w:type="pct"/>
          </w:tcPr>
          <w:p w:rsidR="00BD0F86" w:rsidRPr="001A4D2F" w:rsidRDefault="009E1129" w:rsidP="0053445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  <w:r w:rsidR="00BD0F86" w:rsidRPr="001A4D2F">
              <w:rPr>
                <w:lang w:val="sr-Cyrl-CS"/>
              </w:rPr>
              <w:t xml:space="preserve"> </w:t>
            </w:r>
          </w:p>
        </w:tc>
        <w:tc>
          <w:tcPr>
            <w:tcW w:w="431" w:type="pct"/>
          </w:tcPr>
          <w:p w:rsidR="00BD0F86" w:rsidRPr="001A4D2F" w:rsidRDefault="009E1129" w:rsidP="009E112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</w:t>
            </w:r>
            <w:r w:rsidR="00BD0F86" w:rsidRPr="001A4D2F">
              <w:rPr>
                <w:lang w:val="sr-Cyrl-CS"/>
              </w:rPr>
              <w:t xml:space="preserve">, МУП, </w:t>
            </w:r>
            <w:r w:rsidRPr="001A4D2F">
              <w:rPr>
                <w:lang w:val="sr-Cyrl-CS"/>
              </w:rPr>
              <w:t>УСПН</w:t>
            </w:r>
            <w:r w:rsidR="00BD0F8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УЦ</w:t>
            </w:r>
            <w:r w:rsidR="00BD0F8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Н</w:t>
            </w:r>
            <w:r w:rsidR="00BD0F86" w:rsidRPr="001A4D2F">
              <w:rPr>
                <w:lang w:val="sr-Cyrl-CS"/>
              </w:rPr>
              <w:t xml:space="preserve">адзорни органи, представници </w:t>
            </w:r>
            <w:r w:rsidR="00BD0F86" w:rsidRPr="00DA0EC2">
              <w:rPr>
                <w:sz w:val="22"/>
                <w:szCs w:val="22"/>
                <w:lang w:val="sr-Cyrl-CS"/>
              </w:rPr>
              <w:t xml:space="preserve">приватног </w:t>
            </w:r>
            <w:r w:rsidR="00BD0F86" w:rsidRPr="001A4D2F">
              <w:rPr>
                <w:lang w:val="sr-Cyrl-CS"/>
              </w:rPr>
              <w:t>сектора (</w:t>
            </w:r>
            <w:r w:rsidR="00BD0F86" w:rsidRPr="00DA0EC2">
              <w:rPr>
                <w:sz w:val="20"/>
                <w:szCs w:val="20"/>
                <w:lang w:val="sr-Cyrl-CS"/>
              </w:rPr>
              <w:t>обвезници и удружења</w:t>
            </w:r>
            <w:r w:rsidR="00BD0F86" w:rsidRPr="001A4D2F">
              <w:rPr>
                <w:lang w:val="sr-Cyrl-CS"/>
              </w:rPr>
              <w:t xml:space="preserve"> </w:t>
            </w:r>
            <w:r w:rsidR="00BD0F86" w:rsidRPr="00DA0EC2">
              <w:rPr>
                <w:sz w:val="20"/>
                <w:szCs w:val="20"/>
                <w:lang w:val="sr-Cyrl-CS"/>
              </w:rPr>
              <w:t>обвезника)</w:t>
            </w:r>
          </w:p>
        </w:tc>
        <w:tc>
          <w:tcPr>
            <w:tcW w:w="404" w:type="pct"/>
          </w:tcPr>
          <w:p w:rsidR="00BD0F86" w:rsidRPr="001A4D2F" w:rsidRDefault="0053445B" w:rsidP="0053445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квартал </w:t>
            </w:r>
            <w:r w:rsidR="00BD0F86" w:rsidRPr="001A4D2F">
              <w:rPr>
                <w:lang w:val="sr-Cyrl-CS"/>
              </w:rPr>
              <w:t>2020</w:t>
            </w:r>
            <w:r w:rsidRPr="001A4D2F">
              <w:rPr>
                <w:lang w:val="sr-Cyrl-CS"/>
              </w:rPr>
              <w:t xml:space="preserve"> –IV квартал </w:t>
            </w:r>
            <w:r w:rsidR="00BD0F86" w:rsidRPr="001A4D2F">
              <w:rPr>
                <w:lang w:val="sr-Cyrl-CS"/>
              </w:rPr>
              <w:t>202</w:t>
            </w:r>
            <w:r w:rsidRPr="001A4D2F">
              <w:rPr>
                <w:lang w:val="sr-Cyrl-CS"/>
              </w:rPr>
              <w:t>0.</w:t>
            </w:r>
          </w:p>
        </w:tc>
        <w:tc>
          <w:tcPr>
            <w:tcW w:w="548" w:type="pct"/>
          </w:tcPr>
          <w:p w:rsidR="00F77324" w:rsidRPr="001A4D2F" w:rsidRDefault="00F77324" w:rsidP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BD0F86" w:rsidRPr="001A4D2F" w:rsidRDefault="00F77324" w:rsidP="00C802E4">
            <w:pPr>
              <w:pStyle w:val="basic-paragraph"/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 xml:space="preserve">Средства </w:t>
            </w:r>
            <w:r w:rsidRPr="00DA0EC2">
              <w:rPr>
                <w:sz w:val="20"/>
                <w:szCs w:val="20"/>
                <w:lang w:val="sr-Cyrl-CS"/>
              </w:rPr>
              <w:t>међународних</w:t>
            </w:r>
            <w:r w:rsidRPr="001A4D2F">
              <w:rPr>
                <w:lang w:val="sr-Cyrl-CS"/>
              </w:rPr>
              <w:t xml:space="preserve"> донатора (Пројекат за спречавање прања новца у Републици Србији, ЕУ ИПА 2015), ОЕБС</w:t>
            </w:r>
          </w:p>
        </w:tc>
        <w:tc>
          <w:tcPr>
            <w:tcW w:w="500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</w:tr>
      <w:tr w:rsidR="00DB34B7" w:rsidRPr="001A4D2F" w:rsidTr="00C802E4">
        <w:trPr>
          <w:trHeight w:val="2405"/>
        </w:trPr>
        <w:tc>
          <w:tcPr>
            <w:tcW w:w="835" w:type="pct"/>
            <w:tcBorders>
              <w:left w:val="double" w:sz="4" w:space="0" w:color="auto"/>
            </w:tcBorders>
          </w:tcPr>
          <w:p w:rsidR="00DB34B7" w:rsidRDefault="00DB34B7" w:rsidP="00C11F8E">
            <w:pPr>
              <w:rPr>
                <w:sz w:val="22"/>
                <w:szCs w:val="22"/>
              </w:rPr>
            </w:pPr>
            <w:r w:rsidRPr="00DA0EC2">
              <w:rPr>
                <w:sz w:val="22"/>
                <w:szCs w:val="22"/>
                <w:lang w:val="sr-Cyrl-CS"/>
              </w:rPr>
              <w:t>1.2.3 Анализа учесталих образаца и трендова прања новца и финансирања тероризма и израда и упознавање релевантних учесника у систему у примереној форми о резултатима те анализе (д</w:t>
            </w:r>
            <w:r w:rsidR="00C802E4" w:rsidRPr="00DA0EC2">
              <w:rPr>
                <w:sz w:val="22"/>
                <w:szCs w:val="22"/>
                <w:lang w:val="sr-Cyrl-CS"/>
              </w:rPr>
              <w:t>окумент: Трендови и типологије)</w:t>
            </w:r>
          </w:p>
          <w:p w:rsidR="00DA0EC2" w:rsidRPr="00DA0EC2" w:rsidRDefault="00DA0EC2" w:rsidP="00C11F8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B34B7" w:rsidRPr="001A4D2F" w:rsidRDefault="0053445B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1" w:type="pct"/>
          </w:tcPr>
          <w:p w:rsidR="00DB34B7" w:rsidRPr="001A4D2F" w:rsidRDefault="009E1129" w:rsidP="009E112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  <w:r w:rsidR="0053445B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РЈТ</w:t>
            </w:r>
            <w:r w:rsidR="00DB34B7" w:rsidRPr="001A4D2F">
              <w:rPr>
                <w:lang w:val="sr-Cyrl-CS"/>
              </w:rPr>
              <w:t xml:space="preserve">, МУП, </w:t>
            </w:r>
            <w:r w:rsidRPr="001A4D2F">
              <w:rPr>
                <w:lang w:val="sr-Cyrl-CS"/>
              </w:rPr>
              <w:t>УСПН</w:t>
            </w:r>
            <w:r w:rsidR="00DB34B7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УЦ, Н</w:t>
            </w:r>
            <w:r w:rsidR="00DB34B7" w:rsidRPr="001A4D2F">
              <w:rPr>
                <w:lang w:val="sr-Cyrl-CS"/>
              </w:rPr>
              <w:t>адзорни органи и др.</w:t>
            </w:r>
          </w:p>
        </w:tc>
        <w:tc>
          <w:tcPr>
            <w:tcW w:w="404" w:type="pct"/>
          </w:tcPr>
          <w:p w:rsidR="00DB34B7" w:rsidRPr="001A4D2F" w:rsidRDefault="0053445B" w:rsidP="00C11F8E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>IV квартал 2021.</w:t>
            </w:r>
          </w:p>
        </w:tc>
        <w:tc>
          <w:tcPr>
            <w:tcW w:w="548" w:type="pct"/>
          </w:tcPr>
          <w:p w:rsidR="00F77324" w:rsidRPr="001A4D2F" w:rsidRDefault="00F77324" w:rsidP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DB34B7" w:rsidRPr="001A4D2F" w:rsidRDefault="00F77324" w:rsidP="00C802E4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Средства </w:t>
            </w:r>
            <w:r w:rsidRPr="00DA0EC2">
              <w:rPr>
                <w:sz w:val="20"/>
                <w:szCs w:val="20"/>
                <w:lang w:val="sr-Cyrl-CS"/>
              </w:rPr>
              <w:t>међународних</w:t>
            </w:r>
            <w:r w:rsidRPr="001A4D2F">
              <w:rPr>
                <w:lang w:val="sr-Cyrl-CS"/>
              </w:rPr>
              <w:t xml:space="preserve"> донатора (ОЕБС</w:t>
            </w:r>
            <w:r w:rsidR="00C802E4" w:rsidRPr="001A4D2F">
              <w:rPr>
                <w:lang w:val="sr-Cyrl-CS"/>
              </w:rPr>
              <w:t>)</w:t>
            </w:r>
          </w:p>
        </w:tc>
        <w:tc>
          <w:tcPr>
            <w:tcW w:w="500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DB34B7" w:rsidRPr="001A4D2F" w:rsidTr="002D69E2">
        <w:trPr>
          <w:trHeight w:val="140"/>
        </w:trPr>
        <w:tc>
          <w:tcPr>
            <w:tcW w:w="835" w:type="pct"/>
            <w:tcBorders>
              <w:left w:val="double" w:sz="4" w:space="0" w:color="auto"/>
            </w:tcBorders>
          </w:tcPr>
          <w:p w:rsidR="00DB34B7" w:rsidRPr="001A4D2F" w:rsidRDefault="00DB34B7" w:rsidP="00B654E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1.2.</w:t>
            </w:r>
            <w:r w:rsidR="00B654ED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 Анализа и праћење ризика од стране надзорних органа у вези са увођењем нових производа и нових технологија у финансијском и нефинансијском сектору</w:t>
            </w:r>
          </w:p>
        </w:tc>
        <w:tc>
          <w:tcPr>
            <w:tcW w:w="399" w:type="pct"/>
          </w:tcPr>
          <w:p w:rsidR="00DB34B7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DB34B7" w:rsidRPr="001A4D2F" w:rsidRDefault="0053445B" w:rsidP="0053445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Надзорни органи, </w:t>
            </w:r>
            <w:r w:rsidR="00DB34B7" w:rsidRPr="001A4D2F">
              <w:rPr>
                <w:lang w:val="sr-Cyrl-CS"/>
              </w:rPr>
              <w:t>УСПН, МУП, РЈТ,</w:t>
            </w:r>
            <w:r w:rsidRPr="001A4D2F">
              <w:rPr>
                <w:lang w:val="sr-Cyrl-CS"/>
              </w:rPr>
              <w:t xml:space="preserve"> обвезници</w:t>
            </w:r>
          </w:p>
        </w:tc>
        <w:tc>
          <w:tcPr>
            <w:tcW w:w="404" w:type="pct"/>
          </w:tcPr>
          <w:p w:rsidR="00DB34B7" w:rsidRPr="001A4D2F" w:rsidRDefault="0053445B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 w:rsidP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DB34B7" w:rsidRPr="001A4D2F" w:rsidRDefault="00DB34B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00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Default="002374BA" w:rsidP="002374BA">
            <w:r w:rsidRPr="001A4D2F">
              <w:rPr>
                <w:lang w:val="sr-Cyrl-CS"/>
              </w:rPr>
              <w:t xml:space="preserve">1.2.5 Успоставити нормативни оквир којим ће се ближе регулисати пословање са виртуелном имовином и пружаоци услуга у вези са виртуелном имовином, а додатно унапредити постојећи правни оквир који се односи на умањење ризика од прања новца и финансирања тероризма у вези са овом имовином  </w:t>
            </w:r>
          </w:p>
          <w:p w:rsidR="00DA0EC2" w:rsidRPr="00DA0EC2" w:rsidRDefault="00DA0EC2" w:rsidP="002374BA"/>
        </w:tc>
        <w:tc>
          <w:tcPr>
            <w:tcW w:w="399" w:type="pct"/>
          </w:tcPr>
          <w:p w:rsidR="00F77324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ВРС</w:t>
            </w:r>
          </w:p>
        </w:tc>
        <w:tc>
          <w:tcPr>
            <w:tcW w:w="431" w:type="pct"/>
          </w:tcPr>
          <w:p w:rsidR="00F77324" w:rsidRPr="001A4D2F" w:rsidRDefault="00F77324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КХоВ, НБС, </w:t>
            </w:r>
            <w:r w:rsidR="00A9340A" w:rsidRPr="001A4D2F">
              <w:rPr>
                <w:lang w:val="sr-Cyrl-CS"/>
              </w:rPr>
              <w:t>МФИН</w:t>
            </w: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69535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1.2.6 </w:t>
            </w:r>
            <w:r w:rsidR="002374BA" w:rsidRPr="001A4D2F">
              <w:rPr>
                <w:lang w:val="sr-Cyrl-CS"/>
              </w:rPr>
              <w:t>Анализирати претње у вези са пословањем институција електронског новца из трећих држава</w:t>
            </w:r>
          </w:p>
        </w:tc>
        <w:tc>
          <w:tcPr>
            <w:tcW w:w="3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</w:tc>
        <w:tc>
          <w:tcPr>
            <w:tcW w:w="431" w:type="pct"/>
          </w:tcPr>
          <w:p w:rsidR="00F77324" w:rsidRPr="001A4D2F" w:rsidRDefault="00F77324" w:rsidP="009E112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УСПН, МУП, </w:t>
            </w:r>
            <w:r w:rsidR="009E1129" w:rsidRPr="001A4D2F">
              <w:rPr>
                <w:lang w:val="sr-Cyrl-CS"/>
              </w:rPr>
              <w:t>КТ</w:t>
            </w: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536DA8">
              <w:rPr>
                <w:sz w:val="22"/>
                <w:szCs w:val="22"/>
                <w:lang w:val="sr-Cyrl-CS"/>
              </w:rPr>
              <w:t xml:space="preserve">Децембар </w:t>
            </w:r>
            <w:r w:rsidRPr="001A4D2F">
              <w:rPr>
                <w:lang w:val="sr-Cyrl-CS"/>
              </w:rPr>
              <w:t>2020.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654ED">
            <w:pPr>
              <w:rPr>
                <w:lang w:val="sr-Cyrl-CS"/>
              </w:rPr>
            </w:pPr>
            <w:r w:rsidRPr="001A4D2F">
              <w:rPr>
                <w:rFonts w:eastAsia="Times New Roman"/>
                <w:lang w:val="sr-Cyrl-CS" w:eastAsia="en-GB"/>
              </w:rPr>
              <w:t>1.2.7 Континуирано и интерактивно сарађивати са приватним сектором ради благовременог откривања нових производа и технологија које се могу злоупотребити за прање новца и финансирање тероризма</w:t>
            </w:r>
          </w:p>
        </w:tc>
        <w:tc>
          <w:tcPr>
            <w:tcW w:w="3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1" w:type="pct"/>
          </w:tcPr>
          <w:p w:rsidR="00F77324" w:rsidRPr="00F010BF" w:rsidRDefault="00F77324" w:rsidP="009E1129">
            <w:pPr>
              <w:rPr>
                <w:sz w:val="20"/>
                <w:szCs w:val="20"/>
                <w:lang w:val="sr-Cyrl-CS"/>
              </w:rPr>
            </w:pPr>
            <w:r w:rsidRPr="00F010BF">
              <w:rPr>
                <w:sz w:val="20"/>
                <w:szCs w:val="20"/>
                <w:lang w:val="sr-Cyrl-CS"/>
              </w:rPr>
              <w:t xml:space="preserve">Надзорни органи, </w:t>
            </w:r>
            <w:r w:rsidR="009E1129" w:rsidRPr="00F010BF">
              <w:rPr>
                <w:sz w:val="20"/>
                <w:szCs w:val="20"/>
                <w:lang w:val="sr-Cyrl-CS"/>
              </w:rPr>
              <w:t>КТ</w:t>
            </w:r>
            <w:r w:rsidRPr="00F010BF">
              <w:rPr>
                <w:sz w:val="20"/>
                <w:szCs w:val="20"/>
                <w:lang w:val="sr-Cyrl-CS"/>
              </w:rPr>
              <w:t>, обвезници, удружења обвезника</w:t>
            </w:r>
          </w:p>
        </w:tc>
        <w:tc>
          <w:tcPr>
            <w:tcW w:w="404" w:type="pct"/>
          </w:tcPr>
          <w:p w:rsidR="00F77324" w:rsidRPr="00F010BF" w:rsidRDefault="00F77324" w:rsidP="00C11F8E">
            <w:pPr>
              <w:rPr>
                <w:sz w:val="20"/>
                <w:szCs w:val="20"/>
                <w:lang w:val="sr-Cyrl-CS"/>
              </w:rPr>
            </w:pPr>
            <w:r w:rsidRPr="00F010BF">
              <w:rPr>
                <w:sz w:val="20"/>
                <w:szCs w:val="20"/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649"/>
        </w:trPr>
        <w:tc>
          <w:tcPr>
            <w:tcW w:w="835" w:type="pct"/>
          </w:tcPr>
          <w:p w:rsidR="00F77324" w:rsidRPr="001A4D2F" w:rsidRDefault="00F77324" w:rsidP="00C11F8E">
            <w:pPr>
              <w:rPr>
                <w:rFonts w:eastAsia="Times New Roman"/>
                <w:lang w:val="sr-Cyrl-CS" w:eastAsia="en-GB"/>
              </w:rPr>
            </w:pPr>
            <w:r w:rsidRPr="001A4D2F">
              <w:rPr>
                <w:rFonts w:eastAsia="Times New Roman"/>
                <w:lang w:val="sr-Cyrl-CS" w:eastAsia="en-GB"/>
              </w:rPr>
              <w:t xml:space="preserve">1.2.8. Континуирано обавештавати државне органе у систему за спречавање прања новца и финансирања тероризма у вези са новим производима и новим технологијама који </w:t>
            </w:r>
            <w:r w:rsidRPr="001A4D2F">
              <w:rPr>
                <w:rFonts w:eastAsia="Times New Roman"/>
                <w:lang w:val="sr-Cyrl-CS" w:eastAsia="en-GB"/>
              </w:rPr>
              <w:lastRenderedPageBreak/>
              <w:t>представљају ризик од прања новца или финансирања тероризма</w:t>
            </w:r>
          </w:p>
        </w:tc>
        <w:tc>
          <w:tcPr>
            <w:tcW w:w="3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lang w:val="sr-Cyrl-CS" w:eastAsia="en-GB"/>
              </w:rPr>
              <w:lastRenderedPageBreak/>
              <w:t>УСПН</w:t>
            </w:r>
          </w:p>
        </w:tc>
        <w:tc>
          <w:tcPr>
            <w:tcW w:w="431" w:type="pct"/>
          </w:tcPr>
          <w:p w:rsidR="00F77324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  <w:r w:rsidR="00F77324" w:rsidRPr="001A4D2F">
              <w:rPr>
                <w:rFonts w:eastAsia="Times New Roman"/>
                <w:lang w:val="sr-Cyrl-CS" w:eastAsia="en-GB"/>
              </w:rPr>
              <w:tab/>
            </w: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B46C05" w:rsidP="001626D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1.2.9. Проактивно анализирати прописе са становишта потенцијалних ризика по систем за борбу против прања новца и финансирања тероризма</w:t>
            </w:r>
          </w:p>
        </w:tc>
        <w:tc>
          <w:tcPr>
            <w:tcW w:w="399" w:type="pct"/>
          </w:tcPr>
          <w:p w:rsidR="00F77324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F77324" w:rsidRPr="00F010BF" w:rsidRDefault="001626DC" w:rsidP="001626DC">
            <w:pPr>
              <w:rPr>
                <w:sz w:val="20"/>
                <w:szCs w:val="20"/>
                <w:lang w:val="sr-Cyrl-CS"/>
              </w:rPr>
            </w:pPr>
            <w:r w:rsidRPr="00F010BF">
              <w:rPr>
                <w:sz w:val="20"/>
                <w:szCs w:val="20"/>
                <w:lang w:val="sr-Cyrl-CS"/>
              </w:rPr>
              <w:t>Све релевантне институције и органи</w:t>
            </w:r>
          </w:p>
        </w:tc>
        <w:tc>
          <w:tcPr>
            <w:tcW w:w="404" w:type="pct"/>
          </w:tcPr>
          <w:p w:rsidR="00F77324" w:rsidRPr="00F010BF" w:rsidRDefault="00F77324" w:rsidP="00B654ED">
            <w:pPr>
              <w:rPr>
                <w:sz w:val="20"/>
                <w:szCs w:val="20"/>
                <w:lang w:val="sr-Cyrl-CS"/>
              </w:rPr>
            </w:pPr>
            <w:r w:rsidRPr="00F010BF">
              <w:rPr>
                <w:sz w:val="20"/>
                <w:szCs w:val="20"/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Default="00F77324" w:rsidP="00B46C05">
            <w:r w:rsidRPr="001A4D2F">
              <w:rPr>
                <w:lang w:val="sr-Cyrl-CS"/>
              </w:rPr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0</w:t>
            </w:r>
            <w:r w:rsidRPr="001A4D2F">
              <w:rPr>
                <w:lang w:val="sr-Cyrl-CS"/>
              </w:rPr>
              <w:t xml:space="preserve"> Извршити анализу </w:t>
            </w:r>
            <w:r w:rsidR="002374BA" w:rsidRPr="001A4D2F">
              <w:rPr>
                <w:lang w:val="sr-Cyrl-CS"/>
              </w:rPr>
              <w:t>правног</w:t>
            </w:r>
            <w:r w:rsidRPr="001A4D2F">
              <w:rPr>
                <w:lang w:val="sr-Cyrl-CS"/>
              </w:rPr>
              <w:t xml:space="preserve"> оквира којим се регулише пренос физички преносивих средстава плаћања (Закон о спречавању прања новца и финансирања тероризма и Закон о девизном пословању)  </w:t>
            </w:r>
          </w:p>
          <w:p w:rsidR="00DA0EC2" w:rsidRPr="00DA0EC2" w:rsidRDefault="00DA0EC2" w:rsidP="00B46C05"/>
        </w:tc>
        <w:tc>
          <w:tcPr>
            <w:tcW w:w="399" w:type="pct"/>
          </w:tcPr>
          <w:p w:rsidR="00F77324" w:rsidRPr="001A4D2F" w:rsidRDefault="00F77324" w:rsidP="00B654E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1" w:type="pct"/>
          </w:tcPr>
          <w:p w:rsidR="00F77324" w:rsidRPr="001A4D2F" w:rsidRDefault="00F77324" w:rsidP="009E112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НБС, </w:t>
            </w:r>
            <w:r w:rsidR="009E1129" w:rsidRPr="001A4D2F">
              <w:rPr>
                <w:lang w:val="sr-Cyrl-CS"/>
              </w:rPr>
              <w:t>УЦ</w:t>
            </w:r>
            <w:r w:rsidRPr="001A4D2F">
              <w:rPr>
                <w:lang w:val="sr-Cyrl-CS"/>
              </w:rPr>
              <w:t>,</w:t>
            </w:r>
            <w:r w:rsidR="001821C4" w:rsidRPr="001A4D2F">
              <w:rPr>
                <w:lang w:val="sr-Cyrl-CS"/>
              </w:rPr>
              <w:t xml:space="preserve"> МУП</w:t>
            </w:r>
            <w:r w:rsidRPr="001A4D2F">
              <w:rPr>
                <w:lang w:val="sr-Cyrl-CS"/>
              </w:rPr>
              <w:t xml:space="preserve"> надлежни суд и тужилаштво</w:t>
            </w:r>
          </w:p>
        </w:tc>
        <w:tc>
          <w:tcPr>
            <w:tcW w:w="404" w:type="pct"/>
          </w:tcPr>
          <w:p w:rsidR="00F77324" w:rsidRPr="001A4D2F" w:rsidRDefault="00F77324" w:rsidP="00B654ED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1821C4" w:rsidRPr="001A4D2F" w:rsidTr="002D69E2">
        <w:trPr>
          <w:trHeight w:val="140"/>
        </w:trPr>
        <w:tc>
          <w:tcPr>
            <w:tcW w:w="835" w:type="pct"/>
          </w:tcPr>
          <w:p w:rsidR="001821C4" w:rsidRPr="001A4D2F" w:rsidRDefault="001821C4" w:rsidP="0009405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1.2.</w:t>
            </w:r>
            <w:r w:rsidR="00B46C05" w:rsidRPr="001A4D2F">
              <w:rPr>
                <w:lang w:val="sr-Cyrl-CS"/>
              </w:rPr>
              <w:t>11</w:t>
            </w:r>
            <w:r w:rsidRPr="001A4D2F">
              <w:rPr>
                <w:lang w:val="sr-Cyrl-CS"/>
              </w:rPr>
              <w:t>. Изменити нормативни оквир по потреби, у складу са резултатима анализе из активности 1.2.10.</w:t>
            </w:r>
          </w:p>
        </w:tc>
        <w:tc>
          <w:tcPr>
            <w:tcW w:w="399" w:type="pct"/>
          </w:tcPr>
          <w:p w:rsidR="001821C4" w:rsidRPr="001A4D2F" w:rsidRDefault="001821C4" w:rsidP="00B654E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1" w:type="pct"/>
          </w:tcPr>
          <w:p w:rsidR="001821C4" w:rsidRPr="001A4D2F" w:rsidRDefault="001821C4" w:rsidP="009E112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</w:tc>
        <w:tc>
          <w:tcPr>
            <w:tcW w:w="404" w:type="pct"/>
          </w:tcPr>
          <w:p w:rsidR="001821C4" w:rsidRPr="001A4D2F" w:rsidRDefault="001821C4" w:rsidP="001821C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1821C4" w:rsidRDefault="001821C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Pr="001A4D2F" w:rsidRDefault="00F010BF">
            <w:pPr>
              <w:rPr>
                <w:lang w:val="sr-Cyrl-CS"/>
              </w:rPr>
            </w:pPr>
          </w:p>
        </w:tc>
        <w:tc>
          <w:tcPr>
            <w:tcW w:w="500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46C05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2</w:t>
            </w:r>
            <w:r w:rsidRPr="001A4D2F">
              <w:rPr>
                <w:lang w:val="sr-Cyrl-CS"/>
              </w:rPr>
              <w:t xml:space="preserve"> Успоставити Јединствени регистар корисника </w:t>
            </w:r>
            <w:r w:rsidR="002374BA" w:rsidRPr="001A4D2F">
              <w:rPr>
                <w:lang w:val="sr-Cyrl-CS"/>
              </w:rPr>
              <w:t>новчане дознаке</w:t>
            </w:r>
          </w:p>
        </w:tc>
        <w:tc>
          <w:tcPr>
            <w:tcW w:w="3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010BF" w:rsidP="00C11F8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II </w:t>
            </w:r>
            <w:r w:rsidR="00F77324" w:rsidRPr="001A4D2F">
              <w:rPr>
                <w:lang w:val="sr-Cyrl-CS"/>
              </w:rPr>
              <w:t>квартал 2020.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09405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B46C05" w:rsidRPr="001A4D2F">
              <w:rPr>
                <w:lang w:val="sr-Cyrl-CS"/>
              </w:rPr>
              <w:t>13</w:t>
            </w:r>
            <w:r w:rsidRPr="001A4D2F">
              <w:rPr>
                <w:lang w:val="sr-Cyrl-CS"/>
              </w:rPr>
              <w:t xml:space="preserve"> Периодично анализирати функционалност Јединственог регистра</w:t>
            </w:r>
            <w:r w:rsidR="002374BA" w:rsidRPr="001A4D2F">
              <w:rPr>
                <w:lang w:val="sr-Cyrl-CS"/>
              </w:rPr>
              <w:t xml:space="preserve"> корисника новчане дознаке</w:t>
            </w:r>
            <w:r w:rsidRPr="001A4D2F">
              <w:rPr>
                <w:lang w:val="sr-Cyrl-CS"/>
              </w:rPr>
              <w:t xml:space="preserve"> и усвајати нове мере према потреби</w:t>
            </w:r>
          </w:p>
        </w:tc>
        <w:tc>
          <w:tcPr>
            <w:tcW w:w="3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46C05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 Успоставити Јединствени регистар сефова</w:t>
            </w:r>
          </w:p>
        </w:tc>
        <w:tc>
          <w:tcPr>
            <w:tcW w:w="3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II квартал 2020.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09405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B46C05" w:rsidRPr="001A4D2F">
              <w:rPr>
                <w:lang w:val="sr-Cyrl-CS"/>
              </w:rPr>
              <w:t>15</w:t>
            </w:r>
            <w:r w:rsidRPr="001A4D2F">
              <w:rPr>
                <w:lang w:val="sr-Cyrl-CS"/>
              </w:rPr>
              <w:t xml:space="preserve"> Континуирано обавештавање свих </w:t>
            </w:r>
            <w:r w:rsidRPr="001A4D2F">
              <w:rPr>
                <w:lang w:val="sr-Cyrl-CS"/>
              </w:rPr>
              <w:lastRenderedPageBreak/>
              <w:t>релевантних учесника у систему о јавно доступним базама података</w:t>
            </w:r>
          </w:p>
        </w:tc>
        <w:tc>
          <w:tcPr>
            <w:tcW w:w="399" w:type="pct"/>
          </w:tcPr>
          <w:p w:rsidR="00F77324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КТ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Pr="001A4D2F" w:rsidRDefault="00F010BF">
            <w:pPr>
              <w:rPr>
                <w:lang w:val="sr-Cyrl-CS"/>
              </w:rPr>
            </w:pP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Финансира се у оквиру редовних </w:t>
            </w:r>
            <w:r w:rsidRPr="001A4D2F">
              <w:rPr>
                <w:lang w:val="sr-Cyrl-CS"/>
              </w:rPr>
              <w:lastRenderedPageBreak/>
              <w:t>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46C05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6</w:t>
            </w:r>
            <w:r w:rsidRPr="001A4D2F">
              <w:rPr>
                <w:lang w:val="sr-Cyrl-CS"/>
              </w:rPr>
              <w:t xml:space="preserve"> Најмање једном годишње упоређивати резултате националне процене ризика и извештаја о извршеним контролама надзорних органа ради оцене разумевања ризика од стране обвезника </w:t>
            </w:r>
          </w:p>
        </w:tc>
        <w:tc>
          <w:tcPr>
            <w:tcW w:w="399" w:type="pct"/>
          </w:tcPr>
          <w:p w:rsidR="00F77324" w:rsidRPr="001A4D2F" w:rsidRDefault="009E1129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</w:t>
            </w:r>
          </w:p>
        </w:tc>
        <w:tc>
          <w:tcPr>
            <w:tcW w:w="404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DA0EC2" w:rsidRDefault="00F77324" w:rsidP="00B46C05">
            <w:pPr>
              <w:rPr>
                <w:sz w:val="22"/>
                <w:szCs w:val="22"/>
                <w:lang w:val="sr-Cyrl-CS"/>
              </w:rPr>
            </w:pPr>
            <w:r w:rsidRPr="00DA0EC2">
              <w:rPr>
                <w:sz w:val="22"/>
                <w:szCs w:val="22"/>
                <w:lang w:val="sr-Cyrl-CS"/>
              </w:rPr>
              <w:t>1.</w:t>
            </w:r>
            <w:r w:rsidR="001821C4" w:rsidRPr="00DA0EC2">
              <w:rPr>
                <w:sz w:val="22"/>
                <w:szCs w:val="22"/>
                <w:lang w:val="sr-Cyrl-CS"/>
              </w:rPr>
              <w:t>2.</w:t>
            </w:r>
            <w:r w:rsidR="0009405E" w:rsidRPr="00DA0EC2">
              <w:rPr>
                <w:sz w:val="22"/>
                <w:szCs w:val="22"/>
                <w:lang w:val="sr-Cyrl-CS"/>
              </w:rPr>
              <w:t>1</w:t>
            </w:r>
            <w:r w:rsidR="00B46C05" w:rsidRPr="00DA0EC2">
              <w:rPr>
                <w:sz w:val="22"/>
                <w:szCs w:val="22"/>
                <w:lang w:val="sr-Cyrl-CS"/>
              </w:rPr>
              <w:t>7</w:t>
            </w:r>
            <w:r w:rsidRPr="00DA0EC2">
              <w:rPr>
                <w:sz w:val="22"/>
                <w:szCs w:val="22"/>
                <w:lang w:val="sr-Cyrl-CS"/>
              </w:rPr>
              <w:t>. Континуирано сагледавати квалитет анализа ризика које обвезници спроводе у складу са чланом 6. Закона о спречавању прања новца и финансирања тероризма</w:t>
            </w:r>
          </w:p>
        </w:tc>
        <w:tc>
          <w:tcPr>
            <w:tcW w:w="3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</w:t>
            </w: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b/>
          <w:lang w:val="sr-Cyrl-CS"/>
        </w:rPr>
      </w:pPr>
    </w:p>
    <w:p w:rsidR="00F43ECD" w:rsidRPr="001A4D2F" w:rsidRDefault="00F43ECD" w:rsidP="00C11F8E">
      <w:pPr>
        <w:rPr>
          <w:lang w:val="sr-Cyrl-CS"/>
        </w:rPr>
      </w:pPr>
    </w:p>
    <w:tbl>
      <w:tblPr>
        <w:tblStyle w:val="TableGrid"/>
        <w:tblW w:w="4986" w:type="pct"/>
        <w:tblInd w:w="11" w:type="dxa"/>
        <w:tblLayout w:type="fixed"/>
        <w:tblLook w:val="04A0"/>
      </w:tblPr>
      <w:tblGrid>
        <w:gridCol w:w="3194"/>
        <w:gridCol w:w="1458"/>
        <w:gridCol w:w="1965"/>
        <w:gridCol w:w="382"/>
        <w:gridCol w:w="775"/>
        <w:gridCol w:w="1693"/>
        <w:gridCol w:w="1527"/>
        <w:gridCol w:w="1561"/>
        <w:gridCol w:w="1580"/>
      </w:tblGrid>
      <w:tr w:rsidR="00F43ECD" w:rsidRPr="001A4D2F" w:rsidTr="00C11F8E">
        <w:trPr>
          <w:trHeight w:val="16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054E20" w:rsidP="00FD6ACD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4" w:name="_Toc32409908"/>
            <w:r w:rsidRPr="001A4D2F">
              <w:rPr>
                <w:rFonts w:cs="Times New Roman"/>
                <w:sz w:val="24"/>
                <w:lang w:val="sr-Cyrl-CS"/>
              </w:rPr>
              <w:lastRenderedPageBreak/>
              <w:t>Мера 1.</w:t>
            </w:r>
            <w:r w:rsidR="00FD6ACD" w:rsidRPr="001A4D2F">
              <w:rPr>
                <w:rFonts w:cs="Times New Roman"/>
                <w:sz w:val="24"/>
                <w:lang w:val="sr-Cyrl-CS"/>
              </w:rPr>
              <w:t>3</w:t>
            </w:r>
            <w:r w:rsidRPr="001A4D2F">
              <w:rPr>
                <w:rFonts w:cs="Times New Roman"/>
                <w:sz w:val="24"/>
                <w:lang w:val="sr-Cyrl-CS"/>
              </w:rPr>
              <w:t xml:space="preserve">: 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Разрађивање механизама координације и сарадње између органа надлежних за надзор, финансијскообавештајне послове, истраге, поступке за прање новца и финансирање тероризма и одузимање имовине и унапређење </w:t>
            </w:r>
            <w:r w:rsidRPr="001A4D2F">
              <w:rPr>
                <w:rFonts w:cs="Times New Roman"/>
                <w:sz w:val="24"/>
                <w:lang w:val="sr-Cyrl-CS"/>
              </w:rPr>
              <w:t>међународне сарадње</w:t>
            </w:r>
            <w:bookmarkEnd w:id="4"/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</w:p>
        </w:tc>
      </w:tr>
      <w:tr w:rsidR="00F43ECD" w:rsidRPr="001A4D2F" w:rsidTr="00C11F8E">
        <w:trPr>
          <w:trHeight w:val="29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Орган oдговоран за спровођење (координисање спровођења) мере:</w:t>
            </w:r>
            <w:r w:rsidR="007F7FA4" w:rsidRPr="001A4D2F">
              <w:rPr>
                <w:lang w:val="sr-Cyrl-CS"/>
              </w:rPr>
              <w:t xml:space="preserve"> Координационо тело за спречавање прања новца и финансирања тероризма</w:t>
            </w:r>
          </w:p>
        </w:tc>
      </w:tr>
      <w:tr w:rsidR="00F43ECD" w:rsidRPr="001A4D2F" w:rsidTr="00C11F8E">
        <w:trPr>
          <w:trHeight w:val="298"/>
        </w:trPr>
        <w:tc>
          <w:tcPr>
            <w:tcW w:w="247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7F7FA4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252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464869" w:rsidRPr="001A4D2F">
              <w:rPr>
                <w:lang w:val="sr-Cyrl-CS"/>
              </w:rPr>
              <w:t xml:space="preserve"> Институционално-управљачко-организациона</w:t>
            </w:r>
          </w:p>
        </w:tc>
      </w:tr>
      <w:tr w:rsidR="004316AD" w:rsidRPr="001A4D2F" w:rsidTr="004316AD">
        <w:trPr>
          <w:trHeight w:val="950"/>
        </w:trPr>
        <w:tc>
          <w:tcPr>
            <w:tcW w:w="1130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695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559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885F9C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F43ECD" w:rsidRPr="001A4D2F" w:rsidTr="004316AD">
        <w:trPr>
          <w:trHeight w:val="950"/>
        </w:trPr>
        <w:tc>
          <w:tcPr>
            <w:tcW w:w="1130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E62F72" w:rsidP="007F7FA4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Н</w:t>
            </w:r>
            <w:r w:rsidR="007F7FA4" w:rsidRPr="001A4D2F">
              <w:rPr>
                <w:color w:val="auto"/>
                <w:lang w:val="sr-Cyrl-CS"/>
              </w:rPr>
              <w:t>апредак у делотворности и техничкој усклађености са релевантним међунар</w:t>
            </w:r>
            <w:r w:rsidR="001204FF">
              <w:rPr>
                <w:color w:val="auto"/>
                <w:lang w:val="sr-Cyrl-CS"/>
              </w:rPr>
              <w:t>од</w:t>
            </w:r>
            <w:r w:rsidR="007F7FA4" w:rsidRPr="001A4D2F">
              <w:rPr>
                <w:color w:val="auto"/>
                <w:lang w:val="sr-Cyrl-CS"/>
              </w:rPr>
              <w:t>ним стандардима</w:t>
            </w:r>
            <w:r w:rsidR="004316AD" w:rsidRPr="001A4D2F">
              <w:rPr>
                <w:color w:val="auto"/>
                <w:lang w:val="sr-Cyrl-CS"/>
              </w:rPr>
              <w:t>,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 w:rsidRPr="001A4D2F">
              <w:rPr>
                <w:color w:val="auto"/>
                <w:lang w:val="sr-Cyrl-CS"/>
              </w:rPr>
              <w:t>на годишњем нивоу</w:t>
            </w: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  <w:r w:rsidR="005F240E" w:rsidRPr="001A4D2F">
              <w:rPr>
                <w:color w:val="auto"/>
                <w:lang w:val="sr-Cyrl-CS"/>
              </w:rPr>
              <w:t>/Не</w:t>
            </w:r>
          </w:p>
        </w:tc>
        <w:tc>
          <w:tcPr>
            <w:tcW w:w="695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Извештај Манивала, </w:t>
            </w:r>
            <w:r w:rsidR="00121212" w:rsidRPr="001A4D2F">
              <w:rPr>
                <w:color w:val="auto"/>
                <w:lang w:val="sr-Cyrl-CS"/>
              </w:rPr>
              <w:t>Извештаји о раду надлежних органа, Координационог тела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2019.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55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43ECD" w:rsidRPr="001A4D2F" w:rsidRDefault="00F43ECD" w:rsidP="00C11F8E">
      <w:pPr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358"/>
        <w:gridCol w:w="1128"/>
        <w:gridCol w:w="1222"/>
        <w:gridCol w:w="1145"/>
        <w:gridCol w:w="1554"/>
        <w:gridCol w:w="1143"/>
        <w:gridCol w:w="1905"/>
        <w:gridCol w:w="1701"/>
        <w:gridCol w:w="2019"/>
      </w:tblGrid>
      <w:tr w:rsidR="002E2CAF" w:rsidRPr="001A4D2F" w:rsidTr="006B4500">
        <w:trPr>
          <w:trHeight w:val="140"/>
        </w:trPr>
        <w:tc>
          <w:tcPr>
            <w:tcW w:w="8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39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536DA8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063345">
              <w:rPr>
                <w:b/>
                <w:sz w:val="14"/>
                <w:szCs w:val="14"/>
                <w:lang w:val="sr-Cyrl-CS"/>
              </w:rPr>
              <w:t xml:space="preserve">програмским </w:t>
            </w:r>
            <w:r w:rsidRPr="00536DA8">
              <w:rPr>
                <w:b/>
                <w:sz w:val="18"/>
                <w:szCs w:val="18"/>
                <w:lang w:val="sr-Cyrl-CS"/>
              </w:rPr>
              <w:t>буџетом</w:t>
            </w:r>
          </w:p>
          <w:p w:rsidR="002E2CAF" w:rsidRPr="00536DA8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4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6B4500" w:rsidRPr="001A4D2F" w:rsidTr="006B4500">
        <w:trPr>
          <w:trHeight w:val="386"/>
        </w:trPr>
        <w:tc>
          <w:tcPr>
            <w:tcW w:w="832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1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00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DB34B7" w:rsidRPr="00536DA8" w:rsidRDefault="00DB34B7" w:rsidP="00DB34B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F77324" w:rsidRPr="001A4D2F" w:rsidTr="006B4500">
        <w:trPr>
          <w:trHeight w:val="2293"/>
        </w:trPr>
        <w:tc>
          <w:tcPr>
            <w:tcW w:w="832" w:type="pct"/>
            <w:tcBorders>
              <w:left w:val="double" w:sz="4" w:space="0" w:color="auto"/>
            </w:tcBorders>
          </w:tcPr>
          <w:p w:rsidR="00F77324" w:rsidRPr="001A4D2F" w:rsidRDefault="00F77324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1.3.1 Размотрити могућности за израду регионалне процене и анализе ризика, умрежавање са регистрима других држава и другим иницијативама у </w:t>
            </w:r>
            <w:r w:rsidRPr="001A4D2F">
              <w:rPr>
                <w:lang w:val="sr-Cyrl-CS"/>
              </w:rPr>
              <w:lastRenderedPageBreak/>
              <w:t>складу са добром међународном праксом.</w:t>
            </w:r>
          </w:p>
        </w:tc>
        <w:tc>
          <w:tcPr>
            <w:tcW w:w="398" w:type="pct"/>
          </w:tcPr>
          <w:p w:rsidR="00F77324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КТ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3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140"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A9340A" w:rsidP="007F7FA4">
            <w:pPr>
              <w:rPr>
                <w:lang w:val="sr-Cyrl-CS"/>
              </w:rPr>
            </w:pPr>
            <w:r w:rsidRPr="001A4D2F">
              <w:rPr>
                <w:bCs/>
                <w:lang w:val="sr-Cyrl-CS"/>
              </w:rPr>
              <w:lastRenderedPageBreak/>
              <w:t>1.3.2 Остваривати сарадњу, укључујући и кроз прикупљање информација о упоредној пракси других држава, посебно држава региона, о питањима битним за спровођење приоритетних анализа и националне процене ризика</w:t>
            </w:r>
          </w:p>
        </w:tc>
        <w:tc>
          <w:tcPr>
            <w:tcW w:w="39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A9340A" w:rsidRPr="001A4D2F" w:rsidRDefault="00A9340A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3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543"/>
        </w:trPr>
        <w:tc>
          <w:tcPr>
            <w:tcW w:w="832" w:type="pct"/>
            <w:tcBorders>
              <w:left w:val="double" w:sz="4" w:space="0" w:color="auto"/>
            </w:tcBorders>
          </w:tcPr>
          <w:p w:rsidR="00DA0EC2" w:rsidRPr="00DA0EC2" w:rsidRDefault="00A9340A" w:rsidP="007F7FA4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1.3.3 Потписивање меморандума између домаћих надзорних органа и надзорних органа других земаља у области спречавања прања новца и финансирања </w:t>
            </w:r>
          </w:p>
          <w:p w:rsidR="00A9340A" w:rsidRPr="001A4D2F" w:rsidRDefault="00A9340A" w:rsidP="007F7FA4">
            <w:pPr>
              <w:rPr>
                <w:rFonts w:eastAsia="Times New Roman"/>
                <w:lang w:val="sr-Cyrl-CS" w:eastAsia="en-GB"/>
              </w:rPr>
            </w:pP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>тероризма</w:t>
            </w:r>
          </w:p>
        </w:tc>
        <w:tc>
          <w:tcPr>
            <w:tcW w:w="39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A9340A" w:rsidRPr="001A4D2F" w:rsidRDefault="00A9340A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</w:t>
            </w:r>
          </w:p>
        </w:tc>
        <w:tc>
          <w:tcPr>
            <w:tcW w:w="40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3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F77324" w:rsidRPr="001A4D2F" w:rsidTr="006B4500">
        <w:trPr>
          <w:trHeight w:val="140"/>
        </w:trPr>
        <w:tc>
          <w:tcPr>
            <w:tcW w:w="832" w:type="pct"/>
            <w:tcBorders>
              <w:left w:val="double" w:sz="4" w:space="0" w:color="auto"/>
            </w:tcBorders>
          </w:tcPr>
          <w:p w:rsidR="00F77324" w:rsidRPr="001A4D2F" w:rsidRDefault="000B0100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1.3.4</w:t>
            </w:r>
            <w:r w:rsidR="00F77324" w:rsidRPr="001A4D2F">
              <w:rPr>
                <w:lang w:val="sr-Cyrl-CS"/>
              </w:rPr>
              <w:t xml:space="preserve"> Закључивати споразуме о међународној сарадњи са другим државама о расподели одузете имовине</w:t>
            </w:r>
          </w:p>
        </w:tc>
        <w:tc>
          <w:tcPr>
            <w:tcW w:w="398" w:type="pct"/>
          </w:tcPr>
          <w:p w:rsidR="00F77324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3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543"/>
          <w:tblHeader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0B0100" w:rsidP="007F7FA4">
            <w:pPr>
              <w:rPr>
                <w:rFonts w:eastAsia="Times New Roman"/>
                <w:lang w:val="sr-Cyrl-CS" w:eastAsia="en-GB"/>
              </w:rPr>
            </w:pPr>
            <w:r>
              <w:rPr>
                <w:rFonts w:eastAsia="Times New Roman"/>
                <w:lang w:val="sr-Cyrl-CS" w:eastAsia="en-GB"/>
              </w:rPr>
              <w:t>1.3.5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Прегле</w:t>
            </w:r>
            <w:r w:rsidR="002374BA" w:rsidRPr="001A4D2F">
              <w:rPr>
                <w:rFonts w:eastAsia="Times New Roman"/>
                <w:lang w:val="sr-Cyrl-CS" w:eastAsia="en-GB"/>
              </w:rPr>
              <w:t>д механизама за међуагенцијске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сарадње и давање препорука за њихово унапређење</w:t>
            </w:r>
          </w:p>
        </w:tc>
        <w:tc>
          <w:tcPr>
            <w:tcW w:w="39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A9340A" w:rsidRPr="000B0100" w:rsidRDefault="00BB04FA" w:rsidP="007F7FA4">
            <w:pPr>
              <w:rPr>
                <w:sz w:val="18"/>
                <w:szCs w:val="18"/>
                <w:lang w:val="sr-Cyrl-CS"/>
              </w:rPr>
            </w:pPr>
            <w:bookmarkStart w:id="5" w:name="_GoBack"/>
            <w:r w:rsidRPr="000B0100">
              <w:rPr>
                <w:sz w:val="18"/>
                <w:szCs w:val="18"/>
                <w:lang w:val="sr-Cyrl-CS"/>
              </w:rPr>
              <w:t>Релевантни органи и институције</w:t>
            </w:r>
            <w:bookmarkEnd w:id="5"/>
          </w:p>
        </w:tc>
        <w:tc>
          <w:tcPr>
            <w:tcW w:w="404" w:type="pct"/>
          </w:tcPr>
          <w:p w:rsidR="00A9340A" w:rsidRPr="001A4D2F" w:rsidRDefault="00A9340A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3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543"/>
          <w:tblHeader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0B0100" w:rsidP="007F7FA4">
            <w:pPr>
              <w:rPr>
                <w:rFonts w:eastAsia="Times New Roman"/>
                <w:lang w:val="sr-Cyrl-CS" w:eastAsia="en-GB"/>
              </w:rPr>
            </w:pPr>
            <w:r>
              <w:rPr>
                <w:rFonts w:eastAsia="Times New Roman"/>
                <w:lang w:val="sr-Cyrl-CS" w:eastAsia="en-GB"/>
              </w:rPr>
              <w:t>1.3.6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Образовање стручних тимова Координационог тела у складу са Пословником о раду</w:t>
            </w:r>
          </w:p>
        </w:tc>
        <w:tc>
          <w:tcPr>
            <w:tcW w:w="39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A9340A" w:rsidRPr="00326C84" w:rsidRDefault="00BB04FA" w:rsidP="007F7FA4">
            <w:pPr>
              <w:rPr>
                <w:sz w:val="18"/>
                <w:szCs w:val="18"/>
                <w:lang w:val="sr-Cyrl-CS"/>
              </w:rPr>
            </w:pPr>
            <w:r w:rsidRPr="00326C84">
              <w:rPr>
                <w:sz w:val="18"/>
                <w:szCs w:val="18"/>
                <w:lang w:val="sr-Cyrl-CS"/>
              </w:rPr>
              <w:t>Релевантни органи и институције</w:t>
            </w:r>
          </w:p>
        </w:tc>
        <w:tc>
          <w:tcPr>
            <w:tcW w:w="404" w:type="pct"/>
          </w:tcPr>
          <w:p w:rsidR="00A9340A" w:rsidRPr="001A4D2F" w:rsidRDefault="00A9340A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3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140"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0B0100" w:rsidP="007F7FA4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1.3.7</w:t>
            </w:r>
            <w:r w:rsidR="00A9340A" w:rsidRPr="001A4D2F">
              <w:rPr>
                <w:bCs/>
                <w:lang w:val="sr-Cyrl-CS"/>
              </w:rPr>
              <w:t xml:space="preserve"> Унапређење знања и вештина за коришћење постојећих механизама међународне сарадње у циљу откривања имовине стечене кривичним делом</w:t>
            </w:r>
          </w:p>
        </w:tc>
        <w:tc>
          <w:tcPr>
            <w:tcW w:w="39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1" w:type="pct"/>
          </w:tcPr>
          <w:p w:rsidR="00A9340A" w:rsidRPr="00326C84" w:rsidRDefault="00BB04FA" w:rsidP="00BB04FA">
            <w:pPr>
              <w:rPr>
                <w:sz w:val="18"/>
                <w:szCs w:val="18"/>
                <w:highlight w:val="yellow"/>
                <w:lang w:val="sr-Cyrl-CS"/>
              </w:rPr>
            </w:pPr>
            <w:r w:rsidRPr="00326C84">
              <w:rPr>
                <w:sz w:val="18"/>
                <w:szCs w:val="18"/>
                <w:lang w:val="sr-Cyrl-CS"/>
              </w:rPr>
              <w:t>Релевантни органи и институције</w:t>
            </w:r>
          </w:p>
        </w:tc>
        <w:tc>
          <w:tcPr>
            <w:tcW w:w="40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4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3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</w:tbl>
    <w:p w:rsidR="00F43ECD" w:rsidRDefault="00F43ECD" w:rsidP="00C11F8E"/>
    <w:p w:rsidR="00DA0EC2" w:rsidRPr="00DA0EC2" w:rsidRDefault="00DA0EC2" w:rsidP="00C11F8E"/>
    <w:tbl>
      <w:tblPr>
        <w:tblStyle w:val="TableGrid"/>
        <w:tblW w:w="5000" w:type="pct"/>
        <w:tblInd w:w="11" w:type="dxa"/>
        <w:tblLayout w:type="fixed"/>
        <w:tblLook w:val="04A0"/>
      </w:tblPr>
      <w:tblGrid>
        <w:gridCol w:w="3195"/>
        <w:gridCol w:w="1460"/>
        <w:gridCol w:w="1366"/>
        <w:gridCol w:w="978"/>
        <w:gridCol w:w="1177"/>
        <w:gridCol w:w="1296"/>
        <w:gridCol w:w="1525"/>
        <w:gridCol w:w="1559"/>
        <w:gridCol w:w="1619"/>
      </w:tblGrid>
      <w:tr w:rsidR="00F43ECD" w:rsidRPr="001A4D2F" w:rsidTr="00F67792">
        <w:trPr>
          <w:trHeight w:val="16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7F7FA4" w:rsidP="002374BA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6" w:name="_Toc32409909"/>
            <w:r w:rsidRPr="001A4D2F">
              <w:rPr>
                <w:rFonts w:cs="Times New Roman"/>
                <w:sz w:val="24"/>
                <w:lang w:val="sr-Cyrl-CS"/>
              </w:rPr>
              <w:lastRenderedPageBreak/>
              <w:t>Мера 1.4</w:t>
            </w:r>
            <w:r w:rsidR="00F43ECD" w:rsidRPr="001A4D2F">
              <w:rPr>
                <w:rFonts w:cs="Times New Roman"/>
                <w:sz w:val="24"/>
                <w:lang w:val="sr-Cyrl-CS"/>
              </w:rPr>
              <w:t>: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Обезбеђење </w:t>
            </w:r>
            <w:r w:rsidR="00DD7D00" w:rsidRPr="001A4D2F">
              <w:rPr>
                <w:rFonts w:cs="Times New Roman"/>
                <w:sz w:val="24"/>
                <w:lang w:val="sr-Cyrl-CS"/>
              </w:rPr>
              <w:t>усклађености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законодавних и институционалних</w:t>
            </w:r>
            <w:r w:rsidR="00B033B8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 w:rsidR="00F43ECD" w:rsidRPr="001A4D2F">
              <w:rPr>
                <w:rFonts w:cs="Times New Roman"/>
                <w:sz w:val="24"/>
                <w:lang w:val="sr-Cyrl-CS"/>
              </w:rPr>
              <w:t>механиз</w:t>
            </w:r>
            <w:r w:rsidR="00054E20" w:rsidRPr="001A4D2F">
              <w:rPr>
                <w:rFonts w:cs="Times New Roman"/>
                <w:sz w:val="24"/>
                <w:lang w:val="sr-Cyrl-CS"/>
              </w:rPr>
              <w:t>а</w:t>
            </w:r>
            <w:r w:rsidR="00F43ECD" w:rsidRPr="001A4D2F">
              <w:rPr>
                <w:rFonts w:cs="Times New Roman"/>
                <w:sz w:val="24"/>
                <w:lang w:val="sr-Cyrl-CS"/>
              </w:rPr>
              <w:t>м</w:t>
            </w:r>
            <w:r w:rsidR="00054E20" w:rsidRPr="001A4D2F">
              <w:rPr>
                <w:rFonts w:cs="Times New Roman"/>
                <w:sz w:val="24"/>
                <w:lang w:val="sr-Cyrl-CS"/>
              </w:rPr>
              <w:t>а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у области борбе против пр</w:t>
            </w:r>
            <w:r w:rsidR="00E74F8C" w:rsidRPr="001A4D2F">
              <w:rPr>
                <w:rFonts w:cs="Times New Roman"/>
                <w:sz w:val="24"/>
                <w:lang w:val="sr-Cyrl-CS"/>
              </w:rPr>
              <w:t>а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ња новца и финансирања тероризма </w:t>
            </w:r>
            <w:r w:rsidR="002374BA" w:rsidRPr="001A4D2F">
              <w:rPr>
                <w:rFonts w:cs="Times New Roman"/>
                <w:sz w:val="24"/>
                <w:lang w:val="sr-Cyrl-CS"/>
              </w:rPr>
              <w:t xml:space="preserve">са </w:t>
            </w:r>
            <w:r w:rsidR="00F43ECD" w:rsidRPr="001A4D2F">
              <w:rPr>
                <w:rFonts w:cs="Times New Roman"/>
                <w:sz w:val="24"/>
                <w:lang w:val="sr-Cyrl-CS"/>
              </w:rPr>
              <w:t>међународним стандардима</w:t>
            </w:r>
            <w:bookmarkEnd w:id="6"/>
          </w:p>
        </w:tc>
      </w:tr>
      <w:tr w:rsidR="00F43ECD" w:rsidRPr="001A4D2F" w:rsidTr="00F67792">
        <w:trPr>
          <w:trHeight w:val="29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Орган oдговоран за спровођење (координисање спровођења) мере:</w:t>
            </w:r>
            <w:r w:rsidR="00F07D7D" w:rsidRPr="001A4D2F">
              <w:rPr>
                <w:lang w:val="sr-Cyrl-CS"/>
              </w:rPr>
              <w:t xml:space="preserve">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F43ECD" w:rsidRPr="001A4D2F" w:rsidTr="00F67792">
        <w:trPr>
          <w:trHeight w:val="298"/>
        </w:trPr>
        <w:tc>
          <w:tcPr>
            <w:tcW w:w="246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F07D7D" w:rsidRPr="001A4D2F">
              <w:rPr>
                <w:lang w:val="sr-Cyrl-CS"/>
              </w:rPr>
              <w:t xml:space="preserve"> 2020-202</w:t>
            </w:r>
            <w:r w:rsidR="003030E6" w:rsidRPr="001A4D2F">
              <w:rPr>
                <w:lang w:val="sr-Cyrl-CS"/>
              </w:rPr>
              <w:t>2</w:t>
            </w:r>
          </w:p>
        </w:tc>
        <w:tc>
          <w:tcPr>
            <w:tcW w:w="253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464869" w:rsidRPr="001A4D2F">
              <w:rPr>
                <w:lang w:val="sr-Cyrl-CS"/>
              </w:rPr>
              <w:t xml:space="preserve"> Институционално-управљачко-организациона</w:t>
            </w:r>
          </w:p>
        </w:tc>
      </w:tr>
      <w:tr w:rsidR="004316AD" w:rsidRPr="001A4D2F" w:rsidTr="00C802E4">
        <w:trPr>
          <w:trHeight w:val="950"/>
        </w:trPr>
        <w:tc>
          <w:tcPr>
            <w:tcW w:w="1127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515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760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457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550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571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885F9C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F43ECD" w:rsidRPr="001A4D2F" w:rsidTr="00C802E4">
        <w:trPr>
          <w:trHeight w:val="302"/>
        </w:trPr>
        <w:tc>
          <w:tcPr>
            <w:tcW w:w="112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F16B6E" w:rsidP="00F16B6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Оцена</w:t>
            </w:r>
            <w:r w:rsidR="00DA0064" w:rsidRPr="001A4D2F">
              <w:rPr>
                <w:lang w:val="sr-Cyrl-CS"/>
              </w:rPr>
              <w:t xml:space="preserve"> укупне</w:t>
            </w:r>
            <w:r w:rsidRPr="001A4D2F">
              <w:rPr>
                <w:lang w:val="sr-Cyrl-CS"/>
              </w:rPr>
              <w:t xml:space="preserve"> техничке усклађености система </w:t>
            </w:r>
            <w:r w:rsidR="00DA0064" w:rsidRPr="001A4D2F">
              <w:rPr>
                <w:lang w:val="sr-Cyrl-CS"/>
              </w:rPr>
              <w:t xml:space="preserve">за борбу против прања новца и финансирања тероризма у Републици Србији </w:t>
            </w:r>
            <w:r w:rsidRPr="001A4D2F">
              <w:rPr>
                <w:lang w:val="sr-Cyrl-CS"/>
              </w:rPr>
              <w:t xml:space="preserve">са међународним стандардима </w:t>
            </w:r>
          </w:p>
        </w:tc>
        <w:tc>
          <w:tcPr>
            <w:tcW w:w="515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F16B6E" w:rsidP="00C11F8E">
            <w:pPr>
              <w:shd w:val="clear" w:color="auto" w:fill="FFFFFF" w:themeFill="background1"/>
              <w:rPr>
                <w:i/>
                <w:lang w:val="sr-Cyrl-CS"/>
              </w:rPr>
            </w:pPr>
            <w:r w:rsidRPr="001A4D2F">
              <w:rPr>
                <w:lang w:val="sr-Cyrl-CS"/>
              </w:rPr>
              <w:t xml:space="preserve">Оцена </w:t>
            </w:r>
            <w:r w:rsidR="00C802E4" w:rsidRPr="001A4D2F">
              <w:rPr>
                <w:i/>
                <w:lang w:val="sr-Cyrl-CS"/>
              </w:rPr>
              <w:t>у великој мери усклађен</w:t>
            </w:r>
            <w:r w:rsidR="004316AD" w:rsidRPr="001A4D2F">
              <w:rPr>
                <w:i/>
                <w:lang w:val="sr-Cyrl-CS"/>
              </w:rPr>
              <w:t xml:space="preserve"> (LC)</w:t>
            </w:r>
            <w:r w:rsidRPr="001A4D2F">
              <w:rPr>
                <w:lang w:val="sr-Cyrl-CS"/>
              </w:rPr>
              <w:t xml:space="preserve"> или </w:t>
            </w:r>
            <w:r w:rsidR="00C802E4" w:rsidRPr="001A4D2F">
              <w:rPr>
                <w:i/>
                <w:lang w:val="sr-Cyrl-CS"/>
              </w:rPr>
              <w:t>усклађен</w:t>
            </w:r>
            <w:r w:rsidR="004316AD" w:rsidRPr="001A4D2F">
              <w:rPr>
                <w:i/>
                <w:lang w:val="sr-Cyrl-CS"/>
              </w:rPr>
              <w:t xml:space="preserve"> (C)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i/>
                <w:lang w:val="sr-Cyrl-CS"/>
              </w:rPr>
            </w:pPr>
          </w:p>
        </w:tc>
        <w:tc>
          <w:tcPr>
            <w:tcW w:w="48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F43EC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Извештај </w:t>
            </w:r>
            <w:r w:rsidR="00F3579D" w:rsidRPr="001A4D2F">
              <w:rPr>
                <w:lang w:val="sr-Cyrl-CS"/>
              </w:rPr>
              <w:t xml:space="preserve">надлежних органа и </w:t>
            </w:r>
            <w:r w:rsidR="00050AB0" w:rsidRPr="001A4D2F">
              <w:rPr>
                <w:lang w:val="sr-Cyrl-CS"/>
              </w:rPr>
              <w:t xml:space="preserve">Манивала </w:t>
            </w:r>
            <w:r w:rsidRPr="001A4D2F">
              <w:rPr>
                <w:lang w:val="sr-Cyrl-CS"/>
              </w:rPr>
              <w:t>о напретку</w:t>
            </w:r>
            <w:r w:rsidR="00050AB0" w:rsidRPr="001A4D2F">
              <w:rPr>
                <w:lang w:val="sr-Cyrl-CS"/>
              </w:rPr>
              <w:t xml:space="preserve"> Србије</w:t>
            </w:r>
          </w:p>
        </w:tc>
        <w:tc>
          <w:tcPr>
            <w:tcW w:w="76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</w:t>
            </w:r>
            <w:r w:rsidR="00C802E4" w:rsidRPr="001A4D2F">
              <w:rPr>
                <w:lang w:val="sr-Cyrl-CS"/>
              </w:rPr>
              <w:t xml:space="preserve"> (неусклађен)</w:t>
            </w:r>
            <w:r w:rsidRPr="001A4D2F">
              <w:rPr>
                <w:lang w:val="sr-Cyrl-CS"/>
              </w:rPr>
              <w:t xml:space="preserve"> – 0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</w:t>
            </w:r>
            <w:r w:rsidR="00C802E4" w:rsidRPr="001A4D2F">
              <w:rPr>
                <w:lang w:val="sr-Cyrl-CS"/>
              </w:rPr>
              <w:t xml:space="preserve"> (делимично усклађен)</w:t>
            </w:r>
            <w:r w:rsidRPr="001A4D2F">
              <w:rPr>
                <w:lang w:val="sr-Cyrl-CS"/>
              </w:rPr>
              <w:t xml:space="preserve"> – 4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LC </w:t>
            </w:r>
            <w:r w:rsidR="00C802E4" w:rsidRPr="001A4D2F">
              <w:rPr>
                <w:lang w:val="sr-Cyrl-CS"/>
              </w:rPr>
              <w:t>(у великој мери усклађен)</w:t>
            </w:r>
            <w:r w:rsidRPr="001A4D2F">
              <w:rPr>
                <w:lang w:val="sr-Cyrl-CS"/>
              </w:rPr>
              <w:t>– 31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C</w:t>
            </w:r>
            <w:r w:rsidR="00C802E4" w:rsidRPr="001A4D2F">
              <w:rPr>
                <w:lang w:val="sr-Cyrl-CS"/>
              </w:rPr>
              <w:t xml:space="preserve"> (усклађен)</w:t>
            </w:r>
            <w:r w:rsidRPr="001A4D2F">
              <w:rPr>
                <w:lang w:val="sr-Cyrl-CS"/>
              </w:rPr>
              <w:t xml:space="preserve"> – 5 </w:t>
            </w: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F3579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3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LC/С - 40</w:t>
            </w:r>
          </w:p>
          <w:p w:rsidR="00F43ECD" w:rsidRPr="001A4D2F" w:rsidRDefault="00F43ECD" w:rsidP="00050AB0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LC/С - 40</w:t>
            </w:r>
          </w:p>
          <w:p w:rsidR="00F43ECD" w:rsidRPr="001A4D2F" w:rsidRDefault="00F43ECD" w:rsidP="00050AB0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LC/С - 40</w:t>
            </w:r>
          </w:p>
          <w:p w:rsidR="00F43ECD" w:rsidRPr="001A4D2F" w:rsidRDefault="00F43ECD" w:rsidP="00050AB0">
            <w:pPr>
              <w:shd w:val="clear" w:color="auto" w:fill="FFFFFF" w:themeFill="background1"/>
              <w:rPr>
                <w:lang w:val="sr-Cyrl-CS"/>
              </w:rPr>
            </w:pPr>
          </w:p>
        </w:tc>
      </w:tr>
    </w:tbl>
    <w:p w:rsidR="00F43ECD" w:rsidRDefault="00F43ECD" w:rsidP="00C11F8E"/>
    <w:p w:rsidR="00C44B14" w:rsidRDefault="00C44B14" w:rsidP="00C11F8E"/>
    <w:p w:rsidR="00C44B14" w:rsidRDefault="00C44B14" w:rsidP="00C11F8E"/>
    <w:p w:rsidR="00C44B14" w:rsidRDefault="00C44B14" w:rsidP="00C11F8E"/>
    <w:p w:rsidR="00C44B14" w:rsidRDefault="00C44B14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C44B14" w:rsidRDefault="00C44B14" w:rsidP="00C11F8E"/>
    <w:p w:rsidR="00C44B14" w:rsidRPr="00C44B14" w:rsidRDefault="00C44B14" w:rsidP="00C11F8E"/>
    <w:tbl>
      <w:tblPr>
        <w:tblStyle w:val="TableGrid"/>
        <w:tblW w:w="5000" w:type="pct"/>
        <w:tblLayout w:type="fixed"/>
        <w:tblLook w:val="04A0"/>
      </w:tblPr>
      <w:tblGrid>
        <w:gridCol w:w="2392"/>
        <w:gridCol w:w="1117"/>
        <w:gridCol w:w="1262"/>
        <w:gridCol w:w="1157"/>
        <w:gridCol w:w="1568"/>
        <w:gridCol w:w="1400"/>
        <w:gridCol w:w="1843"/>
        <w:gridCol w:w="1701"/>
        <w:gridCol w:w="1735"/>
      </w:tblGrid>
      <w:tr w:rsidR="002E2CAF" w:rsidRPr="001A4D2F" w:rsidTr="00FF5F4C">
        <w:trPr>
          <w:trHeight w:val="140"/>
          <w:tblHeader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39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Органи партнери у спровођењу активности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C44B14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9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Веза са програмским буџетом</w:t>
            </w:r>
          </w:p>
          <w:p w:rsidR="002E2CAF" w:rsidRPr="00C44B14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862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DB34B7" w:rsidRPr="001A4D2F" w:rsidTr="00FF5F4C">
        <w:trPr>
          <w:trHeight w:val="386"/>
          <w:tblHeader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4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45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4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50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2020</w:t>
            </w:r>
            <w:r w:rsidR="001B4CBD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00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2021</w:t>
            </w:r>
            <w:r w:rsidR="001B4CBD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2022</w:t>
            </w:r>
            <w:r w:rsidR="001B4CBD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A9340A" w:rsidRPr="001A4D2F" w:rsidTr="00FF5F4C">
        <w:trPr>
          <w:trHeight w:val="1439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A9340A" w:rsidRPr="001A4D2F" w:rsidRDefault="00A9340A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1.4.1 Праћење испуњености међународних стандарда у области борбе против прања новца и финансирања тероризма </w:t>
            </w:r>
          </w:p>
        </w:tc>
        <w:tc>
          <w:tcPr>
            <w:tcW w:w="394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45" w:type="pct"/>
          </w:tcPr>
          <w:p w:rsidR="00A9340A" w:rsidRPr="00C44B14" w:rsidRDefault="00274562" w:rsidP="00C11F8E">
            <w:pPr>
              <w:rPr>
                <w:sz w:val="18"/>
                <w:szCs w:val="18"/>
                <w:lang w:val="sr-Cyrl-CS"/>
              </w:rPr>
            </w:pPr>
            <w:r w:rsidRPr="00C44B14">
              <w:rPr>
                <w:sz w:val="18"/>
                <w:szCs w:val="18"/>
                <w:lang w:val="sr-Cyrl-CS"/>
              </w:rPr>
              <w:t>Релевантни органи и институције</w:t>
            </w:r>
          </w:p>
        </w:tc>
        <w:tc>
          <w:tcPr>
            <w:tcW w:w="40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3" w:type="pct"/>
          </w:tcPr>
          <w:p w:rsidR="00A9340A" w:rsidRPr="001A4D2F" w:rsidRDefault="00A9340A" w:rsidP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49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D13B96" w:rsidRPr="001A4D2F" w:rsidTr="00FF5F4C">
        <w:trPr>
          <w:trHeight w:val="1124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D13B96" w:rsidRPr="001A4D2F" w:rsidRDefault="00D13B96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1.4.2 Иницирање и подржавање активности у циљу усклађивања са међународним препорукама</w:t>
            </w:r>
          </w:p>
        </w:tc>
        <w:tc>
          <w:tcPr>
            <w:tcW w:w="394" w:type="pct"/>
          </w:tcPr>
          <w:p w:rsidR="00D13B96" w:rsidRPr="001A4D2F" w:rsidRDefault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45" w:type="pct"/>
          </w:tcPr>
          <w:p w:rsidR="00D13B96" w:rsidRPr="00C44B14" w:rsidRDefault="00274562" w:rsidP="00C11F8E">
            <w:pPr>
              <w:rPr>
                <w:sz w:val="18"/>
                <w:szCs w:val="18"/>
                <w:lang w:val="sr-Cyrl-CS"/>
              </w:rPr>
            </w:pPr>
            <w:r w:rsidRPr="00C44B14">
              <w:rPr>
                <w:sz w:val="18"/>
                <w:szCs w:val="18"/>
                <w:lang w:val="sr-Cyrl-CS"/>
              </w:rPr>
              <w:t>Р</w:t>
            </w:r>
            <w:r w:rsidR="00D13B96" w:rsidRPr="00C44B14">
              <w:rPr>
                <w:sz w:val="18"/>
                <w:szCs w:val="18"/>
                <w:lang w:val="sr-Cyrl-CS"/>
              </w:rPr>
              <w:t>елевантни органи и институције</w:t>
            </w:r>
          </w:p>
        </w:tc>
        <w:tc>
          <w:tcPr>
            <w:tcW w:w="408" w:type="pct"/>
          </w:tcPr>
          <w:p w:rsidR="00D13B96" w:rsidRPr="001A4D2F" w:rsidRDefault="00D13B96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3" w:type="pct"/>
          </w:tcPr>
          <w:p w:rsidR="00D13B96" w:rsidRPr="001A4D2F" w:rsidRDefault="00D13B96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94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</w:tr>
      <w:tr w:rsidR="00A9340A" w:rsidRPr="001A4D2F" w:rsidTr="00FF5F4C">
        <w:trPr>
          <w:trHeight w:val="1840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1.4</w:t>
            </w:r>
            <w:r w:rsidR="00D13B96" w:rsidRPr="001A4D2F">
              <w:rPr>
                <w:lang w:val="sr-Cyrl-CS"/>
              </w:rPr>
              <w:t>.3</w:t>
            </w:r>
            <w:r w:rsidRPr="001A4D2F">
              <w:rPr>
                <w:lang w:val="sr-Cyrl-CS"/>
              </w:rPr>
              <w:t>. Ширити свест и  упознавати све релевантне учеснике у систему о стандардима, смерницама и примерима најбоље праксе ФАТФ</w:t>
            </w:r>
          </w:p>
        </w:tc>
        <w:tc>
          <w:tcPr>
            <w:tcW w:w="394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45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3" w:type="pct"/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оквиру редовних активности запослених </w:t>
            </w:r>
          </w:p>
          <w:p w:rsidR="00A9340A" w:rsidRPr="001A4D2F" w:rsidRDefault="00A9340A" w:rsidP="00C11F8E">
            <w:pPr>
              <w:rPr>
                <w:lang w:val="sr-Cyrl-CS"/>
              </w:rPr>
            </w:pPr>
          </w:p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 (Пројекат за спречавање прања новца у Републици Србији, ЕУ ИПА 2015), ОЕБС</w:t>
            </w:r>
          </w:p>
        </w:tc>
        <w:tc>
          <w:tcPr>
            <w:tcW w:w="49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F3579D" w:rsidRPr="001A4D2F" w:rsidTr="00FF5F4C">
        <w:trPr>
          <w:trHeight w:val="1377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F3579D" w:rsidRPr="001A4D2F" w:rsidRDefault="00F3579D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1.4.</w:t>
            </w:r>
            <w:r w:rsidR="00D13B96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 Редовно пратити и анализирати активности у области борбе против прања новца и финансирања тероризма на нивоу Европске уније </w:t>
            </w:r>
          </w:p>
        </w:tc>
        <w:tc>
          <w:tcPr>
            <w:tcW w:w="394" w:type="pct"/>
          </w:tcPr>
          <w:p w:rsidR="00F3579D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45" w:type="pct"/>
          </w:tcPr>
          <w:p w:rsidR="00F3579D" w:rsidRPr="00C44B14" w:rsidRDefault="00C951CC" w:rsidP="00C11F8E">
            <w:pPr>
              <w:rPr>
                <w:sz w:val="18"/>
                <w:szCs w:val="18"/>
                <w:lang w:val="sr-Cyrl-CS"/>
              </w:rPr>
            </w:pPr>
            <w:r w:rsidRPr="00C44B14">
              <w:rPr>
                <w:sz w:val="18"/>
                <w:szCs w:val="18"/>
                <w:lang w:val="sr-Cyrl-CS"/>
              </w:rPr>
              <w:t>Релевантни органи и институције</w:t>
            </w:r>
          </w:p>
        </w:tc>
        <w:tc>
          <w:tcPr>
            <w:tcW w:w="408" w:type="pct"/>
          </w:tcPr>
          <w:p w:rsidR="00F3579D" w:rsidRPr="001A4D2F" w:rsidRDefault="00F3579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3" w:type="pct"/>
          </w:tcPr>
          <w:p w:rsidR="00F3579D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оквиру редовних активности запослених </w:t>
            </w:r>
          </w:p>
        </w:tc>
        <w:tc>
          <w:tcPr>
            <w:tcW w:w="494" w:type="pct"/>
          </w:tcPr>
          <w:p w:rsidR="00F3579D" w:rsidRPr="001A4D2F" w:rsidRDefault="00F3579D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F3579D" w:rsidRPr="001A4D2F" w:rsidRDefault="00F3579D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600" w:type="pct"/>
          </w:tcPr>
          <w:p w:rsidR="00F3579D" w:rsidRPr="001A4D2F" w:rsidRDefault="00F3579D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F3579D" w:rsidRPr="001A4D2F" w:rsidRDefault="00F3579D" w:rsidP="00C11F8E">
            <w:pPr>
              <w:rPr>
                <w:lang w:val="sr-Cyrl-CS"/>
              </w:rPr>
            </w:pPr>
          </w:p>
        </w:tc>
      </w:tr>
      <w:tr w:rsidR="00D13B96" w:rsidRPr="001A4D2F" w:rsidTr="00FF5F4C">
        <w:trPr>
          <w:trHeight w:val="1255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D13B96" w:rsidRPr="001A4D2F" w:rsidRDefault="00D13B96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1.4.5. По потреби усвајати неопходне мере у Републици Србији, у складу са анализама из активности 1.4.4</w:t>
            </w:r>
          </w:p>
        </w:tc>
        <w:tc>
          <w:tcPr>
            <w:tcW w:w="394" w:type="pct"/>
          </w:tcPr>
          <w:p w:rsidR="00D13B96" w:rsidRPr="001A4D2F" w:rsidRDefault="00D13B96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45" w:type="pct"/>
          </w:tcPr>
          <w:p w:rsidR="00D13B96" w:rsidRPr="00C44B14" w:rsidRDefault="00C951CC" w:rsidP="00363221">
            <w:pPr>
              <w:rPr>
                <w:sz w:val="18"/>
                <w:szCs w:val="18"/>
                <w:lang w:val="sr-Cyrl-CS"/>
              </w:rPr>
            </w:pPr>
            <w:r w:rsidRPr="00C44B14">
              <w:rPr>
                <w:sz w:val="18"/>
                <w:szCs w:val="18"/>
                <w:lang w:val="sr-Cyrl-CS"/>
              </w:rPr>
              <w:t>Р</w:t>
            </w:r>
            <w:r w:rsidR="00D13B96" w:rsidRPr="00C44B14">
              <w:rPr>
                <w:sz w:val="18"/>
                <w:szCs w:val="18"/>
                <w:lang w:val="sr-Cyrl-CS"/>
              </w:rPr>
              <w:t>елевантни органи и институције</w:t>
            </w:r>
          </w:p>
        </w:tc>
        <w:tc>
          <w:tcPr>
            <w:tcW w:w="408" w:type="pct"/>
          </w:tcPr>
          <w:p w:rsidR="00D13B96" w:rsidRPr="001A4D2F" w:rsidRDefault="00D13B96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3" w:type="pct"/>
          </w:tcPr>
          <w:p w:rsidR="00D13B96" w:rsidRPr="001A4D2F" w:rsidRDefault="00D13B96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94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D13B96" w:rsidRPr="001A4D2F" w:rsidRDefault="00D13B96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600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43ECD" w:rsidRPr="001A4D2F" w:rsidRDefault="00F43ECD" w:rsidP="00C11F8E">
      <w:pPr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359"/>
        <w:gridCol w:w="1842"/>
        <w:gridCol w:w="1985"/>
        <w:gridCol w:w="1276"/>
        <w:gridCol w:w="1134"/>
        <w:gridCol w:w="1559"/>
        <w:gridCol w:w="1559"/>
        <w:gridCol w:w="1418"/>
      </w:tblGrid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43ECD" w:rsidRPr="001A4D2F" w:rsidRDefault="00F43ECD" w:rsidP="00090975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7" w:name="_Toc32409910"/>
            <w:r w:rsidRPr="001A4D2F">
              <w:rPr>
                <w:szCs w:val="24"/>
                <w:lang w:val="sr-Cyrl-CS"/>
              </w:rPr>
              <w:t xml:space="preserve">Посебни циљ 2. </w:t>
            </w:r>
            <w:r w:rsidR="00B720FB" w:rsidRPr="001A4D2F">
              <w:rPr>
                <w:szCs w:val="24"/>
                <w:lang w:val="sr-Cyrl-CS"/>
              </w:rPr>
              <w:t>Спречити уношење у финансијски и нефинансијски систем имовине за коју се сумњ</w:t>
            </w:r>
            <w:r w:rsidR="00090975" w:rsidRPr="001A4D2F">
              <w:rPr>
                <w:szCs w:val="24"/>
                <w:lang w:val="sr-Cyrl-CS"/>
              </w:rPr>
              <w:t>а да је стечена кривичним делом или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 w:rsidR="00090975" w:rsidRPr="001A4D2F">
              <w:rPr>
                <w:szCs w:val="24"/>
                <w:lang w:val="sr-Cyrl-CS"/>
              </w:rPr>
              <w:t xml:space="preserve">која је намењена </w:t>
            </w:r>
            <w:r w:rsidR="00B720FB" w:rsidRPr="001A4D2F">
              <w:rPr>
                <w:szCs w:val="24"/>
                <w:lang w:val="sr-Cyrl-CS"/>
              </w:rPr>
              <w:t>финансирању тероризма или ширењу оружја за масовно уништење, односно унапредити откривање такве имовине уколико је већ у систему</w:t>
            </w:r>
            <w:bookmarkEnd w:id="7"/>
          </w:p>
        </w:tc>
      </w:tr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 xml:space="preserve">Институција одговорна за праћење и контролу реализације: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4316AD" w:rsidRPr="001A4D2F" w:rsidTr="00DF0DDF">
        <w:trPr>
          <w:trHeight w:val="575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посебног циља (показатељ исхода)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885F9C" w:rsidP="004316A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321E8D" w:rsidRPr="001A4D2F" w:rsidTr="00DF0DDF">
        <w:trPr>
          <w:trHeight w:val="254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Оцена техничке усклађености система са међународним стандардима релевантним препорукама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A0064" w:rsidRPr="001A4D2F" w:rsidRDefault="00DA0064" w:rsidP="00DA0064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Оцена </w:t>
            </w:r>
            <w:r w:rsidRPr="001A4D2F">
              <w:rPr>
                <w:i/>
                <w:lang w:val="sr-Cyrl-CS"/>
              </w:rPr>
              <w:t>у великој мери усклађен</w:t>
            </w:r>
            <w:r w:rsidRPr="001A4D2F">
              <w:rPr>
                <w:lang w:val="sr-Cyrl-CS"/>
              </w:rPr>
              <w:t xml:space="preserve"> </w:t>
            </w:r>
            <w:r w:rsidR="00CC3224" w:rsidRPr="001A4D2F">
              <w:rPr>
                <w:lang w:val="sr-Cyrl-CS"/>
              </w:rPr>
              <w:t xml:space="preserve">(LC) </w:t>
            </w:r>
            <w:r w:rsidRPr="001A4D2F">
              <w:rPr>
                <w:lang w:val="sr-Cyrl-CS"/>
              </w:rPr>
              <w:t xml:space="preserve">или </w:t>
            </w:r>
            <w:r w:rsidRPr="001A4D2F">
              <w:rPr>
                <w:i/>
                <w:lang w:val="sr-Cyrl-CS"/>
              </w:rPr>
              <w:t>усклађен</w:t>
            </w:r>
            <w:r w:rsidR="00CC3224" w:rsidRPr="001A4D2F">
              <w:rPr>
                <w:i/>
                <w:lang w:val="sr-Cyrl-CS"/>
              </w:rPr>
              <w:t xml:space="preserve"> </w:t>
            </w:r>
            <w:r w:rsidR="00CC3224" w:rsidRPr="001A4D2F">
              <w:rPr>
                <w:lang w:val="sr-Cyrl-CS"/>
              </w:rPr>
              <w:t>(C)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i/>
                <w:lang w:val="sr-Cyrl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надлежних органа и Манивала о напретку Србије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4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 – 31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C – 5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LC/С - 40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LC/С - 40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LC/С - 40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</w:p>
        </w:tc>
      </w:tr>
      <w:tr w:rsidR="00321E8D" w:rsidRPr="001A4D2F" w:rsidTr="00DF0DDF">
        <w:trPr>
          <w:trHeight w:val="254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Н</w:t>
            </w:r>
            <w:r w:rsidR="005C5D8A" w:rsidRPr="001A4D2F">
              <w:rPr>
                <w:color w:val="auto"/>
                <w:lang w:val="sr-Cyrl-CS"/>
              </w:rPr>
              <w:t>апредак на непосредним резултатима</w:t>
            </w:r>
            <w:r w:rsidRPr="001A4D2F">
              <w:rPr>
                <w:color w:val="auto"/>
                <w:lang w:val="sr-Cyrl-CS"/>
              </w:rPr>
              <w:t xml:space="preserve"> 3, 4 и 6 по Методологији ФАТФ</w:t>
            </w:r>
            <w:r w:rsidR="00DA0064" w:rsidRPr="001A4D2F">
              <w:rPr>
                <w:color w:val="auto"/>
                <w:lang w:val="sr-Cyrl-CS"/>
              </w:rPr>
              <w:t xml:space="preserve"> на годишњем нивоу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надлежних органа и Манивала о напретку Србије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F43ECD" w:rsidRPr="001A4D2F" w:rsidRDefault="00F43ECD" w:rsidP="00C11F8E">
      <w:pPr>
        <w:tabs>
          <w:tab w:val="left" w:pos="1940"/>
        </w:tabs>
        <w:rPr>
          <w:lang w:val="sr-Cyrl-CS"/>
        </w:rPr>
      </w:pPr>
    </w:p>
    <w:p w:rsidR="00F43ECD" w:rsidRDefault="00F43ECD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359"/>
        <w:gridCol w:w="1233"/>
        <w:gridCol w:w="2169"/>
        <w:gridCol w:w="141"/>
        <w:gridCol w:w="1418"/>
        <w:gridCol w:w="1559"/>
        <w:gridCol w:w="1418"/>
        <w:gridCol w:w="1417"/>
        <w:gridCol w:w="1418"/>
      </w:tblGrid>
      <w:tr w:rsidR="00F43ECD" w:rsidRPr="001A4D2F" w:rsidTr="00DF0DDF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8" w:name="_Toc32409911"/>
            <w:r w:rsidRPr="001A4D2F">
              <w:rPr>
                <w:rFonts w:cs="Times New Roman"/>
                <w:sz w:val="24"/>
                <w:lang w:val="sr-Cyrl-CS"/>
              </w:rPr>
              <w:lastRenderedPageBreak/>
              <w:t xml:space="preserve">Мера 2.1. </w:t>
            </w:r>
            <w:r w:rsidR="00054E20" w:rsidRPr="001A4D2F">
              <w:rPr>
                <w:rFonts w:cs="Times New Roman"/>
                <w:sz w:val="24"/>
                <w:lang w:val="sr-Cyrl-CS"/>
              </w:rPr>
              <w:t>Унапређење ефикасности праћења и квалитета пријава сумњивих активности које достављају обвезници</w:t>
            </w:r>
            <w:bookmarkEnd w:id="8"/>
          </w:p>
        </w:tc>
      </w:tr>
      <w:tr w:rsidR="00F43ECD" w:rsidRPr="001A4D2F" w:rsidTr="00DF0DDF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43ECD" w:rsidRPr="001A4D2F" w:rsidRDefault="00F43ECD" w:rsidP="00C11F8E">
            <w:pPr>
              <w:rPr>
                <w:color w:val="auto"/>
                <w:lang w:val="sr-Cyrl-CS"/>
              </w:rPr>
            </w:pPr>
            <w:r w:rsidRPr="001A4D2F">
              <w:rPr>
                <w:rFonts w:eastAsia="Times New Roman"/>
                <w:color w:val="auto"/>
                <w:lang w:val="sr-Cyrl-CS"/>
              </w:rPr>
              <w:t>Институција одговорна за праћење и контролу реализације:</w:t>
            </w:r>
            <w:r w:rsidR="00E0054E" w:rsidRPr="001A4D2F">
              <w:rPr>
                <w:rFonts w:eastAsia="Times New Roman"/>
                <w:color w:val="auto"/>
                <w:lang w:val="sr-Cyrl-CS"/>
              </w:rPr>
              <w:t xml:space="preserve"> Управа за спречавање прања новца</w:t>
            </w:r>
          </w:p>
        </w:tc>
      </w:tr>
      <w:tr w:rsidR="00F43ECD" w:rsidRPr="001A4D2F" w:rsidTr="00DF0DD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E0054E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464869" w:rsidRPr="001A4D2F">
              <w:rPr>
                <w:lang w:val="sr-Cyrl-CS"/>
              </w:rPr>
              <w:t xml:space="preserve"> Институционално-управљачко-организациона</w:t>
            </w:r>
          </w:p>
        </w:tc>
      </w:tr>
      <w:tr w:rsidR="00DF0DDF" w:rsidRPr="001A4D2F" w:rsidTr="00DF0DDF">
        <w:trPr>
          <w:trHeight w:val="716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123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Default="00885F9C" w:rsidP="00DF0DDF">
            <w:r w:rsidRPr="001A4D2F">
              <w:rPr>
                <w:lang w:val="sr-Cyrl-CS"/>
              </w:rPr>
              <w:t>Циљана вредност у години 2022.</w:t>
            </w:r>
          </w:p>
          <w:p w:rsidR="00C44B14" w:rsidRDefault="00C44B14" w:rsidP="00DF0DDF"/>
          <w:p w:rsidR="00C44B14" w:rsidRPr="00C44B14" w:rsidRDefault="00C44B14" w:rsidP="00DF0DDF"/>
        </w:tc>
      </w:tr>
      <w:tr w:rsidR="00321E8D" w:rsidRPr="001A4D2F" w:rsidTr="00DF0DDF">
        <w:trPr>
          <w:trHeight w:val="304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5C5D8A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Напредак на непосредном резултату 6 по Методологији ФАТФ</w:t>
            </w:r>
            <w:r w:rsidR="00DA0064" w:rsidRPr="001A4D2F">
              <w:rPr>
                <w:color w:val="auto"/>
                <w:lang w:val="sr-Cyrl-CS"/>
              </w:rPr>
              <w:t xml:space="preserve"> на годишњем нивоу</w:t>
            </w:r>
          </w:p>
        </w:tc>
        <w:tc>
          <w:tcPr>
            <w:tcW w:w="1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надлежних органа и Манивала о напретку Србије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A1340" w:rsidRPr="001A4D2F" w:rsidRDefault="00FA1340" w:rsidP="00C11F8E">
      <w:pPr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392"/>
        <w:gridCol w:w="1143"/>
        <w:gridCol w:w="1236"/>
        <w:gridCol w:w="1157"/>
        <w:gridCol w:w="1568"/>
        <w:gridCol w:w="1154"/>
        <w:gridCol w:w="1990"/>
        <w:gridCol w:w="1675"/>
        <w:gridCol w:w="1860"/>
      </w:tblGrid>
      <w:tr w:rsidR="00D53854" w:rsidRPr="001A4D2F" w:rsidTr="00D53854">
        <w:trPr>
          <w:trHeight w:val="140"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C44B14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Веза са програмским буџетом</w:t>
            </w:r>
          </w:p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DB34B7" w:rsidRPr="001A4D2F" w:rsidTr="00DB34B7">
        <w:trPr>
          <w:trHeight w:val="386"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7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2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91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656" w:type="pct"/>
            <w:shd w:val="clear" w:color="auto" w:fill="E5DFEC" w:themeFill="accent4" w:themeFillTint="33"/>
          </w:tcPr>
          <w:p w:rsidR="00DB34B7" w:rsidRPr="00C44B14" w:rsidRDefault="00DB34B7" w:rsidP="00DB34B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1254C3" w:rsidRPr="001A4D2F" w:rsidTr="00DB34B7">
        <w:trPr>
          <w:trHeight w:val="543"/>
        </w:trPr>
        <w:tc>
          <w:tcPr>
            <w:tcW w:w="844" w:type="pct"/>
            <w:vMerge w:val="restar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2.1.1. </w:t>
            </w:r>
            <w:r w:rsidR="00D25E44" w:rsidRPr="001A4D2F">
              <w:rPr>
                <w:lang w:val="sr-Cyrl-CS"/>
              </w:rPr>
              <w:t>Донети односно унапредити постојеће препоруке за обавештавање Управе о  сумњивим активностима</w:t>
            </w:r>
          </w:p>
        </w:tc>
        <w:tc>
          <w:tcPr>
            <w:tcW w:w="403" w:type="pct"/>
            <w:vMerge w:val="restar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УСПН </w:t>
            </w:r>
          </w:p>
        </w:tc>
        <w:tc>
          <w:tcPr>
            <w:tcW w:w="436" w:type="pct"/>
            <w:vMerge w:val="restart"/>
          </w:tcPr>
          <w:p w:rsidR="001254C3" w:rsidRPr="001A4D2F" w:rsidRDefault="0009405E" w:rsidP="001821C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органи, МУП, РЈТ</w:t>
            </w:r>
          </w:p>
        </w:tc>
        <w:tc>
          <w:tcPr>
            <w:tcW w:w="408" w:type="pct"/>
            <w:vMerge w:val="restar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Децембар 2020. године</w:t>
            </w: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1 - ЕУ подршка спречавању прања новца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vMerge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403" w:type="pct"/>
            <w:vMerge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436" w:type="pct"/>
            <w:vMerge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408" w:type="pct"/>
            <w:vMerge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2 –Mисија OEБС у Србији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2.1.2. </w:t>
            </w:r>
            <w:r w:rsidR="00D25E44" w:rsidRPr="001A4D2F">
              <w:rPr>
                <w:lang w:val="sr-Cyrl-CS"/>
              </w:rPr>
              <w:t xml:space="preserve">Унапређивати квалитет обавештавања обвезника о исходу њихових </w:t>
            </w:r>
            <w:r w:rsidR="00D25E44" w:rsidRPr="001A4D2F">
              <w:rPr>
                <w:lang w:val="sr-Cyrl-CS"/>
              </w:rPr>
              <w:lastRenderedPageBreak/>
              <w:t>обавештења о сумњивим активностима</w:t>
            </w:r>
          </w:p>
        </w:tc>
        <w:tc>
          <w:tcPr>
            <w:tcW w:w="40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УСПН</w:t>
            </w:r>
          </w:p>
        </w:tc>
        <w:tc>
          <w:tcPr>
            <w:tcW w:w="436" w:type="pct"/>
          </w:tcPr>
          <w:p w:rsidR="001254C3" w:rsidRPr="001A4D2F" w:rsidRDefault="001254C3" w:rsidP="001254C3">
            <w:pPr>
              <w:jc w:val="center"/>
              <w:rPr>
                <w:lang w:val="sr-Cyrl-CS"/>
              </w:rPr>
            </w:pPr>
          </w:p>
        </w:tc>
        <w:tc>
          <w:tcPr>
            <w:tcW w:w="408" w:type="pct"/>
          </w:tcPr>
          <w:p w:rsidR="001254C3" w:rsidRPr="00C44B14" w:rsidRDefault="001254C3" w:rsidP="001254C3">
            <w:pPr>
              <w:rPr>
                <w:sz w:val="20"/>
                <w:szCs w:val="20"/>
                <w:lang w:val="sr-Cyrl-CS"/>
              </w:rPr>
            </w:pPr>
            <w:r w:rsidRPr="00C44B14">
              <w:rPr>
                <w:sz w:val="20"/>
                <w:szCs w:val="20"/>
                <w:lang w:val="sr-Cyrl-CS"/>
              </w:rPr>
              <w:t>IV квартал 2022. године (континуирана активност)</w:t>
            </w: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  <w:shd w:val="clear" w:color="auto" w:fill="auto"/>
          </w:tcPr>
          <w:p w:rsidR="001254C3" w:rsidRPr="00C44B14" w:rsidRDefault="001254C3" w:rsidP="001254C3">
            <w:pPr>
              <w:rPr>
                <w:sz w:val="22"/>
                <w:szCs w:val="22"/>
                <w:lang w:val="sr-Cyrl-CS"/>
              </w:rPr>
            </w:pPr>
            <w:r w:rsidRPr="00C44B14">
              <w:rPr>
                <w:sz w:val="22"/>
                <w:szCs w:val="22"/>
                <w:lang w:val="sr-Cyrl-CS"/>
              </w:rPr>
              <w:lastRenderedPageBreak/>
              <w:t>2.1.3. Увођење стручног испита за овлашћена лица у складу са Законом о спречавању прања новца и финансирања тероризма</w:t>
            </w:r>
          </w:p>
        </w:tc>
        <w:tc>
          <w:tcPr>
            <w:tcW w:w="40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1254C3" w:rsidRPr="001A4D2F" w:rsidRDefault="001254C3" w:rsidP="001821C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</w:t>
            </w:r>
          </w:p>
        </w:tc>
        <w:tc>
          <w:tcPr>
            <w:tcW w:w="408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Октобар 2021.</w:t>
            </w: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B362E0">
        <w:trPr>
          <w:trHeight w:val="274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D25E4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2.1.4.</w:t>
            </w:r>
            <w:r w:rsidR="00D25E44" w:rsidRPr="001A4D2F">
              <w:rPr>
                <w:lang w:val="sr-Cyrl-CS"/>
              </w:rPr>
              <w:t xml:space="preserve"> Израдити</w:t>
            </w:r>
            <w:r w:rsidRPr="001A4D2F">
              <w:rPr>
                <w:lang w:val="sr-Cyrl-CS"/>
              </w:rPr>
              <w:t xml:space="preserve"> листу индикатора за препознавање лица и трансакција за које постоје основи сумње да се ради о прању новца путем интернета и другим кривичним делима високотехнолошког криминала у области пружања финансијских услуга из надлежности НБС</w:t>
            </w:r>
          </w:p>
        </w:tc>
        <w:tc>
          <w:tcPr>
            <w:tcW w:w="40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Октобар 2020.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07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2.1.5. </w:t>
            </w:r>
            <w:r w:rsidR="00B362E0" w:rsidRPr="001A4D2F">
              <w:rPr>
                <w:lang w:val="sr-Cyrl-CS"/>
              </w:rPr>
              <w:t>Израдити</w:t>
            </w:r>
            <w:r w:rsidRPr="001A4D2F">
              <w:rPr>
                <w:lang w:val="sr-Cyrl-CS"/>
              </w:rPr>
              <w:t xml:space="preserve"> листу индикатора за препознавање лица и трансакција за које постоје основи сумње да се ради о прању новца путем интернета и другим кривичним делима </w:t>
            </w:r>
            <w:r w:rsidRPr="001A4D2F">
              <w:rPr>
                <w:lang w:val="sr-Cyrl-CS"/>
              </w:rPr>
              <w:lastRenderedPageBreak/>
              <w:t>високотехнолошког криминала у области пружања финансијских услуга из надлежности КХОВ</w:t>
            </w:r>
          </w:p>
          <w:p w:rsidR="001254C3" w:rsidRDefault="001254C3" w:rsidP="001254C3"/>
          <w:p w:rsidR="00C44B14" w:rsidRPr="00C44B14" w:rsidRDefault="00C44B14" w:rsidP="001254C3"/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1254C3" w:rsidRPr="001A4D2F" w:rsidRDefault="00A9340A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КХОВ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08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Четврти квартал 2021. године</w:t>
            </w: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2.1.6 </w:t>
            </w:r>
            <w:r w:rsidR="00B362E0" w:rsidRPr="001A4D2F">
              <w:rPr>
                <w:lang w:val="sr-Cyrl-CS"/>
              </w:rPr>
              <w:t>Унапређење квалитета обавештавања о сумњивим активностима у складу са анализом ризика</w:t>
            </w:r>
          </w:p>
        </w:tc>
        <w:tc>
          <w:tcPr>
            <w:tcW w:w="403" w:type="pct"/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6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органи, органи кривичних истрага и гоњења, обвезници по закону, други државни органи</w:t>
            </w:r>
          </w:p>
        </w:tc>
        <w:tc>
          <w:tcPr>
            <w:tcW w:w="408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Четврти квартал 2022. године (континуирана активност)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оквиру редовних активности запослених 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мађународних донатора  (ЕУ подршка спречавању прања новца)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EE56CF" w:rsidRDefault="00EE56CF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Pr="00DA0EC2" w:rsidRDefault="00DA0EC2" w:rsidP="00C11F8E"/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219"/>
        <w:gridCol w:w="1274"/>
        <w:gridCol w:w="2126"/>
        <w:gridCol w:w="436"/>
        <w:gridCol w:w="784"/>
        <w:gridCol w:w="2040"/>
        <w:gridCol w:w="1559"/>
        <w:gridCol w:w="1276"/>
        <w:gridCol w:w="1418"/>
      </w:tblGrid>
      <w:tr w:rsidR="00F43ECD" w:rsidRPr="001A4D2F" w:rsidTr="00DF0DDF">
        <w:trPr>
          <w:trHeight w:val="168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EB2DE7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9" w:name="_Toc32409912"/>
            <w:r w:rsidRPr="001A4D2F">
              <w:rPr>
                <w:rFonts w:cs="Times New Roman"/>
                <w:sz w:val="24"/>
                <w:lang w:val="sr-Cyrl-CS"/>
              </w:rPr>
              <w:lastRenderedPageBreak/>
              <w:t xml:space="preserve">Мера 2.2: </w:t>
            </w:r>
            <w:r w:rsidR="005C0132" w:rsidRPr="001A4D2F">
              <w:rPr>
                <w:rFonts w:cs="Times New Roman"/>
                <w:sz w:val="24"/>
                <w:lang w:val="sr-Cyrl-CS"/>
              </w:rPr>
              <w:t>Спречавање злоупотребе финансијског и нефинансијског сектора за сврхе прања новца, финансирања тероризма и ширења оружја за масовно уништење кроз мере познавања и праћења странке код обвезника</w:t>
            </w:r>
            <w:bookmarkEnd w:id="9"/>
          </w:p>
        </w:tc>
      </w:tr>
      <w:tr w:rsidR="00F43ECD" w:rsidRPr="001A4D2F" w:rsidTr="00DF0DDF">
        <w:trPr>
          <w:trHeight w:val="298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Орган oдговоран за спровођење (координисање спровођења) мере:</w:t>
            </w:r>
            <w:r w:rsidR="0022234E" w:rsidRPr="001A4D2F">
              <w:rPr>
                <w:lang w:val="sr-Cyrl-CS"/>
              </w:rPr>
              <w:t xml:space="preserve"> Координационо тело за спречавање прања новца и финансирања тероризма</w:t>
            </w:r>
          </w:p>
        </w:tc>
      </w:tr>
      <w:tr w:rsidR="00F43ECD" w:rsidRPr="001A4D2F" w:rsidTr="00DF0DDF">
        <w:trPr>
          <w:trHeight w:val="298"/>
        </w:trPr>
        <w:tc>
          <w:tcPr>
            <w:tcW w:w="70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22234E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0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F43ECD" w:rsidP="00434ED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22234E" w:rsidRPr="001A4D2F">
              <w:rPr>
                <w:lang w:val="sr-Cyrl-CS"/>
              </w:rPr>
              <w:t xml:space="preserve"> Институционално управљачко организациона</w:t>
            </w:r>
          </w:p>
        </w:tc>
      </w:tr>
      <w:tr w:rsidR="00DF0DDF" w:rsidRPr="001A4D2F" w:rsidTr="00675F8D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885F9C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EE56CF" w:rsidRPr="001A4D2F" w:rsidTr="00675F8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5C5D8A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Унапређен систем регистрације стварних власника 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5C5D8A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5C5D8A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о раду АПР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5C5D8A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EE56CF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5C5D8A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56CF" w:rsidRPr="001A4D2F" w:rsidRDefault="005C5D8A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56CF" w:rsidRPr="001A4D2F" w:rsidRDefault="005C5D8A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  <w:tr w:rsidR="008A7033" w:rsidRPr="001A4D2F" w:rsidTr="00675F8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C43" w:rsidRPr="001A4D2F" w:rsidRDefault="006F74D9" w:rsidP="006F74D9">
            <w:pPr>
              <w:shd w:val="clear" w:color="auto" w:fill="FFFFFF" w:themeFill="background1"/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>Донете измене и допуне Правилника о методологији за извршавање послова у складу са Законом о СПН и ФТ и резултатима НПР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6F74D9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8A7033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Доношење Правилника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6F74D9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6F74D9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6F74D9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7033" w:rsidRPr="001A4D2F" w:rsidRDefault="006F74D9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7033" w:rsidRPr="001A4D2F" w:rsidRDefault="006F74D9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  <w:tr w:rsidR="00692B78" w:rsidRPr="001A4D2F" w:rsidTr="00675F8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996814" w:rsidP="00996814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У</w:t>
            </w:r>
            <w:r w:rsidR="006C4E6E" w:rsidRPr="001A4D2F">
              <w:rPr>
                <w:lang w:val="sr-Cyrl-CS"/>
              </w:rPr>
              <w:t>напређење</w:t>
            </w:r>
            <w:r w:rsidR="00692B78" w:rsidRPr="001A4D2F">
              <w:rPr>
                <w:lang w:val="sr-Cyrl-CS"/>
              </w:rPr>
              <w:t xml:space="preserve"> систем</w:t>
            </w:r>
            <w:r w:rsidR="006C4E6E" w:rsidRPr="001A4D2F">
              <w:rPr>
                <w:lang w:val="sr-Cyrl-CS"/>
              </w:rPr>
              <w:t>а</w:t>
            </w:r>
            <w:r w:rsidR="00692B78" w:rsidRPr="001A4D2F">
              <w:rPr>
                <w:lang w:val="sr-Cyrl-CS"/>
              </w:rPr>
              <w:t xml:space="preserve"> у складу са препознатим ризицима у оквиру ове мере</w:t>
            </w:r>
            <w:r w:rsidRPr="001A4D2F">
              <w:rPr>
                <w:lang w:val="sr-Cyrl-CS"/>
              </w:rPr>
              <w:t xml:space="preserve"> на годишњем нивоу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692B78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6C4E6E" w:rsidP="006C4E6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Извештаји надлежних институција; Извештај Координационог тела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2B78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2B78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F43ECD" w:rsidRDefault="00F43ECD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Pr="00DA0EC2" w:rsidRDefault="00DA0EC2" w:rsidP="00C11F8E"/>
    <w:tbl>
      <w:tblPr>
        <w:tblStyle w:val="TableGrid"/>
        <w:tblW w:w="5000" w:type="pct"/>
        <w:tblLayout w:type="fixed"/>
        <w:tblLook w:val="04A0"/>
      </w:tblPr>
      <w:tblGrid>
        <w:gridCol w:w="2392"/>
        <w:gridCol w:w="1142"/>
        <w:gridCol w:w="1236"/>
        <w:gridCol w:w="1157"/>
        <w:gridCol w:w="1568"/>
        <w:gridCol w:w="1154"/>
        <w:gridCol w:w="1684"/>
        <w:gridCol w:w="1829"/>
        <w:gridCol w:w="2013"/>
      </w:tblGrid>
      <w:tr w:rsidR="00D53854" w:rsidRPr="001A4D2F" w:rsidTr="00D53854">
        <w:trPr>
          <w:trHeight w:val="140"/>
          <w:tblHeader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lastRenderedPageBreak/>
              <w:t>Назив активности: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C44B14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6"/>
                <w:szCs w:val="16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C44B14">
              <w:rPr>
                <w:b/>
                <w:sz w:val="14"/>
                <w:szCs w:val="14"/>
                <w:lang w:val="sr-Cyrl-CS"/>
              </w:rPr>
              <w:t>програмским</w:t>
            </w:r>
            <w:r w:rsidRPr="00C44B14">
              <w:rPr>
                <w:b/>
                <w:sz w:val="16"/>
                <w:szCs w:val="16"/>
                <w:lang w:val="sr-Cyrl-CS"/>
              </w:rPr>
              <w:t xml:space="preserve"> буџетом</w:t>
            </w:r>
          </w:p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DB34B7" w:rsidRPr="001A4D2F" w:rsidTr="00DB34B7">
        <w:trPr>
          <w:trHeight w:val="386"/>
          <w:tblHeader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7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4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45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10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1254C3" w:rsidRPr="001A4D2F" w:rsidTr="00DB34B7">
        <w:trPr>
          <w:trHeight w:val="543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2.2.1 </w:t>
            </w:r>
            <w:r w:rsidR="00F51459" w:rsidRPr="001A4D2F">
              <w:rPr>
                <w:lang w:val="sr-Cyrl-CS"/>
              </w:rPr>
              <w:t xml:space="preserve">Изменити Закон о Централној евиденцији стварних власника и омогућити оснивачима Регистрованих субјеката који се оснивају електронски у АПР да истовремено са подношењем електронске пријаве оснивања изврше евидентирање стварног власника у </w:t>
            </w:r>
            <w:r w:rsidR="00F51459" w:rsidRPr="00C44B14">
              <w:rPr>
                <w:sz w:val="22"/>
                <w:szCs w:val="22"/>
                <w:lang w:val="sr-Cyrl-CS"/>
              </w:rPr>
              <w:t>Централну евиденцију и са тим у вези</w:t>
            </w:r>
            <w:r w:rsidR="00F51459" w:rsidRPr="001A4D2F">
              <w:rPr>
                <w:lang w:val="sr-Cyrl-CS"/>
              </w:rPr>
              <w:t xml:space="preserve"> </w:t>
            </w:r>
            <w:r w:rsidR="00F51459" w:rsidRPr="00C44B14">
              <w:rPr>
                <w:sz w:val="22"/>
                <w:szCs w:val="22"/>
                <w:lang w:val="sr-Cyrl-CS"/>
              </w:rPr>
              <w:t>развити/унапредити софтверску апликацију.</w:t>
            </w:r>
          </w:p>
        </w:tc>
        <w:tc>
          <w:tcPr>
            <w:tcW w:w="403" w:type="pct"/>
          </w:tcPr>
          <w:p w:rsidR="001254C3" w:rsidRPr="001A4D2F" w:rsidRDefault="00A9340A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МПРИВ</w:t>
            </w:r>
          </w:p>
        </w:tc>
        <w:tc>
          <w:tcPr>
            <w:tcW w:w="436" w:type="pct"/>
          </w:tcPr>
          <w:p w:rsidR="001254C3" w:rsidRPr="001A4D2F" w:rsidRDefault="001254C3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АПР</w:t>
            </w:r>
          </w:p>
        </w:tc>
        <w:tc>
          <w:tcPr>
            <w:tcW w:w="408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Четврти квартал 2021. године</w:t>
            </w: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Средства нису обезбеђена-познат извор </w:t>
            </w:r>
            <w:r w:rsidRPr="00C44B14">
              <w:rPr>
                <w:color w:val="auto"/>
                <w:sz w:val="22"/>
                <w:szCs w:val="22"/>
                <w:lang w:val="sr-Cyrl-CS"/>
              </w:rPr>
              <w:t xml:space="preserve">финансирања </w:t>
            </w:r>
          </w:p>
        </w:tc>
        <w:tc>
          <w:tcPr>
            <w:tcW w:w="407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594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11.800</w:t>
            </w:r>
          </w:p>
        </w:tc>
        <w:tc>
          <w:tcPr>
            <w:tcW w:w="645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710" w:type="pct"/>
          </w:tcPr>
          <w:p w:rsidR="001254C3" w:rsidRPr="001A4D2F" w:rsidRDefault="001254C3" w:rsidP="00C11F8E">
            <w:pPr>
              <w:rPr>
                <w:color w:val="auto"/>
                <w:lang w:val="sr-Cyrl-CS"/>
              </w:rPr>
            </w:pPr>
          </w:p>
        </w:tc>
      </w:tr>
      <w:tr w:rsidR="001254C3" w:rsidRPr="001A4D2F" w:rsidTr="00DB34B7">
        <w:trPr>
          <w:trHeight w:val="543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2.2.2. </w:t>
            </w:r>
            <w:r w:rsidR="00F51459" w:rsidRPr="001A4D2F">
              <w:rPr>
                <w:lang w:val="sr-Cyrl-CS"/>
              </w:rPr>
              <w:t xml:space="preserve">Изменити Закон о Централној евиденцији стварних власника којима ће се унапредити садржина Централне евиденције (увести обавезу </w:t>
            </w:r>
            <w:r w:rsidR="00F51459" w:rsidRPr="001A4D2F">
              <w:rPr>
                <w:lang w:val="sr-Cyrl-CS"/>
              </w:rPr>
              <w:lastRenderedPageBreak/>
              <w:t>евидентирања стварног власника Регистрованог субјекта по сваком од основа, обавезу up-load –овања докумената и шематских приказа власничке структуре у Централну евиденцију стварних власника) и са тим у вези развити/унапредити софтверску апликацију.</w:t>
            </w:r>
          </w:p>
        </w:tc>
        <w:tc>
          <w:tcPr>
            <w:tcW w:w="403" w:type="pct"/>
          </w:tcPr>
          <w:p w:rsidR="001254C3" w:rsidRPr="001A4D2F" w:rsidRDefault="00A9340A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МПРИВ</w:t>
            </w:r>
          </w:p>
        </w:tc>
        <w:tc>
          <w:tcPr>
            <w:tcW w:w="436" w:type="pct"/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АПР</w:t>
            </w:r>
          </w:p>
        </w:tc>
        <w:tc>
          <w:tcPr>
            <w:tcW w:w="408" w:type="pct"/>
          </w:tcPr>
          <w:p w:rsidR="001254C3" w:rsidRPr="001A4D2F" w:rsidRDefault="00692B78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Четврти квартал 2022</w:t>
            </w:r>
            <w:r w:rsidR="001254C3" w:rsidRPr="001A4D2F">
              <w:rPr>
                <w:color w:val="auto"/>
                <w:lang w:val="sr-Cyrl-CS"/>
              </w:rPr>
              <w:t>. године</w:t>
            </w:r>
          </w:p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Средства нису обезбеђена-познат извор </w:t>
            </w:r>
            <w:r w:rsidRPr="00D527DB">
              <w:rPr>
                <w:color w:val="auto"/>
                <w:sz w:val="22"/>
                <w:szCs w:val="22"/>
                <w:lang w:val="sr-Cyrl-CS"/>
              </w:rPr>
              <w:t>финансирања</w:t>
            </w:r>
          </w:p>
        </w:tc>
        <w:tc>
          <w:tcPr>
            <w:tcW w:w="407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594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645" w:type="pct"/>
          </w:tcPr>
          <w:p w:rsidR="001254C3" w:rsidRPr="001A4D2F" w:rsidRDefault="005C5D8A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17.700</w:t>
            </w:r>
          </w:p>
        </w:tc>
        <w:tc>
          <w:tcPr>
            <w:tcW w:w="710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</w:tr>
      <w:tr w:rsidR="000F0BD0" w:rsidRPr="001A4D2F" w:rsidTr="00DF0DDF">
        <w:trPr>
          <w:trHeight w:val="705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2.2.3 Измене и допуне Правилника о методологији за извршавање послова у складу са Законом о СПН и ФТ и резултатима НПР, нарочито у погледу примене поједностављених и појачаних радњи и мера познавања и праћења странке</w:t>
            </w:r>
          </w:p>
        </w:tc>
        <w:tc>
          <w:tcPr>
            <w:tcW w:w="403" w:type="pct"/>
          </w:tcPr>
          <w:p w:rsidR="000F0BD0" w:rsidRPr="001A4D2F" w:rsidRDefault="006C303F" w:rsidP="000F0B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МФ</w:t>
            </w:r>
            <w:r w:rsidR="00A9340A" w:rsidRPr="001A4D2F">
              <w:rPr>
                <w:lang w:val="sr-Cyrl-CS"/>
              </w:rPr>
              <w:t>ИН</w:t>
            </w:r>
          </w:p>
        </w:tc>
        <w:tc>
          <w:tcPr>
            <w:tcW w:w="436" w:type="pct"/>
          </w:tcPr>
          <w:p w:rsidR="000F0BD0" w:rsidRPr="001A4D2F" w:rsidRDefault="000F0BD0" w:rsidP="006C303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Надзорни органи </w:t>
            </w:r>
          </w:p>
        </w:tc>
        <w:tc>
          <w:tcPr>
            <w:tcW w:w="408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Април 2020.</w:t>
            </w:r>
          </w:p>
        </w:tc>
        <w:tc>
          <w:tcPr>
            <w:tcW w:w="553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1111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2.2.4. Израдити акта (смернице за процену ризика од ПН и ФТ и индикаторе за препознавање сумњивих трансакција) за лица која се баве поштанским саобраћајем</w:t>
            </w:r>
          </w:p>
        </w:tc>
        <w:tc>
          <w:tcPr>
            <w:tcW w:w="403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МТТТ – Група за надзор у области поштанског саобраћаја</w:t>
            </w:r>
          </w:p>
        </w:tc>
        <w:tc>
          <w:tcPr>
            <w:tcW w:w="436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08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Април 2020. године</w:t>
            </w:r>
          </w:p>
        </w:tc>
        <w:tc>
          <w:tcPr>
            <w:tcW w:w="553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543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2.2.5. Донети, односно унапредити упитнике о активностима обвезника у вези са ограничавањем располагања имовином у циљу с</w:t>
            </w:r>
            <w:r w:rsidR="0015383E">
              <w:rPr>
                <w:lang w:val="sr-Cyrl-CS"/>
              </w:rPr>
              <w:t>п</w:t>
            </w:r>
            <w:r w:rsidRPr="001A4D2F">
              <w:rPr>
                <w:lang w:val="sr-Cyrl-CS"/>
              </w:rPr>
              <w:t>речавања тероризма и ширења оружја за масовно уништење</w:t>
            </w:r>
          </w:p>
        </w:tc>
        <w:tc>
          <w:tcPr>
            <w:tcW w:w="403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6" w:type="pct"/>
          </w:tcPr>
          <w:p w:rsidR="000F0BD0" w:rsidRPr="001A4D2F" w:rsidRDefault="000F0BD0" w:rsidP="006C303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</w:t>
            </w:r>
          </w:p>
        </w:tc>
        <w:tc>
          <w:tcPr>
            <w:tcW w:w="408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Четврти квартал 2022. године (континуирана </w:t>
            </w:r>
            <w:r w:rsidRPr="00DA0EC2">
              <w:rPr>
                <w:sz w:val="20"/>
                <w:szCs w:val="20"/>
                <w:lang w:val="sr-Cyrl-CS"/>
              </w:rPr>
              <w:t>активност)</w:t>
            </w:r>
          </w:p>
        </w:tc>
        <w:tc>
          <w:tcPr>
            <w:tcW w:w="553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1579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2.2.6. Спроводити анализе начина и учесталости коришћења података евидентираних у Централној</w:t>
            </w:r>
            <w:r w:rsidR="00B56E46" w:rsidRPr="001A4D2F">
              <w:rPr>
                <w:lang w:val="sr-Cyrl-CS"/>
              </w:rPr>
              <w:t xml:space="preserve"> </w:t>
            </w:r>
            <w:r w:rsidR="00B56E46" w:rsidRPr="001A4D2F">
              <w:rPr>
                <w:lang w:val="sr-Cyrl-CS"/>
              </w:rPr>
              <w:lastRenderedPageBreak/>
              <w:t>евиденцији стварних власника и њиховог значаја у раду свих учесника у систему (обвезника, Управе, полиције, тужилаштва, итд.)</w:t>
            </w:r>
          </w:p>
          <w:p w:rsidR="00E31352" w:rsidRPr="001A4D2F" w:rsidRDefault="00E31352" w:rsidP="0022234E">
            <w:pPr>
              <w:rPr>
                <w:lang w:val="sr-Cyrl-CS"/>
              </w:rPr>
            </w:pPr>
          </w:p>
          <w:p w:rsidR="00E31352" w:rsidRPr="001A4D2F" w:rsidRDefault="00E31352" w:rsidP="00E31352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0F0BD0" w:rsidRPr="001A4D2F" w:rsidRDefault="00A9340A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КТ</w:t>
            </w:r>
          </w:p>
        </w:tc>
        <w:tc>
          <w:tcPr>
            <w:tcW w:w="436" w:type="pct"/>
          </w:tcPr>
          <w:p w:rsidR="000F0BD0" w:rsidRPr="001A4D2F" w:rsidRDefault="000F0BD0" w:rsidP="006C303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АПР, Надзорни органи </w:t>
            </w:r>
          </w:p>
        </w:tc>
        <w:tc>
          <w:tcPr>
            <w:tcW w:w="408" w:type="pct"/>
          </w:tcPr>
          <w:p w:rsidR="00DA0EC2" w:rsidRDefault="000F0BD0" w:rsidP="0022234E">
            <w:r w:rsidRPr="001A4D2F">
              <w:rPr>
                <w:lang w:val="sr-Cyrl-CS"/>
              </w:rPr>
              <w:t xml:space="preserve">Четврти квартал 2022. године </w:t>
            </w:r>
          </w:p>
          <w:p w:rsidR="00DA0EC2" w:rsidRDefault="00DA0EC2" w:rsidP="0022234E"/>
          <w:p w:rsidR="00DA0EC2" w:rsidRDefault="00DA0EC2" w:rsidP="0022234E"/>
          <w:p w:rsidR="000F0BD0" w:rsidRPr="00DA0EC2" w:rsidRDefault="000F0BD0" w:rsidP="0022234E">
            <w:pPr>
              <w:rPr>
                <w:sz w:val="20"/>
                <w:szCs w:val="20"/>
                <w:lang w:val="sr-Cyrl-CS"/>
              </w:rPr>
            </w:pPr>
            <w:r w:rsidRPr="00DA0EC2">
              <w:rPr>
                <w:sz w:val="20"/>
                <w:szCs w:val="20"/>
                <w:lang w:val="sr-Cyrl-CS"/>
              </w:rPr>
              <w:lastRenderedPageBreak/>
              <w:t>(континуирана активност</w:t>
            </w:r>
          </w:p>
        </w:tc>
        <w:tc>
          <w:tcPr>
            <w:tcW w:w="553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5B03E9" w:rsidRPr="001A4D2F" w:rsidTr="00DB34B7">
        <w:trPr>
          <w:trHeight w:val="1579"/>
        </w:trPr>
        <w:tc>
          <w:tcPr>
            <w:tcW w:w="844" w:type="pct"/>
            <w:tcBorders>
              <w:left w:val="double" w:sz="4" w:space="0" w:color="auto"/>
            </w:tcBorders>
          </w:tcPr>
          <w:p w:rsidR="005B03E9" w:rsidRPr="001A4D2F" w:rsidRDefault="005B03E9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2.2.7. Предузимати мере за унапређење стања на основу анализа из активности 2.2.6 </w:t>
            </w:r>
          </w:p>
        </w:tc>
        <w:tc>
          <w:tcPr>
            <w:tcW w:w="403" w:type="pct"/>
          </w:tcPr>
          <w:p w:rsidR="005B03E9" w:rsidRPr="001A4D2F" w:rsidRDefault="005B03E9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6" w:type="pct"/>
          </w:tcPr>
          <w:p w:rsidR="005B03E9" w:rsidRPr="001A4D2F" w:rsidRDefault="005B03E9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АПР, Надзорни органи </w:t>
            </w:r>
          </w:p>
        </w:tc>
        <w:tc>
          <w:tcPr>
            <w:tcW w:w="408" w:type="pct"/>
          </w:tcPr>
          <w:p w:rsidR="005B03E9" w:rsidRPr="001A4D2F" w:rsidRDefault="005B03E9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Четврти квартал 2022. године (континуирана </w:t>
            </w:r>
            <w:r w:rsidRPr="00D527DB">
              <w:rPr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553" w:type="pct"/>
          </w:tcPr>
          <w:p w:rsidR="005B03E9" w:rsidRPr="001A4D2F" w:rsidRDefault="005B03E9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1402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Default="000F0BD0" w:rsidP="005B03E9">
            <w:r w:rsidRPr="001A4D2F">
              <w:rPr>
                <w:lang w:val="sr-Cyrl-CS"/>
              </w:rPr>
              <w:t>2.2.</w:t>
            </w:r>
            <w:r w:rsidR="005B03E9" w:rsidRPr="001A4D2F">
              <w:rPr>
                <w:lang w:val="sr-Cyrl-CS"/>
              </w:rPr>
              <w:t>8</w:t>
            </w:r>
            <w:r w:rsidRPr="001A4D2F">
              <w:rPr>
                <w:lang w:val="sr-Cyrl-CS"/>
              </w:rPr>
              <w:t>. Увести обавезу за физичка лица која су у систему ПДВ-а и која се баве изградњом грађевинских објеката-инвеститори, да отворе наменски рачун и своје пословање обављају преко истог</w:t>
            </w:r>
          </w:p>
          <w:p w:rsidR="00DA0EC2" w:rsidRPr="00DA0EC2" w:rsidRDefault="00DA0EC2" w:rsidP="005B03E9"/>
        </w:tc>
        <w:tc>
          <w:tcPr>
            <w:tcW w:w="403" w:type="pct"/>
          </w:tcPr>
          <w:p w:rsidR="000F0BD0" w:rsidRPr="001A4D2F" w:rsidRDefault="006C303F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ПУ</w:t>
            </w:r>
          </w:p>
        </w:tc>
        <w:tc>
          <w:tcPr>
            <w:tcW w:w="436" w:type="pct"/>
          </w:tcPr>
          <w:p w:rsidR="000F0BD0" w:rsidRPr="001A4D2F" w:rsidRDefault="006C303F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МФ</w:t>
            </w:r>
            <w:r w:rsidR="00A9340A" w:rsidRPr="001A4D2F">
              <w:rPr>
                <w:lang w:val="sr-Cyrl-CS"/>
              </w:rPr>
              <w:t>ИН</w:t>
            </w:r>
          </w:p>
        </w:tc>
        <w:tc>
          <w:tcPr>
            <w:tcW w:w="408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D527DB">
              <w:rPr>
                <w:sz w:val="22"/>
                <w:szCs w:val="22"/>
                <w:lang w:val="sr-Cyrl-CS"/>
              </w:rPr>
              <w:t>Децембар</w:t>
            </w:r>
            <w:r w:rsidRPr="001A4D2F">
              <w:rPr>
                <w:lang w:val="sr-Cyrl-CS"/>
              </w:rPr>
              <w:t xml:space="preserve"> 2020. године</w:t>
            </w:r>
          </w:p>
        </w:tc>
        <w:tc>
          <w:tcPr>
            <w:tcW w:w="553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5B03E9" w:rsidP="00367A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2.2.9</w:t>
            </w:r>
            <w:r w:rsidR="0022234E" w:rsidRPr="001A4D2F">
              <w:rPr>
                <w:lang w:val="sr-Cyrl-CS"/>
              </w:rPr>
              <w:t>. У складу са утврђеним потребама, обавештавати идентификоване групе обвезника на примерен начин  о обавезама у погледу примене Закона о спречавању прања новца и финансирања тероризма и Закона о огранич</w:t>
            </w:r>
            <w:r w:rsidR="003F6B18">
              <w:rPr>
                <w:lang w:val="sr-Cyrl-CS"/>
              </w:rPr>
              <w:t>а</w:t>
            </w:r>
            <w:r w:rsidR="0022234E" w:rsidRPr="001A4D2F">
              <w:rPr>
                <w:lang w:val="sr-Cyrl-CS"/>
              </w:rPr>
              <w:t>вању располагања имовином у циљу спречавања тероризма и ширења оружја за масовно уништење</w:t>
            </w:r>
          </w:p>
        </w:tc>
        <w:tc>
          <w:tcPr>
            <w:tcW w:w="40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6" w:type="pct"/>
          </w:tcPr>
          <w:p w:rsidR="0022234E" w:rsidRPr="001A4D2F" w:rsidRDefault="0022234E" w:rsidP="00A9340A">
            <w:pPr>
              <w:rPr>
                <w:lang w:val="sr-Cyrl-CS"/>
              </w:rPr>
            </w:pPr>
            <w:r w:rsidRPr="00D527DB">
              <w:rPr>
                <w:sz w:val="18"/>
                <w:szCs w:val="18"/>
                <w:lang w:val="sr-Cyrl-CS"/>
              </w:rPr>
              <w:t>Удружења</w:t>
            </w:r>
            <w:r w:rsidR="00D527DB" w:rsidRPr="00D527DB">
              <w:rPr>
                <w:sz w:val="18"/>
                <w:szCs w:val="18"/>
              </w:rPr>
              <w:t>,</w:t>
            </w:r>
            <w:r w:rsidRPr="001A4D2F">
              <w:rPr>
                <w:lang w:val="sr-Cyrl-CS"/>
              </w:rPr>
              <w:t xml:space="preserve"> ПКС</w:t>
            </w:r>
            <w:r w:rsidR="00A9340A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МТТТ</w:t>
            </w:r>
            <w:r w:rsidR="00A9340A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УИС</w:t>
            </w:r>
          </w:p>
        </w:tc>
        <w:tc>
          <w:tcPr>
            <w:tcW w:w="408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Мај 2020.</w:t>
            </w:r>
          </w:p>
        </w:tc>
        <w:tc>
          <w:tcPr>
            <w:tcW w:w="55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 (нпр. ЕУ подршка спречавању прања новца,</w:t>
            </w:r>
          </w:p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ОЕБС мисија у Србији)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767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2.2.</w:t>
            </w:r>
            <w:r w:rsidR="005B03E9" w:rsidRPr="001A4D2F">
              <w:rPr>
                <w:lang w:val="sr-Cyrl-CS"/>
              </w:rPr>
              <w:t>10</w:t>
            </w:r>
            <w:r w:rsidRPr="001A4D2F">
              <w:rPr>
                <w:lang w:val="sr-Cyrl-CS"/>
              </w:rPr>
              <w:t xml:space="preserve">. Праћење међународних стандарда из области нових технологија и дигиталних идентитета </w:t>
            </w:r>
          </w:p>
        </w:tc>
        <w:tc>
          <w:tcPr>
            <w:tcW w:w="403" w:type="pct"/>
          </w:tcPr>
          <w:p w:rsidR="000F0BD0" w:rsidRPr="001A4D2F" w:rsidRDefault="00A9340A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6" w:type="pct"/>
          </w:tcPr>
          <w:p w:rsidR="000F0BD0" w:rsidRPr="001A4D2F" w:rsidRDefault="00E31352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</w:tc>
        <w:tc>
          <w:tcPr>
            <w:tcW w:w="408" w:type="pct"/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Четврти квартал 2022. године (континуирана активност)</w:t>
            </w:r>
          </w:p>
        </w:tc>
        <w:tc>
          <w:tcPr>
            <w:tcW w:w="553" w:type="pct"/>
          </w:tcPr>
          <w:p w:rsidR="000F0BD0" w:rsidRPr="001A4D2F" w:rsidRDefault="006C303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</w:tbl>
    <w:p w:rsidR="00EE56CF" w:rsidRPr="001A4D2F" w:rsidRDefault="00EE56CF" w:rsidP="00C11F8E">
      <w:pPr>
        <w:rPr>
          <w:lang w:val="sr-Cyrl-CS"/>
        </w:rPr>
      </w:pPr>
    </w:p>
    <w:p w:rsidR="00EE56CF" w:rsidRPr="001A4D2F" w:rsidRDefault="00EE56CF" w:rsidP="00C11F8E">
      <w:pPr>
        <w:rPr>
          <w:lang w:val="sr-Cyrl-CS"/>
        </w:rPr>
      </w:pPr>
    </w:p>
    <w:tbl>
      <w:tblPr>
        <w:tblStyle w:val="TableGrid"/>
        <w:tblW w:w="14142" w:type="dxa"/>
        <w:tblLayout w:type="fixed"/>
        <w:tblLook w:val="04A0"/>
      </w:tblPr>
      <w:tblGrid>
        <w:gridCol w:w="3510"/>
        <w:gridCol w:w="1560"/>
        <w:gridCol w:w="1832"/>
        <w:gridCol w:w="436"/>
        <w:gridCol w:w="1559"/>
        <w:gridCol w:w="1134"/>
        <w:gridCol w:w="1276"/>
        <w:gridCol w:w="1417"/>
        <w:gridCol w:w="1418"/>
      </w:tblGrid>
      <w:tr w:rsidR="002F2CC6" w:rsidRPr="001A4D2F" w:rsidTr="00DF0DDF">
        <w:trPr>
          <w:trHeight w:val="169"/>
        </w:trPr>
        <w:tc>
          <w:tcPr>
            <w:tcW w:w="141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F2CC6" w:rsidRPr="001A4D2F" w:rsidRDefault="002F2CC6" w:rsidP="00090975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0" w:name="_Toc32409913"/>
            <w:r w:rsidRPr="001A4D2F">
              <w:rPr>
                <w:rFonts w:cs="Times New Roman"/>
                <w:sz w:val="24"/>
                <w:lang w:val="sr-Cyrl-CS"/>
              </w:rPr>
              <w:t xml:space="preserve">Мера 2.3. 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Унапређење </w:t>
            </w:r>
            <w:r w:rsidRPr="001A4D2F">
              <w:rPr>
                <w:rFonts w:cs="Times New Roman"/>
                <w:sz w:val="24"/>
                <w:lang w:val="sr-Cyrl-CS"/>
              </w:rPr>
              <w:t>рад</w:t>
            </w:r>
            <w:r w:rsidR="00054E20" w:rsidRPr="001A4D2F">
              <w:rPr>
                <w:rFonts w:cs="Times New Roman"/>
                <w:sz w:val="24"/>
                <w:lang w:val="sr-Cyrl-CS"/>
              </w:rPr>
              <w:t>а</w:t>
            </w:r>
            <w:r w:rsidRPr="001A4D2F">
              <w:rPr>
                <w:rFonts w:cs="Times New Roman"/>
                <w:sz w:val="24"/>
                <w:lang w:val="sr-Cyrl-CS"/>
              </w:rPr>
              <w:t xml:space="preserve"> надзорних органа по Закону о спречавању прања новца и финансирања терор</w:t>
            </w:r>
            <w:r w:rsidR="00090975" w:rsidRPr="001A4D2F">
              <w:rPr>
                <w:rFonts w:cs="Times New Roman"/>
                <w:sz w:val="24"/>
                <w:lang w:val="sr-Cyrl-CS"/>
              </w:rPr>
              <w:t>и</w:t>
            </w:r>
            <w:r w:rsidRPr="001A4D2F">
              <w:rPr>
                <w:rFonts w:cs="Times New Roman"/>
                <w:sz w:val="24"/>
                <w:lang w:val="sr-Cyrl-CS"/>
              </w:rPr>
              <w:t xml:space="preserve">зма у складу са ризицима утврђеним у </w:t>
            </w:r>
            <w:r w:rsidR="0065437A" w:rsidRPr="001A4D2F">
              <w:rPr>
                <w:rFonts w:cs="Times New Roman"/>
                <w:sz w:val="24"/>
                <w:lang w:val="sr-Cyrl-CS"/>
              </w:rPr>
              <w:t>националној процени ризика</w:t>
            </w:r>
            <w:bookmarkEnd w:id="10"/>
          </w:p>
        </w:tc>
      </w:tr>
      <w:tr w:rsidR="002F2CC6" w:rsidRPr="001A4D2F" w:rsidTr="00DF0DDF">
        <w:trPr>
          <w:trHeight w:val="300"/>
        </w:trPr>
        <w:tc>
          <w:tcPr>
            <w:tcW w:w="1414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2F2CC6" w:rsidRPr="001A4D2F" w:rsidRDefault="002F2CC6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 xml:space="preserve">Институција одговорна за праћење и контролу реализације: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2F2CC6" w:rsidRPr="001A4D2F" w:rsidTr="00DF0DDF">
        <w:trPr>
          <w:trHeight w:val="300"/>
        </w:trPr>
        <w:tc>
          <w:tcPr>
            <w:tcW w:w="69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F2CC6" w:rsidRPr="001A4D2F" w:rsidRDefault="002F2CC6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6F2E9B" w:rsidRPr="001A4D2F">
              <w:rPr>
                <w:lang w:val="sr-Cyrl-CS"/>
              </w:rPr>
              <w:t>2020-2022.</w:t>
            </w:r>
          </w:p>
        </w:tc>
        <w:tc>
          <w:tcPr>
            <w:tcW w:w="72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F2CC6" w:rsidRPr="001A4D2F" w:rsidRDefault="002F2CC6" w:rsidP="0007761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6F2E9B" w:rsidRPr="001A4D2F">
              <w:rPr>
                <w:lang w:val="sr-Cyrl-CS"/>
              </w:rPr>
              <w:t xml:space="preserve"> Институционално управљачко организациона</w:t>
            </w:r>
          </w:p>
        </w:tc>
      </w:tr>
      <w:tr w:rsidR="00DF0DDF" w:rsidRPr="001A4D2F" w:rsidTr="00DF0DDF">
        <w:trPr>
          <w:trHeight w:val="955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885F9C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2F2CC6" w:rsidRPr="001A4D2F" w:rsidTr="00DF0DDF">
        <w:trPr>
          <w:trHeight w:val="304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434EDC" w:rsidP="00434EDC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Задржан континуитет и унапређено спровођење </w:t>
            </w:r>
            <w:r w:rsidR="006C4E6E" w:rsidRPr="001A4D2F">
              <w:rPr>
                <w:lang w:val="sr-Cyrl-CS"/>
              </w:rPr>
              <w:t xml:space="preserve">надзора </w:t>
            </w:r>
            <w:r w:rsidR="002F2CC6" w:rsidRPr="001A4D2F">
              <w:rPr>
                <w:lang w:val="sr-Cyrl-CS"/>
              </w:rPr>
              <w:t>заснован</w:t>
            </w:r>
            <w:r w:rsidR="006C4E6E" w:rsidRPr="001A4D2F">
              <w:rPr>
                <w:lang w:val="sr-Cyrl-CS"/>
              </w:rPr>
              <w:t>ог</w:t>
            </w:r>
            <w:r w:rsidR="002F2CC6" w:rsidRPr="001A4D2F">
              <w:rPr>
                <w:lang w:val="sr-Cyrl-CS"/>
              </w:rPr>
              <w:t xml:space="preserve"> на процени ризика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2F2CC6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Извештаји надзорних органа</w:t>
            </w:r>
            <w:r w:rsidR="006C4E6E" w:rsidRPr="001A4D2F">
              <w:rPr>
                <w:lang w:val="sr-Cyrl-CS"/>
              </w:rPr>
              <w:t>; Извештај Манивала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2F2CC6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2CC6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2CC6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2F2CC6" w:rsidRDefault="002F2CC6" w:rsidP="00C11F8E"/>
    <w:p w:rsidR="00D527DB" w:rsidRDefault="00D527DB" w:rsidP="00C11F8E"/>
    <w:p w:rsidR="00D527DB" w:rsidRDefault="00D527DB" w:rsidP="00C11F8E"/>
    <w:p w:rsidR="00D527DB" w:rsidRDefault="00D527DB" w:rsidP="00C11F8E"/>
    <w:p w:rsidR="00D527DB" w:rsidRPr="00D527DB" w:rsidRDefault="00D527DB" w:rsidP="00C11F8E"/>
    <w:tbl>
      <w:tblPr>
        <w:tblStyle w:val="TableGrid"/>
        <w:tblW w:w="5000" w:type="pct"/>
        <w:tblLayout w:type="fixed"/>
        <w:tblLook w:val="04A0"/>
      </w:tblPr>
      <w:tblGrid>
        <w:gridCol w:w="2392"/>
        <w:gridCol w:w="1143"/>
        <w:gridCol w:w="1236"/>
        <w:gridCol w:w="1157"/>
        <w:gridCol w:w="1568"/>
        <w:gridCol w:w="1154"/>
        <w:gridCol w:w="1837"/>
        <w:gridCol w:w="1525"/>
        <w:gridCol w:w="2163"/>
      </w:tblGrid>
      <w:tr w:rsidR="00D53854" w:rsidRPr="001A4D2F" w:rsidTr="00D53854">
        <w:trPr>
          <w:trHeight w:val="140"/>
          <w:tblHeader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D527DB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D527DB">
              <w:rPr>
                <w:b/>
                <w:sz w:val="14"/>
                <w:szCs w:val="14"/>
                <w:lang w:val="sr-Cyrl-CS"/>
              </w:rPr>
              <w:t xml:space="preserve">програмским </w:t>
            </w:r>
            <w:r w:rsidRPr="00D527DB">
              <w:rPr>
                <w:b/>
                <w:sz w:val="18"/>
                <w:szCs w:val="18"/>
                <w:lang w:val="sr-Cyrl-CS"/>
              </w:rPr>
              <w:t>буџетом</w:t>
            </w:r>
          </w:p>
          <w:p w:rsidR="00D53854" w:rsidRPr="00D527DB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  <w:r w:rsidRPr="00D527DB">
              <w:rPr>
                <w:rStyle w:val="FootnoteReference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DB34B7" w:rsidRPr="001A4D2F" w:rsidTr="00DB34B7">
        <w:trPr>
          <w:trHeight w:val="386"/>
          <w:tblHeader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D527DB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7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48" w:type="pct"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63" w:type="pct"/>
            <w:shd w:val="clear" w:color="auto" w:fill="E5DFEC" w:themeFill="accent4" w:themeFillTint="33"/>
          </w:tcPr>
          <w:p w:rsidR="00DB34B7" w:rsidRPr="00D527DB" w:rsidRDefault="00DB34B7" w:rsidP="00DB34B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22234E" w:rsidRPr="001A4D2F" w:rsidTr="00434EDC">
        <w:trPr>
          <w:trHeight w:val="1159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2.3.1. Унапредити методологију надзора у складу са налазима ажуриране националне процене ризика</w:t>
            </w:r>
          </w:p>
        </w:tc>
        <w:tc>
          <w:tcPr>
            <w:tcW w:w="403" w:type="pct"/>
          </w:tcPr>
          <w:p w:rsidR="0022234E" w:rsidRPr="001A4D2F" w:rsidRDefault="00A9340A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6" w:type="pct"/>
          </w:tcPr>
          <w:p w:rsidR="0022234E" w:rsidRPr="001A4D2F" w:rsidRDefault="0022234E" w:rsidP="00C642C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Надзорни органи </w:t>
            </w:r>
          </w:p>
        </w:tc>
        <w:tc>
          <w:tcPr>
            <w:tcW w:w="408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Четврти квартал 2022. године</w:t>
            </w:r>
          </w:p>
        </w:tc>
        <w:tc>
          <w:tcPr>
            <w:tcW w:w="55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1611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2.3.2. Ускладити акта (смернице за процену ризика од ПН и ФТ) надзорних органа са изменама и допунама Закона о спречавању прања новца и финансирања тероризма</w:t>
            </w:r>
          </w:p>
        </w:tc>
        <w:tc>
          <w:tcPr>
            <w:tcW w:w="403" w:type="pct"/>
          </w:tcPr>
          <w:p w:rsidR="0022234E" w:rsidRPr="001A4D2F" w:rsidRDefault="00073345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6" w:type="pct"/>
          </w:tcPr>
          <w:p w:rsidR="0022234E" w:rsidRPr="001A4D2F" w:rsidRDefault="0022234E" w:rsidP="00C642C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Надзорни органи </w:t>
            </w:r>
          </w:p>
        </w:tc>
        <w:tc>
          <w:tcPr>
            <w:tcW w:w="408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Април 2020. године</w:t>
            </w:r>
          </w:p>
        </w:tc>
        <w:tc>
          <w:tcPr>
            <w:tcW w:w="55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оквиру редовних активности запослених 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1127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2.3.3. Израдити методологију рада и матрице за процену ризика за лица која се баве поштанским саобраћајем</w:t>
            </w:r>
          </w:p>
        </w:tc>
        <w:tc>
          <w:tcPr>
            <w:tcW w:w="40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МТТТ – група за надзор у области поштанског саобраћаја</w:t>
            </w:r>
          </w:p>
        </w:tc>
        <w:tc>
          <w:tcPr>
            <w:tcW w:w="436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08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Јун 2020</w:t>
            </w:r>
          </w:p>
        </w:tc>
        <w:tc>
          <w:tcPr>
            <w:tcW w:w="55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988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2.3.4. </w:t>
            </w:r>
            <w:r w:rsidR="00E31352" w:rsidRPr="001A4D2F">
              <w:rPr>
                <w:lang w:val="sr-Cyrl-CS"/>
              </w:rPr>
              <w:t>Израдити, односно унапредити, за обвезнике, листе индикатора за препознавање сумњивих активности</w:t>
            </w:r>
          </w:p>
        </w:tc>
        <w:tc>
          <w:tcPr>
            <w:tcW w:w="40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6" w:type="pct"/>
          </w:tcPr>
          <w:p w:rsidR="0022234E" w:rsidRPr="001A4D2F" w:rsidRDefault="0022234E" w:rsidP="00C642C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Надзорни органи </w:t>
            </w:r>
          </w:p>
        </w:tc>
        <w:tc>
          <w:tcPr>
            <w:tcW w:w="408" w:type="pct"/>
          </w:tcPr>
          <w:p w:rsidR="0022234E" w:rsidRPr="00D527DB" w:rsidRDefault="0022234E" w:rsidP="0022234E">
            <w:pPr>
              <w:rPr>
                <w:lang w:val="sr-Cyrl-CS"/>
              </w:rPr>
            </w:pPr>
            <w:r w:rsidRPr="00D527DB">
              <w:rPr>
                <w:lang w:val="sr-Cyrl-CS"/>
              </w:rPr>
              <w:t>Четврти квартал 2022. године (континуирана активност)</w:t>
            </w:r>
          </w:p>
        </w:tc>
        <w:tc>
          <w:tcPr>
            <w:tcW w:w="55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867224">
        <w:trPr>
          <w:trHeight w:val="339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07467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2.3.5. </w:t>
            </w:r>
            <w:r w:rsidR="00074670" w:rsidRPr="001A4D2F">
              <w:rPr>
                <w:lang w:val="sr-Cyrl-CS"/>
              </w:rPr>
              <w:t xml:space="preserve">Анализа </w:t>
            </w:r>
            <w:r w:rsidRPr="001A4D2F">
              <w:rPr>
                <w:lang w:val="sr-Cyrl-CS"/>
              </w:rPr>
              <w:t xml:space="preserve"> капацитета (кадровских, </w:t>
            </w:r>
            <w:r w:rsidRPr="001A4D2F">
              <w:rPr>
                <w:lang w:val="sr-Cyrl-CS"/>
              </w:rPr>
              <w:lastRenderedPageBreak/>
              <w:t>техничких и финансијских) релевантних надлежних органа и професионални развој особља различитих органа који су укључени у систем СПН и ФТ (Закон о СПН, Закон о ограничавању располагања имовином у циљу спречавања тероризма и ширења оружја за масовно уништење)</w:t>
            </w:r>
          </w:p>
        </w:tc>
        <w:tc>
          <w:tcPr>
            <w:tcW w:w="403" w:type="pct"/>
          </w:tcPr>
          <w:p w:rsidR="0022234E" w:rsidRPr="001A4D2F" w:rsidRDefault="00A9340A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КТ</w:t>
            </w:r>
          </w:p>
        </w:tc>
        <w:tc>
          <w:tcPr>
            <w:tcW w:w="436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Ресорна министарства и </w:t>
            </w:r>
            <w:r w:rsidRPr="001A4D2F">
              <w:rPr>
                <w:lang w:val="sr-Cyrl-CS"/>
              </w:rPr>
              <w:lastRenderedPageBreak/>
              <w:t>надзорни органи</w:t>
            </w:r>
          </w:p>
        </w:tc>
        <w:tc>
          <w:tcPr>
            <w:tcW w:w="408" w:type="pct"/>
          </w:tcPr>
          <w:p w:rsidR="0022234E" w:rsidRPr="001A4D2F" w:rsidRDefault="00074670" w:rsidP="0007467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Четврти квартал 2021. </w:t>
            </w:r>
            <w:r w:rsidRPr="001A4D2F">
              <w:rPr>
                <w:lang w:val="sr-Cyrl-CS"/>
              </w:rPr>
              <w:lastRenderedPageBreak/>
              <w:t xml:space="preserve">године </w:t>
            </w:r>
          </w:p>
        </w:tc>
        <w:tc>
          <w:tcPr>
            <w:tcW w:w="553" w:type="pct"/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Финансира се у оквиру редовних </w:t>
            </w:r>
            <w:r w:rsidRPr="001A4D2F">
              <w:rPr>
                <w:lang w:val="sr-Cyrl-CS"/>
              </w:rPr>
              <w:lastRenderedPageBreak/>
              <w:t>активности запослених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074670" w:rsidRPr="001A4D2F" w:rsidTr="00867224">
        <w:trPr>
          <w:trHeight w:val="339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D527DB" w:rsidRDefault="00074670" w:rsidP="00074670">
            <w:pPr>
              <w:rPr>
                <w:sz w:val="22"/>
                <w:szCs w:val="22"/>
                <w:lang w:val="sr-Cyrl-CS"/>
              </w:rPr>
            </w:pPr>
            <w:r w:rsidRPr="00D527DB">
              <w:rPr>
                <w:sz w:val="22"/>
                <w:szCs w:val="22"/>
                <w:lang w:val="sr-Cyrl-CS"/>
              </w:rPr>
              <w:lastRenderedPageBreak/>
              <w:t>2.3.6 Унапредити капацитете  надзорних органа, по потреби, у складу са анализом из активности 2.3.5.</w:t>
            </w:r>
          </w:p>
        </w:tc>
        <w:tc>
          <w:tcPr>
            <w:tcW w:w="403" w:type="pct"/>
          </w:tcPr>
          <w:p w:rsidR="00074670" w:rsidRPr="00D527DB" w:rsidRDefault="00A9340A" w:rsidP="0022234E">
            <w:pPr>
              <w:rPr>
                <w:sz w:val="22"/>
                <w:szCs w:val="22"/>
                <w:lang w:val="sr-Cyrl-CS"/>
              </w:rPr>
            </w:pPr>
            <w:r w:rsidRPr="00D527DB">
              <w:rPr>
                <w:sz w:val="22"/>
                <w:szCs w:val="22"/>
                <w:lang w:val="sr-Cyrl-CS"/>
              </w:rPr>
              <w:t>В</w:t>
            </w:r>
            <w:r w:rsidR="00074670" w:rsidRPr="00D527DB">
              <w:rPr>
                <w:sz w:val="22"/>
                <w:szCs w:val="22"/>
                <w:lang w:val="sr-Cyrl-CS"/>
              </w:rPr>
              <w:t>РС</w:t>
            </w:r>
          </w:p>
        </w:tc>
        <w:tc>
          <w:tcPr>
            <w:tcW w:w="436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</w:t>
            </w:r>
          </w:p>
        </w:tc>
        <w:tc>
          <w:tcPr>
            <w:tcW w:w="408" w:type="pct"/>
          </w:tcPr>
          <w:p w:rsidR="00074670" w:rsidRPr="001A4D2F" w:rsidRDefault="00074670" w:rsidP="0007467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Четврти квартал 2022. године </w:t>
            </w:r>
          </w:p>
        </w:tc>
        <w:tc>
          <w:tcPr>
            <w:tcW w:w="553" w:type="pct"/>
          </w:tcPr>
          <w:p w:rsidR="00074670" w:rsidRPr="001A4D2F" w:rsidRDefault="00074670" w:rsidP="00321E8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 складу са анализом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  <w:shd w:val="clear" w:color="auto" w:fill="auto"/>
          </w:tcPr>
          <w:p w:rsidR="00074670" w:rsidRPr="001A4D2F" w:rsidRDefault="00074670" w:rsidP="0007467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2.3.7. Обезбедити да се у надзору у свим секторима усвоји приступ заснован на процени ризика који узима у обзир секторски профил </w:t>
            </w:r>
            <w:r w:rsidRPr="001A4D2F">
              <w:rPr>
                <w:lang w:val="sr-Cyrl-CS"/>
              </w:rPr>
              <w:lastRenderedPageBreak/>
              <w:t>ризика који је утврђен у ажурираној националној процени ризика, укључујући и непосредан и посредан надзор</w:t>
            </w:r>
          </w:p>
        </w:tc>
        <w:tc>
          <w:tcPr>
            <w:tcW w:w="403" w:type="pct"/>
            <w:shd w:val="clear" w:color="auto" w:fill="auto"/>
          </w:tcPr>
          <w:p w:rsidR="00074670" w:rsidRPr="001A4D2F" w:rsidRDefault="00A9340A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КТ</w:t>
            </w:r>
            <w:r w:rsidR="00074670" w:rsidRPr="001A4D2F">
              <w:rPr>
                <w:lang w:val="sr-Cyrl-CS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:rsidR="00074670" w:rsidRPr="001A4D2F" w:rsidRDefault="00074670" w:rsidP="006C303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Надзорни органи </w:t>
            </w:r>
          </w:p>
        </w:tc>
        <w:tc>
          <w:tcPr>
            <w:tcW w:w="408" w:type="pct"/>
            <w:shd w:val="clear" w:color="auto" w:fill="auto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Четврти квартал 2022. године</w:t>
            </w:r>
          </w:p>
        </w:tc>
        <w:tc>
          <w:tcPr>
            <w:tcW w:w="553" w:type="pct"/>
            <w:shd w:val="clear" w:color="auto" w:fill="auto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  <w:shd w:val="clear" w:color="auto" w:fill="auto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Default="00074670" w:rsidP="00074670">
            <w:pPr>
              <w:rPr>
                <w:sz w:val="22"/>
                <w:szCs w:val="22"/>
              </w:rPr>
            </w:pPr>
            <w:r w:rsidRPr="00D527DB">
              <w:rPr>
                <w:sz w:val="22"/>
                <w:szCs w:val="22"/>
                <w:lang w:val="sr-Cyrl-CS"/>
              </w:rPr>
              <w:lastRenderedPageBreak/>
              <w:t>2.3.8. Стручно усавршавање кадрова у надзорним органима у вези са одредбама Закона о спречавању прања новца и финансирања тероризма и Закона о ограничавању располагања имовином у циљу спречавања тероризма и ширења оружја за масовно уништење)</w:t>
            </w:r>
          </w:p>
          <w:p w:rsidR="00D527DB" w:rsidRPr="00D527DB" w:rsidRDefault="00D527DB" w:rsidP="00074670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6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ПКС, </w:t>
            </w:r>
            <w:r w:rsidR="00A9340A" w:rsidRPr="001A4D2F">
              <w:rPr>
                <w:lang w:val="sr-Cyrl-CS"/>
              </w:rPr>
              <w:t>ПА</w:t>
            </w:r>
            <w:r w:rsidRPr="001A4D2F">
              <w:rPr>
                <w:lang w:val="sr-Cyrl-CS"/>
              </w:rPr>
              <w:t>,</w:t>
            </w:r>
          </w:p>
          <w:p w:rsidR="00074670" w:rsidRPr="001A4D2F" w:rsidRDefault="00A9340A" w:rsidP="006C303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</w:t>
            </w:r>
            <w:r w:rsidR="00074670" w:rsidRPr="001A4D2F">
              <w:rPr>
                <w:lang w:val="sr-Cyrl-CS"/>
              </w:rPr>
              <w:t xml:space="preserve">адзорни органи </w:t>
            </w:r>
          </w:p>
        </w:tc>
        <w:tc>
          <w:tcPr>
            <w:tcW w:w="408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Четврти квартал 2022. године (континуирана активност)</w:t>
            </w:r>
          </w:p>
        </w:tc>
        <w:tc>
          <w:tcPr>
            <w:tcW w:w="553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 (нпр. ЕУ подршка спречавању прања новца,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ОЕБС мисија у Србији)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2.3.9. Унапредити капацитете прекршајног и привредног суда кроз одржавање обука судија прекршајних и </w:t>
            </w:r>
            <w:r w:rsidRPr="001A4D2F">
              <w:rPr>
                <w:lang w:val="sr-Cyrl-CS"/>
              </w:rPr>
              <w:lastRenderedPageBreak/>
              <w:t>превредних судова у вези са применом Закона о спречавању прања новца и финансирања тероризма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УСПН</w:t>
            </w:r>
          </w:p>
        </w:tc>
        <w:tc>
          <w:tcPr>
            <w:tcW w:w="436" w:type="pct"/>
          </w:tcPr>
          <w:p w:rsidR="006C303F" w:rsidRPr="001A4D2F" w:rsidRDefault="00074670" w:rsidP="006C303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ВКС, ВСС, </w:t>
            </w:r>
            <w:r w:rsidR="005768D4" w:rsidRPr="001A4D2F">
              <w:rPr>
                <w:lang w:val="sr-Cyrl-CS"/>
              </w:rPr>
              <w:t>ПАС, АС</w:t>
            </w:r>
            <w:r w:rsidRPr="001A4D2F">
              <w:rPr>
                <w:lang w:val="sr-Cyrl-CS"/>
              </w:rPr>
              <w:t>, ст</w:t>
            </w:r>
            <w:r w:rsidR="006C303F" w:rsidRPr="001A4D2F">
              <w:rPr>
                <w:lang w:val="sr-Cyrl-CS"/>
              </w:rPr>
              <w:t xml:space="preserve">рани партнери, </w:t>
            </w:r>
            <w:r w:rsidR="005768D4" w:rsidRPr="001A4D2F">
              <w:rPr>
                <w:lang w:val="sr-Cyrl-CS"/>
              </w:rPr>
              <w:t>Н</w:t>
            </w:r>
            <w:r w:rsidR="006C303F" w:rsidRPr="001A4D2F">
              <w:rPr>
                <w:lang w:val="sr-Cyrl-CS"/>
              </w:rPr>
              <w:t xml:space="preserve">адзорни </w:t>
            </w:r>
            <w:r w:rsidR="006C303F" w:rsidRPr="001A4D2F">
              <w:rPr>
                <w:lang w:val="sr-Cyrl-CS"/>
              </w:rPr>
              <w:lastRenderedPageBreak/>
              <w:t xml:space="preserve">органи 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Четврти квартал 2022. године (континуирана активнос</w:t>
            </w:r>
            <w:r w:rsidRPr="001A4D2F">
              <w:rPr>
                <w:lang w:val="sr-Cyrl-CS"/>
              </w:rPr>
              <w:lastRenderedPageBreak/>
              <w:t>т)</w:t>
            </w:r>
          </w:p>
        </w:tc>
        <w:tc>
          <w:tcPr>
            <w:tcW w:w="553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Средства међународних донатора (нпр. ЕУ подршка спречавању прања новца,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ОЕБС мисија у Србији)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Default="00074670" w:rsidP="00074670">
            <w:r w:rsidRPr="001A4D2F">
              <w:rPr>
                <w:lang w:val="sr-Cyrl-CS"/>
              </w:rPr>
              <w:lastRenderedPageBreak/>
              <w:t>2.3.10. Унапредити знања надзорних органа кроз обуке о финансијским производима који могу бити злоупотребљени у сврхе прања новца и финансирања тероризма (тржиште капитала, физички преносива средства плаћања, девизни платни промет и др.)</w:t>
            </w:r>
          </w:p>
          <w:p w:rsidR="00D527DB" w:rsidRPr="00D527DB" w:rsidRDefault="00D527DB" w:rsidP="00074670"/>
        </w:tc>
        <w:tc>
          <w:tcPr>
            <w:tcW w:w="403" w:type="pct"/>
          </w:tcPr>
          <w:p w:rsidR="00074670" w:rsidRPr="001A4D2F" w:rsidRDefault="005768D4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6" w:type="pct"/>
          </w:tcPr>
          <w:p w:rsidR="00074670" w:rsidRPr="001A4D2F" w:rsidRDefault="005768D4" w:rsidP="006C303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РЈТ, МУП, ПУ, УЦ, Н</w:t>
            </w:r>
            <w:r w:rsidR="00074670" w:rsidRPr="001A4D2F">
              <w:rPr>
                <w:lang w:val="sr-Cyrl-CS"/>
              </w:rPr>
              <w:t xml:space="preserve">адзорни органи </w:t>
            </w:r>
          </w:p>
        </w:tc>
        <w:tc>
          <w:tcPr>
            <w:tcW w:w="408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Четврти квартал 2022. године (континуирана </w:t>
            </w:r>
            <w:r w:rsidRPr="00D527DB">
              <w:rPr>
                <w:sz w:val="20"/>
                <w:szCs w:val="20"/>
                <w:lang w:val="sr-Cyrl-CS"/>
              </w:rPr>
              <w:t>активност)</w:t>
            </w:r>
          </w:p>
        </w:tc>
        <w:tc>
          <w:tcPr>
            <w:tcW w:w="553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 (нпр. ЕУ подршка спречавању прања новца,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ОЕБС мисија у Србији)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476D5F">
        <w:trPr>
          <w:trHeight w:val="294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2.3.11. Унапредити капацитете државних органа одржавањем обука  ради препознавања ризика од прања новца и </w:t>
            </w:r>
            <w:r w:rsidRPr="001A4D2F">
              <w:rPr>
                <w:lang w:val="sr-Cyrl-CS"/>
              </w:rPr>
              <w:lastRenderedPageBreak/>
              <w:t>финансирања тероризма приликом контроле прекограничног преноса готовине</w:t>
            </w:r>
          </w:p>
        </w:tc>
        <w:tc>
          <w:tcPr>
            <w:tcW w:w="403" w:type="pct"/>
          </w:tcPr>
          <w:p w:rsidR="00074670" w:rsidRPr="001A4D2F" w:rsidRDefault="006C303F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УЦ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УСПН, МУП, тужилаштво, </w:t>
            </w:r>
            <w:r w:rsidR="005768D4" w:rsidRPr="001A4D2F">
              <w:rPr>
                <w:lang w:val="sr-Cyrl-CS"/>
              </w:rPr>
              <w:t>ПРИВС</w:t>
            </w:r>
            <w:r w:rsidRPr="001A4D2F">
              <w:rPr>
                <w:lang w:val="sr-Cyrl-CS"/>
              </w:rPr>
              <w:t xml:space="preserve"> и </w:t>
            </w:r>
            <w:r w:rsidR="005768D4" w:rsidRPr="001A4D2F">
              <w:rPr>
                <w:lang w:val="sr-Cyrl-CS"/>
              </w:rPr>
              <w:t>ПС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074670" w:rsidRPr="00D527DB" w:rsidRDefault="00074670" w:rsidP="0022234E">
            <w:pPr>
              <w:rPr>
                <w:sz w:val="20"/>
                <w:szCs w:val="20"/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Четврти квартал 2022. године (континуирана </w:t>
            </w:r>
            <w:r w:rsidRPr="00D527DB">
              <w:rPr>
                <w:sz w:val="20"/>
                <w:szCs w:val="20"/>
                <w:lang w:val="sr-Cyrl-CS"/>
              </w:rPr>
              <w:t>активност)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финансира се у оквиру редовних активности запослених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1A4D2F" w:rsidRDefault="00074670" w:rsidP="00476D5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2.3.</w:t>
            </w:r>
            <w:r w:rsidR="00476D5F" w:rsidRPr="001A4D2F">
              <w:rPr>
                <w:lang w:val="sr-Cyrl-CS"/>
              </w:rPr>
              <w:t>12</w:t>
            </w:r>
            <w:r w:rsidRPr="001A4D2F">
              <w:rPr>
                <w:lang w:val="sr-Cyrl-CS"/>
              </w:rPr>
              <w:t>. Унапредити капацитете Управе царина у циљу стварног препознавања роба двоструке намене и наоружања и војне опреме одржавањем обука царинских службеника</w:t>
            </w:r>
          </w:p>
        </w:tc>
        <w:tc>
          <w:tcPr>
            <w:tcW w:w="403" w:type="pct"/>
          </w:tcPr>
          <w:p w:rsidR="00074670" w:rsidRPr="001A4D2F" w:rsidRDefault="006C303F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УЦ</w:t>
            </w:r>
          </w:p>
        </w:tc>
        <w:tc>
          <w:tcPr>
            <w:tcW w:w="436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08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Четврти квартал 2022. године (континуирана </w:t>
            </w:r>
            <w:r w:rsidRPr="00D527DB">
              <w:rPr>
                <w:sz w:val="18"/>
                <w:szCs w:val="18"/>
                <w:lang w:val="sr-Cyrl-CS"/>
              </w:rPr>
              <w:t>активност)</w:t>
            </w:r>
          </w:p>
        </w:tc>
        <w:tc>
          <w:tcPr>
            <w:tcW w:w="553" w:type="pct"/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43ECD" w:rsidRDefault="00F43ECD" w:rsidP="00C11F8E"/>
    <w:p w:rsidR="00D527DB" w:rsidRDefault="00D527DB" w:rsidP="00C11F8E"/>
    <w:p w:rsidR="00D527DB" w:rsidRDefault="00D527DB" w:rsidP="00C11F8E"/>
    <w:p w:rsidR="00D527DB" w:rsidRDefault="00D527DB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527DB" w:rsidRDefault="00D527DB" w:rsidP="00C11F8E"/>
    <w:p w:rsidR="00D527DB" w:rsidRPr="00D527DB" w:rsidRDefault="00D527DB" w:rsidP="00C11F8E"/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36"/>
        <w:gridCol w:w="1442"/>
        <w:gridCol w:w="1367"/>
        <w:gridCol w:w="1743"/>
        <w:gridCol w:w="1657"/>
        <w:gridCol w:w="1243"/>
        <w:gridCol w:w="1276"/>
        <w:gridCol w:w="2268"/>
      </w:tblGrid>
      <w:tr w:rsidR="00D57EC4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7EC4" w:rsidRPr="001A4D2F" w:rsidRDefault="00D57EC4" w:rsidP="0041026F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11" w:name="_Toc32409914"/>
            <w:r w:rsidRPr="001A4D2F">
              <w:rPr>
                <w:szCs w:val="24"/>
                <w:lang w:val="sr-Cyrl-CS"/>
              </w:rPr>
              <w:lastRenderedPageBreak/>
              <w:t>Посебни циљ 3:</w:t>
            </w:r>
            <w:r w:rsidR="00B02F59" w:rsidRPr="001A4D2F">
              <w:rPr>
                <w:szCs w:val="24"/>
                <w:lang w:val="sr-Cyrl-CS"/>
              </w:rPr>
              <w:t xml:space="preserve"> </w:t>
            </w:r>
            <w:r w:rsidR="00E8015F" w:rsidRPr="001A4D2F">
              <w:rPr>
                <w:szCs w:val="24"/>
                <w:lang w:val="sr-Cyrl-CS"/>
              </w:rPr>
              <w:t xml:space="preserve">Eфикасно и делотворно кажњавати </w:t>
            </w:r>
            <w:r w:rsidR="0041026F" w:rsidRPr="001A4D2F">
              <w:rPr>
                <w:szCs w:val="24"/>
                <w:lang w:val="sr-Cyrl-CS"/>
              </w:rPr>
              <w:t>учиниоце</w:t>
            </w:r>
            <w:r w:rsidR="00E8015F" w:rsidRPr="001A4D2F">
              <w:rPr>
                <w:szCs w:val="24"/>
                <w:lang w:val="sr-Cyrl-CS"/>
              </w:rPr>
              <w:t xml:space="preserve"> кривичног дела прање новца и одузимати незаконито стечену имовину</w:t>
            </w:r>
            <w:bookmarkEnd w:id="11"/>
          </w:p>
        </w:tc>
      </w:tr>
      <w:tr w:rsidR="00D57EC4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57EC4" w:rsidRPr="001A4D2F" w:rsidRDefault="00D57EC4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 xml:space="preserve">Институција одговорна за праћење и контролу реализације: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DF0DDF" w:rsidRPr="001A4D2F" w:rsidTr="00DF0DDF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885F9C" w:rsidP="00DF0D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D57EC4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A12AA6" w:rsidP="00D5399E">
            <w:pPr>
              <w:jc w:val="both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Очуван</w:t>
            </w:r>
            <w:r w:rsidR="0055614B" w:rsidRPr="001A4D2F">
              <w:rPr>
                <w:color w:val="auto"/>
                <w:lang w:val="sr-Cyrl-CS"/>
              </w:rPr>
              <w:t xml:space="preserve"> </w:t>
            </w:r>
            <w:r w:rsidR="007B0298" w:rsidRPr="001A4D2F">
              <w:rPr>
                <w:color w:val="auto"/>
                <w:lang w:val="sr-Cyrl-CS"/>
              </w:rPr>
              <w:t xml:space="preserve">напредак на непосредном резултату 7 </w:t>
            </w:r>
            <w:r w:rsidR="00D5399E" w:rsidRPr="001A4D2F">
              <w:rPr>
                <w:color w:val="auto"/>
                <w:lang w:val="sr-Cyrl-CS"/>
              </w:rPr>
              <w:t>по Методологији</w:t>
            </w:r>
            <w:r w:rsidR="007B0298" w:rsidRPr="001A4D2F">
              <w:rPr>
                <w:color w:val="auto"/>
                <w:lang w:val="sr-Cyrl-CS"/>
              </w:rPr>
              <w:t xml:space="preserve"> ФАТФ</w:t>
            </w:r>
            <w:r w:rsidR="00F700E0" w:rsidRPr="001A4D2F">
              <w:rPr>
                <w:color w:val="auto"/>
                <w:lang w:val="sr-Cyrl-CS"/>
              </w:rPr>
              <w:t xml:space="preserve"> на годишњем нивоу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Да/Не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7B029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Извештаји надлежних органа; Извештај Манивала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2019.</w:t>
            </w: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</w:tr>
      <w:tr w:rsidR="007B0298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F700E0" w:rsidP="00DF0DDF">
            <w:pPr>
              <w:jc w:val="both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Унапређено стање у односу на непосредни резултат 8 из Методологије ФАТФ</w:t>
            </w:r>
            <w:r w:rsidR="00DF0DDF" w:rsidRPr="001A4D2F">
              <w:rPr>
                <w:color w:val="auto"/>
                <w:lang w:val="sr-Cyrl-CS"/>
              </w:rPr>
              <w:t xml:space="preserve">, </w:t>
            </w:r>
            <w:r w:rsidRPr="001A4D2F">
              <w:rPr>
                <w:color w:val="auto"/>
                <w:lang w:val="sr-Cyrl-CS"/>
              </w:rPr>
              <w:t>на годишњем нивоу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Да/Не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7B0298" w:rsidP="007B029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Извештаји надлежних органа; Извештај Манивала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434ED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-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2016.</w:t>
            </w: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0298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</w:tr>
    </w:tbl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p w:rsidR="00D57EC4" w:rsidRDefault="00D57EC4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49"/>
        <w:gridCol w:w="1202"/>
        <w:gridCol w:w="1984"/>
        <w:gridCol w:w="567"/>
        <w:gridCol w:w="1276"/>
        <w:gridCol w:w="1559"/>
        <w:gridCol w:w="1134"/>
        <w:gridCol w:w="1560"/>
        <w:gridCol w:w="1701"/>
      </w:tblGrid>
      <w:tr w:rsidR="00D57EC4" w:rsidRPr="001A4D2F" w:rsidTr="00DF0DDF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3448F" w:rsidRPr="001A4D2F" w:rsidRDefault="00D57EC4" w:rsidP="004E74BC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2" w:name="_Toc32409915"/>
            <w:r w:rsidRPr="001A4D2F">
              <w:rPr>
                <w:rFonts w:cs="Times New Roman"/>
                <w:sz w:val="24"/>
                <w:lang w:val="sr-Cyrl-CS"/>
              </w:rPr>
              <w:lastRenderedPageBreak/>
              <w:t>Мера 3.</w:t>
            </w:r>
            <w:r w:rsidR="004E74BC" w:rsidRPr="001A4D2F">
              <w:rPr>
                <w:rFonts w:cs="Times New Roman"/>
                <w:sz w:val="24"/>
                <w:lang w:val="sr-Cyrl-CS"/>
              </w:rPr>
              <w:t>1</w:t>
            </w:r>
            <w:r w:rsidRPr="001A4D2F">
              <w:rPr>
                <w:rFonts w:cs="Times New Roman"/>
                <w:sz w:val="24"/>
                <w:lang w:val="sr-Cyrl-CS"/>
              </w:rPr>
              <w:t xml:space="preserve">: Унапређење </w:t>
            </w:r>
            <w:r w:rsidR="00C50116" w:rsidRPr="001A4D2F">
              <w:rPr>
                <w:rFonts w:cs="Times New Roman"/>
                <w:sz w:val="24"/>
                <w:lang w:val="sr-Cyrl-CS"/>
              </w:rPr>
              <w:t>делотворности</w:t>
            </w:r>
            <w:r w:rsidRPr="001A4D2F">
              <w:rPr>
                <w:rFonts w:cs="Times New Roman"/>
                <w:sz w:val="24"/>
                <w:lang w:val="sr-Cyrl-CS"/>
              </w:rPr>
              <w:t xml:space="preserve"> државних органа надлежних за откривање, кривично гоњење и суђење за кривично дело прање новца у складу са резултатима процене ризика и препорукама Манивала у процесу евалуације Србије</w:t>
            </w:r>
            <w:bookmarkEnd w:id="12"/>
          </w:p>
        </w:tc>
      </w:tr>
      <w:tr w:rsidR="00D57EC4" w:rsidRPr="001A4D2F" w:rsidTr="00DF0DDF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D57EC4" w:rsidRPr="001A4D2F" w:rsidRDefault="00D57EC4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 xml:space="preserve">Институција одговорна за праћење и контролу реализације: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D57EC4" w:rsidRPr="001A4D2F" w:rsidTr="00DF0DD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7EC4" w:rsidRPr="001A4D2F" w:rsidRDefault="00D57EC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363ED5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7EC4" w:rsidRPr="001A4D2F" w:rsidRDefault="00D57EC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363ED5" w:rsidRPr="001A4D2F">
              <w:rPr>
                <w:lang w:val="sr-Cyrl-CS"/>
              </w:rPr>
              <w:t xml:space="preserve"> Институционално управљачко организацион</w:t>
            </w:r>
            <w:r w:rsidR="00A63977" w:rsidRPr="001A4D2F">
              <w:rPr>
                <w:lang w:val="sr-Cyrl-CS"/>
              </w:rPr>
              <w:t>а</w:t>
            </w:r>
          </w:p>
        </w:tc>
      </w:tr>
      <w:tr w:rsidR="00F3347F" w:rsidRPr="001A4D2F" w:rsidTr="00DF0DDF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Јединица мере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885F9C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4C04D7" w:rsidRPr="001A4D2F" w:rsidTr="00DF0DDF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1B2108" w:rsidP="004E74BC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Н</w:t>
            </w:r>
            <w:r w:rsidR="004E74BC" w:rsidRPr="001A4D2F">
              <w:rPr>
                <w:color w:val="auto"/>
                <w:lang w:val="sr-Cyrl-CS"/>
              </w:rPr>
              <w:t>апредак у оквиру непосредног резултата 6</w:t>
            </w:r>
            <w:r w:rsidR="00C50116" w:rsidRPr="001A4D2F">
              <w:rPr>
                <w:color w:val="auto"/>
                <w:lang w:val="sr-Cyrl-CS"/>
              </w:rPr>
              <w:t xml:space="preserve"> у складу са Методологијом ФАТФ </w:t>
            </w:r>
            <w:r w:rsidR="00F700E0" w:rsidRPr="001A4D2F">
              <w:rPr>
                <w:color w:val="auto"/>
                <w:lang w:val="sr-Cyrl-CS"/>
              </w:rPr>
              <w:t>на годишњем нивоу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Да/Не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4E74BC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Извештај надлежних органа о напретку; Извештај Манивала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2019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</w:tr>
      <w:tr w:rsidR="004E74BC" w:rsidRPr="001A4D2F" w:rsidTr="00DF0DDF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1B2108" w:rsidP="001B210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Н</w:t>
            </w:r>
            <w:r w:rsidR="004E74BC" w:rsidRPr="001A4D2F">
              <w:rPr>
                <w:color w:val="auto"/>
                <w:lang w:val="sr-Cyrl-CS"/>
              </w:rPr>
              <w:t>апредак у оквиру непосредног резултата 7 у складу са Методологијом ФАТФ</w:t>
            </w:r>
            <w:r w:rsidR="00F700E0" w:rsidRPr="001A4D2F">
              <w:rPr>
                <w:color w:val="auto"/>
                <w:lang w:val="sr-Cyrl-CS"/>
              </w:rPr>
              <w:t xml:space="preserve"> на годишњем нивоу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Да/Не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4E74BC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Извештај надлежних органа о напретку; Извештај Манивала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Да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4E74BC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4E74BC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4E74BC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p w:rsidR="00D57EC4" w:rsidRDefault="00D57EC4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5000" w:type="pct"/>
        <w:tblLayout w:type="fixed"/>
        <w:tblLook w:val="04A0"/>
      </w:tblPr>
      <w:tblGrid>
        <w:gridCol w:w="2558"/>
        <w:gridCol w:w="1074"/>
        <w:gridCol w:w="1372"/>
        <w:gridCol w:w="1066"/>
        <w:gridCol w:w="1525"/>
        <w:gridCol w:w="1066"/>
        <w:gridCol w:w="2007"/>
        <w:gridCol w:w="1525"/>
        <w:gridCol w:w="1982"/>
      </w:tblGrid>
      <w:tr w:rsidR="00C50116" w:rsidRPr="001A4D2F" w:rsidTr="008C09AC">
        <w:trPr>
          <w:trHeight w:val="140"/>
        </w:trPr>
        <w:tc>
          <w:tcPr>
            <w:tcW w:w="90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37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 xml:space="preserve">Рок за </w:t>
            </w:r>
            <w:r w:rsidRPr="00BF25A7">
              <w:rPr>
                <w:b/>
                <w:sz w:val="16"/>
                <w:szCs w:val="16"/>
                <w:lang w:val="sr-Cyrl-CS"/>
              </w:rPr>
              <w:t>завршетак активности</w:t>
            </w:r>
          </w:p>
        </w:tc>
        <w:tc>
          <w:tcPr>
            <w:tcW w:w="5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BF25A7">
              <w:rPr>
                <w:b/>
                <w:sz w:val="12"/>
                <w:szCs w:val="12"/>
                <w:lang w:val="sr-Cyrl-CS"/>
              </w:rPr>
              <w:t>програмским</w:t>
            </w:r>
            <w:r w:rsidRPr="00BF25A7">
              <w:rPr>
                <w:b/>
                <w:sz w:val="18"/>
                <w:szCs w:val="18"/>
                <w:lang w:val="sr-Cyrl-CS"/>
              </w:rPr>
              <w:t xml:space="preserve"> буџетом</w:t>
            </w:r>
          </w:p>
          <w:p w:rsidR="00F86F91" w:rsidRPr="00BF25A7" w:rsidRDefault="00F86F91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5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  <w:r w:rsidRPr="00BF25A7">
              <w:rPr>
                <w:rStyle w:val="FootnoteReference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50116" w:rsidRPr="001A4D2F" w:rsidTr="008C09AC">
        <w:trPr>
          <w:trHeight w:val="662"/>
        </w:trPr>
        <w:tc>
          <w:tcPr>
            <w:tcW w:w="902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79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84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76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8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76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8" w:type="pct"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699" w:type="pct"/>
            <w:shd w:val="clear" w:color="auto" w:fill="E5DFEC" w:themeFill="accent4" w:themeFillTint="33"/>
          </w:tcPr>
          <w:p w:rsidR="001B4CBD" w:rsidRPr="00BF25A7" w:rsidRDefault="001B4CBD" w:rsidP="001B4CB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C50116" w:rsidRPr="001A4D2F" w:rsidTr="00FB1798">
        <w:trPr>
          <w:trHeight w:val="2542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Pr="00BF25A7" w:rsidRDefault="00C50116" w:rsidP="009255B6">
            <w:pPr>
              <w:rPr>
                <w:sz w:val="22"/>
                <w:szCs w:val="22"/>
                <w:lang w:val="sr-Cyrl-CS"/>
              </w:rPr>
            </w:pPr>
            <w:r w:rsidRPr="00BF25A7">
              <w:rPr>
                <w:sz w:val="22"/>
                <w:szCs w:val="22"/>
                <w:lang w:val="sr-Cyrl-CS"/>
              </w:rPr>
              <w:t xml:space="preserve">3.1.1 Извршити анализу постојећих споразума о сарадњи закључених између Републичког јавног тужилаштва и других државних органа у циљу размене података и информација у вези случајева прања новца ради ефикасног откривања и процесуирања кривичног дела прања новца </w:t>
            </w:r>
          </w:p>
        </w:tc>
        <w:tc>
          <w:tcPr>
            <w:tcW w:w="379" w:type="pct"/>
          </w:tcPr>
          <w:p w:rsidR="00C50116" w:rsidRPr="001A4D2F" w:rsidRDefault="00C5011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</w:t>
            </w:r>
          </w:p>
        </w:tc>
        <w:tc>
          <w:tcPr>
            <w:tcW w:w="484" w:type="pct"/>
          </w:tcPr>
          <w:p w:rsidR="00C50116" w:rsidRPr="001A4D2F" w:rsidRDefault="005768D4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ПП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УЦ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НБС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УСПН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АПР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ЦРХОВ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ДРИ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РГЗ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АБПК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РФПИО</w:t>
            </w:r>
            <w:r w:rsidR="00C50116" w:rsidRPr="001A4D2F">
              <w:rPr>
                <w:lang w:val="sr-Cyrl-CS"/>
              </w:rPr>
              <w:t xml:space="preserve">, </w:t>
            </w:r>
            <w:r w:rsidR="008C09AC" w:rsidRPr="001A4D2F">
              <w:rPr>
                <w:lang w:val="sr-Cyrl-CS"/>
              </w:rPr>
              <w:t>РФЗО</w:t>
            </w:r>
            <w:r w:rsidRPr="001A4D2F">
              <w:rPr>
                <w:lang w:val="sr-Cyrl-CS"/>
              </w:rPr>
              <w:t xml:space="preserve">, РДИ, </w:t>
            </w:r>
            <w:r w:rsidR="008C09AC" w:rsidRPr="001A4D2F">
              <w:rPr>
                <w:lang w:val="sr-Cyrl-CS"/>
              </w:rPr>
              <w:t>УЈН</w:t>
            </w:r>
          </w:p>
        </w:tc>
        <w:tc>
          <w:tcPr>
            <w:tcW w:w="376" w:type="pct"/>
          </w:tcPr>
          <w:p w:rsidR="00C50116" w:rsidRPr="001A4D2F" w:rsidRDefault="008C09AC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538" w:type="pct"/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9255B6" w:rsidRPr="001A4D2F" w:rsidTr="009255B6">
        <w:trPr>
          <w:trHeight w:val="1408"/>
        </w:trPr>
        <w:tc>
          <w:tcPr>
            <w:tcW w:w="902" w:type="pct"/>
            <w:tcBorders>
              <w:left w:val="double" w:sz="4" w:space="0" w:color="auto"/>
            </w:tcBorders>
          </w:tcPr>
          <w:p w:rsidR="009255B6" w:rsidRPr="001A4D2F" w:rsidRDefault="009255B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3.1.2 У складу са налазима анализе из активности 3.1.1, по потреби закључити нове споразуме или изменити/допунити постојеће</w:t>
            </w:r>
          </w:p>
        </w:tc>
        <w:tc>
          <w:tcPr>
            <w:tcW w:w="379" w:type="pct"/>
          </w:tcPr>
          <w:p w:rsidR="009255B6" w:rsidRPr="001A4D2F" w:rsidRDefault="009255B6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</w:t>
            </w:r>
          </w:p>
        </w:tc>
        <w:tc>
          <w:tcPr>
            <w:tcW w:w="484" w:type="pct"/>
          </w:tcPr>
          <w:p w:rsidR="009255B6" w:rsidRPr="001A4D2F" w:rsidRDefault="009255B6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ПП, УЦ, НБС, УСПН, АПР, ЦРХОВ, ДРИ, РГЗ, АБПК, РФПИО, РФЗО, РДИ, УЈН</w:t>
            </w:r>
          </w:p>
        </w:tc>
        <w:tc>
          <w:tcPr>
            <w:tcW w:w="376" w:type="pct"/>
          </w:tcPr>
          <w:p w:rsidR="009255B6" w:rsidRPr="001A4D2F" w:rsidRDefault="009255B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38" w:type="pct"/>
          </w:tcPr>
          <w:p w:rsidR="009255B6" w:rsidRPr="001A4D2F" w:rsidRDefault="009255B6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255B6" w:rsidRPr="001A4D2F" w:rsidRDefault="009255B6" w:rsidP="005B03E9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9255B6" w:rsidRPr="001A4D2F" w:rsidRDefault="009255B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9255B6" w:rsidRPr="001A4D2F" w:rsidRDefault="009255B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9255B6" w:rsidRPr="001A4D2F" w:rsidRDefault="009255B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9255B6" w:rsidRPr="001A4D2F" w:rsidRDefault="009255B6" w:rsidP="00C50116">
            <w:pPr>
              <w:rPr>
                <w:lang w:val="sr-Cyrl-CS"/>
              </w:rPr>
            </w:pPr>
          </w:p>
        </w:tc>
      </w:tr>
      <w:tr w:rsidR="00C50116" w:rsidRPr="001A4D2F" w:rsidTr="00FB1798">
        <w:trPr>
          <w:trHeight w:val="140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Default="009255B6" w:rsidP="00FB1798">
            <w:pPr>
              <w:rPr>
                <w:color w:val="auto"/>
                <w:sz w:val="22"/>
                <w:szCs w:val="22"/>
              </w:rPr>
            </w:pPr>
            <w:r w:rsidRPr="00BF25A7">
              <w:rPr>
                <w:sz w:val="22"/>
                <w:szCs w:val="22"/>
                <w:lang w:val="sr-Cyrl-CS"/>
              </w:rPr>
              <w:t>3.1.3</w:t>
            </w:r>
            <w:r w:rsidR="00C50116" w:rsidRPr="00BF25A7">
              <w:rPr>
                <w:sz w:val="22"/>
                <w:szCs w:val="22"/>
                <w:lang w:val="sr-Cyrl-CS"/>
              </w:rPr>
              <w:t xml:space="preserve">. 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Давање приоритета у поступању у предметима прања новца у годишњим плановима и 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lastRenderedPageBreak/>
              <w:t>програмима рада тужилаштва за организовани криминал и виших јавних тужилаштава у Београду, Краљеву, Нишу и Новом Саду, као и Виших судова у Београду Краљеву Нишу и Новом Саду, и  Врховног касац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ионог суда и Апелационих судова, а посебно у предметима 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>са предикатним кривичним делима  високог степена ризика и велике вредности</w:t>
            </w:r>
          </w:p>
          <w:p w:rsidR="00BF25A7" w:rsidRPr="00BF25A7" w:rsidRDefault="00BF25A7" w:rsidP="00FB17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79" w:type="pct"/>
          </w:tcPr>
          <w:p w:rsidR="00C50116" w:rsidRPr="001A4D2F" w:rsidRDefault="0055614B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РЈТ</w:t>
            </w:r>
          </w:p>
        </w:tc>
        <w:tc>
          <w:tcPr>
            <w:tcW w:w="484" w:type="pct"/>
          </w:tcPr>
          <w:p w:rsidR="00C50116" w:rsidRPr="001A4D2F" w:rsidRDefault="0055614B" w:rsidP="00D5399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ТОК, </w:t>
            </w:r>
            <w:r w:rsidR="008C09AC" w:rsidRPr="001A4D2F">
              <w:rPr>
                <w:lang w:val="sr-Cyrl-CS"/>
              </w:rPr>
              <w:t xml:space="preserve">ВЈТ Краљево, Београд, Ниш, Нови </w:t>
            </w:r>
            <w:r w:rsidR="008C09AC" w:rsidRPr="001A4D2F">
              <w:rPr>
                <w:lang w:val="sr-Cyrl-CS"/>
              </w:rPr>
              <w:lastRenderedPageBreak/>
              <w:t xml:space="preserve">Сад, ВКС; </w:t>
            </w:r>
            <w:r w:rsidRPr="001A4D2F">
              <w:rPr>
                <w:lang w:val="sr-Cyrl-CS"/>
              </w:rPr>
              <w:t>АС</w:t>
            </w:r>
            <w:r w:rsidRPr="001A4D2F">
              <w:rPr>
                <w:color w:val="FF0000"/>
                <w:lang w:val="sr-Cyrl-CS"/>
              </w:rPr>
              <w:t xml:space="preserve"> </w:t>
            </w:r>
          </w:p>
        </w:tc>
        <w:tc>
          <w:tcPr>
            <w:tcW w:w="376" w:type="pct"/>
          </w:tcPr>
          <w:p w:rsidR="00C50116" w:rsidRPr="001A4D2F" w:rsidRDefault="008C09AC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IV квартал 2022.</w:t>
            </w:r>
          </w:p>
        </w:tc>
        <w:tc>
          <w:tcPr>
            <w:tcW w:w="538" w:type="pct"/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оквиру редовних активности </w:t>
            </w:r>
            <w:r w:rsidRPr="001A4D2F">
              <w:rPr>
                <w:lang w:val="sr-Cyrl-CS"/>
              </w:rPr>
              <w:lastRenderedPageBreak/>
              <w:t>запослених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C50116" w:rsidRPr="001A4D2F" w:rsidTr="00FB1798">
        <w:trPr>
          <w:trHeight w:val="140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Pr="001A4D2F" w:rsidRDefault="00C50116" w:rsidP="009255B6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3.1.</w:t>
            </w:r>
            <w:r w:rsidR="009255B6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. </w:t>
            </w:r>
            <w:r w:rsidRPr="001A4D2F">
              <w:rPr>
                <w:color w:val="auto"/>
                <w:lang w:val="sr-Cyrl-CS"/>
              </w:rPr>
              <w:t xml:space="preserve">Формирање сталних ударних група за процесуирање кривичног дела прања новца без предикатног кривичног </w:t>
            </w:r>
            <w:r w:rsidR="001B2108" w:rsidRPr="001A4D2F">
              <w:rPr>
                <w:color w:val="auto"/>
                <w:lang w:val="sr-Cyrl-CS"/>
              </w:rPr>
              <w:t xml:space="preserve">дела и од стране трећих лица у </w:t>
            </w:r>
            <w:r w:rsidRPr="001A4D2F">
              <w:rPr>
                <w:color w:val="auto"/>
                <w:lang w:val="sr-Cyrl-CS"/>
              </w:rPr>
              <w:t xml:space="preserve">четири посебна одељења у вишим јавним тужилаштвима у Београду, Краљеву, Нишу и Новом Саду, а Тужилаштву за организовани </w:t>
            </w:r>
            <w:r w:rsidRPr="001A4D2F">
              <w:rPr>
                <w:color w:val="auto"/>
                <w:lang w:val="sr-Cyrl-CS"/>
              </w:rPr>
              <w:lastRenderedPageBreak/>
              <w:t>криминал за процесуирање професионалног прања новца.</w:t>
            </w:r>
          </w:p>
        </w:tc>
        <w:tc>
          <w:tcPr>
            <w:tcW w:w="379" w:type="pct"/>
          </w:tcPr>
          <w:p w:rsidR="00C50116" w:rsidRPr="001A4D2F" w:rsidRDefault="00C5011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ТОК</w:t>
            </w:r>
          </w:p>
        </w:tc>
        <w:tc>
          <w:tcPr>
            <w:tcW w:w="484" w:type="pct"/>
          </w:tcPr>
          <w:p w:rsidR="00C50116" w:rsidRPr="001A4D2F" w:rsidRDefault="00BE642B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ВЈТ Краљево, Београд, Ниш, Нови Сад; </w:t>
            </w:r>
            <w:r w:rsidR="005768D4" w:rsidRPr="001A4D2F">
              <w:rPr>
                <w:lang w:val="sr-Cyrl-CS"/>
              </w:rPr>
              <w:t>ПП</w:t>
            </w:r>
            <w:r w:rsidR="00C50116" w:rsidRPr="001A4D2F">
              <w:rPr>
                <w:lang w:val="sr-Cyrl-CS"/>
              </w:rPr>
              <w:t xml:space="preserve">, </w:t>
            </w:r>
            <w:r w:rsidR="005768D4" w:rsidRPr="001A4D2F">
              <w:rPr>
                <w:lang w:val="sr-Cyrl-CS"/>
              </w:rPr>
              <w:t>УЦ</w:t>
            </w:r>
            <w:r w:rsidR="00C50116" w:rsidRPr="001A4D2F">
              <w:rPr>
                <w:lang w:val="sr-Cyrl-CS"/>
              </w:rPr>
              <w:t xml:space="preserve">, </w:t>
            </w:r>
            <w:r w:rsidR="005768D4" w:rsidRPr="001A4D2F">
              <w:rPr>
                <w:lang w:val="sr-Cyrl-CS"/>
              </w:rPr>
              <w:t>НБС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УСПН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АПР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ЦРХОВ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ДРИ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РГЗ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АБК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РФПИО</w:t>
            </w:r>
            <w:r w:rsidR="00C50116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РФЗО</w:t>
            </w:r>
            <w:r w:rsidR="00C50116" w:rsidRPr="001A4D2F">
              <w:rPr>
                <w:lang w:val="sr-Cyrl-CS"/>
              </w:rPr>
              <w:t xml:space="preserve">, </w:t>
            </w:r>
            <w:r w:rsidR="005768D4" w:rsidRPr="001A4D2F">
              <w:rPr>
                <w:lang w:val="sr-Cyrl-CS"/>
              </w:rPr>
              <w:t xml:space="preserve">РДИ </w:t>
            </w:r>
            <w:r w:rsidR="00C50116" w:rsidRPr="001A4D2F">
              <w:rPr>
                <w:lang w:val="sr-Cyrl-CS"/>
              </w:rPr>
              <w:t xml:space="preserve">и </w:t>
            </w:r>
            <w:r w:rsidR="005768D4" w:rsidRPr="001A4D2F">
              <w:rPr>
                <w:lang w:val="sr-Cyrl-CS"/>
              </w:rPr>
              <w:t>УЈН</w:t>
            </w:r>
          </w:p>
        </w:tc>
        <w:tc>
          <w:tcPr>
            <w:tcW w:w="376" w:type="pct"/>
          </w:tcPr>
          <w:p w:rsidR="00C50116" w:rsidRPr="001A4D2F" w:rsidRDefault="00BE642B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538" w:type="pct"/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C50116" w:rsidRPr="001A4D2F" w:rsidTr="00FB1798">
        <w:trPr>
          <w:trHeight w:val="140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Pr="001A4D2F" w:rsidRDefault="00C5011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3.1.</w:t>
            </w:r>
            <w:r w:rsidR="009255B6" w:rsidRPr="001A4D2F">
              <w:rPr>
                <w:lang w:val="sr-Cyrl-CS"/>
              </w:rPr>
              <w:t>5</w:t>
            </w:r>
            <w:r w:rsidRPr="001A4D2F">
              <w:rPr>
                <w:lang w:val="sr-Cyrl-CS"/>
              </w:rPr>
              <w:t>. Одржавање периодичних састанака за координацију и приоритизацију активности надзорних и надлежних полицијских јединица и јавних тужилаштава задужених за процесуирање кривичних дела прања новца</w:t>
            </w:r>
          </w:p>
        </w:tc>
        <w:tc>
          <w:tcPr>
            <w:tcW w:w="379" w:type="pct"/>
          </w:tcPr>
          <w:p w:rsidR="00C50116" w:rsidRPr="001A4D2F" w:rsidRDefault="00C5011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</w:t>
            </w:r>
          </w:p>
        </w:tc>
        <w:tc>
          <w:tcPr>
            <w:tcW w:w="484" w:type="pct"/>
          </w:tcPr>
          <w:p w:rsidR="00C50116" w:rsidRPr="001A4D2F" w:rsidRDefault="00BE642B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ТОК; ВЈТ Краљево, Београд, Ниш, Нови Сад; </w:t>
            </w:r>
            <w:r w:rsidR="005768D4" w:rsidRPr="001A4D2F">
              <w:rPr>
                <w:lang w:val="sr-Cyrl-CS"/>
              </w:rPr>
              <w:t>МУП и Н</w:t>
            </w:r>
            <w:r w:rsidR="00C50116" w:rsidRPr="001A4D2F">
              <w:rPr>
                <w:lang w:val="sr-Cyrl-CS"/>
              </w:rPr>
              <w:t>адзорни органи</w:t>
            </w:r>
          </w:p>
        </w:tc>
        <w:tc>
          <w:tcPr>
            <w:tcW w:w="376" w:type="pct"/>
          </w:tcPr>
          <w:p w:rsidR="00C50116" w:rsidRPr="001A4D2F" w:rsidRDefault="00BE642B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C50116" w:rsidRPr="001A4D2F">
              <w:rPr>
                <w:lang w:val="sr-Cyrl-CS"/>
              </w:rPr>
              <w:t>2021.</w:t>
            </w:r>
          </w:p>
        </w:tc>
        <w:tc>
          <w:tcPr>
            <w:tcW w:w="538" w:type="pct"/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C50116" w:rsidRPr="001A4D2F" w:rsidTr="005768D4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CBD" w:rsidRDefault="00BE642B" w:rsidP="009255B6">
            <w:pPr>
              <w:rPr>
                <w:sz w:val="22"/>
                <w:szCs w:val="22"/>
              </w:rPr>
            </w:pPr>
            <w:r w:rsidRPr="00DA0EC2">
              <w:rPr>
                <w:sz w:val="22"/>
                <w:szCs w:val="22"/>
                <w:lang w:val="sr-Cyrl-CS"/>
              </w:rPr>
              <w:t>3.1.</w:t>
            </w:r>
            <w:r w:rsidR="009255B6" w:rsidRPr="00DA0EC2">
              <w:rPr>
                <w:sz w:val="22"/>
                <w:szCs w:val="22"/>
                <w:lang w:val="sr-Cyrl-CS"/>
              </w:rPr>
              <w:t>6</w:t>
            </w:r>
            <w:r w:rsidR="001B4CBD" w:rsidRPr="00DA0EC2">
              <w:rPr>
                <w:sz w:val="22"/>
                <w:szCs w:val="22"/>
                <w:lang w:val="sr-Cyrl-CS"/>
              </w:rPr>
              <w:t>.</w:t>
            </w:r>
            <w:r w:rsidR="001B4CBD" w:rsidRPr="00DA0EC2" w:rsidDel="003511A9">
              <w:rPr>
                <w:sz w:val="22"/>
                <w:szCs w:val="22"/>
                <w:lang w:val="sr-Cyrl-CS"/>
              </w:rPr>
              <w:t xml:space="preserve"> 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Континуирано одржавање радионица за унапређење вештина јавних тужилаца за проактивно поступање у покретању паралелних финансијских истрага и кривичних истрага у поступцима за прање новца (нарочито прања новца без предикатног кривичног дела и прања новца од стране трећих лица). </w:t>
            </w:r>
          </w:p>
          <w:p w:rsidR="00DA0EC2" w:rsidRDefault="00DA0EC2" w:rsidP="009255B6">
            <w:pPr>
              <w:rPr>
                <w:sz w:val="22"/>
                <w:szCs w:val="22"/>
              </w:rPr>
            </w:pPr>
          </w:p>
          <w:p w:rsidR="00DA0EC2" w:rsidRPr="00DA0EC2" w:rsidRDefault="00DA0EC2" w:rsidP="009255B6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8D4" w:rsidRPr="001A4D2F" w:rsidRDefault="005768D4" w:rsidP="005768D4">
            <w:pPr>
              <w:rPr>
                <w:lang w:val="sr-Cyrl-CS"/>
              </w:rPr>
            </w:pPr>
          </w:p>
          <w:p w:rsidR="001B4CBD" w:rsidRPr="001A4D2F" w:rsidRDefault="005768D4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ПА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4CBD" w:rsidRPr="001A4D2F" w:rsidRDefault="00BE642B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РЈТ; </w:t>
            </w:r>
            <w:r w:rsidR="001B4CBD" w:rsidRPr="001A4D2F">
              <w:rPr>
                <w:lang w:val="sr-Cyrl-CS"/>
              </w:rPr>
              <w:t>ВКС; МУП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4CBD" w:rsidRPr="001A4D2F" w:rsidRDefault="00BE642B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II квартал 2020 - IV квартал 2021</w:t>
            </w:r>
            <w:r w:rsidR="00FB1798" w:rsidRPr="001A4D2F">
              <w:rPr>
                <w:lang w:val="sr-Cyrl-CS"/>
              </w:rPr>
              <w:t>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A927A4" w:rsidP="005768D4">
            <w:pPr>
              <w:pStyle w:val="basic-paragraph"/>
              <w:rPr>
                <w:rFonts w:eastAsiaTheme="minorHAnsi"/>
                <w:color w:val="000000"/>
                <w:kern w:val="28"/>
                <w:lang w:val="sr-Cyrl-CS"/>
              </w:rPr>
            </w:pPr>
            <w:r w:rsidRPr="001A4D2F">
              <w:rPr>
                <w:rFonts w:eastAsiaTheme="minorHAnsi"/>
                <w:color w:val="000000"/>
                <w:kern w:val="28"/>
                <w:lang w:val="sr-Cyrl-CS"/>
              </w:rPr>
              <w:t>Средства међународних донатора</w:t>
            </w:r>
          </w:p>
          <w:p w:rsidR="001B4CBD" w:rsidRPr="001A4D2F" w:rsidRDefault="001B4CBD" w:rsidP="005768D4">
            <w:pPr>
              <w:rPr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C11F8E">
            <w:pPr>
              <w:jc w:val="center"/>
              <w:rPr>
                <w:lang w:val="sr-Cyrl-CS"/>
              </w:rPr>
            </w:pPr>
          </w:p>
        </w:tc>
      </w:tr>
      <w:tr w:rsidR="00DD68A6" w:rsidRPr="001A4D2F" w:rsidTr="005768D4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3.1.</w:t>
            </w:r>
            <w:r w:rsidR="009255B6" w:rsidRPr="001A4D2F">
              <w:rPr>
                <w:lang w:val="sr-Cyrl-CS"/>
              </w:rPr>
              <w:t>7</w:t>
            </w:r>
            <w:r w:rsidRPr="001A4D2F">
              <w:rPr>
                <w:lang w:val="sr-Cyrl-CS"/>
              </w:rPr>
              <w:t xml:space="preserve"> </w:t>
            </w:r>
            <w:r w:rsidR="001B2108" w:rsidRPr="001A4D2F">
              <w:rPr>
                <w:lang w:val="sr-Cyrl-CS"/>
              </w:rPr>
              <w:t>Континуиране н</w:t>
            </w:r>
            <w:r w:rsidRPr="001A4D2F">
              <w:rPr>
                <w:lang w:val="sr-Cyrl-CS"/>
              </w:rPr>
              <w:t>апредне обуке и радионице за вођење финансијских истрага, коришћење финансијско обавештајних података, анализу финансијских токова и моделирање  финансијских токова криминалне организације, анализу  нето вредности имовине,  доказивање намере за прање новца, аутономне истраге прања новца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8D4" w:rsidRPr="001A4D2F" w:rsidRDefault="005768D4" w:rsidP="005768D4">
            <w:pPr>
              <w:rPr>
                <w:lang w:val="sr-Cyrl-CS"/>
              </w:rPr>
            </w:pPr>
          </w:p>
          <w:p w:rsidR="00DD68A6" w:rsidRPr="001A4D2F" w:rsidRDefault="005768D4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ПА</w:t>
            </w:r>
          </w:p>
          <w:p w:rsidR="005768D4" w:rsidRPr="001A4D2F" w:rsidRDefault="005768D4" w:rsidP="005768D4">
            <w:pPr>
              <w:rPr>
                <w:lang w:val="sr-Cyrl-CS"/>
              </w:rPr>
            </w:pPr>
          </w:p>
          <w:p w:rsidR="005768D4" w:rsidRPr="001A4D2F" w:rsidRDefault="005768D4" w:rsidP="005768D4">
            <w:pPr>
              <w:rPr>
                <w:lang w:val="sr-Cyrl-CS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8D4" w:rsidRPr="001A4D2F" w:rsidRDefault="005768D4" w:rsidP="005768D4">
            <w:pPr>
              <w:rPr>
                <w:lang w:val="sr-Cyrl-CS"/>
              </w:rPr>
            </w:pPr>
          </w:p>
          <w:p w:rsidR="00DD68A6" w:rsidRPr="001A4D2F" w:rsidRDefault="00DD68A6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РЈТ; ВКС; МУП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1B2108" w:rsidRPr="001A4D2F">
              <w:rPr>
                <w:lang w:val="sr-Cyrl-CS"/>
              </w:rPr>
              <w:t>2022.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7A4" w:rsidRPr="001A4D2F" w:rsidRDefault="00A927A4" w:rsidP="005768D4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  <w:p w:rsidR="00DD68A6" w:rsidRPr="001A4D2F" w:rsidRDefault="00DD68A6" w:rsidP="005768D4">
            <w:pPr>
              <w:rPr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</w:tr>
      <w:tr w:rsidR="00DD68A6" w:rsidRPr="001A4D2F" w:rsidTr="00FB1798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3.1.</w:t>
            </w:r>
            <w:r w:rsidR="009255B6" w:rsidRPr="001A4D2F">
              <w:rPr>
                <w:lang w:val="sr-Cyrl-CS"/>
              </w:rPr>
              <w:t>8</w:t>
            </w:r>
            <w:r w:rsidRPr="001A4D2F">
              <w:rPr>
                <w:lang w:val="sr-Cyrl-CS"/>
              </w:rPr>
              <w:t xml:space="preserve"> Континуиране обуке тужилаца и судија  о значају посредних доказа – анализи  и закључивању на основу посредних доказа; доношење одлуке о прихватљивости доказа на припремном рочишту; оцена форензичких доказа 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5768D4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ПА</w:t>
            </w:r>
            <w:r w:rsidR="00DD68A6" w:rsidRPr="001A4D2F">
              <w:rPr>
                <w:lang w:val="sr-Cyrl-CS"/>
              </w:rPr>
              <w:t xml:space="preserve"> 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 и ВКС; МУП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1B2108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</w:t>
            </w:r>
            <w:r w:rsidR="00DD68A6" w:rsidRPr="001A4D2F">
              <w:rPr>
                <w:lang w:val="sr-Cyrl-CS"/>
              </w:rPr>
              <w:t>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7A4" w:rsidRPr="001A4D2F" w:rsidRDefault="00A927A4" w:rsidP="00A927A4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</w:tr>
      <w:tr w:rsidR="00DD68A6" w:rsidRPr="001A4D2F" w:rsidTr="00A86266">
        <w:trPr>
          <w:trHeight w:val="1955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9255B6" w:rsidP="00F3347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3.1.9</w:t>
            </w:r>
            <w:r w:rsidR="001B2108" w:rsidRPr="001A4D2F">
              <w:rPr>
                <w:lang w:val="sr-Cyrl-CS"/>
              </w:rPr>
              <w:t xml:space="preserve"> Континуирано с</w:t>
            </w:r>
            <w:r w:rsidR="00DD68A6" w:rsidRPr="001A4D2F">
              <w:rPr>
                <w:lang w:val="sr-Cyrl-CS"/>
              </w:rPr>
              <w:t>провођење обука за вођење кривичног поступка према правним лицима као учиниоцима кривичног дела прање новца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5768D4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ПА</w:t>
            </w:r>
            <w:r w:rsidR="00DD68A6" w:rsidRPr="001A4D2F">
              <w:rPr>
                <w:lang w:val="sr-Cyrl-CS"/>
              </w:rPr>
              <w:t xml:space="preserve"> 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РЈТ; ВКС; МУП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</w:t>
            </w:r>
            <w:r w:rsidR="001B2108" w:rsidRPr="001A4D2F">
              <w:rPr>
                <w:lang w:val="sr-Cyrl-CS"/>
              </w:rPr>
              <w:t>2</w:t>
            </w:r>
            <w:r w:rsidRPr="001A4D2F">
              <w:rPr>
                <w:lang w:val="sr-Cyrl-CS"/>
              </w:rPr>
              <w:t>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2108" w:rsidRPr="001A4D2F" w:rsidRDefault="001B2108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делимично обезбеђена из пројекта подршке ЕУ спречавању прања новца и финансирања тероризма у Србији</w:t>
            </w:r>
          </w:p>
          <w:p w:rsidR="00DD68A6" w:rsidRPr="001A4D2F" w:rsidRDefault="00A927A4" w:rsidP="00A86266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</w:tr>
      <w:tr w:rsidR="00F00DFC" w:rsidRPr="001A4D2F" w:rsidTr="00FB1798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F00DFC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3.1.</w:t>
            </w:r>
            <w:r w:rsidR="009255B6" w:rsidRPr="001A4D2F">
              <w:rPr>
                <w:lang w:val="sr-Cyrl-CS"/>
              </w:rPr>
              <w:t>10</w:t>
            </w:r>
            <w:r w:rsidRPr="001A4D2F">
              <w:rPr>
                <w:lang w:val="sr-Cyrl-CS"/>
              </w:rPr>
              <w:t xml:space="preserve"> Спровођење процене кадровских капацитета ТОК и посебних одељења за сузбијање корупције, ВЈТ и ВС и усвајање новог Правилника о систематизацији радних места у складу са проценом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5768D4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9D68EE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ТОК и посебних одељења за сузбијање корупције, ВЈТ и ВС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9D68EE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8EE" w:rsidRPr="001A4D2F" w:rsidRDefault="009D68EE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F00DFC" w:rsidRPr="001A4D2F" w:rsidRDefault="00F00DFC" w:rsidP="00FB1798">
            <w:pPr>
              <w:rPr>
                <w:highlight w:val="yellow"/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</w:tr>
      <w:tr w:rsidR="00F00DFC" w:rsidRPr="001A4D2F" w:rsidTr="00FB1798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DA0EC2" w:rsidRDefault="00F00DFC" w:rsidP="009255B6">
            <w:pPr>
              <w:rPr>
                <w:sz w:val="20"/>
                <w:szCs w:val="20"/>
                <w:lang w:val="sr-Cyrl-CS"/>
              </w:rPr>
            </w:pPr>
            <w:r w:rsidRPr="00DA0EC2">
              <w:rPr>
                <w:sz w:val="20"/>
                <w:szCs w:val="20"/>
                <w:lang w:val="sr-Cyrl-CS"/>
              </w:rPr>
              <w:t>3.1.1</w:t>
            </w:r>
            <w:r w:rsidR="009255B6" w:rsidRPr="00DA0EC2">
              <w:rPr>
                <w:sz w:val="20"/>
                <w:szCs w:val="20"/>
                <w:lang w:val="sr-Cyrl-CS"/>
              </w:rPr>
              <w:t>1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9D68EE" w:rsidRPr="00DA0EC2">
              <w:rPr>
                <w:sz w:val="20"/>
                <w:szCs w:val="20"/>
                <w:lang w:val="sr-Cyrl-CS"/>
              </w:rPr>
              <w:t>Попуњавање упражњених</w:t>
            </w:r>
            <w:r w:rsidR="00AF2C67" w:rsidRPr="00DA0EC2">
              <w:rPr>
                <w:sz w:val="20"/>
                <w:szCs w:val="20"/>
                <w:lang w:val="sr-Cyrl-CS"/>
              </w:rPr>
              <w:t xml:space="preserve"> радна места у складу са П</w:t>
            </w:r>
            <w:r w:rsidRPr="00DA0EC2">
              <w:rPr>
                <w:sz w:val="20"/>
                <w:szCs w:val="20"/>
                <w:lang w:val="sr-Cyrl-CS"/>
              </w:rPr>
              <w:t xml:space="preserve">равилником о систематизацији радних места у ТОК </w:t>
            </w:r>
            <w:r w:rsidR="009D68EE" w:rsidRPr="00DA0EC2">
              <w:rPr>
                <w:sz w:val="20"/>
                <w:szCs w:val="20"/>
                <w:lang w:val="sr-Cyrl-CS"/>
              </w:rPr>
              <w:t>и посебних одељења за сузбијање корупције, ВЈТ и ВС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5768D4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9D68EE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ТОК и посебних одељења за сузбијање корупције, ВЈТ и ВС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9D68EE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9D68EE" w:rsidP="00FB1798">
            <w:pPr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>Буџет РС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</w:tr>
    </w:tbl>
    <w:p w:rsidR="00863A32" w:rsidRPr="001A4D2F" w:rsidRDefault="00863A32" w:rsidP="00C11F8E">
      <w:pPr>
        <w:tabs>
          <w:tab w:val="left" w:pos="1940"/>
        </w:tabs>
        <w:rPr>
          <w:lang w:val="sr-Cyrl-CS"/>
        </w:rPr>
      </w:pPr>
    </w:p>
    <w:p w:rsidR="00863A32" w:rsidRPr="001A4D2F" w:rsidRDefault="00863A32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642"/>
        <w:gridCol w:w="1276"/>
        <w:gridCol w:w="1984"/>
        <w:gridCol w:w="142"/>
        <w:gridCol w:w="1418"/>
        <w:gridCol w:w="1275"/>
        <w:gridCol w:w="1560"/>
        <w:gridCol w:w="1275"/>
        <w:gridCol w:w="1560"/>
      </w:tblGrid>
      <w:tr w:rsidR="00863A32" w:rsidRPr="001A4D2F" w:rsidTr="00A86266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863A32" w:rsidP="00E0054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3" w:name="_Toc32409916"/>
            <w:r w:rsidRPr="001A4D2F">
              <w:rPr>
                <w:rFonts w:cs="Times New Roman"/>
                <w:sz w:val="24"/>
                <w:lang w:val="sr-Cyrl-CS"/>
              </w:rPr>
              <w:t>Мера 3.</w:t>
            </w:r>
            <w:r w:rsidR="00BE642B" w:rsidRPr="001A4D2F">
              <w:rPr>
                <w:rFonts w:cs="Times New Roman"/>
                <w:sz w:val="24"/>
                <w:lang w:val="sr-Cyrl-CS"/>
              </w:rPr>
              <w:t>2</w:t>
            </w:r>
            <w:r w:rsidRPr="001A4D2F">
              <w:rPr>
                <w:rFonts w:cs="Times New Roman"/>
                <w:sz w:val="24"/>
                <w:lang w:val="sr-Cyrl-CS"/>
              </w:rPr>
              <w:t>: Изрицање делот</w:t>
            </w:r>
            <w:r w:rsidR="00F86F91" w:rsidRPr="001A4D2F">
              <w:rPr>
                <w:rFonts w:cs="Times New Roman"/>
                <w:sz w:val="24"/>
                <w:lang w:val="sr-Cyrl-CS"/>
              </w:rPr>
              <w:t>ворних и одвраћајућих кривичних</w:t>
            </w:r>
            <w:r w:rsidR="00E0054E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 w:rsidRPr="001A4D2F">
              <w:rPr>
                <w:rFonts w:cs="Times New Roman"/>
                <w:sz w:val="24"/>
                <w:lang w:val="sr-Cyrl-CS"/>
              </w:rPr>
              <w:t>санкција</w:t>
            </w:r>
            <w:bookmarkEnd w:id="13"/>
            <w:r w:rsidR="001A0C43" w:rsidRPr="001A4D2F">
              <w:rPr>
                <w:rFonts w:cs="Times New Roman"/>
                <w:sz w:val="24"/>
                <w:lang w:val="sr-Cyrl-CS"/>
              </w:rPr>
              <w:t xml:space="preserve"> </w:t>
            </w:r>
          </w:p>
        </w:tc>
      </w:tr>
      <w:tr w:rsidR="00863A32" w:rsidRPr="001A4D2F" w:rsidTr="00A86266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63A32" w:rsidRPr="001A4D2F" w:rsidRDefault="00863A32" w:rsidP="00363ED5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Институција одговорна за праћење и контролу реализације: </w:t>
            </w:r>
            <w:r w:rsidR="00363ED5" w:rsidRPr="001A4D2F">
              <w:rPr>
                <w:rFonts w:eastAsia="Times New Roman"/>
                <w:color w:val="222222"/>
                <w:lang w:val="sr-Cyrl-CS"/>
              </w:rPr>
              <w:t>Врховни касациони суд</w:t>
            </w:r>
          </w:p>
        </w:tc>
      </w:tr>
      <w:tr w:rsidR="00863A32" w:rsidRPr="001A4D2F" w:rsidTr="00A86266">
        <w:trPr>
          <w:trHeight w:val="300"/>
        </w:trPr>
        <w:tc>
          <w:tcPr>
            <w:tcW w:w="69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363ED5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2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863A32" w:rsidP="00A63977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363ED5" w:rsidRPr="001A4D2F">
              <w:rPr>
                <w:lang w:val="sr-Cyrl-CS"/>
              </w:rPr>
              <w:t xml:space="preserve"> Информативно-едукативн</w:t>
            </w:r>
            <w:r w:rsidR="00A63977" w:rsidRPr="001A4D2F">
              <w:rPr>
                <w:lang w:val="sr-Cyrl-CS"/>
              </w:rPr>
              <w:t>а</w:t>
            </w:r>
          </w:p>
        </w:tc>
      </w:tr>
      <w:tr w:rsidR="00A86266" w:rsidRPr="001A4D2F" w:rsidTr="00A86266">
        <w:trPr>
          <w:trHeight w:val="955"/>
        </w:trPr>
        <w:tc>
          <w:tcPr>
            <w:tcW w:w="36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A8626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 на нивоу мере (показатељ резултата)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A8626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Јединица мере</w:t>
            </w:r>
          </w:p>
          <w:p w:rsidR="00A86266" w:rsidRPr="001A4D2F" w:rsidRDefault="00A86266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A8626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A8626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A8626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A86266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A86266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885F9C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863A32" w:rsidRPr="001A4D2F" w:rsidTr="00A86266">
        <w:trPr>
          <w:trHeight w:val="304"/>
        </w:trPr>
        <w:tc>
          <w:tcPr>
            <w:tcW w:w="3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497A27" w:rsidP="00E0054E">
            <w:pPr>
              <w:tabs>
                <w:tab w:val="left" w:pos="1940"/>
              </w:tabs>
              <w:rPr>
                <w:color w:val="FF0000"/>
                <w:highlight w:val="yellow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Н</w:t>
            </w:r>
            <w:r w:rsidR="00BE642B" w:rsidRPr="001A4D2F">
              <w:rPr>
                <w:color w:val="auto"/>
                <w:lang w:val="sr-Cyrl-CS"/>
              </w:rPr>
              <w:t>апредак у погледу</w:t>
            </w:r>
            <w:r w:rsidR="00E0054E" w:rsidRPr="001A4D2F">
              <w:rPr>
                <w:color w:val="auto"/>
                <w:lang w:val="sr-Cyrl-CS"/>
              </w:rPr>
              <w:t xml:space="preserve"> испуњености</w:t>
            </w:r>
            <w:r w:rsidR="00BE642B" w:rsidRPr="001A4D2F">
              <w:rPr>
                <w:color w:val="auto"/>
                <w:lang w:val="sr-Cyrl-CS"/>
              </w:rPr>
              <w:t xml:space="preserve"> захтева међународних стандарда који се односе на изрицање делотворних, сразмерних и одвраћајућих санкција за прање новца</w:t>
            </w:r>
            <w:r w:rsidR="00F700E0" w:rsidRPr="001A4D2F">
              <w:rPr>
                <w:color w:val="auto"/>
                <w:lang w:val="sr-Cyrl-CS"/>
              </w:rPr>
              <w:t>, на годишњем нивоу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BE642B" w:rsidP="00520B00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520B00" w:rsidP="00BE642B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Извештај </w:t>
            </w:r>
            <w:r w:rsidR="00BE642B" w:rsidRPr="001A4D2F">
              <w:rPr>
                <w:lang w:val="sr-Cyrl-CS"/>
              </w:rPr>
              <w:t>надлежних органа о напретку; Извештај Манивала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497A27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497A27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  <w:r w:rsidR="00A12AA6" w:rsidRPr="001A4D2F">
              <w:rPr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A12AA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3A32" w:rsidRPr="001A4D2F" w:rsidRDefault="00A12AA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3A32" w:rsidRPr="001A4D2F" w:rsidRDefault="00A12AA6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863A32" w:rsidRDefault="00863A3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p w:rsidR="00D57EC4" w:rsidRDefault="00D57EC4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4990" w:type="pct"/>
        <w:tblLayout w:type="fixed"/>
        <w:tblLook w:val="04A0"/>
      </w:tblPr>
      <w:tblGrid>
        <w:gridCol w:w="2653"/>
        <w:gridCol w:w="1268"/>
        <w:gridCol w:w="1372"/>
        <w:gridCol w:w="1285"/>
        <w:gridCol w:w="1740"/>
        <w:gridCol w:w="1282"/>
        <w:gridCol w:w="1556"/>
        <w:gridCol w:w="1466"/>
        <w:gridCol w:w="1525"/>
      </w:tblGrid>
      <w:tr w:rsidR="00863A32" w:rsidRPr="001A4D2F" w:rsidTr="00C11F8E">
        <w:trPr>
          <w:trHeight w:val="140"/>
          <w:tblHeader/>
        </w:trPr>
        <w:tc>
          <w:tcPr>
            <w:tcW w:w="93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 xml:space="preserve">Веза са </w:t>
            </w:r>
            <w:r w:rsidRPr="00DA0EC2">
              <w:rPr>
                <w:b/>
                <w:sz w:val="16"/>
                <w:szCs w:val="16"/>
                <w:lang w:val="sr-Cyrl-CS"/>
              </w:rPr>
              <w:t>програмским</w:t>
            </w:r>
            <w:r w:rsidRPr="00DA0EC2">
              <w:rPr>
                <w:b/>
                <w:sz w:val="20"/>
                <w:szCs w:val="20"/>
                <w:lang w:val="sr-Cyrl-CS"/>
              </w:rPr>
              <w:t xml:space="preserve"> буџетом</w:t>
            </w:r>
          </w:p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60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Укупна процењена финансијска средства по изворима у 000 дин</w:t>
            </w:r>
          </w:p>
        </w:tc>
      </w:tr>
      <w:tr w:rsidR="00863A32" w:rsidRPr="001A4D2F" w:rsidTr="00C11F8E">
        <w:trPr>
          <w:trHeight w:val="386"/>
          <w:tblHeader/>
        </w:trPr>
        <w:tc>
          <w:tcPr>
            <w:tcW w:w="938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48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85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53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550" w:type="pct"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2019</w:t>
            </w:r>
          </w:p>
        </w:tc>
        <w:tc>
          <w:tcPr>
            <w:tcW w:w="518" w:type="pct"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539" w:type="pct"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2021</w:t>
            </w:r>
          </w:p>
        </w:tc>
      </w:tr>
      <w:tr w:rsidR="00557B42" w:rsidRPr="001A4D2F" w:rsidTr="00465BE6">
        <w:trPr>
          <w:trHeight w:val="230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557B42" w:rsidRPr="001A4D2F" w:rsidRDefault="00557B42" w:rsidP="00F3347F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3.</w:t>
            </w:r>
            <w:r w:rsidR="00A12AA6" w:rsidRPr="001A4D2F">
              <w:rPr>
                <w:lang w:val="sr-Cyrl-CS"/>
              </w:rPr>
              <w:t>2</w:t>
            </w:r>
            <w:r w:rsidR="00497A27" w:rsidRPr="001A4D2F">
              <w:rPr>
                <w:lang w:val="sr-Cyrl-CS"/>
              </w:rPr>
              <w:t>.1. Континуиране о</w:t>
            </w:r>
            <w:r w:rsidRPr="001A4D2F">
              <w:rPr>
                <w:lang w:val="sr-Cyrl-CS"/>
              </w:rPr>
              <w:t xml:space="preserve">сновне и унапређене обуке судија за ефикасно вођење главног претреса, изрицање делотворних кривичних санкција у поступцима за кривично дело прање новца </w:t>
            </w:r>
          </w:p>
        </w:tc>
        <w:tc>
          <w:tcPr>
            <w:tcW w:w="448" w:type="pct"/>
          </w:tcPr>
          <w:p w:rsidR="00557B42" w:rsidRPr="001A4D2F" w:rsidRDefault="00F3347F" w:rsidP="00F3347F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t>ПА</w:t>
            </w:r>
          </w:p>
        </w:tc>
        <w:tc>
          <w:tcPr>
            <w:tcW w:w="485" w:type="pct"/>
          </w:tcPr>
          <w:p w:rsidR="00557B42" w:rsidRPr="001A4D2F" w:rsidRDefault="00497A27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t>ВКС</w:t>
            </w:r>
          </w:p>
        </w:tc>
        <w:tc>
          <w:tcPr>
            <w:tcW w:w="454" w:type="pct"/>
          </w:tcPr>
          <w:p w:rsidR="00557B42" w:rsidRPr="001A4D2F" w:rsidRDefault="00497A27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lang w:val="sr-Cyrl-CS"/>
              </w:rPr>
              <w:t>IV квартал 2022</w:t>
            </w:r>
            <w:r w:rsidR="00A12AA6" w:rsidRPr="001A4D2F">
              <w:rPr>
                <w:lang w:val="sr-Cyrl-CS"/>
              </w:rPr>
              <w:t>.</w:t>
            </w:r>
          </w:p>
        </w:tc>
        <w:tc>
          <w:tcPr>
            <w:tcW w:w="615" w:type="pct"/>
          </w:tcPr>
          <w:p w:rsidR="00A927A4" w:rsidRPr="001A4D2F" w:rsidRDefault="00A927A4" w:rsidP="00A927A4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453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  <w:tr w:rsidR="00A927A4" w:rsidRPr="001A4D2F" w:rsidTr="00C11F8E">
        <w:trPr>
          <w:trHeight w:val="14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A927A4" w:rsidRPr="001A4D2F" w:rsidRDefault="00A927A4" w:rsidP="00A12AA6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3.2.2 Анализа упоредне судске праксе санкционисања кривичног дела прања новца</w:t>
            </w:r>
          </w:p>
        </w:tc>
        <w:tc>
          <w:tcPr>
            <w:tcW w:w="448" w:type="pct"/>
          </w:tcPr>
          <w:p w:rsidR="00A927A4" w:rsidRPr="001A4D2F" w:rsidRDefault="00A927A4" w:rsidP="00A12AA6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t xml:space="preserve">ВКС </w:t>
            </w:r>
          </w:p>
        </w:tc>
        <w:tc>
          <w:tcPr>
            <w:tcW w:w="485" w:type="pct"/>
          </w:tcPr>
          <w:p w:rsidR="00A927A4" w:rsidRPr="001A4D2F" w:rsidRDefault="00321E8D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lang w:val="sr-Cyrl-CS"/>
              </w:rPr>
              <w:t>АС</w:t>
            </w:r>
            <w:r w:rsidR="00A927A4" w:rsidRPr="001A4D2F">
              <w:rPr>
                <w:lang w:val="sr-Cyrl-CS"/>
              </w:rPr>
              <w:t xml:space="preserve">; </w:t>
            </w:r>
            <w:r w:rsidR="005768D4" w:rsidRPr="001A4D2F">
              <w:rPr>
                <w:lang w:val="sr-Cyrl-CS"/>
              </w:rPr>
              <w:t>ИУП</w:t>
            </w:r>
          </w:p>
        </w:tc>
        <w:tc>
          <w:tcPr>
            <w:tcW w:w="454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615" w:type="pct"/>
          </w:tcPr>
          <w:p w:rsidR="00A927A4" w:rsidRPr="001A4D2F" w:rsidRDefault="00A927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</w:tc>
        <w:tc>
          <w:tcPr>
            <w:tcW w:w="453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  <w:tr w:rsidR="00A927A4" w:rsidRPr="001A4D2F" w:rsidTr="00C11F8E">
        <w:trPr>
          <w:trHeight w:val="14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3.2.3. Размена међународних искустава, између осталог и кроз студијске посете, са земљама који имају добру праксу процесуирања кривичних дела прања новца</w:t>
            </w:r>
          </w:p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448" w:type="pct"/>
          </w:tcPr>
          <w:p w:rsidR="00A927A4" w:rsidRPr="001A4D2F" w:rsidRDefault="00A927A4" w:rsidP="00363ED5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t xml:space="preserve">ВКС </w:t>
            </w:r>
          </w:p>
        </w:tc>
        <w:tc>
          <w:tcPr>
            <w:tcW w:w="485" w:type="pct"/>
          </w:tcPr>
          <w:p w:rsidR="00A927A4" w:rsidRPr="001A4D2F" w:rsidRDefault="00A927A4" w:rsidP="005768D4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t xml:space="preserve">РЈТ, ТОК; ВЈТ Краљево, Београд, Ниш, Нови Сад; Управа царина; МУП; </w:t>
            </w:r>
            <w:r w:rsidR="005768D4" w:rsidRPr="001A4D2F">
              <w:rPr>
                <w:iCs/>
                <w:lang w:val="sr-Cyrl-CS"/>
              </w:rPr>
              <w:t>АБПК</w:t>
            </w:r>
            <w:r w:rsidRPr="001A4D2F">
              <w:rPr>
                <w:iCs/>
                <w:lang w:val="sr-Cyrl-CS"/>
              </w:rPr>
              <w:t xml:space="preserve">; </w:t>
            </w:r>
            <w:r w:rsidR="005768D4" w:rsidRPr="001A4D2F">
              <w:rPr>
                <w:iCs/>
                <w:lang w:val="sr-Cyrl-CS"/>
              </w:rPr>
              <w:t>ПУ</w:t>
            </w:r>
            <w:r w:rsidRPr="001A4D2F">
              <w:rPr>
                <w:iCs/>
                <w:lang w:val="sr-Cyrl-CS"/>
              </w:rPr>
              <w:t xml:space="preserve">; </w:t>
            </w:r>
            <w:r w:rsidR="005768D4" w:rsidRPr="001A4D2F">
              <w:rPr>
                <w:iCs/>
                <w:lang w:val="sr-Cyrl-CS"/>
              </w:rPr>
              <w:t>УСПН</w:t>
            </w:r>
          </w:p>
        </w:tc>
        <w:tc>
          <w:tcPr>
            <w:tcW w:w="454" w:type="pct"/>
          </w:tcPr>
          <w:p w:rsidR="00A927A4" w:rsidRPr="001A4D2F" w:rsidRDefault="00A927A4" w:rsidP="007450DA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Pr="001A4D2F">
              <w:rPr>
                <w:iCs/>
                <w:lang w:val="sr-Cyrl-CS"/>
              </w:rPr>
              <w:t xml:space="preserve">2022. </w:t>
            </w:r>
          </w:p>
        </w:tc>
        <w:tc>
          <w:tcPr>
            <w:tcW w:w="615" w:type="pct"/>
          </w:tcPr>
          <w:p w:rsidR="00A927A4" w:rsidRPr="001A4D2F" w:rsidRDefault="00A927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</w:tc>
        <w:tc>
          <w:tcPr>
            <w:tcW w:w="453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  <w:tr w:rsidR="00863A32" w:rsidRPr="001A4D2F" w:rsidTr="00C11F8E">
        <w:trPr>
          <w:trHeight w:val="14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863A32" w:rsidRPr="001A4D2F" w:rsidRDefault="00863A32" w:rsidP="00F3347F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lastRenderedPageBreak/>
              <w:t>3.</w:t>
            </w:r>
            <w:r w:rsidR="00A12AA6" w:rsidRPr="001A4D2F">
              <w:rPr>
                <w:iCs/>
                <w:lang w:val="sr-Cyrl-CS"/>
              </w:rPr>
              <w:t>2</w:t>
            </w:r>
            <w:r w:rsidRPr="001A4D2F">
              <w:rPr>
                <w:iCs/>
                <w:lang w:val="sr-Cyrl-CS"/>
              </w:rPr>
              <w:t xml:space="preserve">.4. </w:t>
            </w:r>
            <w:r w:rsidR="00A12AA6" w:rsidRPr="001A4D2F">
              <w:rPr>
                <w:iCs/>
                <w:lang w:val="sr-Cyrl-CS"/>
              </w:rPr>
              <w:t xml:space="preserve">Кварталне анализе </w:t>
            </w:r>
            <w:r w:rsidRPr="001A4D2F">
              <w:rPr>
                <w:iCs/>
                <w:lang w:val="sr-Cyrl-CS"/>
              </w:rPr>
              <w:t>судске праксе домаћих судова за кр</w:t>
            </w:r>
            <w:r w:rsidR="00D77FC2">
              <w:rPr>
                <w:iCs/>
                <w:lang w:val="sr-Cyrl-CS"/>
              </w:rPr>
              <w:t>ивично дело прање новца – објав</w:t>
            </w:r>
            <w:r w:rsidRPr="001A4D2F">
              <w:rPr>
                <w:iCs/>
                <w:lang w:val="sr-Cyrl-CS"/>
              </w:rPr>
              <w:t xml:space="preserve">љивање билтена и стручних публикација о поступцима и пресудама за прање новца, нарочито у судским одлукама које су могу сматрати преседанима </w:t>
            </w:r>
          </w:p>
        </w:tc>
        <w:tc>
          <w:tcPr>
            <w:tcW w:w="448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t>ВКС</w:t>
            </w:r>
          </w:p>
        </w:tc>
        <w:tc>
          <w:tcPr>
            <w:tcW w:w="485" w:type="pct"/>
          </w:tcPr>
          <w:p w:rsidR="00863A32" w:rsidRPr="001A4D2F" w:rsidRDefault="005768D4" w:rsidP="005768D4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iCs/>
                <w:lang w:val="sr-Cyrl-CS"/>
              </w:rPr>
              <w:t>ВС, АС</w:t>
            </w:r>
            <w:r w:rsidR="00863A32" w:rsidRPr="001A4D2F">
              <w:rPr>
                <w:iCs/>
                <w:lang w:val="sr-Cyrl-CS"/>
              </w:rPr>
              <w:t xml:space="preserve"> Краљево, Београд, Ниш, Нови Сад</w:t>
            </w:r>
          </w:p>
        </w:tc>
        <w:tc>
          <w:tcPr>
            <w:tcW w:w="454" w:type="pct"/>
          </w:tcPr>
          <w:p w:rsidR="00863A32" w:rsidRPr="001A4D2F" w:rsidRDefault="00A12AA6" w:rsidP="00A12AA6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7450DA" w:rsidRPr="001A4D2F">
              <w:rPr>
                <w:iCs/>
                <w:lang w:val="sr-Cyrl-CS"/>
              </w:rPr>
              <w:t>2022</w:t>
            </w:r>
            <w:r w:rsidRPr="001A4D2F">
              <w:rPr>
                <w:iCs/>
                <w:lang w:val="sr-Cyrl-CS"/>
              </w:rPr>
              <w:t>.</w:t>
            </w:r>
          </w:p>
        </w:tc>
        <w:tc>
          <w:tcPr>
            <w:tcW w:w="615" w:type="pct"/>
          </w:tcPr>
          <w:p w:rsidR="00DD68A6" w:rsidRPr="001A4D2F" w:rsidRDefault="00DD68A6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DD68A6" w:rsidRPr="001A4D2F" w:rsidRDefault="00DD68A6" w:rsidP="00DD68A6">
            <w:pPr>
              <w:rPr>
                <w:lang w:val="sr-Cyrl-CS"/>
              </w:rPr>
            </w:pPr>
          </w:p>
          <w:p w:rsidR="00863A32" w:rsidRPr="001A4D2F" w:rsidRDefault="00863A32" w:rsidP="00DD68A6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453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</w:tbl>
    <w:p w:rsidR="00D57EC4" w:rsidRDefault="00D57EC4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BF25A7" w:rsidRPr="00BF25A7" w:rsidRDefault="00BF25A7" w:rsidP="00C11F8E">
      <w:pPr>
        <w:tabs>
          <w:tab w:val="left" w:pos="1940"/>
        </w:tabs>
      </w:pPr>
    </w:p>
    <w:p w:rsidR="00863A32" w:rsidRPr="001A4D2F" w:rsidRDefault="00863A32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2792"/>
        <w:gridCol w:w="1417"/>
        <w:gridCol w:w="2410"/>
        <w:gridCol w:w="283"/>
        <w:gridCol w:w="1418"/>
        <w:gridCol w:w="1276"/>
        <w:gridCol w:w="1417"/>
        <w:gridCol w:w="1559"/>
        <w:gridCol w:w="1560"/>
      </w:tblGrid>
      <w:tr w:rsidR="00863A32" w:rsidRPr="001A4D2F" w:rsidTr="00F3347F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863A32" w:rsidP="00363ED5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4" w:name="_Toc32409917"/>
            <w:r w:rsidRPr="001A4D2F">
              <w:rPr>
                <w:rFonts w:cs="Times New Roman"/>
                <w:sz w:val="24"/>
                <w:lang w:val="sr-Cyrl-CS"/>
              </w:rPr>
              <w:lastRenderedPageBreak/>
              <w:t>Мера 3.</w:t>
            </w:r>
            <w:r w:rsidR="00363ED5" w:rsidRPr="001A4D2F">
              <w:rPr>
                <w:rFonts w:cs="Times New Roman"/>
                <w:sz w:val="24"/>
                <w:lang w:val="sr-Cyrl-CS"/>
              </w:rPr>
              <w:t>3</w:t>
            </w:r>
            <w:r w:rsidRPr="001A4D2F">
              <w:rPr>
                <w:rFonts w:cs="Times New Roman"/>
                <w:sz w:val="24"/>
                <w:lang w:val="sr-Cyrl-CS"/>
              </w:rPr>
              <w:t>: Ефективно одузимање незаконито стечене имовине</w:t>
            </w:r>
            <w:bookmarkEnd w:id="14"/>
          </w:p>
        </w:tc>
      </w:tr>
      <w:tr w:rsidR="00863A32" w:rsidRPr="001A4D2F" w:rsidTr="00F3347F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Институција одговорна за праћење и контролу реализације: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863A32" w:rsidRPr="001A4D2F" w:rsidTr="00F3347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363ED5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863A32" w:rsidP="00F3347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A63977" w:rsidRPr="001A4D2F">
              <w:rPr>
                <w:lang w:val="sr-Cyrl-CS"/>
              </w:rPr>
              <w:t xml:space="preserve"> Информативно-едукативна</w:t>
            </w:r>
          </w:p>
        </w:tc>
      </w:tr>
      <w:tr w:rsidR="00F3347F" w:rsidRPr="001A4D2F" w:rsidTr="00F3347F">
        <w:trPr>
          <w:trHeight w:val="955"/>
        </w:trPr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 на нивоу мере (показатељ резултата)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885F9C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A63977" w:rsidRPr="001A4D2F" w:rsidTr="00F3347F">
        <w:trPr>
          <w:trHeight w:val="304"/>
        </w:trPr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F700E0" w:rsidP="00F700E0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Спроведене све планиране обуке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A63977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A63977" w:rsidP="00A63977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Извештај надлежних органа о напретку на испуњавању препорука Манивала; Извештај Манивалу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17BB2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17BB2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2016</w:t>
            </w:r>
            <w:r w:rsidR="00A63977" w:rsidRPr="001A4D2F">
              <w:rPr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A63977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977" w:rsidRPr="001A4D2F" w:rsidRDefault="00A63977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977" w:rsidRPr="001A4D2F" w:rsidRDefault="00A63977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p w:rsidR="00864498" w:rsidRPr="001A4D2F" w:rsidRDefault="00864498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401"/>
        <w:gridCol w:w="1145"/>
        <w:gridCol w:w="1242"/>
        <w:gridCol w:w="1162"/>
        <w:gridCol w:w="1573"/>
        <w:gridCol w:w="1160"/>
        <w:gridCol w:w="1650"/>
        <w:gridCol w:w="2288"/>
        <w:gridCol w:w="1554"/>
      </w:tblGrid>
      <w:tr w:rsidR="003C0D99" w:rsidRPr="001A4D2F" w:rsidTr="003C0D99">
        <w:trPr>
          <w:trHeight w:val="140"/>
          <w:tblHeader/>
        </w:trPr>
        <w:tc>
          <w:tcPr>
            <w:tcW w:w="84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3C0D99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3C0D99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3C0D99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Органи партнери у спровођењу активности</w:t>
            </w:r>
          </w:p>
        </w:tc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3C0D99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Рок за завршетак </w:t>
            </w:r>
            <w:r w:rsidRPr="00BF25A7">
              <w:rPr>
                <w:b/>
                <w:color w:val="auto"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3C0D99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3C0D99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Веза са </w:t>
            </w:r>
            <w:r w:rsidRPr="00BF25A7">
              <w:rPr>
                <w:b/>
                <w:color w:val="auto"/>
                <w:sz w:val="14"/>
                <w:szCs w:val="14"/>
                <w:lang w:val="sr-Cyrl-CS"/>
              </w:rPr>
              <w:t>програмским</w:t>
            </w: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буџетом</w:t>
            </w:r>
          </w:p>
          <w:p w:rsidR="003C0D99" w:rsidRPr="00BF25A7" w:rsidRDefault="003C0D99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93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3C0D99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1B4CBD" w:rsidRPr="001A4D2F" w:rsidTr="00C322A1">
        <w:trPr>
          <w:trHeight w:val="386"/>
          <w:tblHeader/>
        </w:trPr>
        <w:tc>
          <w:tcPr>
            <w:tcW w:w="847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38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10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555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09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582" w:type="pct"/>
            <w:shd w:val="clear" w:color="auto" w:fill="E5DFEC" w:themeFill="accent4" w:themeFillTint="33"/>
          </w:tcPr>
          <w:p w:rsidR="001B4CBD" w:rsidRPr="00BF25A7" w:rsidRDefault="001B4CBD" w:rsidP="006E272C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807" w:type="pct"/>
            <w:shd w:val="clear" w:color="auto" w:fill="E5DFEC" w:themeFill="accent4" w:themeFillTint="33"/>
          </w:tcPr>
          <w:p w:rsidR="001B4CBD" w:rsidRPr="00BF25A7" w:rsidRDefault="001B4CBD" w:rsidP="006E272C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548" w:type="pct"/>
            <w:shd w:val="clear" w:color="auto" w:fill="E5DFEC" w:themeFill="accent4" w:themeFillTint="33"/>
          </w:tcPr>
          <w:p w:rsidR="001B4CBD" w:rsidRPr="00BF25A7" w:rsidRDefault="001B4CBD" w:rsidP="001B4CBD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2022.</w:t>
            </w:r>
          </w:p>
        </w:tc>
      </w:tr>
      <w:tr w:rsidR="001B4CBD" w:rsidRPr="001A4D2F" w:rsidTr="00F3347F">
        <w:trPr>
          <w:trHeight w:val="2348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Default="001B4CBD" w:rsidP="00C11F8E">
            <w:pPr>
              <w:rPr>
                <w:color w:val="auto"/>
                <w:sz w:val="22"/>
                <w:szCs w:val="22"/>
              </w:rPr>
            </w:pP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3.3.1. </w:t>
            </w:r>
            <w:r w:rsidR="007450DA" w:rsidRPr="00BF25A7">
              <w:rPr>
                <w:color w:val="auto"/>
                <w:sz w:val="22"/>
                <w:szCs w:val="22"/>
                <w:lang w:val="sr-Cyrl-CS"/>
              </w:rPr>
              <w:t>Континуиране з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>аједничке обуке полицијских службеника и јавних тужилаца за ефикасније откривање имовине стечене извршењем предикатног кривичног дела и имовине неутврђеног порекла.</w:t>
            </w:r>
          </w:p>
          <w:p w:rsidR="00BF25A7" w:rsidRPr="00BF25A7" w:rsidRDefault="00BF25A7" w:rsidP="00C11F8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pct"/>
          </w:tcPr>
          <w:p w:rsidR="001B4CBD" w:rsidRPr="001A4D2F" w:rsidRDefault="005768D4" w:rsidP="005768D4">
            <w:pPr>
              <w:rPr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ПОЛА</w:t>
            </w:r>
            <w:r w:rsidR="007450DA" w:rsidRPr="001A4D2F">
              <w:rPr>
                <w:iCs/>
                <w:color w:val="auto"/>
                <w:lang w:val="sr-Cyrl-CS"/>
              </w:rPr>
              <w:t xml:space="preserve"> </w:t>
            </w:r>
          </w:p>
        </w:tc>
        <w:tc>
          <w:tcPr>
            <w:tcW w:w="438" w:type="pct"/>
          </w:tcPr>
          <w:p w:rsidR="001B4CBD" w:rsidRPr="001A4D2F" w:rsidRDefault="005768D4" w:rsidP="00C11F8E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ПА</w:t>
            </w:r>
            <w:r w:rsidR="00842C31" w:rsidRPr="001A4D2F">
              <w:rPr>
                <w:iCs/>
                <w:color w:val="auto"/>
                <w:lang w:val="sr-Cyrl-CS"/>
              </w:rPr>
              <w:t xml:space="preserve">; </w:t>
            </w:r>
            <w:r w:rsidR="00842C31" w:rsidRPr="001A4D2F">
              <w:rPr>
                <w:color w:val="auto"/>
                <w:lang w:val="sr-Cyrl-CS"/>
              </w:rPr>
              <w:t>РЈТ; МУП</w:t>
            </w:r>
          </w:p>
        </w:tc>
        <w:tc>
          <w:tcPr>
            <w:tcW w:w="410" w:type="pct"/>
          </w:tcPr>
          <w:p w:rsidR="001B4CBD" w:rsidRPr="001A4D2F" w:rsidRDefault="00842C31" w:rsidP="007450DA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1B4CBD" w:rsidRPr="001A4D2F">
              <w:rPr>
                <w:iCs/>
                <w:color w:val="auto"/>
                <w:lang w:val="sr-Cyrl-CS"/>
              </w:rPr>
              <w:t>202</w:t>
            </w:r>
            <w:r w:rsidR="007450DA" w:rsidRPr="001A4D2F">
              <w:rPr>
                <w:iCs/>
                <w:color w:val="auto"/>
                <w:lang w:val="sr-Cyrl-CS"/>
              </w:rPr>
              <w:t>2</w:t>
            </w:r>
            <w:r w:rsidR="001B4CBD" w:rsidRPr="001A4D2F">
              <w:rPr>
                <w:iCs/>
                <w:color w:val="auto"/>
                <w:lang w:val="sr-Cyrl-CS"/>
              </w:rPr>
              <w:t>.</w:t>
            </w:r>
          </w:p>
        </w:tc>
        <w:tc>
          <w:tcPr>
            <w:tcW w:w="555" w:type="pct"/>
          </w:tcPr>
          <w:p w:rsidR="00DD68A6" w:rsidRPr="001A4D2F" w:rsidRDefault="00DD68A6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1B4CBD" w:rsidRPr="001A4D2F" w:rsidRDefault="00A927A4" w:rsidP="00F700E0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Средства </w:t>
            </w:r>
            <w:r w:rsidRPr="00BF25A7">
              <w:rPr>
                <w:sz w:val="22"/>
                <w:szCs w:val="22"/>
                <w:lang w:val="sr-Cyrl-CS"/>
              </w:rPr>
              <w:t>међународних</w:t>
            </w:r>
            <w:r w:rsidRPr="001A4D2F">
              <w:rPr>
                <w:lang w:val="sr-Cyrl-CS"/>
              </w:rPr>
              <w:t xml:space="preserve"> донатора</w:t>
            </w: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1B4CBD" w:rsidP="004E570C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lastRenderedPageBreak/>
              <w:t>3.3.2. Израда приручника</w:t>
            </w:r>
            <w:r w:rsidR="004E570C" w:rsidRPr="001A4D2F">
              <w:rPr>
                <w:color w:val="auto"/>
                <w:lang w:val="sr-Cyrl-CS"/>
              </w:rPr>
              <w:t xml:space="preserve"> за</w:t>
            </w:r>
            <w:r w:rsidRPr="001A4D2F">
              <w:rPr>
                <w:color w:val="auto"/>
                <w:lang w:val="sr-Cyrl-CS"/>
              </w:rPr>
              <w:t xml:space="preserve"> проналажење </w:t>
            </w:r>
            <w:r w:rsidRPr="001A4D2F">
              <w:rPr>
                <w:iCs/>
                <w:color w:val="auto"/>
                <w:lang w:val="sr-Cyrl-CS"/>
              </w:rPr>
              <w:t>и</w:t>
            </w:r>
            <w:r w:rsidR="004E570C" w:rsidRPr="001A4D2F">
              <w:rPr>
                <w:iCs/>
                <w:color w:val="auto"/>
                <w:lang w:val="sr-Cyrl-CS"/>
              </w:rPr>
              <w:t xml:space="preserve"> ефикасно</w:t>
            </w:r>
            <w:r w:rsidRPr="001A4D2F">
              <w:rPr>
                <w:iCs/>
                <w:color w:val="auto"/>
                <w:lang w:val="sr-Cyrl-CS"/>
              </w:rPr>
              <w:t xml:space="preserve"> одузимање</w:t>
            </w:r>
            <w:r w:rsidR="009D68EE" w:rsidRPr="001A4D2F">
              <w:rPr>
                <w:color w:val="auto"/>
                <w:lang w:val="sr-Cyrl-CS"/>
              </w:rPr>
              <w:t xml:space="preserve"> имовине </w:t>
            </w:r>
            <w:r w:rsidRPr="001A4D2F">
              <w:rPr>
                <w:color w:val="auto"/>
                <w:lang w:val="sr-Cyrl-CS"/>
              </w:rPr>
              <w:t xml:space="preserve">нелегалног порекла и вођење </w:t>
            </w:r>
            <w:r w:rsidR="004E570C" w:rsidRPr="001A4D2F">
              <w:rPr>
                <w:color w:val="auto"/>
                <w:lang w:val="sr-Cyrl-CS"/>
              </w:rPr>
              <w:t xml:space="preserve">(паралелних) </w:t>
            </w:r>
            <w:r w:rsidRPr="001A4D2F">
              <w:rPr>
                <w:color w:val="auto"/>
                <w:lang w:val="sr-Cyrl-CS"/>
              </w:rPr>
              <w:t>финансијских истрага.</w:t>
            </w:r>
          </w:p>
        </w:tc>
        <w:tc>
          <w:tcPr>
            <w:tcW w:w="404" w:type="pct"/>
          </w:tcPr>
          <w:p w:rsidR="001B4CBD" w:rsidRPr="001A4D2F" w:rsidRDefault="001B4CBD" w:rsidP="00842C3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РЈТ</w:t>
            </w:r>
          </w:p>
        </w:tc>
        <w:tc>
          <w:tcPr>
            <w:tcW w:w="438" w:type="pct"/>
          </w:tcPr>
          <w:p w:rsidR="001B4CBD" w:rsidRPr="001A4D2F" w:rsidRDefault="00842C31" w:rsidP="00842C3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ВКС</w:t>
            </w:r>
          </w:p>
        </w:tc>
        <w:tc>
          <w:tcPr>
            <w:tcW w:w="410" w:type="pct"/>
          </w:tcPr>
          <w:p w:rsidR="001B4CBD" w:rsidRPr="001A4D2F" w:rsidRDefault="00842C31" w:rsidP="00842C3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1B4CBD" w:rsidRPr="001A4D2F">
              <w:rPr>
                <w:iCs/>
                <w:color w:val="auto"/>
                <w:lang w:val="sr-Cyrl-CS"/>
              </w:rPr>
              <w:t>2020.</w:t>
            </w:r>
          </w:p>
        </w:tc>
        <w:tc>
          <w:tcPr>
            <w:tcW w:w="555" w:type="pct"/>
          </w:tcPr>
          <w:p w:rsidR="00A927A4" w:rsidRPr="001A4D2F" w:rsidRDefault="00A927A4" w:rsidP="00A927A4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  <w:p w:rsidR="001B4CBD" w:rsidRPr="001A4D2F" w:rsidRDefault="001B4CBD" w:rsidP="007450DA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7450DA" w:rsidP="00F3347F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3.3.3. Континуирана з</w:t>
            </w:r>
            <w:r w:rsidR="001B4CBD" w:rsidRPr="001A4D2F">
              <w:rPr>
                <w:color w:val="auto"/>
                <w:lang w:val="sr-Cyrl-CS"/>
              </w:rPr>
              <w:t xml:space="preserve">аједничка обука УСПН, полиције, и тужилаштва    за проналажење и одузимање незаконито стечене имовине лоциране у иностранству коришћењем инструмената међународне сарадње посебно АРО канцеларије и CAMDEN мреже, EGMONT групе. </w:t>
            </w:r>
          </w:p>
        </w:tc>
        <w:tc>
          <w:tcPr>
            <w:tcW w:w="404" w:type="pct"/>
          </w:tcPr>
          <w:p w:rsidR="001B4CBD" w:rsidRPr="001A4D2F" w:rsidRDefault="005768D4" w:rsidP="00C322A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ПА</w:t>
            </w:r>
          </w:p>
        </w:tc>
        <w:tc>
          <w:tcPr>
            <w:tcW w:w="438" w:type="pct"/>
          </w:tcPr>
          <w:p w:rsidR="001B4CBD" w:rsidRPr="001A4D2F" w:rsidRDefault="007450DA" w:rsidP="00C11F8E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 xml:space="preserve">РЈТ, </w:t>
            </w:r>
            <w:r w:rsidR="00C322A1" w:rsidRPr="001A4D2F">
              <w:rPr>
                <w:iCs/>
                <w:color w:val="auto"/>
                <w:lang w:val="sr-Cyrl-CS"/>
              </w:rPr>
              <w:t xml:space="preserve">МУП, УСПН; </w:t>
            </w:r>
            <w:r w:rsidR="001B4CBD" w:rsidRPr="001A4D2F">
              <w:rPr>
                <w:iCs/>
                <w:color w:val="auto"/>
                <w:lang w:val="sr-Cyrl-CS"/>
              </w:rPr>
              <w:t>ТОК; ВЈТ Краљево, Београд, Ниш, Нови Сад</w:t>
            </w:r>
          </w:p>
        </w:tc>
        <w:tc>
          <w:tcPr>
            <w:tcW w:w="410" w:type="pct"/>
          </w:tcPr>
          <w:p w:rsidR="001B4CBD" w:rsidRPr="001A4D2F" w:rsidRDefault="00842C31" w:rsidP="00842C3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7450DA" w:rsidRPr="001A4D2F">
              <w:rPr>
                <w:iCs/>
                <w:color w:val="auto"/>
                <w:lang w:val="sr-Cyrl-CS"/>
              </w:rPr>
              <w:t>2022.</w:t>
            </w:r>
          </w:p>
        </w:tc>
        <w:tc>
          <w:tcPr>
            <w:tcW w:w="555" w:type="pct"/>
          </w:tcPr>
          <w:p w:rsidR="00DD68A6" w:rsidRPr="001A4D2F" w:rsidRDefault="00DD68A6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DD68A6" w:rsidRPr="001A4D2F" w:rsidRDefault="00DD68A6" w:rsidP="00DD68A6">
            <w:pPr>
              <w:rPr>
                <w:lang w:val="sr-Cyrl-CS"/>
              </w:rPr>
            </w:pPr>
          </w:p>
          <w:p w:rsidR="00A927A4" w:rsidRPr="001A4D2F" w:rsidRDefault="00A927A4" w:rsidP="00A927A4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  <w:p w:rsidR="001B4CBD" w:rsidRPr="001A4D2F" w:rsidRDefault="001B4CBD" w:rsidP="00DD68A6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1B4CBD" w:rsidP="009D68E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3.3.4 Јачање капацитета Дирекције</w:t>
            </w:r>
            <w:r w:rsidR="007450DA" w:rsidRPr="001A4D2F">
              <w:rPr>
                <w:color w:val="auto"/>
                <w:lang w:val="sr-Cyrl-CS"/>
              </w:rPr>
              <w:t xml:space="preserve"> за управљање одузетом </w:t>
            </w:r>
            <w:r w:rsidR="007450DA" w:rsidRPr="001A4D2F">
              <w:rPr>
                <w:color w:val="auto"/>
                <w:lang w:val="sr-Cyrl-CS"/>
              </w:rPr>
              <w:lastRenderedPageBreak/>
              <w:t xml:space="preserve">имовином </w:t>
            </w:r>
            <w:r w:rsidR="009D68EE" w:rsidRPr="001A4D2F">
              <w:rPr>
                <w:color w:val="auto"/>
                <w:lang w:val="sr-Cyrl-CS"/>
              </w:rPr>
              <w:t>запошљавањем проценитеља</w:t>
            </w:r>
          </w:p>
        </w:tc>
        <w:tc>
          <w:tcPr>
            <w:tcW w:w="404" w:type="pct"/>
          </w:tcPr>
          <w:p w:rsidR="001B4CBD" w:rsidRPr="001A4D2F" w:rsidRDefault="005768D4" w:rsidP="00C11F8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lastRenderedPageBreak/>
              <w:t>МП-ДУОИ</w:t>
            </w:r>
          </w:p>
        </w:tc>
        <w:tc>
          <w:tcPr>
            <w:tcW w:w="438" w:type="pct"/>
          </w:tcPr>
          <w:p w:rsidR="001B4CBD" w:rsidRPr="001A4D2F" w:rsidRDefault="005768D4" w:rsidP="00C11F8E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ВРС</w:t>
            </w:r>
          </w:p>
        </w:tc>
        <w:tc>
          <w:tcPr>
            <w:tcW w:w="410" w:type="pct"/>
          </w:tcPr>
          <w:p w:rsidR="001B4CBD" w:rsidRPr="001A4D2F" w:rsidRDefault="00C322A1" w:rsidP="00C322A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1B4CBD" w:rsidRPr="001A4D2F">
              <w:rPr>
                <w:iCs/>
                <w:color w:val="auto"/>
                <w:lang w:val="sr-Cyrl-CS"/>
              </w:rPr>
              <w:t>2020.</w:t>
            </w:r>
          </w:p>
        </w:tc>
        <w:tc>
          <w:tcPr>
            <w:tcW w:w="555" w:type="pct"/>
          </w:tcPr>
          <w:p w:rsidR="001B4CBD" w:rsidRPr="001A4D2F" w:rsidRDefault="00DD68A6" w:rsidP="00DD68A6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Буџет Републике Србије</w:t>
            </w: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C322A1" w:rsidP="00C11F8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Буџет Дирекције за управљање одузетом имовином - </w:t>
            </w:r>
            <w:r w:rsidRPr="00BF25A7">
              <w:rPr>
                <w:color w:val="auto"/>
                <w:lang w:val="sr-Cyrl-CS"/>
              </w:rPr>
              <w:t>960.000</w:t>
            </w:r>
            <w:r w:rsidRPr="001A4D2F">
              <w:rPr>
                <w:color w:val="FF0000"/>
                <w:lang w:val="sr-Cyrl-CS"/>
              </w:rPr>
              <w:t xml:space="preserve"> </w:t>
            </w:r>
            <w:r w:rsidRPr="001A4D2F">
              <w:rPr>
                <w:color w:val="auto"/>
                <w:lang w:val="sr-Cyrl-CS"/>
              </w:rPr>
              <w:t xml:space="preserve">динара </w:t>
            </w:r>
            <w:r w:rsidRPr="001A4D2F">
              <w:rPr>
                <w:color w:val="auto"/>
                <w:lang w:val="sr-Cyrl-CS"/>
              </w:rPr>
              <w:lastRenderedPageBreak/>
              <w:t>годишње, почев од 2021. године - бруто плата НАПОМЕНА: Процена рађена на основу вредности просечне плате у Републици Србији</w:t>
            </w: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731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1B4CBD" w:rsidP="00F3347F">
            <w:pPr>
              <w:rPr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lastRenderedPageBreak/>
              <w:t xml:space="preserve">3.3.5 </w:t>
            </w:r>
            <w:r w:rsidR="009D68EE" w:rsidRPr="001A4D2F">
              <w:rPr>
                <w:iCs/>
                <w:color w:val="auto"/>
                <w:lang w:val="sr-Cyrl-CS"/>
              </w:rPr>
              <w:t>Редовно с</w:t>
            </w:r>
            <w:r w:rsidRPr="001A4D2F">
              <w:rPr>
                <w:iCs/>
                <w:color w:val="auto"/>
                <w:lang w:val="sr-Cyrl-CS"/>
              </w:rPr>
              <w:t xml:space="preserve">провођење обука за процену и обезбеђење вредности одузете имовине проистекле из кривичног дела до коначне одлуке суда </w:t>
            </w:r>
          </w:p>
        </w:tc>
        <w:tc>
          <w:tcPr>
            <w:tcW w:w="404" w:type="pct"/>
          </w:tcPr>
          <w:p w:rsidR="001B4CBD" w:rsidRPr="001A4D2F" w:rsidRDefault="005768D4" w:rsidP="00C11F8E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ПА</w:t>
            </w:r>
          </w:p>
        </w:tc>
        <w:tc>
          <w:tcPr>
            <w:tcW w:w="438" w:type="pct"/>
          </w:tcPr>
          <w:p w:rsidR="001B4CBD" w:rsidRPr="001A4D2F" w:rsidRDefault="00C322A1" w:rsidP="005768D4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 xml:space="preserve">РЈТ; ТОК; </w:t>
            </w:r>
            <w:r w:rsidR="005768D4" w:rsidRPr="001A4D2F">
              <w:rPr>
                <w:color w:val="auto"/>
                <w:lang w:val="sr-Cyrl-CS"/>
              </w:rPr>
              <w:t>МП-ДУОИ</w:t>
            </w:r>
            <w:r w:rsidRPr="001A4D2F">
              <w:rPr>
                <w:iCs/>
                <w:color w:val="auto"/>
                <w:lang w:val="sr-Cyrl-CS"/>
              </w:rPr>
              <w:t xml:space="preserve">; </w:t>
            </w:r>
            <w:r w:rsidR="005768D4" w:rsidRPr="001A4D2F">
              <w:rPr>
                <w:iCs/>
                <w:color w:val="auto"/>
                <w:lang w:val="sr-Cyrl-CS"/>
              </w:rPr>
              <w:t>МП</w:t>
            </w:r>
            <w:r w:rsidR="001B4CBD" w:rsidRPr="001A4D2F">
              <w:rPr>
                <w:iCs/>
                <w:color w:val="auto"/>
                <w:lang w:val="sr-Cyrl-CS"/>
              </w:rPr>
              <w:t xml:space="preserve">; </w:t>
            </w:r>
          </w:p>
        </w:tc>
        <w:tc>
          <w:tcPr>
            <w:tcW w:w="410" w:type="pct"/>
          </w:tcPr>
          <w:p w:rsidR="001B4CBD" w:rsidRPr="001A4D2F" w:rsidRDefault="00C322A1" w:rsidP="00C322A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9D68EE" w:rsidRPr="001A4D2F">
              <w:rPr>
                <w:iCs/>
                <w:color w:val="auto"/>
                <w:lang w:val="sr-Cyrl-CS"/>
              </w:rPr>
              <w:t>2022</w:t>
            </w:r>
            <w:r w:rsidR="001B4CBD" w:rsidRPr="001A4D2F">
              <w:rPr>
                <w:iCs/>
                <w:color w:val="auto"/>
                <w:lang w:val="sr-Cyrl-CS"/>
              </w:rPr>
              <w:t>.</w:t>
            </w:r>
          </w:p>
        </w:tc>
        <w:tc>
          <w:tcPr>
            <w:tcW w:w="555" w:type="pct"/>
          </w:tcPr>
          <w:p w:rsidR="00DD68A6" w:rsidRPr="001A4D2F" w:rsidRDefault="00DD68A6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1B4CBD" w:rsidRPr="001A4D2F" w:rsidRDefault="00A927A4" w:rsidP="00A927A4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733095" w:rsidRDefault="001B4CBD" w:rsidP="00083ED0">
            <w:pPr>
              <w:rPr>
                <w:iCs/>
                <w:color w:val="auto"/>
                <w:sz w:val="22"/>
                <w:szCs w:val="22"/>
                <w:lang w:val="sr-Cyrl-CS"/>
              </w:rPr>
            </w:pP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3.3.6 </w:t>
            </w:r>
            <w:r w:rsidR="009D68EE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Анализирање 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нормативног оквира за привремено и трајно одузимање имовине </w:t>
            </w:r>
            <w:r w:rsidR="009D68EE" w:rsidRPr="00733095">
              <w:rPr>
                <w:iCs/>
                <w:color w:val="auto"/>
                <w:sz w:val="22"/>
                <w:szCs w:val="22"/>
                <w:lang w:val="sr-Cyrl-CS"/>
              </w:rPr>
              <w:t>у кривичном поступку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и поступку за одузимање имовине проистекле из кривичног дела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, а нарочито 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њихове 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>усклађености са ФАТФ препорукама</w:t>
            </w:r>
          </w:p>
        </w:tc>
        <w:tc>
          <w:tcPr>
            <w:tcW w:w="404" w:type="pct"/>
          </w:tcPr>
          <w:p w:rsidR="001B4CBD" w:rsidRPr="001A4D2F" w:rsidRDefault="005768D4" w:rsidP="00C11F8E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МП</w:t>
            </w:r>
          </w:p>
        </w:tc>
        <w:tc>
          <w:tcPr>
            <w:tcW w:w="438" w:type="pct"/>
          </w:tcPr>
          <w:p w:rsidR="001B4CBD" w:rsidRPr="001A4D2F" w:rsidRDefault="001B4CBD" w:rsidP="00C11F8E">
            <w:pPr>
              <w:rPr>
                <w:iCs/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>РЈТ, ВКС, ТОК</w:t>
            </w:r>
          </w:p>
        </w:tc>
        <w:tc>
          <w:tcPr>
            <w:tcW w:w="410" w:type="pct"/>
          </w:tcPr>
          <w:p w:rsidR="001B4CBD" w:rsidRPr="001A4D2F" w:rsidRDefault="000553F1" w:rsidP="00680B5F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квартал </w:t>
            </w:r>
            <w:r w:rsidR="001B4CBD" w:rsidRPr="001A4D2F">
              <w:rPr>
                <w:iCs/>
                <w:color w:val="auto"/>
                <w:lang w:val="sr-Cyrl-CS"/>
              </w:rPr>
              <w:t>202</w:t>
            </w:r>
            <w:r w:rsidR="00680B5F" w:rsidRPr="001A4D2F">
              <w:rPr>
                <w:iCs/>
                <w:color w:val="auto"/>
                <w:lang w:val="sr-Cyrl-CS"/>
              </w:rPr>
              <w:t>2</w:t>
            </w:r>
            <w:r w:rsidR="001B4CBD" w:rsidRPr="001A4D2F">
              <w:rPr>
                <w:iCs/>
                <w:color w:val="auto"/>
                <w:lang w:val="sr-Cyrl-CS"/>
              </w:rPr>
              <w:t xml:space="preserve">. </w:t>
            </w:r>
          </w:p>
        </w:tc>
        <w:tc>
          <w:tcPr>
            <w:tcW w:w="555" w:type="pct"/>
          </w:tcPr>
          <w:p w:rsidR="00DD68A6" w:rsidRPr="001A4D2F" w:rsidRDefault="00DD68A6" w:rsidP="00DD68A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</w:tbl>
    <w:p w:rsidR="00864498" w:rsidRPr="001A4D2F" w:rsidRDefault="00864498" w:rsidP="00C11F8E">
      <w:pPr>
        <w:tabs>
          <w:tab w:val="left" w:pos="1940"/>
        </w:tabs>
        <w:rPr>
          <w:lang w:val="sr-Cyrl-CS"/>
        </w:rPr>
      </w:pPr>
    </w:p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1477"/>
        <w:gridCol w:w="1401"/>
        <w:gridCol w:w="1785"/>
        <w:gridCol w:w="1698"/>
        <w:gridCol w:w="1375"/>
        <w:gridCol w:w="1638"/>
        <w:gridCol w:w="1565"/>
      </w:tblGrid>
      <w:tr w:rsidR="00FC4AE1" w:rsidRPr="001A4D2F" w:rsidTr="00C11F8E">
        <w:trPr>
          <w:trHeight w:val="320"/>
        </w:trPr>
        <w:tc>
          <w:tcPr>
            <w:tcW w:w="5000" w:type="pct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C4AE1" w:rsidRPr="001A4D2F" w:rsidRDefault="00FC4AE1" w:rsidP="00C11F8E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15" w:name="_Toc32409918"/>
            <w:r w:rsidRPr="001A4D2F">
              <w:rPr>
                <w:szCs w:val="24"/>
                <w:lang w:val="sr-Cyrl-CS"/>
              </w:rPr>
              <w:t>Посебни циљ 4: Уочавати и отклањати претње од фина</w:t>
            </w:r>
            <w:r w:rsidR="00D17BB2" w:rsidRPr="001A4D2F">
              <w:rPr>
                <w:szCs w:val="24"/>
                <w:lang w:val="sr-Cyrl-CS"/>
              </w:rPr>
              <w:t>н</w:t>
            </w:r>
            <w:r w:rsidRPr="001A4D2F">
              <w:rPr>
                <w:szCs w:val="24"/>
                <w:lang w:val="sr-Cyrl-CS"/>
              </w:rPr>
              <w:t>сирања тероризма и кажњавати извршиоце кривичног дела финансирања тероризма</w:t>
            </w:r>
            <w:bookmarkEnd w:id="15"/>
          </w:p>
        </w:tc>
      </w:tr>
      <w:tr w:rsidR="00FC4AE1" w:rsidRPr="001A4D2F" w:rsidTr="00C11F8E">
        <w:trPr>
          <w:trHeight w:val="320"/>
        </w:trPr>
        <w:tc>
          <w:tcPr>
            <w:tcW w:w="5000" w:type="pct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lang w:val="sr-Cyrl-CS"/>
              </w:rPr>
              <w:t>Институција одговорна за праћење и контролу реализације: Координационо тело за спречавање и финансирање тероризма</w:t>
            </w:r>
          </w:p>
        </w:tc>
      </w:tr>
      <w:tr w:rsidR="00F3347F" w:rsidRPr="001A4D2F" w:rsidTr="00F3347F">
        <w:trPr>
          <w:trHeight w:val="575"/>
        </w:trPr>
        <w:tc>
          <w:tcPr>
            <w:tcW w:w="113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посебног циља (показатељ исхода)</w:t>
            </w:r>
          </w:p>
        </w:tc>
        <w:tc>
          <w:tcPr>
            <w:tcW w:w="52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495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63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486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579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553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885F9C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FC4AE1" w:rsidRPr="001A4D2F" w:rsidTr="00F3347F">
        <w:trPr>
          <w:trHeight w:val="254"/>
        </w:trPr>
        <w:tc>
          <w:tcPr>
            <w:tcW w:w="1134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9A6D0D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Напредак на остваривању непосредних резултата 9-11 по Методологији ФАТФ</w:t>
            </w:r>
          </w:p>
        </w:tc>
        <w:tc>
          <w:tcPr>
            <w:tcW w:w="52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495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Извештаји надлежних органа;</w:t>
            </w:r>
          </w:p>
          <w:p w:rsidR="009A6D0D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Манивала</w:t>
            </w:r>
          </w:p>
        </w:tc>
        <w:tc>
          <w:tcPr>
            <w:tcW w:w="63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48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579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553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FC4AE1" w:rsidRPr="001A4D2F" w:rsidRDefault="00FC4AE1" w:rsidP="00C11F8E">
      <w:pPr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1466"/>
        <w:gridCol w:w="1369"/>
        <w:gridCol w:w="973"/>
        <w:gridCol w:w="784"/>
        <w:gridCol w:w="1695"/>
        <w:gridCol w:w="1528"/>
        <w:gridCol w:w="1562"/>
        <w:gridCol w:w="1570"/>
      </w:tblGrid>
      <w:tr w:rsidR="00FC4AE1" w:rsidRPr="001A4D2F" w:rsidTr="00C11F8E">
        <w:trPr>
          <w:trHeight w:val="351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FC4AE1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6" w:name="_Toc32409919"/>
            <w:r w:rsidRPr="001A4D2F">
              <w:rPr>
                <w:rFonts w:cs="Times New Roman"/>
                <w:sz w:val="24"/>
                <w:lang w:val="sr-Cyrl-CS"/>
              </w:rPr>
              <w:t>Мера 4.1:</w:t>
            </w:r>
            <w:r w:rsidR="00B02F5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 w:rsidR="006301B6" w:rsidRPr="001A4D2F">
              <w:rPr>
                <w:rFonts w:cs="Times New Roman"/>
                <w:sz w:val="24"/>
                <w:lang w:val="sr-Cyrl-CS"/>
              </w:rPr>
              <w:t>Обезбеђење</w:t>
            </w:r>
            <w:r w:rsidRPr="001A4D2F">
              <w:rPr>
                <w:rFonts w:cs="Times New Roman"/>
                <w:sz w:val="24"/>
                <w:lang w:val="sr-Cyrl-CS"/>
              </w:rPr>
              <w:t xml:space="preserve"> одрживост</w:t>
            </w:r>
            <w:r w:rsidR="006301B6" w:rsidRPr="001A4D2F">
              <w:rPr>
                <w:rFonts w:cs="Times New Roman"/>
                <w:sz w:val="24"/>
                <w:lang w:val="sr-Cyrl-CS"/>
              </w:rPr>
              <w:t>и</w:t>
            </w:r>
            <w:r w:rsidRPr="001A4D2F">
              <w:rPr>
                <w:rFonts w:cs="Times New Roman"/>
                <w:sz w:val="24"/>
                <w:lang w:val="sr-Cyrl-CS"/>
              </w:rPr>
              <w:t xml:space="preserve"> система</w:t>
            </w:r>
            <w:r w:rsidR="00B02F5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 w:rsidRPr="001A4D2F">
              <w:rPr>
                <w:rFonts w:cs="Times New Roman"/>
                <w:sz w:val="24"/>
                <w:lang w:val="sr-Cyrl-CS"/>
              </w:rPr>
              <w:t>истраживања и кривичног гоњења у случајевима финансирања тероризма</w:t>
            </w:r>
            <w:bookmarkEnd w:id="16"/>
          </w:p>
        </w:tc>
      </w:tr>
      <w:tr w:rsidR="00FC4AE1" w:rsidRPr="001A4D2F" w:rsidTr="00C11F8E">
        <w:trPr>
          <w:trHeight w:val="30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 xml:space="preserve">Институција одговорна за праћење и контролу реализације: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FC4AE1" w:rsidRPr="001A4D2F" w:rsidTr="00C11F8E">
        <w:trPr>
          <w:trHeight w:val="303"/>
        </w:trPr>
        <w:tc>
          <w:tcPr>
            <w:tcW w:w="247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26686C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52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FC4AE1" w:rsidP="00F3347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DD68A6" w:rsidRPr="001A4D2F">
              <w:rPr>
                <w:lang w:val="sr-Cyrl-CS"/>
              </w:rPr>
              <w:t xml:space="preserve"> Институционално управљачко организациона</w:t>
            </w:r>
          </w:p>
        </w:tc>
      </w:tr>
      <w:tr w:rsidR="00FC4AE1" w:rsidRPr="001A4D2F" w:rsidTr="00C11F8E">
        <w:trPr>
          <w:trHeight w:val="778"/>
        </w:trPr>
        <w:tc>
          <w:tcPr>
            <w:tcW w:w="113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</w:t>
            </w:r>
            <w:r w:rsidR="00B02F59" w:rsidRPr="001A4D2F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t>на нивоу мере (показатељ резултата)</w:t>
            </w:r>
          </w:p>
        </w:tc>
        <w:tc>
          <w:tcPr>
            <w:tcW w:w="51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FC4AE1" w:rsidRPr="001A4D2F" w:rsidRDefault="00FC4AE1" w:rsidP="00C11F8E">
            <w:pPr>
              <w:rPr>
                <w:lang w:val="sr-Cyrl-CS"/>
              </w:rPr>
            </w:pPr>
          </w:p>
        </w:tc>
        <w:tc>
          <w:tcPr>
            <w:tcW w:w="48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621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885F9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Циљана вредност у </w:t>
            </w:r>
            <w:r w:rsidR="00885F9C" w:rsidRPr="001A4D2F">
              <w:rPr>
                <w:lang w:val="sr-Cyrl-CS"/>
              </w:rPr>
              <w:t>2020.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885F9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Циљана вредност </w:t>
            </w:r>
            <w:r w:rsidR="00885F9C" w:rsidRPr="001A4D2F">
              <w:rPr>
                <w:lang w:val="sr-Cyrl-CS"/>
              </w:rPr>
              <w:t>2021.</w:t>
            </w:r>
          </w:p>
        </w:tc>
        <w:tc>
          <w:tcPr>
            <w:tcW w:w="555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4AE1" w:rsidRPr="001A4D2F" w:rsidRDefault="00885F9C" w:rsidP="00885F9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FC4AE1" w:rsidRPr="001A4D2F" w:rsidTr="00C11F8E">
        <w:trPr>
          <w:trHeight w:val="307"/>
        </w:trPr>
        <w:tc>
          <w:tcPr>
            <w:tcW w:w="113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FC4AE1" w:rsidP="0026686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Проверени</w:t>
            </w:r>
            <w:r w:rsidR="0026686C" w:rsidRPr="001A4D2F">
              <w:rPr>
                <w:lang w:val="sr-Cyrl-CS"/>
              </w:rPr>
              <w:t xml:space="preserve"> сумњиви</w:t>
            </w:r>
            <w:r w:rsidRPr="001A4D2F">
              <w:rPr>
                <w:lang w:val="sr-Cyrl-CS"/>
              </w:rPr>
              <w:t xml:space="preserve"> ентитети </w:t>
            </w:r>
          </w:p>
        </w:tc>
        <w:tc>
          <w:tcPr>
            <w:tcW w:w="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Проценат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FC4AE1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Годишњи извештај надлежних државних органа</w:t>
            </w:r>
          </w:p>
        </w:tc>
        <w:tc>
          <w:tcPr>
            <w:tcW w:w="62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100%</w:t>
            </w:r>
          </w:p>
        </w:tc>
        <w:tc>
          <w:tcPr>
            <w:tcW w:w="59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100%</w:t>
            </w:r>
          </w:p>
        </w:tc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100%</w:t>
            </w:r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100%</w:t>
            </w:r>
          </w:p>
        </w:tc>
      </w:tr>
    </w:tbl>
    <w:p w:rsidR="00FC4AE1" w:rsidRDefault="00FC4AE1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Pr="00733095" w:rsidRDefault="00733095" w:rsidP="00C11F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2"/>
        <w:gridCol w:w="1145"/>
        <w:gridCol w:w="1242"/>
        <w:gridCol w:w="1162"/>
        <w:gridCol w:w="1573"/>
        <w:gridCol w:w="1160"/>
        <w:gridCol w:w="1803"/>
        <w:gridCol w:w="1525"/>
        <w:gridCol w:w="2163"/>
      </w:tblGrid>
      <w:tr w:rsidR="003C0D99" w:rsidRPr="001A4D2F" w:rsidTr="003C0D99">
        <w:trPr>
          <w:trHeight w:val="140"/>
        </w:trPr>
        <w:tc>
          <w:tcPr>
            <w:tcW w:w="84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733095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733095">
              <w:rPr>
                <w:b/>
                <w:sz w:val="14"/>
                <w:szCs w:val="14"/>
                <w:lang w:val="sr-Cyrl-CS"/>
              </w:rPr>
              <w:t>програмским</w:t>
            </w:r>
            <w:r w:rsidRPr="00733095">
              <w:rPr>
                <w:b/>
                <w:sz w:val="12"/>
                <w:szCs w:val="12"/>
                <w:lang w:val="sr-Cyrl-CS"/>
              </w:rPr>
              <w:t xml:space="preserve"> </w:t>
            </w:r>
            <w:r w:rsidRPr="00733095">
              <w:rPr>
                <w:b/>
                <w:sz w:val="18"/>
                <w:szCs w:val="18"/>
                <w:lang w:val="sr-Cyrl-CS"/>
              </w:rPr>
              <w:t>буџетом</w:t>
            </w:r>
          </w:p>
          <w:p w:rsidR="003C0D99" w:rsidRPr="00733095" w:rsidRDefault="003C0D99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3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1B4CBD" w:rsidRPr="001A4D2F" w:rsidTr="000553F1">
        <w:trPr>
          <w:trHeight w:val="386"/>
        </w:trPr>
        <w:tc>
          <w:tcPr>
            <w:tcW w:w="847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733095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8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10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5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9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6" w:type="pct"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63" w:type="pct"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A6D0D" w:rsidRPr="001A4D2F" w:rsidTr="000553F1">
        <w:trPr>
          <w:trHeight w:val="161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4.1.1. Наставити са размењивањем података и информација о финансирању тероризма у оквиру постојећих структура међусобне координације и сарадње оперативних органа надлежних за борбу против тероризма и других кривичних дела у вези са њим; 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НКТ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РЈТ, ТОК, БИА, МУП, УСПН, 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КСНБиЗТП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26686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квартал 2022. 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оквиру редовних активности запослених 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B15A10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4.1.2. Анализи</w:t>
            </w:r>
            <w:r w:rsidR="009A6D0D" w:rsidRPr="001A4D2F">
              <w:rPr>
                <w:lang w:val="sr-Cyrl-CS"/>
              </w:rPr>
              <w:t xml:space="preserve">рати постојеће кадровске, технолошке и финансијске капацитете за спречавање финансирања тероризма органа надлежних за борбу против тероризма и других кривичних дела у вези са њим; 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НКТ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РЈТ, ТОК, БИА, МУП, УСПН,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КСНБиЗТП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квартал 2021. 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4.1.3. Прилагодити кадровске, технолошке и финансијске капацитете резултатима анализе из 4.1.2;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5768D4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ВРС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III квартал 2022. 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запослених/Средства међународних донатора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4.1.4. Наставити систематско истраживање у случајевима финансирања тероризма – кроз размену извештаја Управе за спречавање прања новца са надлежним државним органима;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29472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ТОК, БИА, МУП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4.1.5 Унапређивати сарадњу са релевантним међународним субјектима у вези са финансирањем тероризма;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НКТ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МСП, УСПН, МУП, БИА, ВОА, ВБА,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КСНБиЗТП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4.1.6 Анализирати усклађеност постојећег кривичног закона- у делу које се односи </w:t>
            </w:r>
            <w:r w:rsidRPr="001A4D2F">
              <w:rPr>
                <w:lang w:val="sr-Cyrl-CS"/>
              </w:rPr>
              <w:lastRenderedPageBreak/>
              <w:t>на кривично дело финансирања тероризма са међународним стандардима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МП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ED4F9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4.1.</w:t>
            </w:r>
            <w:r w:rsidR="00ED4F9F" w:rsidRPr="001A4D2F">
              <w:rPr>
                <w:lang w:val="sr-Cyrl-CS"/>
              </w:rPr>
              <w:t>7</w:t>
            </w:r>
            <w:r w:rsidRPr="001A4D2F">
              <w:rPr>
                <w:lang w:val="sr-Cyrl-CS"/>
              </w:rPr>
              <w:t>. Наставити са обукама Јединице за финансијске истраге МУП РС на пољу препознавања активности за финансирање тероризма;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КТ 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МУП,</w:t>
            </w:r>
            <w:r w:rsidR="00294720" w:rsidRPr="001A4D2F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t>УСПН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ED4F9F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4.1.8</w:t>
            </w:r>
            <w:r w:rsidR="009A6D0D" w:rsidRPr="001A4D2F">
              <w:rPr>
                <w:lang w:val="sr-Cyrl-CS"/>
              </w:rPr>
              <w:t>. Континуирано вршити обуку надлежних органа у складу са најбољом праксом у случајевима фина</w:t>
            </w:r>
            <w:r w:rsidR="0099231E">
              <w:rPr>
                <w:lang w:val="sr-Cyrl-CS"/>
              </w:rPr>
              <w:t>н</w:t>
            </w:r>
            <w:r w:rsidR="009A6D0D" w:rsidRPr="001A4D2F">
              <w:rPr>
                <w:lang w:val="sr-Cyrl-CS"/>
              </w:rPr>
              <w:t>сирање тероризма;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294720" w:rsidP="0029472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ПА</w:t>
            </w:r>
            <w:r w:rsidR="009A6D0D" w:rsidRPr="001A4D2F">
              <w:rPr>
                <w:lang w:val="sr-Cyrl-CS"/>
              </w:rPr>
              <w:t>,</w:t>
            </w:r>
            <w:r w:rsidRPr="001A4D2F">
              <w:rPr>
                <w:lang w:val="sr-Cyrl-CS"/>
              </w:rPr>
              <w:t xml:space="preserve"> МУП, БИА,</w:t>
            </w:r>
            <w:r w:rsidR="009A6D0D" w:rsidRPr="001A4D2F">
              <w:rPr>
                <w:lang w:val="sr-Cyrl-CS"/>
              </w:rPr>
              <w:t>УСПН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оквиру редовних активности запослених/Средства </w:t>
            </w:r>
            <w:r w:rsidRPr="00733095">
              <w:rPr>
                <w:sz w:val="22"/>
                <w:szCs w:val="22"/>
                <w:lang w:val="sr-Cyrl-CS"/>
              </w:rPr>
              <w:t>међународних</w:t>
            </w:r>
            <w:r w:rsidRPr="001A4D2F">
              <w:rPr>
                <w:lang w:val="sr-Cyrl-CS"/>
              </w:rPr>
              <w:t xml:space="preserve"> донатора 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</w:tbl>
    <w:p w:rsidR="00FC4AE1" w:rsidRPr="001A4D2F" w:rsidRDefault="00FC4AE1" w:rsidP="00C11F8E">
      <w:pPr>
        <w:rPr>
          <w:lang w:val="sr-Cyrl-CS"/>
        </w:rPr>
      </w:pPr>
    </w:p>
    <w:p w:rsidR="00E81497" w:rsidRDefault="00E81497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Pr="00733095" w:rsidRDefault="00733095" w:rsidP="00C11F8E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1463"/>
        <w:gridCol w:w="1587"/>
        <w:gridCol w:w="965"/>
        <w:gridCol w:w="767"/>
        <w:gridCol w:w="1695"/>
        <w:gridCol w:w="1525"/>
        <w:gridCol w:w="1562"/>
        <w:gridCol w:w="1369"/>
      </w:tblGrid>
      <w:tr w:rsidR="00E81497" w:rsidRPr="001A4D2F" w:rsidTr="00C11F8E">
        <w:trPr>
          <w:trHeight w:val="27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6301B6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7" w:name="_Toc32409920"/>
            <w:r w:rsidRPr="001A4D2F">
              <w:rPr>
                <w:rFonts w:cs="Times New Roman"/>
                <w:sz w:val="24"/>
                <w:lang w:val="sr-Cyrl-CS"/>
              </w:rPr>
              <w:lastRenderedPageBreak/>
              <w:t>Мера 4.2: Обезбеђење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ефикасно</w:t>
            </w:r>
            <w:r w:rsidRPr="001A4D2F">
              <w:rPr>
                <w:rFonts w:cs="Times New Roman"/>
                <w:sz w:val="24"/>
                <w:lang w:val="sr-Cyrl-CS"/>
              </w:rPr>
              <w:t>сти спровођења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активности на праћењу прекограничних ризика за финансирање тероризма</w:t>
            </w:r>
            <w:bookmarkEnd w:id="17"/>
          </w:p>
        </w:tc>
      </w:tr>
      <w:tr w:rsidR="00E81497" w:rsidRPr="001A4D2F" w:rsidTr="00C11F8E">
        <w:trPr>
          <w:trHeight w:val="382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Институција oдговорна за спровођење (координисање спровођења) мере:</w:t>
            </w:r>
            <w:r w:rsidR="00F07D7D" w:rsidRPr="001A4D2F">
              <w:rPr>
                <w:lang w:val="sr-Cyrl-CS"/>
              </w:rPr>
              <w:t xml:space="preserve">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E81497" w:rsidRPr="001A4D2F" w:rsidTr="0003799E">
        <w:trPr>
          <w:trHeight w:val="346"/>
        </w:trPr>
        <w:tc>
          <w:tcPr>
            <w:tcW w:w="255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7405F7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44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DD68A6" w:rsidRPr="001A4D2F">
              <w:rPr>
                <w:lang w:val="sr-Cyrl-CS"/>
              </w:rPr>
              <w:t xml:space="preserve"> Информативно-едукативна</w:t>
            </w:r>
          </w:p>
        </w:tc>
      </w:tr>
      <w:tr w:rsidR="00F3347F" w:rsidRPr="001A4D2F" w:rsidTr="00F3347F">
        <w:trPr>
          <w:trHeight w:val="595"/>
        </w:trPr>
        <w:tc>
          <w:tcPr>
            <w:tcW w:w="1136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612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539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484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885F9C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E81497" w:rsidRPr="001A4D2F" w:rsidTr="00F3347F">
        <w:trPr>
          <w:trHeight w:val="381"/>
        </w:trPr>
        <w:tc>
          <w:tcPr>
            <w:tcW w:w="113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B56E7D" w:rsidP="00D5399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Одржан к</w:t>
            </w:r>
            <w:r w:rsidR="00D5399E" w:rsidRPr="001A4D2F">
              <w:rPr>
                <w:lang w:val="sr-Cyrl-CS"/>
              </w:rPr>
              <w:t>онтинуитет обука царинских службеника и граничних полицајаца за препознавање ризика од финансирања тероризма</w:t>
            </w: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53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E81497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Извештај</w:t>
            </w:r>
            <w:r w:rsidR="007405F7" w:rsidRPr="001A4D2F">
              <w:rPr>
                <w:lang w:val="sr-Cyrl-CS"/>
              </w:rPr>
              <w:t xml:space="preserve"> са обука; Извештај о раду </w:t>
            </w:r>
          </w:p>
        </w:tc>
        <w:tc>
          <w:tcPr>
            <w:tcW w:w="61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53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59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7405F7" w:rsidP="00DD68A6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</w:t>
            </w:r>
            <w:r w:rsidR="00DD68A6" w:rsidRPr="001A4D2F">
              <w:rPr>
                <w:lang w:val="sr-Cyrl-CS"/>
              </w:rPr>
              <w:t>19</w:t>
            </w:r>
            <w:r w:rsidRPr="001A4D2F">
              <w:rPr>
                <w:lang w:val="sr-Cyrl-CS"/>
              </w:rPr>
              <w:t>.</w:t>
            </w:r>
          </w:p>
        </w:tc>
        <w:tc>
          <w:tcPr>
            <w:tcW w:w="5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53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53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53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  <w:tr w:rsidR="00E81497" w:rsidRPr="001A4D2F" w:rsidTr="00F3347F">
        <w:trPr>
          <w:trHeight w:val="595"/>
        </w:trPr>
        <w:tc>
          <w:tcPr>
            <w:tcW w:w="113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B56E7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Израђена анализа </w:t>
            </w:r>
            <w:r w:rsidR="0003799E" w:rsidRPr="001A4D2F">
              <w:rPr>
                <w:lang w:val="sr-Cyrl-CS"/>
              </w:rPr>
              <w:t>алтернативних начина за пренос имовине као и коришћење савремених технологија</w:t>
            </w: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037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E81497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Анализа</w:t>
            </w:r>
          </w:p>
        </w:tc>
        <w:tc>
          <w:tcPr>
            <w:tcW w:w="61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B56E7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59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037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  <w:r w:rsidR="00A927A4" w:rsidRPr="001A4D2F">
              <w:rPr>
                <w:lang w:val="sr-Cyrl-CS"/>
              </w:rPr>
              <w:t>.</w:t>
            </w:r>
          </w:p>
        </w:tc>
        <w:tc>
          <w:tcPr>
            <w:tcW w:w="5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B56E7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Не</w:t>
            </w:r>
          </w:p>
        </w:tc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B56E7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E81497" w:rsidP="00C11F8E">
            <w:pPr>
              <w:shd w:val="clear" w:color="auto" w:fill="FFFFFF"/>
              <w:rPr>
                <w:lang w:val="sr-Cyrl-CS"/>
              </w:rPr>
            </w:pPr>
          </w:p>
        </w:tc>
      </w:tr>
    </w:tbl>
    <w:p w:rsidR="00FC4AE1" w:rsidRDefault="00FC4AE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Pr="00566361" w:rsidRDefault="00566361" w:rsidP="00C11F8E"/>
    <w:p w:rsidR="00E81497" w:rsidRPr="001A4D2F" w:rsidRDefault="00E81497" w:rsidP="00C11F8E">
      <w:pPr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1268"/>
        <w:gridCol w:w="1372"/>
        <w:gridCol w:w="1285"/>
        <w:gridCol w:w="1740"/>
        <w:gridCol w:w="1282"/>
        <w:gridCol w:w="1556"/>
        <w:gridCol w:w="1466"/>
        <w:gridCol w:w="1525"/>
      </w:tblGrid>
      <w:tr w:rsidR="00E81497" w:rsidRPr="001A4D2F" w:rsidTr="00C11F8E">
        <w:trPr>
          <w:trHeight w:val="140"/>
        </w:trPr>
        <w:tc>
          <w:tcPr>
            <w:tcW w:w="93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lastRenderedPageBreak/>
              <w:t>Назив активности:</w:t>
            </w:r>
          </w:p>
        </w:tc>
        <w:tc>
          <w:tcPr>
            <w:tcW w:w="4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Рок за завршетак активности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566361">
              <w:rPr>
                <w:b/>
                <w:sz w:val="16"/>
                <w:szCs w:val="16"/>
                <w:lang w:val="sr-Cyrl-CS"/>
              </w:rPr>
              <w:t>програмским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буџетом</w:t>
            </w:r>
          </w:p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876914" w:rsidRPr="001A4D2F" w:rsidTr="00C11F8E">
        <w:trPr>
          <w:trHeight w:val="386"/>
        </w:trPr>
        <w:tc>
          <w:tcPr>
            <w:tcW w:w="938" w:type="pct"/>
            <w:vMerge/>
            <w:tcBorders>
              <w:left w:val="double" w:sz="4" w:space="0" w:color="auto"/>
            </w:tcBorders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48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85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15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53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550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2020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18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2021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39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2022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9A6D0D" w:rsidRPr="001A4D2F" w:rsidTr="006E272C">
        <w:trPr>
          <w:trHeight w:val="1610"/>
        </w:trPr>
        <w:tc>
          <w:tcPr>
            <w:tcW w:w="938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contextualSpacing/>
              <w:rPr>
                <w:lang w:val="sr-Cyrl-CS"/>
              </w:rPr>
            </w:pPr>
            <w:r w:rsidRPr="001A4D2F">
              <w:rPr>
                <w:lang w:val="sr-Cyrl-CS"/>
              </w:rPr>
              <w:t>4.2.1 Континуирано одржавати обуке припадника граничне полиције у циљу препознавања ризика од финансирања тероризма;</w:t>
            </w:r>
          </w:p>
        </w:tc>
        <w:tc>
          <w:tcPr>
            <w:tcW w:w="44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МУП </w:t>
            </w:r>
          </w:p>
        </w:tc>
        <w:tc>
          <w:tcPr>
            <w:tcW w:w="485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</w:p>
        </w:tc>
        <w:tc>
          <w:tcPr>
            <w:tcW w:w="454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15" w:type="pct"/>
            <w:shd w:val="clear" w:color="auto" w:fill="auto"/>
          </w:tcPr>
          <w:p w:rsidR="009A6D0D" w:rsidRPr="001A4D2F" w:rsidRDefault="009A6D0D" w:rsidP="00C11F8E">
            <w:pPr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запослених/Средства међународних донатора</w:t>
            </w:r>
          </w:p>
        </w:tc>
        <w:tc>
          <w:tcPr>
            <w:tcW w:w="45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5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6E272C">
        <w:trPr>
          <w:trHeight w:val="1610"/>
        </w:trPr>
        <w:tc>
          <w:tcPr>
            <w:tcW w:w="938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contextualSpacing/>
              <w:rPr>
                <w:lang w:val="sr-Cyrl-CS"/>
              </w:rPr>
            </w:pPr>
            <w:r w:rsidRPr="001A4D2F">
              <w:rPr>
                <w:lang w:val="sr-Cyrl-CS"/>
              </w:rPr>
              <w:t>4.2.2 Континуирано одржавати обуке царинских службеника у циљу препознавања ризика од финансирања тероризма;</w:t>
            </w:r>
          </w:p>
        </w:tc>
        <w:tc>
          <w:tcPr>
            <w:tcW w:w="44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УЦ</w:t>
            </w:r>
          </w:p>
        </w:tc>
        <w:tc>
          <w:tcPr>
            <w:tcW w:w="485" w:type="pct"/>
            <w:shd w:val="clear" w:color="auto" w:fill="auto"/>
          </w:tcPr>
          <w:p w:rsidR="009A6D0D" w:rsidRPr="001A4D2F" w:rsidRDefault="00A366A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УСПН, МУП</w:t>
            </w:r>
          </w:p>
        </w:tc>
        <w:tc>
          <w:tcPr>
            <w:tcW w:w="454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15" w:type="pct"/>
            <w:shd w:val="clear" w:color="auto" w:fill="auto"/>
          </w:tcPr>
          <w:p w:rsidR="009A6D0D" w:rsidRPr="001A4D2F" w:rsidRDefault="009A6D0D" w:rsidP="0003799E">
            <w:pPr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запослених/Средства међународних донатора</w:t>
            </w:r>
          </w:p>
        </w:tc>
        <w:tc>
          <w:tcPr>
            <w:tcW w:w="453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  <w:tc>
          <w:tcPr>
            <w:tcW w:w="550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  <w:tc>
          <w:tcPr>
            <w:tcW w:w="518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  <w:tc>
          <w:tcPr>
            <w:tcW w:w="539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</w:trPr>
        <w:tc>
          <w:tcPr>
            <w:tcW w:w="938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4.2.3 </w:t>
            </w:r>
            <w:r w:rsidR="000C4208" w:rsidRPr="001A4D2F">
              <w:rPr>
                <w:lang w:val="sr-Cyrl-CS"/>
              </w:rPr>
              <w:t>Сагледавање алтернативних начина за пренос имовине и коришћења савремених технологија (виртуелна имовина, стране институције за пренос новца и др.) за финансирање тероризма и усвојити нове мере према потреби;</w:t>
            </w:r>
          </w:p>
        </w:tc>
        <w:tc>
          <w:tcPr>
            <w:tcW w:w="44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НКТ</w:t>
            </w:r>
          </w:p>
        </w:tc>
        <w:tc>
          <w:tcPr>
            <w:tcW w:w="485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НБС, КХОВ,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БИА,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МУП</w:t>
            </w:r>
            <w:r w:rsidR="00294720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УСПН,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КСНБиЗТП</w:t>
            </w:r>
          </w:p>
        </w:tc>
        <w:tc>
          <w:tcPr>
            <w:tcW w:w="454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Анализа: IV квартал 2021; Усвајање нових мера: IV квартал 2022.</w:t>
            </w:r>
          </w:p>
        </w:tc>
        <w:tc>
          <w:tcPr>
            <w:tcW w:w="615" w:type="pct"/>
            <w:shd w:val="clear" w:color="auto" w:fill="auto"/>
          </w:tcPr>
          <w:p w:rsidR="009A6D0D" w:rsidRPr="001A4D2F" w:rsidRDefault="009A6D0D" w:rsidP="00C11F8E">
            <w:pPr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запослених/Средства међународних донатора</w:t>
            </w:r>
          </w:p>
        </w:tc>
        <w:tc>
          <w:tcPr>
            <w:tcW w:w="45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5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</w:tbl>
    <w:p w:rsidR="00FC4AE1" w:rsidRPr="001A4D2F" w:rsidRDefault="00FC4AE1" w:rsidP="00C11F8E">
      <w:pPr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1845"/>
        <w:gridCol w:w="2538"/>
        <w:gridCol w:w="153"/>
        <w:gridCol w:w="1418"/>
        <w:gridCol w:w="883"/>
        <w:gridCol w:w="1446"/>
        <w:gridCol w:w="8"/>
        <w:gridCol w:w="1491"/>
        <w:gridCol w:w="1423"/>
      </w:tblGrid>
      <w:tr w:rsidR="00E81497" w:rsidRPr="001A4D2F" w:rsidTr="0003799E">
        <w:trPr>
          <w:trHeight w:val="169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1A47C0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8" w:name="_Toc32409921"/>
            <w:r w:rsidRPr="001A4D2F">
              <w:rPr>
                <w:rFonts w:cs="Times New Roman"/>
                <w:sz w:val="24"/>
                <w:lang w:val="sr-Cyrl-CS"/>
              </w:rPr>
              <w:lastRenderedPageBreak/>
              <w:t xml:space="preserve">Мера 4.3: 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Унапређење </w:t>
            </w:r>
            <w:r w:rsidR="001A47C0" w:rsidRPr="001A4D2F">
              <w:rPr>
                <w:rFonts w:cs="Times New Roman"/>
                <w:sz w:val="24"/>
                <w:lang w:val="sr-Cyrl-CS"/>
              </w:rPr>
              <w:t>оквира за спречавање злоупотребе непрофитног сектора у сврхе финансирања тероризма кроз активну сарадњу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 између јавног и непрофитног сектора</w:t>
            </w:r>
            <w:bookmarkEnd w:id="18"/>
          </w:p>
        </w:tc>
      </w:tr>
      <w:tr w:rsidR="00E81497" w:rsidRPr="001A4D2F" w:rsidTr="0003799E">
        <w:trPr>
          <w:trHeight w:val="300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rFonts w:eastAsia="Times New Roman"/>
                <w:color w:val="222222"/>
                <w:lang w:val="sr-Cyrl-CS"/>
              </w:rPr>
              <w:t xml:space="preserve">Институција одговорна за праћење и контролу реализације: 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>Координационо тело за спречавање прања новца и финансирања тероризма</w:t>
            </w:r>
          </w:p>
        </w:tc>
      </w:tr>
      <w:tr w:rsidR="00E81497" w:rsidRPr="001A4D2F" w:rsidTr="0054380B">
        <w:trPr>
          <w:trHeight w:val="300"/>
        </w:trPr>
        <w:tc>
          <w:tcPr>
            <w:tcW w:w="25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1A47C0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411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224C1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224C1E" w:rsidRPr="001A4D2F">
              <w:rPr>
                <w:lang w:val="sr-Cyrl-CS"/>
              </w:rPr>
              <w:t xml:space="preserve"> </w:t>
            </w:r>
            <w:r w:rsidR="003030E6" w:rsidRPr="001A4D2F">
              <w:rPr>
                <w:lang w:val="sr-Cyrl-CS"/>
              </w:rPr>
              <w:t>Институционално управљачко организациона</w:t>
            </w:r>
          </w:p>
        </w:tc>
      </w:tr>
      <w:tr w:rsidR="00F3347F" w:rsidRPr="001A4D2F" w:rsidTr="00F3347F">
        <w:trPr>
          <w:trHeight w:val="955"/>
        </w:trPr>
        <w:tc>
          <w:tcPr>
            <w:tcW w:w="104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65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951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50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31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514" w:type="pct"/>
            <w:gridSpan w:val="2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527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503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885F9C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224C1E" w:rsidRPr="001A4D2F" w:rsidTr="00F3347F">
        <w:trPr>
          <w:trHeight w:val="304"/>
        </w:trPr>
        <w:tc>
          <w:tcPr>
            <w:tcW w:w="104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>Оцена усклађености са међународним стандардима, на годишњем нивоу</w:t>
            </w:r>
          </w:p>
        </w:tc>
        <w:tc>
          <w:tcPr>
            <w:tcW w:w="6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а) неусклађен</w:t>
            </w:r>
          </w:p>
          <w:p w:rsidR="00224C1E" w:rsidRPr="001A4D2F" w:rsidRDefault="00BF22F8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б) дели</w:t>
            </w:r>
            <w:r w:rsidR="00224C1E" w:rsidRPr="001A4D2F">
              <w:rPr>
                <w:color w:val="auto"/>
                <w:lang w:val="sr-Cyrl-CS"/>
              </w:rPr>
              <w:t>мично усклађен</w:t>
            </w:r>
          </w:p>
          <w:p w:rsidR="00224C1E" w:rsidRPr="001A4D2F" w:rsidRDefault="00224C1E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в) у великој мери усклађен</w:t>
            </w:r>
          </w:p>
          <w:p w:rsidR="00224C1E" w:rsidRPr="001A4D2F" w:rsidRDefault="00224C1E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г) усклађен</w:t>
            </w:r>
          </w:p>
        </w:tc>
        <w:tc>
          <w:tcPr>
            <w:tcW w:w="95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надлежних органа; Извештај релевантних међународних организација</w:t>
            </w:r>
          </w:p>
        </w:tc>
        <w:tc>
          <w:tcPr>
            <w:tcW w:w="5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Оквир у „великој мери усклађен“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1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Најмање у великој мери усклађен</w:t>
            </w:r>
          </w:p>
        </w:tc>
        <w:tc>
          <w:tcPr>
            <w:tcW w:w="5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Најмање у великој мери усклађен</w:t>
            </w:r>
          </w:p>
        </w:tc>
        <w:tc>
          <w:tcPr>
            <w:tcW w:w="5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Најмање у великој мери усклађен</w:t>
            </w:r>
          </w:p>
        </w:tc>
      </w:tr>
      <w:tr w:rsidR="000A3B0D" w:rsidRPr="001A4D2F" w:rsidTr="00F3347F">
        <w:trPr>
          <w:trHeight w:val="595"/>
        </w:trPr>
        <w:tc>
          <w:tcPr>
            <w:tcW w:w="104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0A3B0D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Заступљеност </w:t>
            </w:r>
            <w:r w:rsidR="0003799E" w:rsidRPr="001A4D2F">
              <w:rPr>
                <w:lang w:val="sr-Cyrl-CS"/>
              </w:rPr>
              <w:t xml:space="preserve">непрофитних организација </w:t>
            </w:r>
            <w:r w:rsidRPr="001A4D2F">
              <w:rPr>
                <w:lang w:val="sr-Cyrl-CS"/>
              </w:rPr>
              <w:t>у релевантним активностима</w:t>
            </w:r>
            <w:r w:rsidR="00224C1E" w:rsidRPr="001A4D2F">
              <w:rPr>
                <w:lang w:val="sr-Cyrl-CS"/>
              </w:rPr>
              <w:t>, на годишњем нивоу</w:t>
            </w:r>
          </w:p>
        </w:tc>
        <w:tc>
          <w:tcPr>
            <w:tcW w:w="6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AD151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Да/Не</w:t>
            </w:r>
          </w:p>
        </w:tc>
        <w:tc>
          <w:tcPr>
            <w:tcW w:w="95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54380B" w:rsidP="0054380B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И</w:t>
            </w:r>
            <w:r w:rsidR="0003799E" w:rsidRPr="001A4D2F">
              <w:rPr>
                <w:lang w:val="sr-Cyrl-CS"/>
              </w:rPr>
              <w:t>зве</w:t>
            </w:r>
            <w:r w:rsidRPr="001A4D2F">
              <w:rPr>
                <w:lang w:val="sr-Cyrl-CS"/>
              </w:rPr>
              <w:t>штаји о спроведеним активностима</w:t>
            </w:r>
            <w:r w:rsidR="00F127CA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t>и модалитетима учешћа непрофитних организација у њима</w:t>
            </w:r>
          </w:p>
        </w:tc>
        <w:tc>
          <w:tcPr>
            <w:tcW w:w="5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AD151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AD151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51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AD151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AD151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  <w:tc>
          <w:tcPr>
            <w:tcW w:w="5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AD151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Да</w:t>
            </w:r>
          </w:p>
        </w:tc>
      </w:tr>
    </w:tbl>
    <w:p w:rsidR="00FC4AE1" w:rsidRDefault="00FC4AE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Pr="00566361" w:rsidRDefault="00566361" w:rsidP="00C11F8E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1"/>
        <w:gridCol w:w="1479"/>
        <w:gridCol w:w="1350"/>
        <w:gridCol w:w="1265"/>
        <w:gridCol w:w="1712"/>
        <w:gridCol w:w="1262"/>
        <w:gridCol w:w="1531"/>
        <w:gridCol w:w="1443"/>
        <w:gridCol w:w="1494"/>
      </w:tblGrid>
      <w:tr w:rsidR="00E81497" w:rsidRPr="001A4D2F" w:rsidTr="00D53854">
        <w:trPr>
          <w:trHeight w:val="140"/>
          <w:tblHeader/>
        </w:trPr>
        <w:tc>
          <w:tcPr>
            <w:tcW w:w="92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7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Рок за завршетак активности</w:t>
            </w:r>
          </w:p>
        </w:tc>
        <w:tc>
          <w:tcPr>
            <w:tcW w:w="60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4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566361">
              <w:rPr>
                <w:b/>
                <w:sz w:val="16"/>
                <w:szCs w:val="16"/>
                <w:lang w:val="sr-Cyrl-CS"/>
              </w:rPr>
              <w:t>програмским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буџетом</w:t>
            </w:r>
          </w:p>
          <w:p w:rsidR="00E81497" w:rsidRPr="00566361" w:rsidRDefault="00E8149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7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876914" w:rsidRPr="001A4D2F" w:rsidTr="00C11F8E">
        <w:trPr>
          <w:trHeight w:val="386"/>
          <w:tblHeader/>
        </w:trPr>
        <w:tc>
          <w:tcPr>
            <w:tcW w:w="92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76914" w:rsidRPr="00566361" w:rsidRDefault="00876914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23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77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47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46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1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2020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10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2021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28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2022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9A6D0D" w:rsidRPr="001A4D2F" w:rsidTr="001F1495">
        <w:trPr>
          <w:trHeight w:val="2401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4.3.1. У партиципативном процесу, анализирати прописе везане за рад надлежних органа у вези са уписом и брисањем из регистра, евиденцијом, надзором и сарадњом са непрофитним организацијама и по потреби их прилагођавати;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МДУЛС, </w:t>
            </w:r>
            <w:r w:rsidR="00294720" w:rsidRPr="001A4D2F">
              <w:rPr>
                <w:lang w:val="sr-Cyrl-CS"/>
              </w:rPr>
              <w:t>МКИ</w:t>
            </w:r>
            <w:r w:rsidRPr="001A4D2F">
              <w:rPr>
                <w:lang w:val="sr-Cyrl-CS"/>
              </w:rPr>
              <w:t xml:space="preserve">, </w:t>
            </w:r>
            <w:r w:rsidR="00294720" w:rsidRPr="001A4D2F">
              <w:rPr>
                <w:lang w:val="sr-Cyrl-CS"/>
              </w:rPr>
              <w:t>КЗСЦД</w:t>
            </w:r>
            <w:r w:rsidRPr="001A4D2F">
              <w:rPr>
                <w:lang w:val="sr-Cyrl-CS"/>
              </w:rPr>
              <w:t xml:space="preserve">, </w:t>
            </w:r>
            <w:r w:rsidR="00294720" w:rsidRPr="001A4D2F">
              <w:rPr>
                <w:lang w:val="sr-Cyrl-CS"/>
              </w:rPr>
              <w:t xml:space="preserve">МПРИВ </w:t>
            </w:r>
            <w:r w:rsidRPr="001A4D2F">
              <w:rPr>
                <w:lang w:val="sr-Cyrl-CS"/>
              </w:rPr>
              <w:t xml:space="preserve">– АПР, </w:t>
            </w:r>
            <w:r w:rsidR="00294720" w:rsidRPr="001A4D2F">
              <w:rPr>
                <w:lang w:val="sr-Cyrl-CS"/>
              </w:rPr>
              <w:t>РГНПО</w:t>
            </w:r>
            <w:r w:rsidRPr="001A4D2F">
              <w:rPr>
                <w:lang w:val="sr-Cyrl-CS"/>
              </w:rPr>
              <w:t>, НПО сектор,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54380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Анализа прописа: IV квартал 2021; Прилагођавање резултатима анализе: 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C11F8E">
            <w:pPr>
              <w:rPr>
                <w:lang w:val="sr-Cyrl-CS"/>
              </w:rPr>
            </w:pPr>
          </w:p>
          <w:p w:rsidR="009A6D0D" w:rsidRPr="001A4D2F" w:rsidRDefault="009A6D0D" w:rsidP="001F1495">
            <w:pPr>
              <w:pStyle w:val="basic-paragraph"/>
              <w:rPr>
                <w:lang w:val="sr-Cyrl-CS"/>
              </w:rPr>
            </w:pPr>
            <w:r w:rsidRPr="001A4D2F">
              <w:rPr>
                <w:lang w:val="sr-Cyrl-CS"/>
              </w:rPr>
              <w:t>Средства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4.3.2 Ажурирање анализе непрофитног сектора, у партиципативном процесу</w:t>
            </w:r>
            <w:r w:rsidR="003F46B0">
              <w:rPr>
                <w:lang w:val="sr-Cyrl-CS"/>
              </w:rPr>
              <w:t>, са аспекта рањивости од финан</w:t>
            </w:r>
            <w:r w:rsidRPr="001A4D2F">
              <w:rPr>
                <w:lang w:val="sr-Cyrl-CS"/>
              </w:rPr>
              <w:t>сирања тероризма;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9A6D0D" w:rsidP="0029472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МДУЛС, </w:t>
            </w:r>
            <w:r w:rsidR="00294720" w:rsidRPr="001A4D2F">
              <w:rPr>
                <w:lang w:val="sr-Cyrl-CS"/>
              </w:rPr>
              <w:t>МКИ</w:t>
            </w:r>
            <w:r w:rsidRPr="001A4D2F">
              <w:rPr>
                <w:lang w:val="sr-Cyrl-CS"/>
              </w:rPr>
              <w:t xml:space="preserve">, МФ, АПР, </w:t>
            </w:r>
            <w:r w:rsidR="00294720" w:rsidRPr="001A4D2F">
              <w:rPr>
                <w:lang w:val="sr-Cyrl-CS"/>
              </w:rPr>
              <w:t>КЗСЦД</w:t>
            </w:r>
            <w:r w:rsidRPr="001A4D2F">
              <w:rPr>
                <w:lang w:val="sr-Cyrl-CS"/>
              </w:rPr>
              <w:t xml:space="preserve">, </w:t>
            </w:r>
            <w:r w:rsidR="00294720" w:rsidRPr="001A4D2F">
              <w:rPr>
                <w:lang w:val="sr-Cyrl-CS"/>
              </w:rPr>
              <w:t>РГНПО</w:t>
            </w:r>
            <w:r w:rsidRPr="001A4D2F">
              <w:rPr>
                <w:lang w:val="sr-Cyrl-CS"/>
              </w:rPr>
              <w:t>, НКТ, НПО Сектор,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>Средства домаћих и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B13E8">
        <w:trPr>
          <w:trHeight w:val="1884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Del="004B2CB5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4.3.3 Наставити са спровођењем надзора над непрофитним организацијама, анализирати резултате и састављати статистичке извештаје о спроведеним надзорима; 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294720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ККЗИН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294720" w:rsidP="0029472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РГНПО</w:t>
            </w:r>
            <w:r w:rsidR="009A6D0D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МКИ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highlight w:val="yellow"/>
                <w:lang w:val="sr-Cyrl-CS"/>
              </w:rPr>
            </w:pP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4.3.4 Ажурирати критеријуме и процедуре за спровођење надзора над непрофитним организацијама (Матрица ризика) 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294720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ККЗИН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294720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РГНПО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C11F8E">
            <w:pPr>
              <w:rPr>
                <w:highlight w:val="yellow"/>
                <w:lang w:val="sr-Cyrl-CS"/>
              </w:rPr>
            </w:pP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4.3.5 Унапредити сарадњу са непрофитним сектором и донаторима кроз промовисање транспарентности, одговорности, интегритета, механизама саморегулације, вршења едукације и размене примера добре праксе у сврху смањења ризика њихове злоупотребе од финансирања тероризма;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065149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КСЦД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9A6D0D" w:rsidP="0006514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КТ, НПО сектор, донатори, УСПН, МУП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домаћих и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B13E8">
        <w:trPr>
          <w:trHeight w:val="1946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081B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4.3.6 Анализи</w:t>
            </w:r>
            <w:r w:rsidR="009A6D0D" w:rsidRPr="001A4D2F">
              <w:rPr>
                <w:lang w:val="sr-Cyrl-CS"/>
              </w:rPr>
              <w:t xml:space="preserve">рати постојеће кадровске, технолошке и финансијске капацитете органа надлежних за за упис и брисање, евиденцију, надзор и сарадњу са непрофитним сектором 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8E086E" w:rsidP="00F901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МДУЛС –</w:t>
            </w:r>
            <w:r w:rsidR="00F90196" w:rsidRPr="001A4D2F">
              <w:rPr>
                <w:lang w:val="sr-Cyrl-CS"/>
              </w:rPr>
              <w:t>УИ</w:t>
            </w:r>
            <w:r w:rsidR="009A6D0D" w:rsidRPr="001A4D2F">
              <w:rPr>
                <w:lang w:val="sr-Cyrl-CS"/>
              </w:rPr>
              <w:t xml:space="preserve">, </w:t>
            </w:r>
            <w:r w:rsidR="00065149" w:rsidRPr="001A4D2F">
              <w:rPr>
                <w:lang w:val="sr-Cyrl-CS"/>
              </w:rPr>
              <w:t>МКИ</w:t>
            </w:r>
            <w:r w:rsidR="009A6D0D" w:rsidRPr="001A4D2F">
              <w:rPr>
                <w:lang w:val="sr-Cyrl-CS"/>
              </w:rPr>
              <w:t xml:space="preserve">, </w:t>
            </w:r>
            <w:r w:rsidR="00065149" w:rsidRPr="001A4D2F">
              <w:rPr>
                <w:lang w:val="sr-Cyrl-CS"/>
              </w:rPr>
              <w:t>КСЦД</w:t>
            </w:r>
            <w:r w:rsidR="009A6D0D" w:rsidRPr="001A4D2F">
              <w:rPr>
                <w:lang w:val="sr-Cyrl-CS"/>
              </w:rPr>
              <w:t xml:space="preserve">, </w:t>
            </w:r>
            <w:r w:rsidR="00065149" w:rsidRPr="001A4D2F">
              <w:rPr>
                <w:lang w:val="sr-Cyrl-CS"/>
              </w:rPr>
              <w:t xml:space="preserve">МПРИВ </w:t>
            </w:r>
            <w:r w:rsidR="009A6D0D" w:rsidRPr="001A4D2F">
              <w:rPr>
                <w:lang w:val="sr-Cyrl-CS"/>
              </w:rPr>
              <w:t xml:space="preserve">– АПР, МФ, </w:t>
            </w:r>
            <w:r w:rsidR="00065149" w:rsidRPr="001A4D2F">
              <w:rPr>
                <w:lang w:val="sr-Cyrl-CS"/>
              </w:rPr>
              <w:t>РГНПО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3F6C47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Анализа: IV квартал 2021. 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домаћих и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4.3.7 Унапредити систем и капацитете надлежних органа у складу са анализом из 4.3.6;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065149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ВРС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F42CD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Сходно резултатима анализе. Биће предмет ажурираног акционог плана. 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4.3.8 Наставити са одржавањем обука инспектора надлежних институција за надзор непрофитног сектора;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065149" w:rsidP="0006514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ККЗИН</w:t>
            </w:r>
            <w:r w:rsidR="009A6D0D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РГНПО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домаћих и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4.3.9 Повећање информисаности непрофитног сектора и подизање свести о дозвољеним начинима финансијског пословања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  <w:r w:rsidRPr="001A4D2F" w:rsidDel="004F2A90">
              <w:rPr>
                <w:lang w:val="sr-Cyrl-CS"/>
              </w:rPr>
              <w:t xml:space="preserve"> 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НБС, МДУЛС,</w:t>
            </w:r>
          </w:p>
          <w:p w:rsidR="009A6D0D" w:rsidRPr="001A4D2F" w:rsidRDefault="00065149" w:rsidP="0006514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MKИ</w:t>
            </w:r>
            <w:r w:rsidR="009A6D0D" w:rsidRPr="001A4D2F">
              <w:rPr>
                <w:lang w:val="sr-Cyrl-CS"/>
              </w:rPr>
              <w:t xml:space="preserve">, </w:t>
            </w:r>
            <w:r w:rsidRPr="001A4D2F">
              <w:rPr>
                <w:lang w:val="sr-Cyrl-CS"/>
              </w:rPr>
              <w:t>КСЦД</w:t>
            </w:r>
            <w:r w:rsidR="009A6D0D" w:rsidRPr="001A4D2F">
              <w:rPr>
                <w:lang w:val="sr-Cyrl-CS"/>
              </w:rPr>
              <w:t>, НПО сектор</w:t>
            </w:r>
            <w:r w:rsidRPr="001A4D2F">
              <w:rPr>
                <w:lang w:val="sr-Cyrl-CS"/>
              </w:rPr>
              <w:t>,</w:t>
            </w:r>
            <w:r w:rsidR="00054ACF">
              <w:rPr>
                <w:lang w:val="sr-Cyrl-CS"/>
              </w:rPr>
              <w:t xml:space="preserve"> </w:t>
            </w:r>
            <w:r w:rsidR="009A6D0D" w:rsidRPr="001A4D2F">
              <w:rPr>
                <w:lang w:val="sr-Cyrl-CS"/>
              </w:rPr>
              <w:t>УСПН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домаћих и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4.3.10 Водити ажуриране евиденције о активностима непрофитног сектора по питању саморегулације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8E086E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КСЦД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НПО сектор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Средства домаћих и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E81497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E81497" w:rsidRPr="001A4D2F" w:rsidRDefault="003F6C47" w:rsidP="00C11F8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4.3.11</w:t>
            </w:r>
            <w:r w:rsidR="00B02F59" w:rsidRPr="001A4D2F">
              <w:rPr>
                <w:color w:val="auto"/>
                <w:lang w:val="sr-Cyrl-CS"/>
              </w:rPr>
              <w:t xml:space="preserve"> </w:t>
            </w:r>
            <w:r w:rsidR="00E81497" w:rsidRPr="001A4D2F">
              <w:rPr>
                <w:color w:val="auto"/>
                <w:lang w:val="sr-Cyrl-CS"/>
              </w:rPr>
              <w:t>Унапредити веб апликацију за претрагу означених лица и наставити њену промоцију;</w:t>
            </w:r>
          </w:p>
        </w:tc>
        <w:tc>
          <w:tcPr>
            <w:tcW w:w="523" w:type="pct"/>
            <w:shd w:val="clear" w:color="auto" w:fill="auto"/>
          </w:tcPr>
          <w:p w:rsidR="00E81497" w:rsidRPr="001A4D2F" w:rsidRDefault="00E81497" w:rsidP="00C11F8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УСПН</w:t>
            </w:r>
          </w:p>
        </w:tc>
        <w:tc>
          <w:tcPr>
            <w:tcW w:w="477" w:type="pct"/>
            <w:shd w:val="clear" w:color="auto" w:fill="auto"/>
          </w:tcPr>
          <w:p w:rsidR="00E81497" w:rsidRPr="001A4D2F" w:rsidRDefault="00E81497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447" w:type="pct"/>
            <w:shd w:val="clear" w:color="auto" w:fill="auto"/>
          </w:tcPr>
          <w:p w:rsidR="00E81497" w:rsidRPr="001A4D2F" w:rsidRDefault="003F6C47" w:rsidP="00C11F8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IV квартал 2022.</w:t>
            </w:r>
          </w:p>
        </w:tc>
        <w:tc>
          <w:tcPr>
            <w:tcW w:w="605" w:type="pct"/>
            <w:shd w:val="clear" w:color="auto" w:fill="auto"/>
          </w:tcPr>
          <w:p w:rsidR="000553F1" w:rsidRPr="001A4D2F" w:rsidRDefault="000553F1" w:rsidP="000553F1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Финансира се у оквиру редовних активности запослених</w:t>
            </w:r>
          </w:p>
          <w:p w:rsidR="000553F1" w:rsidRPr="001A4D2F" w:rsidRDefault="000553F1" w:rsidP="000553F1">
            <w:pPr>
              <w:rPr>
                <w:color w:val="auto"/>
                <w:lang w:val="sr-Cyrl-CS"/>
              </w:rPr>
            </w:pPr>
          </w:p>
          <w:p w:rsidR="00E81497" w:rsidRPr="001A4D2F" w:rsidRDefault="000553F1" w:rsidP="000553F1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Средства домаћих и међународних донатора</w:t>
            </w:r>
          </w:p>
        </w:tc>
        <w:tc>
          <w:tcPr>
            <w:tcW w:w="446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</w:tr>
    </w:tbl>
    <w:p w:rsidR="00FC4AE1" w:rsidRDefault="00FC4AE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Pr="00566361" w:rsidRDefault="00566361" w:rsidP="00C11F8E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1449"/>
        <w:gridCol w:w="1685"/>
        <w:gridCol w:w="962"/>
        <w:gridCol w:w="750"/>
        <w:gridCol w:w="1686"/>
        <w:gridCol w:w="1518"/>
        <w:gridCol w:w="1243"/>
        <w:gridCol w:w="1645"/>
      </w:tblGrid>
      <w:tr w:rsidR="00E81497" w:rsidRPr="001A4D2F" w:rsidTr="00C11F8E">
        <w:trPr>
          <w:trHeight w:val="30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6301B6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9" w:name="_Toc32409922"/>
            <w:r w:rsidRPr="001A4D2F">
              <w:rPr>
                <w:rFonts w:cs="Times New Roman"/>
                <w:sz w:val="24"/>
                <w:lang w:val="sr-Cyrl-CS"/>
              </w:rPr>
              <w:lastRenderedPageBreak/>
              <w:t>Мера 4.4: Унапређење и ефикасна примена нормативног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оквир</w:t>
            </w:r>
            <w:r w:rsidRPr="001A4D2F">
              <w:rPr>
                <w:rFonts w:cs="Times New Roman"/>
                <w:sz w:val="24"/>
                <w:lang w:val="sr-Cyrl-CS"/>
              </w:rPr>
              <w:t>а који се односи на спречавање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финансирања тероризма</w:t>
            </w:r>
            <w:bookmarkEnd w:id="19"/>
          </w:p>
        </w:tc>
      </w:tr>
      <w:tr w:rsidR="00E81497" w:rsidRPr="001A4D2F" w:rsidTr="00C11F8E">
        <w:trPr>
          <w:trHeight w:val="351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Орган oдговоран за спровођење (координисање спровођења) мере: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Координационо тело за спречавање прања новца и финансирања тероризма</w:t>
            </w:r>
          </w:p>
        </w:tc>
      </w:tr>
      <w:tr w:rsidR="00E81497" w:rsidRPr="001A4D2F" w:rsidTr="00B5332F">
        <w:trPr>
          <w:trHeight w:val="258"/>
        </w:trPr>
        <w:tc>
          <w:tcPr>
            <w:tcW w:w="252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Период спровођења:</w:t>
            </w:r>
            <w:r w:rsidR="003F6C47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47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E8149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Тип мере:</w:t>
            </w:r>
            <w:r w:rsidR="003030E6" w:rsidRPr="001A4D2F">
              <w:rPr>
                <w:lang w:val="sr-Cyrl-CS"/>
              </w:rPr>
              <w:t xml:space="preserve"> Институционално управљачко организациона</w:t>
            </w:r>
          </w:p>
        </w:tc>
      </w:tr>
      <w:tr w:rsidR="00F3347F" w:rsidRPr="001A4D2F" w:rsidTr="00CB13E8">
        <w:trPr>
          <w:trHeight w:val="596"/>
        </w:trPr>
        <w:tc>
          <w:tcPr>
            <w:tcW w:w="1145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Показатељ(и) на нивоу мере (показатељ резултата)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Jединица мере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50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Извор провере</w:t>
            </w:r>
          </w:p>
        </w:tc>
        <w:tc>
          <w:tcPr>
            <w:tcW w:w="62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Почетна вредност 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Базна година</w:t>
            </w:r>
          </w:p>
        </w:tc>
        <w:tc>
          <w:tcPr>
            <w:tcW w:w="547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2020.</w:t>
            </w:r>
          </w:p>
        </w:tc>
        <w:tc>
          <w:tcPr>
            <w:tcW w:w="450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F3347F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2021.</w:t>
            </w:r>
          </w:p>
        </w:tc>
        <w:tc>
          <w:tcPr>
            <w:tcW w:w="59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885F9C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Циљана вредност у години 2022.</w:t>
            </w:r>
          </w:p>
        </w:tc>
      </w:tr>
      <w:tr w:rsidR="00B5332F" w:rsidRPr="001A4D2F" w:rsidTr="00B5332F">
        <w:trPr>
          <w:trHeight w:val="339"/>
        </w:trPr>
        <w:tc>
          <w:tcPr>
            <w:tcW w:w="1145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3F6C47">
            <w:pPr>
              <w:shd w:val="clear" w:color="auto" w:fill="FFFFFF"/>
              <w:rPr>
                <w:highlight w:val="yellow"/>
                <w:lang w:val="sr-Cyrl-CS"/>
              </w:rPr>
            </w:pPr>
            <w:r w:rsidRPr="001A4D2F">
              <w:rPr>
                <w:lang w:val="sr-Cyrl-CS"/>
              </w:rPr>
              <w:t xml:space="preserve">Оцена усклађености са </w:t>
            </w:r>
            <w:r w:rsidR="00224C1E" w:rsidRPr="001A4D2F">
              <w:rPr>
                <w:lang w:val="sr-Cyrl-CS"/>
              </w:rPr>
              <w:t xml:space="preserve">релевантним </w:t>
            </w:r>
            <w:r w:rsidRPr="001A4D2F">
              <w:rPr>
                <w:lang w:val="sr-Cyrl-CS"/>
              </w:rPr>
              <w:t>међународним стандардима, на годишњем нивоу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а) неусклађен</w:t>
            </w:r>
          </w:p>
          <w:p w:rsidR="00B5332F" w:rsidRPr="001A4D2F" w:rsidRDefault="00E626ED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б) дели</w:t>
            </w:r>
            <w:r w:rsidR="00B5332F" w:rsidRPr="001A4D2F">
              <w:rPr>
                <w:color w:val="auto"/>
                <w:lang w:val="sr-Cyrl-CS"/>
              </w:rPr>
              <w:t>мично усклађен</w:t>
            </w:r>
          </w:p>
          <w:p w:rsidR="00B5332F" w:rsidRPr="001A4D2F" w:rsidRDefault="00B5332F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в) у великој мери усклађен</w:t>
            </w:r>
          </w:p>
          <w:p w:rsidR="00B5332F" w:rsidRPr="001A4D2F" w:rsidRDefault="00B5332F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г) усклађен</w:t>
            </w:r>
          </w:p>
        </w:tc>
        <w:tc>
          <w:tcPr>
            <w:tcW w:w="509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B5332F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Извештај надлежних органа; Извештај релевантних међународних организација</w:t>
            </w:r>
          </w:p>
        </w:tc>
        <w:tc>
          <w:tcPr>
            <w:tcW w:w="627" w:type="pct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3F6C47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Оквир у „великој мери усклађен</w:t>
            </w:r>
            <w:r w:rsidR="003B30BF" w:rsidRPr="001A4D2F">
              <w:rPr>
                <w:rFonts w:eastAsia="Times New Roman"/>
                <w:color w:val="auto"/>
                <w:kern w:val="0"/>
                <w:lang w:val="sr-Cyrl-CS"/>
              </w:rPr>
              <w:t>”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3F6C47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4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B5332F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Најмање у великој мери усклађен</w:t>
            </w:r>
          </w:p>
        </w:tc>
        <w:tc>
          <w:tcPr>
            <w:tcW w:w="450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B5332F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Најмање у великој мери усклађен</w:t>
            </w:r>
          </w:p>
        </w:tc>
        <w:tc>
          <w:tcPr>
            <w:tcW w:w="592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B5332F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Најмање у великој мери усклађен</w:t>
            </w:r>
          </w:p>
        </w:tc>
      </w:tr>
    </w:tbl>
    <w:p w:rsidR="00FC4AE1" w:rsidRPr="001A4D2F" w:rsidRDefault="00FC4AE1" w:rsidP="00C11F8E">
      <w:pPr>
        <w:rPr>
          <w:lang w:val="sr-Cyrl-CS"/>
        </w:rPr>
      </w:pPr>
    </w:p>
    <w:p w:rsidR="00FC4AE1" w:rsidRDefault="00FC4AE1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Pr="00DB3F0B" w:rsidRDefault="00DB3F0B" w:rsidP="00C11F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2"/>
        <w:gridCol w:w="1145"/>
        <w:gridCol w:w="1242"/>
        <w:gridCol w:w="1162"/>
        <w:gridCol w:w="1573"/>
        <w:gridCol w:w="1160"/>
        <w:gridCol w:w="1956"/>
        <w:gridCol w:w="1525"/>
        <w:gridCol w:w="2010"/>
      </w:tblGrid>
      <w:tr w:rsidR="006E272C" w:rsidRPr="001A4D2F" w:rsidTr="006E272C">
        <w:trPr>
          <w:trHeight w:val="140"/>
        </w:trPr>
        <w:tc>
          <w:tcPr>
            <w:tcW w:w="84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Назив активности: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Орган који спроводи активност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 xml:space="preserve">Рок за завршетак </w:t>
            </w:r>
            <w:r w:rsidRPr="007B4D25">
              <w:rPr>
                <w:b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Извор финансирања</w:t>
            </w:r>
          </w:p>
        </w:tc>
        <w:tc>
          <w:tcPr>
            <w:tcW w:w="40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 xml:space="preserve">Веза са </w:t>
            </w:r>
            <w:r w:rsidRPr="00DB3F0B">
              <w:rPr>
                <w:b/>
                <w:sz w:val="14"/>
                <w:szCs w:val="14"/>
                <w:lang w:val="sr-Cyrl-CS"/>
              </w:rPr>
              <w:t>програмским</w:t>
            </w:r>
            <w:r w:rsidRPr="00DB3F0B">
              <w:rPr>
                <w:b/>
                <w:sz w:val="18"/>
                <w:szCs w:val="18"/>
                <w:lang w:val="sr-Cyrl-CS"/>
              </w:rPr>
              <w:t xml:space="preserve"> буџетом</w:t>
            </w:r>
          </w:p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3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1B4CBD" w:rsidRPr="001A4D2F" w:rsidTr="001B4CBD">
        <w:trPr>
          <w:trHeight w:val="386"/>
        </w:trPr>
        <w:tc>
          <w:tcPr>
            <w:tcW w:w="847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38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10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55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9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90" w:type="pct"/>
            <w:shd w:val="clear" w:color="auto" w:fill="E5DFEC" w:themeFill="accent4" w:themeFillTint="33"/>
          </w:tcPr>
          <w:p w:rsidR="001B4CBD" w:rsidRPr="00DB3F0B" w:rsidRDefault="001B4CBD" w:rsidP="006E272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1B4CBD" w:rsidRPr="00DB3F0B" w:rsidRDefault="001B4CBD" w:rsidP="006E272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09" w:type="pct"/>
            <w:shd w:val="clear" w:color="auto" w:fill="E5DFEC" w:themeFill="accent4" w:themeFillTint="33"/>
          </w:tcPr>
          <w:p w:rsidR="001B4CBD" w:rsidRPr="00DB3F0B" w:rsidRDefault="001B4CBD" w:rsidP="006E272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1B4CBD" w:rsidRPr="00DB3F0B" w:rsidRDefault="001B4CBD" w:rsidP="001B4CBD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9A6D0D" w:rsidRPr="001A4D2F" w:rsidTr="001B4CBD">
        <w:trPr>
          <w:trHeight w:val="253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contextualSpacing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4.4.1 Спровести анализу усклађености и међусобне усаглашености Закона о ограничавању располагања имовином у циљу спречавања тероризма и ширења оружја за масовно уништење и Закона о међународним мерама ограничења; 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МП,</w:t>
            </w:r>
          </w:p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МСП, УСПН 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3F6C47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IV квартал 2020.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DD68A6">
            <w:pPr>
              <w:rPr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Финансира се у </w:t>
            </w:r>
            <w:r w:rsidRPr="001A4D2F">
              <w:rPr>
                <w:color w:val="auto"/>
                <w:lang w:val="sr-Cyrl-CS"/>
              </w:rPr>
              <w:t>оквиру редовних активности запослених</w:t>
            </w:r>
          </w:p>
          <w:p w:rsidR="009A6D0D" w:rsidRPr="001A4D2F" w:rsidRDefault="009A6D0D" w:rsidP="00DD68A6">
            <w:pPr>
              <w:rPr>
                <w:color w:val="auto"/>
                <w:lang w:val="sr-Cyrl-CS"/>
              </w:rPr>
            </w:pPr>
          </w:p>
          <w:p w:rsidR="009A6D0D" w:rsidRPr="001A4D2F" w:rsidRDefault="009A6D0D" w:rsidP="00DD68A6">
            <w:pPr>
              <w:pStyle w:val="basic-paragraph"/>
              <w:spacing w:before="0" w:beforeAutospacing="0" w:after="0" w:afterAutospacing="0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Средства домаћих и </w:t>
            </w:r>
            <w:r w:rsidRPr="00566361">
              <w:rPr>
                <w:sz w:val="22"/>
                <w:szCs w:val="22"/>
                <w:lang w:val="sr-Cyrl-CS"/>
              </w:rPr>
              <w:t>међународних</w:t>
            </w:r>
            <w:r w:rsidRPr="001A4D2F">
              <w:rPr>
                <w:lang w:val="sr-Cyrl-CS"/>
              </w:rPr>
              <w:t xml:space="preserve"> донатора</w:t>
            </w:r>
          </w:p>
          <w:p w:rsidR="009A6D0D" w:rsidRPr="001A4D2F" w:rsidRDefault="009A6D0D" w:rsidP="00C11F8E">
            <w:pPr>
              <w:rPr>
                <w:highlight w:val="yellow"/>
                <w:lang w:val="sr-Cyrl-CS"/>
              </w:rPr>
            </w:pP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9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1B4CBD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4.4.2 Усагласити, по потреби, законску регулативу са резултатима анализе из 4.4.1;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9E1129" w:rsidP="00A9340A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ВРС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9A6D0D" w:rsidP="00A9340A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КТ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IV квартал 2021.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9A6D0D" w:rsidP="00DD68A6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Финансира се у оквиру редовних активности запослених</w:t>
            </w:r>
          </w:p>
          <w:p w:rsidR="009A6D0D" w:rsidRPr="001A4D2F" w:rsidRDefault="009A6D0D" w:rsidP="00DD68A6">
            <w:pPr>
              <w:rPr>
                <w:color w:val="auto"/>
                <w:lang w:val="sr-Cyrl-CS"/>
              </w:rPr>
            </w:pPr>
          </w:p>
          <w:p w:rsidR="009A6D0D" w:rsidRPr="001A4D2F" w:rsidRDefault="009A6D0D" w:rsidP="00DD68A6">
            <w:pPr>
              <w:pStyle w:val="basic-paragraph"/>
              <w:spacing w:before="0" w:beforeAutospacing="0" w:after="0" w:afterAutospacing="0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Средства домаћих и </w:t>
            </w:r>
            <w:r w:rsidRPr="00566361">
              <w:rPr>
                <w:sz w:val="22"/>
                <w:szCs w:val="22"/>
                <w:lang w:val="sr-Cyrl-CS"/>
              </w:rPr>
              <w:t xml:space="preserve">међународних </w:t>
            </w:r>
            <w:r w:rsidRPr="001A4D2F">
              <w:rPr>
                <w:lang w:val="sr-Cyrl-CS"/>
              </w:rPr>
              <w:t>донатора</w:t>
            </w:r>
          </w:p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690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709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</w:tr>
    </w:tbl>
    <w:p w:rsidR="00793779" w:rsidRPr="001A4D2F" w:rsidRDefault="00793779" w:rsidP="00C11F8E">
      <w:pPr>
        <w:rPr>
          <w:lang w:val="sr-Cyrl-CS"/>
        </w:rPr>
        <w:sectPr w:rsidR="00793779" w:rsidRPr="001A4D2F" w:rsidSect="00793779">
          <w:headerReference w:type="default" r:id="rId9"/>
          <w:footerReference w:type="default" r:id="rId10"/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2093"/>
        <w:gridCol w:w="7483"/>
      </w:tblGrid>
      <w:tr w:rsidR="005768D4" w:rsidRPr="001A4D2F" w:rsidTr="00D93CED">
        <w:tc>
          <w:tcPr>
            <w:tcW w:w="9576" w:type="dxa"/>
            <w:gridSpan w:val="2"/>
          </w:tcPr>
          <w:p w:rsidR="005768D4" w:rsidRPr="001A4D2F" w:rsidRDefault="005768D4" w:rsidP="00D93CED">
            <w:pPr>
              <w:jc w:val="center"/>
              <w:rPr>
                <w:b/>
                <w:lang w:val="sr-Cyrl-CS"/>
              </w:rPr>
            </w:pPr>
            <w:r w:rsidRPr="001A4D2F">
              <w:rPr>
                <w:b/>
                <w:lang w:val="sr-Cyrl-CS"/>
              </w:rPr>
              <w:lastRenderedPageBreak/>
              <w:t>Листа скраћеница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АБПК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Агенција за борбу против корупције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АКС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Адвокатска комора Србије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АПР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Агенција за привредне регистре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Апелациони судови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БИА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Безбедносно</w:t>
            </w:r>
            <w:r w:rsidR="00123637">
              <w:rPr>
                <w:lang w:val="sr-Cyrl-CS"/>
              </w:rPr>
              <w:t>-</w:t>
            </w:r>
            <w:r w:rsidRPr="001A4D2F">
              <w:rPr>
                <w:lang w:val="sr-Cyrl-CS"/>
              </w:rPr>
              <w:t>информативна агенција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ВБА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Војно безбедносна агенција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ВЈТ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Више јавно тужилаштво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ВКС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Врховни касациони суд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ВОА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Војно обавештајна агенција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ВРС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Влада Републике Србије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Виши суд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ВСС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Високи савет судства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ДРИ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Државна ревизорска институција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ИУП</w:t>
            </w:r>
          </w:p>
        </w:tc>
        <w:tc>
          <w:tcPr>
            <w:tcW w:w="7483" w:type="dxa"/>
          </w:tcPr>
          <w:p w:rsidR="0082149B" w:rsidRPr="001A4D2F" w:rsidRDefault="00291FF2">
            <w:pPr>
              <w:rPr>
                <w:lang w:val="sr-Cyrl-CS"/>
              </w:rPr>
            </w:pPr>
            <w:r>
              <w:rPr>
                <w:lang w:val="sr-Cyrl-CS"/>
              </w:rPr>
              <w:t>Институ</w:t>
            </w:r>
            <w:r w:rsidR="0082149B" w:rsidRPr="001A4D2F">
              <w:rPr>
                <w:lang w:val="sr-Cyrl-CS"/>
              </w:rPr>
              <w:t>т за упоредно право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ЈБК</w:t>
            </w:r>
          </w:p>
        </w:tc>
        <w:tc>
          <w:tcPr>
            <w:tcW w:w="7483" w:type="dxa"/>
          </w:tcPr>
          <w:p w:rsidR="0082149B" w:rsidRPr="001A4D2F" w:rsidRDefault="00123637">
            <w:pPr>
              <w:rPr>
                <w:lang w:val="sr-Cyrl-CS"/>
              </w:rPr>
            </w:pPr>
            <w:r>
              <w:rPr>
                <w:lang w:val="sr-Cyrl-CS"/>
              </w:rPr>
              <w:t>Јавно</w:t>
            </w:r>
            <w:r w:rsidR="0082149B" w:rsidRPr="001A4D2F">
              <w:rPr>
                <w:lang w:val="sr-Cyrl-CS"/>
              </w:rPr>
              <w:t>бележничка комора</w:t>
            </w:r>
            <w:r w:rsidRPr="001A4D2F">
              <w:rPr>
                <w:lang w:val="sr-Cyrl-CS"/>
              </w:rPr>
              <w:t xml:space="preserve"> Србије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КЗСЦД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Канцеларија за сарадњу са цивилним друштвом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ККЗИН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Координациона комисија за инспекцијски надзор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КСНБиЗТП</w:t>
            </w:r>
          </w:p>
        </w:tc>
        <w:tc>
          <w:tcPr>
            <w:tcW w:w="7483" w:type="dxa"/>
          </w:tcPr>
          <w:p w:rsidR="0082149B" w:rsidRPr="001A4D2F" w:rsidRDefault="0082149B" w:rsidP="00CB13E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Канцеларија Савета за националну безбедност и заштиту тајних података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КТ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Координационо тело за спречавање прања новца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КХОВ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Комисија за хартије од вредности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МДУЛС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државне управе и локалне самоуправе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МДУЛС-УИ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државне управе и локалне самоуправе – Управна инспекција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МКИ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културе и информисања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правде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МП-ДУОИ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правде – Дирекција за управљање одузетом имовином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МПРИВ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привреде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МТТТ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трговине,</w:t>
            </w:r>
            <w:r w:rsidR="00BF2D2D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t>туризма и телекомуникација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МУП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унутрашњих послова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МФИН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Министарство финансија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</w:t>
            </w:r>
          </w:p>
        </w:tc>
        <w:tc>
          <w:tcPr>
            <w:tcW w:w="7483" w:type="dxa"/>
          </w:tcPr>
          <w:p w:rsidR="0082149B" w:rsidRPr="001A4D2F" w:rsidRDefault="00BC6F2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Надзорни органи по Закону о спречавању прања новца и финансирања тероризма (</w:t>
            </w:r>
            <w:r w:rsidR="0082149B" w:rsidRPr="001A4D2F">
              <w:rPr>
                <w:lang w:val="sr-Cyrl-CS"/>
              </w:rPr>
              <w:t>НБС, МТТТ, КХОВ, ЈБК, АКС, УИС, УСПН, ПУ</w:t>
            </w:r>
            <w:r w:rsidRPr="001A4D2F">
              <w:rPr>
                <w:lang w:val="sr-Cyrl-CS"/>
              </w:rPr>
              <w:t>)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НБС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Народна банка Србије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НКТ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Национално координационо тело за спречавање и борбу против тероризма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НПО сектор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Непрофитни сектор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ПА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Правосудна академија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ПАС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Прекршајни апелациони суд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ПКС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Привредна комора Србије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ПОЛА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Полицијска академија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ПП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Пореска полиција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ПРИВС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Привредни суд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Прекршајни суд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ПУ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Пореска управа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РГЗ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Републички геодетски завод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РГНПО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Радна група за надзор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РДИ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Републичка дирекција за имовину Републике Србије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РЈТ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Републичко јавно тужилаштво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РФЗО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Републички фонд за здравствено осигурање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РФПИО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Републички фонд за пензијско и инвалидско осигурање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ТОК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Тужилаштво за организовани криминал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УГП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Управа граничне полиције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УИС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Управа за игре на срећу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УЈН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Управа за јавне набавке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УСПН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Управа за спречавање прања новца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УЦ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Управа царина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ЦРХОВ</w:t>
            </w:r>
          </w:p>
        </w:tc>
        <w:tc>
          <w:tcPr>
            <w:tcW w:w="7483" w:type="dxa"/>
          </w:tcPr>
          <w:p w:rsidR="0082149B" w:rsidRPr="001A4D2F" w:rsidRDefault="0082149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Централни регистар, депо и клиринг хартија од вредности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sectPr w:rsidR="00F43ECD" w:rsidRPr="001A4D2F" w:rsidSect="007F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61" w:rsidRDefault="00FD5C61" w:rsidP="00713A91">
      <w:r>
        <w:separator/>
      </w:r>
    </w:p>
  </w:endnote>
  <w:endnote w:type="continuationSeparator" w:id="0">
    <w:p w:rsidR="00FD5C61" w:rsidRDefault="00FD5C61" w:rsidP="0071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egoe UI" w:hAnsi="Segoe UI" w:cs="Segoe UI"/>
        <w:color w:val="auto"/>
        <w:sz w:val="21"/>
        <w:szCs w:val="21"/>
      </w:rPr>
      <w:id w:val="18746953"/>
      <w:docPartObj>
        <w:docPartGallery w:val="Page Numbers (Bottom of Page)"/>
        <w:docPartUnique/>
      </w:docPartObj>
    </w:sdtPr>
    <w:sdtContent>
      <w:p w:rsidR="00536DA8" w:rsidRPr="000B0BBF" w:rsidRDefault="002D2675">
        <w:pPr>
          <w:pStyle w:val="Footer"/>
          <w:jc w:val="right"/>
          <w:rPr>
            <w:rFonts w:ascii="Segoe UI" w:hAnsi="Segoe UI" w:cs="Segoe UI"/>
            <w:sz w:val="21"/>
            <w:szCs w:val="21"/>
          </w:rPr>
        </w:pPr>
        <w:r w:rsidRPr="000B0BBF">
          <w:rPr>
            <w:rFonts w:ascii="Segoe UI" w:hAnsi="Segoe UI" w:cs="Segoe UI"/>
            <w:sz w:val="21"/>
            <w:szCs w:val="21"/>
          </w:rPr>
          <w:fldChar w:fldCharType="begin"/>
        </w:r>
        <w:r w:rsidR="00536DA8" w:rsidRPr="000B0BBF">
          <w:rPr>
            <w:rFonts w:ascii="Segoe UI" w:hAnsi="Segoe UI" w:cs="Segoe UI"/>
            <w:sz w:val="21"/>
            <w:szCs w:val="21"/>
          </w:rPr>
          <w:instrText xml:space="preserve"> PAGE   \* MERGEFORMAT </w:instrText>
        </w:r>
        <w:r w:rsidRPr="000B0BBF">
          <w:rPr>
            <w:rFonts w:ascii="Segoe UI" w:hAnsi="Segoe UI" w:cs="Segoe UI"/>
            <w:sz w:val="21"/>
            <w:szCs w:val="21"/>
          </w:rPr>
          <w:fldChar w:fldCharType="separate"/>
        </w:r>
        <w:r w:rsidR="003E265E">
          <w:rPr>
            <w:rFonts w:ascii="Segoe UI" w:hAnsi="Segoe UI" w:cs="Segoe UI"/>
            <w:noProof/>
            <w:sz w:val="21"/>
            <w:szCs w:val="21"/>
          </w:rPr>
          <w:t>65</w:t>
        </w:r>
        <w:r w:rsidRPr="000B0BBF">
          <w:rPr>
            <w:rFonts w:ascii="Segoe UI" w:hAnsi="Segoe UI" w:cs="Segoe UI"/>
            <w:sz w:val="21"/>
            <w:szCs w:val="21"/>
          </w:rPr>
          <w:fldChar w:fldCharType="end"/>
        </w:r>
      </w:p>
    </w:sdtContent>
  </w:sdt>
  <w:p w:rsidR="00536DA8" w:rsidRPr="000B0BBF" w:rsidRDefault="00536DA8">
    <w:pPr>
      <w:pStyle w:val="Footer"/>
      <w:rPr>
        <w:rFonts w:ascii="Segoe UI" w:hAnsi="Segoe UI" w:cs="Segoe UI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61" w:rsidRDefault="00FD5C61" w:rsidP="00713A91">
      <w:r>
        <w:separator/>
      </w:r>
    </w:p>
  </w:footnote>
  <w:footnote w:type="continuationSeparator" w:id="0">
    <w:p w:rsidR="00FD5C61" w:rsidRDefault="00FD5C61" w:rsidP="00713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A8" w:rsidRPr="00A47261" w:rsidRDefault="00536DA8" w:rsidP="00A47261">
    <w:pPr>
      <w:pStyle w:val="Header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F88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A61"/>
    <w:multiLevelType w:val="hybridMultilevel"/>
    <w:tmpl w:val="2B22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3ED3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773E"/>
    <w:multiLevelType w:val="hybridMultilevel"/>
    <w:tmpl w:val="EE82A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1A60"/>
    <w:multiLevelType w:val="hybridMultilevel"/>
    <w:tmpl w:val="2392F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720A"/>
    <w:multiLevelType w:val="hybridMultilevel"/>
    <w:tmpl w:val="592A3A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95A98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10FE"/>
    <w:multiLevelType w:val="hybridMultilevel"/>
    <w:tmpl w:val="42D6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AB6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7A87"/>
    <w:multiLevelType w:val="hybridMultilevel"/>
    <w:tmpl w:val="8F08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7917"/>
    <w:multiLevelType w:val="hybridMultilevel"/>
    <w:tmpl w:val="42563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62134"/>
    <w:multiLevelType w:val="hybridMultilevel"/>
    <w:tmpl w:val="01160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01087"/>
    <w:multiLevelType w:val="hybridMultilevel"/>
    <w:tmpl w:val="46BC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95C3B"/>
    <w:multiLevelType w:val="hybridMultilevel"/>
    <w:tmpl w:val="1316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225B0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77398"/>
    <w:multiLevelType w:val="hybridMultilevel"/>
    <w:tmpl w:val="891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75828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930E71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155046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C4ADB"/>
    <w:multiLevelType w:val="hybridMultilevel"/>
    <w:tmpl w:val="A782AF7C"/>
    <w:lvl w:ilvl="0" w:tplc="DB7CB43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A329B"/>
    <w:multiLevelType w:val="hybridMultilevel"/>
    <w:tmpl w:val="6352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53143"/>
    <w:multiLevelType w:val="hybridMultilevel"/>
    <w:tmpl w:val="E8F6EA5E"/>
    <w:lvl w:ilvl="0" w:tplc="BA26FA8E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11C5F"/>
    <w:multiLevelType w:val="hybridMultilevel"/>
    <w:tmpl w:val="1B6C4A02"/>
    <w:lvl w:ilvl="0" w:tplc="5B564EEC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04A17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66A1F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F34CF"/>
    <w:multiLevelType w:val="hybridMultilevel"/>
    <w:tmpl w:val="55588364"/>
    <w:lvl w:ilvl="0" w:tplc="F50A1E1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43CD7"/>
    <w:multiLevelType w:val="hybridMultilevel"/>
    <w:tmpl w:val="709C8B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F7DB6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C97678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D0999"/>
    <w:multiLevelType w:val="hybridMultilevel"/>
    <w:tmpl w:val="C98EC0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FF42DF4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91666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4"/>
  </w:num>
  <w:num w:numId="5">
    <w:abstractNumId w:val="1"/>
  </w:num>
  <w:num w:numId="6">
    <w:abstractNumId w:val="12"/>
  </w:num>
  <w:num w:numId="7">
    <w:abstractNumId w:val="15"/>
  </w:num>
  <w:num w:numId="8">
    <w:abstractNumId w:val="23"/>
  </w:num>
  <w:num w:numId="9">
    <w:abstractNumId w:val="21"/>
  </w:num>
  <w:num w:numId="10">
    <w:abstractNumId w:val="19"/>
  </w:num>
  <w:num w:numId="11">
    <w:abstractNumId w:val="2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26"/>
  </w:num>
  <w:num w:numId="16">
    <w:abstractNumId w:val="3"/>
  </w:num>
  <w:num w:numId="17">
    <w:abstractNumId w:val="29"/>
  </w:num>
  <w:num w:numId="18">
    <w:abstractNumId w:val="31"/>
  </w:num>
  <w:num w:numId="19">
    <w:abstractNumId w:val="17"/>
  </w:num>
  <w:num w:numId="20">
    <w:abstractNumId w:val="27"/>
  </w:num>
  <w:num w:numId="21">
    <w:abstractNumId w:val="14"/>
  </w:num>
  <w:num w:numId="22">
    <w:abstractNumId w:val="16"/>
  </w:num>
  <w:num w:numId="23">
    <w:abstractNumId w:val="24"/>
  </w:num>
  <w:num w:numId="24">
    <w:abstractNumId w:val="13"/>
  </w:num>
  <w:num w:numId="25">
    <w:abstractNumId w:val="10"/>
  </w:num>
  <w:num w:numId="26">
    <w:abstractNumId w:val="9"/>
  </w:num>
  <w:num w:numId="27">
    <w:abstractNumId w:val="18"/>
  </w:num>
  <w:num w:numId="28">
    <w:abstractNumId w:val="6"/>
  </w:num>
  <w:num w:numId="29">
    <w:abstractNumId w:val="8"/>
  </w:num>
  <w:num w:numId="30">
    <w:abstractNumId w:val="28"/>
  </w:num>
  <w:num w:numId="31">
    <w:abstractNumId w:val="0"/>
  </w:num>
  <w:num w:numId="32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A91"/>
    <w:rsid w:val="0000003B"/>
    <w:rsid w:val="0001093D"/>
    <w:rsid w:val="00015C01"/>
    <w:rsid w:val="000229FA"/>
    <w:rsid w:val="000259B3"/>
    <w:rsid w:val="000269C8"/>
    <w:rsid w:val="00032563"/>
    <w:rsid w:val="000342B2"/>
    <w:rsid w:val="0003799E"/>
    <w:rsid w:val="00037BF6"/>
    <w:rsid w:val="00040297"/>
    <w:rsid w:val="000435FD"/>
    <w:rsid w:val="0004492D"/>
    <w:rsid w:val="0004546C"/>
    <w:rsid w:val="000474AA"/>
    <w:rsid w:val="00050AB0"/>
    <w:rsid w:val="00050E7F"/>
    <w:rsid w:val="00051416"/>
    <w:rsid w:val="00054ACF"/>
    <w:rsid w:val="00054E20"/>
    <w:rsid w:val="000553F1"/>
    <w:rsid w:val="00056AE0"/>
    <w:rsid w:val="00063345"/>
    <w:rsid w:val="00065149"/>
    <w:rsid w:val="000656E7"/>
    <w:rsid w:val="000674FF"/>
    <w:rsid w:val="000703A9"/>
    <w:rsid w:val="00073345"/>
    <w:rsid w:val="00074050"/>
    <w:rsid w:val="00074670"/>
    <w:rsid w:val="00077619"/>
    <w:rsid w:val="00081B8D"/>
    <w:rsid w:val="00083ED0"/>
    <w:rsid w:val="000860BE"/>
    <w:rsid w:val="00090975"/>
    <w:rsid w:val="0009405E"/>
    <w:rsid w:val="000A3B0D"/>
    <w:rsid w:val="000A59A7"/>
    <w:rsid w:val="000A7CC4"/>
    <w:rsid w:val="000B0100"/>
    <w:rsid w:val="000B0BBF"/>
    <w:rsid w:val="000B3C2A"/>
    <w:rsid w:val="000B5F1D"/>
    <w:rsid w:val="000B75F7"/>
    <w:rsid w:val="000C1D77"/>
    <w:rsid w:val="000C4208"/>
    <w:rsid w:val="000C6EB5"/>
    <w:rsid w:val="000C7714"/>
    <w:rsid w:val="000D08A9"/>
    <w:rsid w:val="000D1143"/>
    <w:rsid w:val="000D1319"/>
    <w:rsid w:val="000D4757"/>
    <w:rsid w:val="000E3771"/>
    <w:rsid w:val="000E3FF6"/>
    <w:rsid w:val="000E7324"/>
    <w:rsid w:val="000F0BD0"/>
    <w:rsid w:val="00102718"/>
    <w:rsid w:val="00102ECF"/>
    <w:rsid w:val="001043A5"/>
    <w:rsid w:val="00104CDD"/>
    <w:rsid w:val="001204FF"/>
    <w:rsid w:val="001210BE"/>
    <w:rsid w:val="00121212"/>
    <w:rsid w:val="00123637"/>
    <w:rsid w:val="00123675"/>
    <w:rsid w:val="001254C3"/>
    <w:rsid w:val="00131ED0"/>
    <w:rsid w:val="00133CB5"/>
    <w:rsid w:val="0013548D"/>
    <w:rsid w:val="00142EDC"/>
    <w:rsid w:val="00143AC7"/>
    <w:rsid w:val="00144CCE"/>
    <w:rsid w:val="00146E18"/>
    <w:rsid w:val="0015383E"/>
    <w:rsid w:val="00154FDD"/>
    <w:rsid w:val="00156124"/>
    <w:rsid w:val="00156D4E"/>
    <w:rsid w:val="00161230"/>
    <w:rsid w:val="001626DC"/>
    <w:rsid w:val="00163505"/>
    <w:rsid w:val="00165CB9"/>
    <w:rsid w:val="00170910"/>
    <w:rsid w:val="00173AE0"/>
    <w:rsid w:val="001812E7"/>
    <w:rsid w:val="001821C4"/>
    <w:rsid w:val="00182940"/>
    <w:rsid w:val="00184E9E"/>
    <w:rsid w:val="00185FE6"/>
    <w:rsid w:val="00191E3F"/>
    <w:rsid w:val="001A0C43"/>
    <w:rsid w:val="001A18C8"/>
    <w:rsid w:val="001A3C52"/>
    <w:rsid w:val="001A47C0"/>
    <w:rsid w:val="001A4D2F"/>
    <w:rsid w:val="001A655F"/>
    <w:rsid w:val="001B2108"/>
    <w:rsid w:val="001B2820"/>
    <w:rsid w:val="001B2E39"/>
    <w:rsid w:val="001B379F"/>
    <w:rsid w:val="001B4CBD"/>
    <w:rsid w:val="001B60B1"/>
    <w:rsid w:val="001B65B2"/>
    <w:rsid w:val="001C28EC"/>
    <w:rsid w:val="001C4A4F"/>
    <w:rsid w:val="001E4E03"/>
    <w:rsid w:val="001E542B"/>
    <w:rsid w:val="001E55D5"/>
    <w:rsid w:val="001E5DFF"/>
    <w:rsid w:val="001F1495"/>
    <w:rsid w:val="001F15C3"/>
    <w:rsid w:val="001F2C4B"/>
    <w:rsid w:val="002052A3"/>
    <w:rsid w:val="0020533F"/>
    <w:rsid w:val="0020631B"/>
    <w:rsid w:val="00206857"/>
    <w:rsid w:val="002074F1"/>
    <w:rsid w:val="00210A55"/>
    <w:rsid w:val="002145B3"/>
    <w:rsid w:val="00215665"/>
    <w:rsid w:val="0021585E"/>
    <w:rsid w:val="002219B5"/>
    <w:rsid w:val="0022234E"/>
    <w:rsid w:val="002247A8"/>
    <w:rsid w:val="00224C1E"/>
    <w:rsid w:val="00232650"/>
    <w:rsid w:val="002374BA"/>
    <w:rsid w:val="002424EB"/>
    <w:rsid w:val="00245ED1"/>
    <w:rsid w:val="00250537"/>
    <w:rsid w:val="00250708"/>
    <w:rsid w:val="00254C7E"/>
    <w:rsid w:val="0025513A"/>
    <w:rsid w:val="002632C2"/>
    <w:rsid w:val="00263780"/>
    <w:rsid w:val="00263A5E"/>
    <w:rsid w:val="0026686C"/>
    <w:rsid w:val="00267777"/>
    <w:rsid w:val="002702AB"/>
    <w:rsid w:val="00271782"/>
    <w:rsid w:val="00273598"/>
    <w:rsid w:val="00274562"/>
    <w:rsid w:val="00281A15"/>
    <w:rsid w:val="00283830"/>
    <w:rsid w:val="00283DD5"/>
    <w:rsid w:val="00284C51"/>
    <w:rsid w:val="00285FD7"/>
    <w:rsid w:val="00286710"/>
    <w:rsid w:val="00291FF2"/>
    <w:rsid w:val="002922B5"/>
    <w:rsid w:val="00294720"/>
    <w:rsid w:val="002A3F75"/>
    <w:rsid w:val="002A4CC7"/>
    <w:rsid w:val="002B23AB"/>
    <w:rsid w:val="002B6D6A"/>
    <w:rsid w:val="002B7AB2"/>
    <w:rsid w:val="002B7E1A"/>
    <w:rsid w:val="002C15B7"/>
    <w:rsid w:val="002C54BD"/>
    <w:rsid w:val="002D1889"/>
    <w:rsid w:val="002D2675"/>
    <w:rsid w:val="002D3052"/>
    <w:rsid w:val="002D69E2"/>
    <w:rsid w:val="002E071E"/>
    <w:rsid w:val="002E2CAF"/>
    <w:rsid w:val="002E5077"/>
    <w:rsid w:val="002E5CC8"/>
    <w:rsid w:val="002F1FEA"/>
    <w:rsid w:val="002F2585"/>
    <w:rsid w:val="002F2CC6"/>
    <w:rsid w:val="003030E6"/>
    <w:rsid w:val="003041BF"/>
    <w:rsid w:val="003069B2"/>
    <w:rsid w:val="003162F4"/>
    <w:rsid w:val="00320748"/>
    <w:rsid w:val="00320EA9"/>
    <w:rsid w:val="003214BC"/>
    <w:rsid w:val="00321E8D"/>
    <w:rsid w:val="00323486"/>
    <w:rsid w:val="00323A5A"/>
    <w:rsid w:val="00326C84"/>
    <w:rsid w:val="00326CC2"/>
    <w:rsid w:val="00326EA5"/>
    <w:rsid w:val="00327445"/>
    <w:rsid w:val="0034189E"/>
    <w:rsid w:val="00343DEC"/>
    <w:rsid w:val="00345049"/>
    <w:rsid w:val="003478F8"/>
    <w:rsid w:val="00350767"/>
    <w:rsid w:val="00350AF3"/>
    <w:rsid w:val="003562B4"/>
    <w:rsid w:val="0036171D"/>
    <w:rsid w:val="00363221"/>
    <w:rsid w:val="00363ED5"/>
    <w:rsid w:val="00366074"/>
    <w:rsid w:val="00367ABB"/>
    <w:rsid w:val="00367ADF"/>
    <w:rsid w:val="00375E65"/>
    <w:rsid w:val="003909EA"/>
    <w:rsid w:val="00395DA3"/>
    <w:rsid w:val="0039640D"/>
    <w:rsid w:val="003A159C"/>
    <w:rsid w:val="003A2212"/>
    <w:rsid w:val="003A6CA2"/>
    <w:rsid w:val="003B30BF"/>
    <w:rsid w:val="003B399A"/>
    <w:rsid w:val="003B3C7C"/>
    <w:rsid w:val="003C012B"/>
    <w:rsid w:val="003C0BAA"/>
    <w:rsid w:val="003C0D99"/>
    <w:rsid w:val="003C2A92"/>
    <w:rsid w:val="003C48F1"/>
    <w:rsid w:val="003E265E"/>
    <w:rsid w:val="003E418C"/>
    <w:rsid w:val="003E6F29"/>
    <w:rsid w:val="003F3E12"/>
    <w:rsid w:val="003F46B0"/>
    <w:rsid w:val="003F4F08"/>
    <w:rsid w:val="003F6B18"/>
    <w:rsid w:val="003F6C47"/>
    <w:rsid w:val="004052BA"/>
    <w:rsid w:val="004079BC"/>
    <w:rsid w:val="0041026F"/>
    <w:rsid w:val="0041235D"/>
    <w:rsid w:val="00421291"/>
    <w:rsid w:val="004232FE"/>
    <w:rsid w:val="00423F6C"/>
    <w:rsid w:val="00424469"/>
    <w:rsid w:val="00424D8F"/>
    <w:rsid w:val="00424DC6"/>
    <w:rsid w:val="00425B43"/>
    <w:rsid w:val="004316AD"/>
    <w:rsid w:val="004318D2"/>
    <w:rsid w:val="00432822"/>
    <w:rsid w:val="00434EDC"/>
    <w:rsid w:val="004420AE"/>
    <w:rsid w:val="00442D60"/>
    <w:rsid w:val="004446B4"/>
    <w:rsid w:val="0044603F"/>
    <w:rsid w:val="00447807"/>
    <w:rsid w:val="00450A86"/>
    <w:rsid w:val="00451BF1"/>
    <w:rsid w:val="00463E7C"/>
    <w:rsid w:val="00464869"/>
    <w:rsid w:val="00465BE6"/>
    <w:rsid w:val="00467761"/>
    <w:rsid w:val="004747BD"/>
    <w:rsid w:val="004769B3"/>
    <w:rsid w:val="00476D5F"/>
    <w:rsid w:val="00481539"/>
    <w:rsid w:val="00481586"/>
    <w:rsid w:val="004819C9"/>
    <w:rsid w:val="00487258"/>
    <w:rsid w:val="00492C3B"/>
    <w:rsid w:val="00493915"/>
    <w:rsid w:val="004965C9"/>
    <w:rsid w:val="00497818"/>
    <w:rsid w:val="00497A27"/>
    <w:rsid w:val="004A1E65"/>
    <w:rsid w:val="004B4172"/>
    <w:rsid w:val="004B7C54"/>
    <w:rsid w:val="004C04D7"/>
    <w:rsid w:val="004C44F2"/>
    <w:rsid w:val="004C54B0"/>
    <w:rsid w:val="004C76C3"/>
    <w:rsid w:val="004D0E60"/>
    <w:rsid w:val="004D6269"/>
    <w:rsid w:val="004E07FF"/>
    <w:rsid w:val="004E180B"/>
    <w:rsid w:val="004E3E05"/>
    <w:rsid w:val="004E570C"/>
    <w:rsid w:val="004E74BC"/>
    <w:rsid w:val="004F598D"/>
    <w:rsid w:val="004F5B8A"/>
    <w:rsid w:val="005068C3"/>
    <w:rsid w:val="00514CA1"/>
    <w:rsid w:val="00520B00"/>
    <w:rsid w:val="00520B58"/>
    <w:rsid w:val="0052577D"/>
    <w:rsid w:val="00526A7A"/>
    <w:rsid w:val="00530C7B"/>
    <w:rsid w:val="0053445B"/>
    <w:rsid w:val="00536DA8"/>
    <w:rsid w:val="005414D3"/>
    <w:rsid w:val="0054380B"/>
    <w:rsid w:val="00552016"/>
    <w:rsid w:val="00552A56"/>
    <w:rsid w:val="0055614B"/>
    <w:rsid w:val="00557B42"/>
    <w:rsid w:val="00566361"/>
    <w:rsid w:val="00575AF4"/>
    <w:rsid w:val="005768D4"/>
    <w:rsid w:val="00577F78"/>
    <w:rsid w:val="00583368"/>
    <w:rsid w:val="00583FE2"/>
    <w:rsid w:val="005877A4"/>
    <w:rsid w:val="00587FE4"/>
    <w:rsid w:val="00597E67"/>
    <w:rsid w:val="005A3EEE"/>
    <w:rsid w:val="005A6DC3"/>
    <w:rsid w:val="005B03E9"/>
    <w:rsid w:val="005B10C2"/>
    <w:rsid w:val="005B2E2B"/>
    <w:rsid w:val="005B69D9"/>
    <w:rsid w:val="005C0132"/>
    <w:rsid w:val="005C3BBE"/>
    <w:rsid w:val="005C5918"/>
    <w:rsid w:val="005C5D8A"/>
    <w:rsid w:val="005C69BF"/>
    <w:rsid w:val="005C7708"/>
    <w:rsid w:val="005D036E"/>
    <w:rsid w:val="005F240E"/>
    <w:rsid w:val="005F2A88"/>
    <w:rsid w:val="005F5F31"/>
    <w:rsid w:val="006014A9"/>
    <w:rsid w:val="0060276A"/>
    <w:rsid w:val="00603DAA"/>
    <w:rsid w:val="0060447A"/>
    <w:rsid w:val="00607374"/>
    <w:rsid w:val="00607B8A"/>
    <w:rsid w:val="0061765F"/>
    <w:rsid w:val="006244CE"/>
    <w:rsid w:val="006301B6"/>
    <w:rsid w:val="0063555F"/>
    <w:rsid w:val="006359AA"/>
    <w:rsid w:val="006364A3"/>
    <w:rsid w:val="0064036A"/>
    <w:rsid w:val="00640619"/>
    <w:rsid w:val="0065437A"/>
    <w:rsid w:val="0065536B"/>
    <w:rsid w:val="00657FEB"/>
    <w:rsid w:val="0066049D"/>
    <w:rsid w:val="00660A8C"/>
    <w:rsid w:val="00660ABD"/>
    <w:rsid w:val="00661819"/>
    <w:rsid w:val="006634AE"/>
    <w:rsid w:val="00665BC3"/>
    <w:rsid w:val="00674A9F"/>
    <w:rsid w:val="00674B4D"/>
    <w:rsid w:val="00675F8D"/>
    <w:rsid w:val="00680B5F"/>
    <w:rsid w:val="00685676"/>
    <w:rsid w:val="00692B78"/>
    <w:rsid w:val="0069535B"/>
    <w:rsid w:val="006A53F2"/>
    <w:rsid w:val="006A607F"/>
    <w:rsid w:val="006B25BA"/>
    <w:rsid w:val="006B2D80"/>
    <w:rsid w:val="006B3697"/>
    <w:rsid w:val="006B44FA"/>
    <w:rsid w:val="006B4500"/>
    <w:rsid w:val="006B456A"/>
    <w:rsid w:val="006B6E0B"/>
    <w:rsid w:val="006C15FB"/>
    <w:rsid w:val="006C303F"/>
    <w:rsid w:val="006C3281"/>
    <w:rsid w:val="006C3B76"/>
    <w:rsid w:val="006C4E6E"/>
    <w:rsid w:val="006D03A5"/>
    <w:rsid w:val="006D29C7"/>
    <w:rsid w:val="006D3236"/>
    <w:rsid w:val="006D41ED"/>
    <w:rsid w:val="006D56C2"/>
    <w:rsid w:val="006D5E7E"/>
    <w:rsid w:val="006D74CD"/>
    <w:rsid w:val="006D7E87"/>
    <w:rsid w:val="006E0804"/>
    <w:rsid w:val="006E1576"/>
    <w:rsid w:val="006E272C"/>
    <w:rsid w:val="006E45AC"/>
    <w:rsid w:val="006E580D"/>
    <w:rsid w:val="006F2E9B"/>
    <w:rsid w:val="006F7310"/>
    <w:rsid w:val="006F74D9"/>
    <w:rsid w:val="00704F54"/>
    <w:rsid w:val="00707DEB"/>
    <w:rsid w:val="0071106E"/>
    <w:rsid w:val="0071229F"/>
    <w:rsid w:val="00713A91"/>
    <w:rsid w:val="00713C9A"/>
    <w:rsid w:val="007169B7"/>
    <w:rsid w:val="00733095"/>
    <w:rsid w:val="00733420"/>
    <w:rsid w:val="00734916"/>
    <w:rsid w:val="007405F7"/>
    <w:rsid w:val="00741126"/>
    <w:rsid w:val="0074155A"/>
    <w:rsid w:val="007450DA"/>
    <w:rsid w:val="00745C54"/>
    <w:rsid w:val="00745F39"/>
    <w:rsid w:val="00746A29"/>
    <w:rsid w:val="007574CB"/>
    <w:rsid w:val="007606A2"/>
    <w:rsid w:val="0076321C"/>
    <w:rsid w:val="00763367"/>
    <w:rsid w:val="0076411F"/>
    <w:rsid w:val="00765B7E"/>
    <w:rsid w:val="00784AA9"/>
    <w:rsid w:val="00787792"/>
    <w:rsid w:val="00791D60"/>
    <w:rsid w:val="00793779"/>
    <w:rsid w:val="007953F0"/>
    <w:rsid w:val="007A1892"/>
    <w:rsid w:val="007A7B74"/>
    <w:rsid w:val="007B0298"/>
    <w:rsid w:val="007B4D25"/>
    <w:rsid w:val="007C3863"/>
    <w:rsid w:val="007D3835"/>
    <w:rsid w:val="007D51C0"/>
    <w:rsid w:val="007D60B3"/>
    <w:rsid w:val="007E03E4"/>
    <w:rsid w:val="007E1D3C"/>
    <w:rsid w:val="007E1EA4"/>
    <w:rsid w:val="007E7244"/>
    <w:rsid w:val="007F1D06"/>
    <w:rsid w:val="007F28BA"/>
    <w:rsid w:val="007F4A50"/>
    <w:rsid w:val="007F5C8D"/>
    <w:rsid w:val="007F70F0"/>
    <w:rsid w:val="007F7F60"/>
    <w:rsid w:val="007F7FA4"/>
    <w:rsid w:val="00800732"/>
    <w:rsid w:val="008040CA"/>
    <w:rsid w:val="0080414E"/>
    <w:rsid w:val="008064E7"/>
    <w:rsid w:val="008066B1"/>
    <w:rsid w:val="00806E9B"/>
    <w:rsid w:val="008152F0"/>
    <w:rsid w:val="00816358"/>
    <w:rsid w:val="008166FB"/>
    <w:rsid w:val="0082149B"/>
    <w:rsid w:val="0082324E"/>
    <w:rsid w:val="008258C2"/>
    <w:rsid w:val="00826675"/>
    <w:rsid w:val="0083281B"/>
    <w:rsid w:val="0083693C"/>
    <w:rsid w:val="0084011D"/>
    <w:rsid w:val="00842C31"/>
    <w:rsid w:val="00842D2B"/>
    <w:rsid w:val="00847FC1"/>
    <w:rsid w:val="00851277"/>
    <w:rsid w:val="008572E7"/>
    <w:rsid w:val="00863117"/>
    <w:rsid w:val="00863A32"/>
    <w:rsid w:val="00863E13"/>
    <w:rsid w:val="00864498"/>
    <w:rsid w:val="00864EB1"/>
    <w:rsid w:val="0086525D"/>
    <w:rsid w:val="008663F2"/>
    <w:rsid w:val="00867224"/>
    <w:rsid w:val="008738FC"/>
    <w:rsid w:val="008739B5"/>
    <w:rsid w:val="00875A03"/>
    <w:rsid w:val="0087616A"/>
    <w:rsid w:val="00876914"/>
    <w:rsid w:val="00877F10"/>
    <w:rsid w:val="0088130C"/>
    <w:rsid w:val="0088138E"/>
    <w:rsid w:val="00883269"/>
    <w:rsid w:val="00885F9C"/>
    <w:rsid w:val="00891636"/>
    <w:rsid w:val="00891EE4"/>
    <w:rsid w:val="008A1074"/>
    <w:rsid w:val="008A184C"/>
    <w:rsid w:val="008A3D46"/>
    <w:rsid w:val="008A65BD"/>
    <w:rsid w:val="008A7033"/>
    <w:rsid w:val="008B4459"/>
    <w:rsid w:val="008C09AC"/>
    <w:rsid w:val="008C111C"/>
    <w:rsid w:val="008C12BC"/>
    <w:rsid w:val="008C4177"/>
    <w:rsid w:val="008D3C16"/>
    <w:rsid w:val="008D6879"/>
    <w:rsid w:val="008D7FBA"/>
    <w:rsid w:val="008E086E"/>
    <w:rsid w:val="008E17F3"/>
    <w:rsid w:val="008E25B5"/>
    <w:rsid w:val="008E4671"/>
    <w:rsid w:val="008F0383"/>
    <w:rsid w:val="008F6CF9"/>
    <w:rsid w:val="00903B60"/>
    <w:rsid w:val="00907B40"/>
    <w:rsid w:val="00910033"/>
    <w:rsid w:val="009255B6"/>
    <w:rsid w:val="00927A2E"/>
    <w:rsid w:val="00931FE5"/>
    <w:rsid w:val="0093316B"/>
    <w:rsid w:val="00944D14"/>
    <w:rsid w:val="00947093"/>
    <w:rsid w:val="009510A6"/>
    <w:rsid w:val="00952081"/>
    <w:rsid w:val="009526CA"/>
    <w:rsid w:val="00955914"/>
    <w:rsid w:val="0096032B"/>
    <w:rsid w:val="00962FA1"/>
    <w:rsid w:val="0096445A"/>
    <w:rsid w:val="0096670D"/>
    <w:rsid w:val="00971204"/>
    <w:rsid w:val="00972C36"/>
    <w:rsid w:val="00974A03"/>
    <w:rsid w:val="00976AD7"/>
    <w:rsid w:val="00981209"/>
    <w:rsid w:val="00985089"/>
    <w:rsid w:val="00986E93"/>
    <w:rsid w:val="00987594"/>
    <w:rsid w:val="00990BEE"/>
    <w:rsid w:val="00990F58"/>
    <w:rsid w:val="0099231E"/>
    <w:rsid w:val="0099638C"/>
    <w:rsid w:val="00996814"/>
    <w:rsid w:val="009A2486"/>
    <w:rsid w:val="009A511C"/>
    <w:rsid w:val="009A5328"/>
    <w:rsid w:val="009A5E51"/>
    <w:rsid w:val="009A5F8C"/>
    <w:rsid w:val="009A6243"/>
    <w:rsid w:val="009A6D0D"/>
    <w:rsid w:val="009A7DDB"/>
    <w:rsid w:val="009B27FA"/>
    <w:rsid w:val="009B3BB9"/>
    <w:rsid w:val="009B424F"/>
    <w:rsid w:val="009B6F9B"/>
    <w:rsid w:val="009C0579"/>
    <w:rsid w:val="009D00C4"/>
    <w:rsid w:val="009D68EE"/>
    <w:rsid w:val="009E02C0"/>
    <w:rsid w:val="009E03A7"/>
    <w:rsid w:val="009E1129"/>
    <w:rsid w:val="00A01D0D"/>
    <w:rsid w:val="00A02FC2"/>
    <w:rsid w:val="00A12AA6"/>
    <w:rsid w:val="00A12C29"/>
    <w:rsid w:val="00A146DB"/>
    <w:rsid w:val="00A1499B"/>
    <w:rsid w:val="00A24750"/>
    <w:rsid w:val="00A26580"/>
    <w:rsid w:val="00A278FF"/>
    <w:rsid w:val="00A27A1D"/>
    <w:rsid w:val="00A34DED"/>
    <w:rsid w:val="00A366AD"/>
    <w:rsid w:val="00A42156"/>
    <w:rsid w:val="00A464DB"/>
    <w:rsid w:val="00A47261"/>
    <w:rsid w:val="00A56AE0"/>
    <w:rsid w:val="00A6074C"/>
    <w:rsid w:val="00A63977"/>
    <w:rsid w:val="00A649F8"/>
    <w:rsid w:val="00A64F3C"/>
    <w:rsid w:val="00A70FDA"/>
    <w:rsid w:val="00A7555F"/>
    <w:rsid w:val="00A765CF"/>
    <w:rsid w:val="00A76933"/>
    <w:rsid w:val="00A82060"/>
    <w:rsid w:val="00A86266"/>
    <w:rsid w:val="00A927A4"/>
    <w:rsid w:val="00A9340A"/>
    <w:rsid w:val="00AA23AE"/>
    <w:rsid w:val="00AA37DA"/>
    <w:rsid w:val="00AA5B3F"/>
    <w:rsid w:val="00AA6D60"/>
    <w:rsid w:val="00AB0707"/>
    <w:rsid w:val="00AB07E5"/>
    <w:rsid w:val="00AB0960"/>
    <w:rsid w:val="00AB16CA"/>
    <w:rsid w:val="00AB5CF8"/>
    <w:rsid w:val="00AC11E9"/>
    <w:rsid w:val="00AC2562"/>
    <w:rsid w:val="00AC3A43"/>
    <w:rsid w:val="00AC572E"/>
    <w:rsid w:val="00AC7277"/>
    <w:rsid w:val="00AD07BC"/>
    <w:rsid w:val="00AD151C"/>
    <w:rsid w:val="00AD1E10"/>
    <w:rsid w:val="00AD5F3C"/>
    <w:rsid w:val="00AE1ADF"/>
    <w:rsid w:val="00AE49F7"/>
    <w:rsid w:val="00AF26DE"/>
    <w:rsid w:val="00AF2C67"/>
    <w:rsid w:val="00AF4B6F"/>
    <w:rsid w:val="00B02F59"/>
    <w:rsid w:val="00B033B8"/>
    <w:rsid w:val="00B14744"/>
    <w:rsid w:val="00B150CA"/>
    <w:rsid w:val="00B15A10"/>
    <w:rsid w:val="00B25B44"/>
    <w:rsid w:val="00B267CF"/>
    <w:rsid w:val="00B32268"/>
    <w:rsid w:val="00B34331"/>
    <w:rsid w:val="00B35A1A"/>
    <w:rsid w:val="00B362E0"/>
    <w:rsid w:val="00B40B97"/>
    <w:rsid w:val="00B44AB4"/>
    <w:rsid w:val="00B4543F"/>
    <w:rsid w:val="00B458C2"/>
    <w:rsid w:val="00B46C05"/>
    <w:rsid w:val="00B5332F"/>
    <w:rsid w:val="00B55947"/>
    <w:rsid w:val="00B562D9"/>
    <w:rsid w:val="00B56E46"/>
    <w:rsid w:val="00B56E7D"/>
    <w:rsid w:val="00B627C8"/>
    <w:rsid w:val="00B64E1D"/>
    <w:rsid w:val="00B654ED"/>
    <w:rsid w:val="00B70620"/>
    <w:rsid w:val="00B720FB"/>
    <w:rsid w:val="00B72409"/>
    <w:rsid w:val="00B769C5"/>
    <w:rsid w:val="00B77B19"/>
    <w:rsid w:val="00B77FF7"/>
    <w:rsid w:val="00B86C7E"/>
    <w:rsid w:val="00B90D60"/>
    <w:rsid w:val="00B925E7"/>
    <w:rsid w:val="00B92A09"/>
    <w:rsid w:val="00BA0B29"/>
    <w:rsid w:val="00BB04FA"/>
    <w:rsid w:val="00BB3926"/>
    <w:rsid w:val="00BB4CB2"/>
    <w:rsid w:val="00BB6891"/>
    <w:rsid w:val="00BC6F23"/>
    <w:rsid w:val="00BD0541"/>
    <w:rsid w:val="00BD0633"/>
    <w:rsid w:val="00BD0F86"/>
    <w:rsid w:val="00BD2766"/>
    <w:rsid w:val="00BD56FF"/>
    <w:rsid w:val="00BE1A2E"/>
    <w:rsid w:val="00BE282A"/>
    <w:rsid w:val="00BE5998"/>
    <w:rsid w:val="00BE642B"/>
    <w:rsid w:val="00BF1B62"/>
    <w:rsid w:val="00BF22F8"/>
    <w:rsid w:val="00BF25A7"/>
    <w:rsid w:val="00BF2D2D"/>
    <w:rsid w:val="00BF57D9"/>
    <w:rsid w:val="00BF68B6"/>
    <w:rsid w:val="00C001F4"/>
    <w:rsid w:val="00C00F4F"/>
    <w:rsid w:val="00C0410C"/>
    <w:rsid w:val="00C05AAB"/>
    <w:rsid w:val="00C062C3"/>
    <w:rsid w:val="00C11F8E"/>
    <w:rsid w:val="00C1496A"/>
    <w:rsid w:val="00C14CEB"/>
    <w:rsid w:val="00C20CD9"/>
    <w:rsid w:val="00C21C2C"/>
    <w:rsid w:val="00C24928"/>
    <w:rsid w:val="00C322A1"/>
    <w:rsid w:val="00C36273"/>
    <w:rsid w:val="00C36CE0"/>
    <w:rsid w:val="00C37424"/>
    <w:rsid w:val="00C41CE7"/>
    <w:rsid w:val="00C44B14"/>
    <w:rsid w:val="00C46A59"/>
    <w:rsid w:val="00C46CB0"/>
    <w:rsid w:val="00C50116"/>
    <w:rsid w:val="00C55991"/>
    <w:rsid w:val="00C6078C"/>
    <w:rsid w:val="00C642CC"/>
    <w:rsid w:val="00C6475B"/>
    <w:rsid w:val="00C650C3"/>
    <w:rsid w:val="00C67B9A"/>
    <w:rsid w:val="00C7213A"/>
    <w:rsid w:val="00C761A2"/>
    <w:rsid w:val="00C802E4"/>
    <w:rsid w:val="00C905B0"/>
    <w:rsid w:val="00C93EED"/>
    <w:rsid w:val="00C951CC"/>
    <w:rsid w:val="00C96963"/>
    <w:rsid w:val="00CA1824"/>
    <w:rsid w:val="00CA4617"/>
    <w:rsid w:val="00CB13E8"/>
    <w:rsid w:val="00CB5545"/>
    <w:rsid w:val="00CC21F4"/>
    <w:rsid w:val="00CC3224"/>
    <w:rsid w:val="00CC3736"/>
    <w:rsid w:val="00CC44BB"/>
    <w:rsid w:val="00CC4EF6"/>
    <w:rsid w:val="00CC5C25"/>
    <w:rsid w:val="00CE1FCF"/>
    <w:rsid w:val="00CE4C1E"/>
    <w:rsid w:val="00CF027E"/>
    <w:rsid w:val="00CF080D"/>
    <w:rsid w:val="00CF30B2"/>
    <w:rsid w:val="00CF3802"/>
    <w:rsid w:val="00CF53DD"/>
    <w:rsid w:val="00CF75A0"/>
    <w:rsid w:val="00D00A39"/>
    <w:rsid w:val="00D01697"/>
    <w:rsid w:val="00D039B9"/>
    <w:rsid w:val="00D0536D"/>
    <w:rsid w:val="00D0571C"/>
    <w:rsid w:val="00D107B0"/>
    <w:rsid w:val="00D1117C"/>
    <w:rsid w:val="00D12FC8"/>
    <w:rsid w:val="00D13B96"/>
    <w:rsid w:val="00D15782"/>
    <w:rsid w:val="00D17BB2"/>
    <w:rsid w:val="00D20B46"/>
    <w:rsid w:val="00D25E44"/>
    <w:rsid w:val="00D32654"/>
    <w:rsid w:val="00D33D64"/>
    <w:rsid w:val="00D527DB"/>
    <w:rsid w:val="00D53854"/>
    <w:rsid w:val="00D5399E"/>
    <w:rsid w:val="00D552C8"/>
    <w:rsid w:val="00D57EC4"/>
    <w:rsid w:val="00D648D0"/>
    <w:rsid w:val="00D77FC2"/>
    <w:rsid w:val="00D82A7A"/>
    <w:rsid w:val="00D83454"/>
    <w:rsid w:val="00D870B9"/>
    <w:rsid w:val="00D9195A"/>
    <w:rsid w:val="00D91B82"/>
    <w:rsid w:val="00D93CED"/>
    <w:rsid w:val="00D93DEA"/>
    <w:rsid w:val="00D9541E"/>
    <w:rsid w:val="00D96082"/>
    <w:rsid w:val="00DA0064"/>
    <w:rsid w:val="00DA0EC2"/>
    <w:rsid w:val="00DA75CF"/>
    <w:rsid w:val="00DA7692"/>
    <w:rsid w:val="00DB0EA6"/>
    <w:rsid w:val="00DB0EC8"/>
    <w:rsid w:val="00DB1FCA"/>
    <w:rsid w:val="00DB34B7"/>
    <w:rsid w:val="00DB3F0B"/>
    <w:rsid w:val="00DB5550"/>
    <w:rsid w:val="00DB72B5"/>
    <w:rsid w:val="00DC3BC4"/>
    <w:rsid w:val="00DC4AA4"/>
    <w:rsid w:val="00DD0286"/>
    <w:rsid w:val="00DD0D6E"/>
    <w:rsid w:val="00DD2BCE"/>
    <w:rsid w:val="00DD4067"/>
    <w:rsid w:val="00DD48F3"/>
    <w:rsid w:val="00DD68A6"/>
    <w:rsid w:val="00DD72E1"/>
    <w:rsid w:val="00DD7D00"/>
    <w:rsid w:val="00DE4D05"/>
    <w:rsid w:val="00DF0DDF"/>
    <w:rsid w:val="00DF143E"/>
    <w:rsid w:val="00DF2729"/>
    <w:rsid w:val="00DF6E5B"/>
    <w:rsid w:val="00E0054E"/>
    <w:rsid w:val="00E041C8"/>
    <w:rsid w:val="00E04390"/>
    <w:rsid w:val="00E044F9"/>
    <w:rsid w:val="00E163E1"/>
    <w:rsid w:val="00E228E3"/>
    <w:rsid w:val="00E23BC7"/>
    <w:rsid w:val="00E312BC"/>
    <w:rsid w:val="00E31352"/>
    <w:rsid w:val="00E377E3"/>
    <w:rsid w:val="00E40838"/>
    <w:rsid w:val="00E4123F"/>
    <w:rsid w:val="00E43478"/>
    <w:rsid w:val="00E45084"/>
    <w:rsid w:val="00E459C1"/>
    <w:rsid w:val="00E45FF8"/>
    <w:rsid w:val="00E51052"/>
    <w:rsid w:val="00E517D0"/>
    <w:rsid w:val="00E5527A"/>
    <w:rsid w:val="00E577EE"/>
    <w:rsid w:val="00E57984"/>
    <w:rsid w:val="00E617EB"/>
    <w:rsid w:val="00E61AA4"/>
    <w:rsid w:val="00E626ED"/>
    <w:rsid w:val="00E62F72"/>
    <w:rsid w:val="00E65578"/>
    <w:rsid w:val="00E74F8C"/>
    <w:rsid w:val="00E8015F"/>
    <w:rsid w:val="00E81497"/>
    <w:rsid w:val="00E83693"/>
    <w:rsid w:val="00E856F4"/>
    <w:rsid w:val="00E91A83"/>
    <w:rsid w:val="00E91BD4"/>
    <w:rsid w:val="00E96085"/>
    <w:rsid w:val="00E9705E"/>
    <w:rsid w:val="00EA1004"/>
    <w:rsid w:val="00EA6825"/>
    <w:rsid w:val="00EA7D55"/>
    <w:rsid w:val="00EB0026"/>
    <w:rsid w:val="00EB12F5"/>
    <w:rsid w:val="00EB243C"/>
    <w:rsid w:val="00EB24C3"/>
    <w:rsid w:val="00EB2DE7"/>
    <w:rsid w:val="00EB4EE8"/>
    <w:rsid w:val="00EC3A17"/>
    <w:rsid w:val="00EC53DA"/>
    <w:rsid w:val="00ED46EC"/>
    <w:rsid w:val="00ED4F9F"/>
    <w:rsid w:val="00ED58C8"/>
    <w:rsid w:val="00EE296B"/>
    <w:rsid w:val="00EE56CF"/>
    <w:rsid w:val="00EF185F"/>
    <w:rsid w:val="00F00DFC"/>
    <w:rsid w:val="00F010BF"/>
    <w:rsid w:val="00F040F1"/>
    <w:rsid w:val="00F07D7D"/>
    <w:rsid w:val="00F127CA"/>
    <w:rsid w:val="00F145BF"/>
    <w:rsid w:val="00F15A08"/>
    <w:rsid w:val="00F16B6E"/>
    <w:rsid w:val="00F16F15"/>
    <w:rsid w:val="00F172E0"/>
    <w:rsid w:val="00F21E30"/>
    <w:rsid w:val="00F251A1"/>
    <w:rsid w:val="00F2688F"/>
    <w:rsid w:val="00F3347F"/>
    <w:rsid w:val="00F33ED5"/>
    <w:rsid w:val="00F3448F"/>
    <w:rsid w:val="00F3579D"/>
    <w:rsid w:val="00F35DC4"/>
    <w:rsid w:val="00F36F80"/>
    <w:rsid w:val="00F42CDE"/>
    <w:rsid w:val="00F43E26"/>
    <w:rsid w:val="00F43ECD"/>
    <w:rsid w:val="00F44EA0"/>
    <w:rsid w:val="00F50D44"/>
    <w:rsid w:val="00F51459"/>
    <w:rsid w:val="00F53066"/>
    <w:rsid w:val="00F56ED0"/>
    <w:rsid w:val="00F634B9"/>
    <w:rsid w:val="00F6467E"/>
    <w:rsid w:val="00F65C28"/>
    <w:rsid w:val="00F67792"/>
    <w:rsid w:val="00F700E0"/>
    <w:rsid w:val="00F71AE8"/>
    <w:rsid w:val="00F77324"/>
    <w:rsid w:val="00F774BC"/>
    <w:rsid w:val="00F77DEA"/>
    <w:rsid w:val="00F82597"/>
    <w:rsid w:val="00F83CCF"/>
    <w:rsid w:val="00F86F91"/>
    <w:rsid w:val="00F90196"/>
    <w:rsid w:val="00F9603C"/>
    <w:rsid w:val="00F96F47"/>
    <w:rsid w:val="00F976A3"/>
    <w:rsid w:val="00FA1340"/>
    <w:rsid w:val="00FA3014"/>
    <w:rsid w:val="00FA5629"/>
    <w:rsid w:val="00FB1798"/>
    <w:rsid w:val="00FB7B3A"/>
    <w:rsid w:val="00FC3049"/>
    <w:rsid w:val="00FC4AE1"/>
    <w:rsid w:val="00FC5632"/>
    <w:rsid w:val="00FD0484"/>
    <w:rsid w:val="00FD45ED"/>
    <w:rsid w:val="00FD5C61"/>
    <w:rsid w:val="00FD6ACD"/>
    <w:rsid w:val="00FE09CF"/>
    <w:rsid w:val="00FE0FE5"/>
    <w:rsid w:val="00FE4BC6"/>
    <w:rsid w:val="00FE659C"/>
    <w:rsid w:val="00FF094C"/>
    <w:rsid w:val="00FF2EA9"/>
    <w:rsid w:val="00FF3F3C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891"/>
  </w:style>
  <w:style w:type="paragraph" w:styleId="Heading1">
    <w:name w:val="heading 1"/>
    <w:basedOn w:val="Normal"/>
    <w:next w:val="Normal"/>
    <w:link w:val="Heading1Char"/>
    <w:uiPriority w:val="9"/>
    <w:qFormat/>
    <w:rsid w:val="003C0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2BCE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kern w:val="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BCE"/>
    <w:pPr>
      <w:keepNext/>
      <w:keepLines/>
      <w:spacing w:before="200"/>
      <w:outlineLvl w:val="2"/>
    </w:pPr>
    <w:rPr>
      <w:rFonts w:eastAsiaTheme="majorEastAsia" w:cstheme="majorBidi"/>
      <w:b/>
      <w:bCs/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3A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13A91"/>
    <w:rPr>
      <w:vertAlign w:val="superscript"/>
    </w:rPr>
  </w:style>
  <w:style w:type="paragraph" w:customStyle="1" w:styleId="emission">
    <w:name w:val="emission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rfrenceinstitutionnelle">
    <w:name w:val="rfrenceinstitutionnelle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dudocumentcp">
    <w:name w:val="typedudocume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ccompagnantcp">
    <w:name w:val="accompagna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acteprincipalcp">
    <w:name w:val="type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bjetacteprincipalcp">
    <w:name w:val="objet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basic-paragraph">
    <w:name w:val="basic-paragraph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italik">
    <w:name w:val="italik"/>
    <w:basedOn w:val="DefaultParagraphFont"/>
    <w:rsid w:val="008166FB"/>
  </w:style>
  <w:style w:type="paragraph" w:customStyle="1" w:styleId="bold">
    <w:name w:val="bold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lan">
    <w:name w:val="cla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dluka-zakon">
    <w:name w:val="odluka-zako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uto-style1">
    <w:name w:val="auto-style1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entar">
    <w:name w:val="centar"/>
    <w:basedOn w:val="Normal"/>
    <w:rsid w:val="00B77B19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Default">
    <w:name w:val="Default"/>
    <w:rsid w:val="006C3281"/>
    <w:pPr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ListParagraph">
    <w:name w:val="List Paragraph"/>
    <w:basedOn w:val="Normal"/>
    <w:link w:val="ListParagraphChar"/>
    <w:uiPriority w:val="34"/>
    <w:qFormat/>
    <w:rsid w:val="006C3281"/>
    <w:pPr>
      <w:ind w:left="720"/>
      <w:contextualSpacing/>
    </w:pPr>
  </w:style>
  <w:style w:type="table" w:styleId="TableGrid">
    <w:name w:val="Table Grid"/>
    <w:basedOn w:val="TableNormal"/>
    <w:uiPriority w:val="59"/>
    <w:rsid w:val="00881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TF-TEXTE1115">
    <w:name w:val="FATF-TEXTE 11/15"/>
    <w:link w:val="FATF-TEXTE1115Char"/>
    <w:qFormat/>
    <w:rsid w:val="0088138E"/>
    <w:pPr>
      <w:tabs>
        <w:tab w:val="left" w:pos="624"/>
        <w:tab w:val="left" w:pos="1247"/>
        <w:tab w:val="left" w:pos="1871"/>
        <w:tab w:val="left" w:pos="2495"/>
        <w:tab w:val="left" w:pos="3119"/>
      </w:tabs>
      <w:spacing w:after="120" w:line="300" w:lineRule="exact"/>
      <w:jc w:val="both"/>
    </w:pPr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character" w:customStyle="1" w:styleId="FATF-TEXTE1115Char">
    <w:name w:val="FATF-TEXTE 11/15 Char"/>
    <w:basedOn w:val="DefaultParagraphFont"/>
    <w:link w:val="FATF-TEXTE1115"/>
    <w:rsid w:val="0088138E"/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2BCE"/>
    <w:rPr>
      <w:rFonts w:eastAsia="Times New Roman"/>
      <w:b/>
      <w:bCs/>
      <w:color w:val="auto"/>
      <w:kern w:val="0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3FF6"/>
    <w:rPr>
      <w:rFonts w:ascii="Consolas" w:eastAsia="Calibri" w:hAnsi="Consolas"/>
      <w:color w:val="auto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FF6"/>
    <w:rPr>
      <w:rFonts w:ascii="Consolas" w:eastAsia="Calibri" w:hAnsi="Consolas"/>
      <w:color w:val="auto"/>
      <w:kern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6467E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styleId="Strong">
    <w:name w:val="Strong"/>
    <w:basedOn w:val="DefaultParagraphFont"/>
    <w:uiPriority w:val="22"/>
    <w:qFormat/>
    <w:rsid w:val="00F646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C012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2E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632C2"/>
  </w:style>
  <w:style w:type="character" w:styleId="PageNumber">
    <w:name w:val="page number"/>
    <w:basedOn w:val="DefaultParagraphFont"/>
    <w:uiPriority w:val="99"/>
    <w:semiHidden/>
    <w:unhideWhenUsed/>
    <w:rsid w:val="00A70FD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FDA"/>
    <w:pPr>
      <w:spacing w:line="276" w:lineRule="auto"/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70FDA"/>
    <w:pPr>
      <w:spacing w:after="100"/>
    </w:pPr>
  </w:style>
  <w:style w:type="character" w:customStyle="1" w:styleId="il">
    <w:name w:val="il"/>
    <w:basedOn w:val="DefaultParagraphFont"/>
    <w:rsid w:val="00E04390"/>
  </w:style>
  <w:style w:type="character" w:customStyle="1" w:styleId="v2-clan-left-1">
    <w:name w:val="v2-clan-left-1"/>
    <w:basedOn w:val="DefaultParagraphFont"/>
    <w:rsid w:val="00DA75CF"/>
  </w:style>
  <w:style w:type="paragraph" w:customStyle="1" w:styleId="potpis">
    <w:name w:val="potpis"/>
    <w:basedOn w:val="Normal"/>
    <w:rsid w:val="00DA75CF"/>
    <w:pPr>
      <w:spacing w:before="100" w:beforeAutospacing="1" w:after="100" w:afterAutospacing="1"/>
    </w:pPr>
    <w:rPr>
      <w:rFonts w:eastAsia="Times New Roman"/>
      <w:color w:val="auto"/>
      <w:kern w:val="0"/>
      <w:lang w:val="en-GB" w:eastAsia="en-GB"/>
    </w:rPr>
  </w:style>
  <w:style w:type="character" w:customStyle="1" w:styleId="st">
    <w:name w:val="st"/>
    <w:basedOn w:val="DefaultParagraphFont"/>
    <w:rsid w:val="0004492D"/>
  </w:style>
  <w:style w:type="paragraph" w:styleId="Header">
    <w:name w:val="header"/>
    <w:basedOn w:val="Normal"/>
    <w:link w:val="Head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56A"/>
  </w:style>
  <w:style w:type="paragraph" w:styleId="Footer">
    <w:name w:val="footer"/>
    <w:basedOn w:val="Normal"/>
    <w:link w:val="Foot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56A"/>
  </w:style>
  <w:style w:type="paragraph" w:styleId="Revision">
    <w:name w:val="Revision"/>
    <w:hidden/>
    <w:uiPriority w:val="99"/>
    <w:semiHidden/>
    <w:rsid w:val="00F43ECD"/>
    <w:rPr>
      <w:rFonts w:asciiTheme="minorHAnsi" w:hAnsiTheme="minorHAnsi" w:cstheme="minorBidi"/>
      <w:color w:val="auto"/>
      <w:kern w:val="0"/>
      <w:sz w:val="22"/>
      <w:szCs w:val="22"/>
    </w:rPr>
  </w:style>
  <w:style w:type="character" w:customStyle="1" w:styleId="highlight">
    <w:name w:val="highlight"/>
    <w:basedOn w:val="DefaultParagraphFont"/>
    <w:rsid w:val="00F43ECD"/>
  </w:style>
  <w:style w:type="character" w:customStyle="1" w:styleId="naslovpropisa1">
    <w:name w:val="naslovpropisa1"/>
    <w:basedOn w:val="DefaultParagraphFont"/>
    <w:rsid w:val="00182940"/>
  </w:style>
  <w:style w:type="character" w:customStyle="1" w:styleId="naslovpropisa1a">
    <w:name w:val="naslovpropisa1a"/>
    <w:basedOn w:val="DefaultParagraphFont"/>
    <w:rsid w:val="00182940"/>
  </w:style>
  <w:style w:type="paragraph" w:customStyle="1" w:styleId="podnaslovpropisa">
    <w:name w:val="podnaslovpropisa"/>
    <w:basedOn w:val="Normal"/>
    <w:rsid w:val="00182940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table" w:styleId="MediumGrid3-Accent1">
    <w:name w:val="Medium Grid 3 Accent 1"/>
    <w:basedOn w:val="TableNormal"/>
    <w:uiPriority w:val="69"/>
    <w:rsid w:val="00A149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rsid w:val="00972C3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D2BCE"/>
    <w:rPr>
      <w:rFonts w:eastAsiaTheme="majorEastAsia" w:cstheme="majorBidi"/>
      <w:b/>
      <w:bCs/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E02C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E02C0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891"/>
  </w:style>
  <w:style w:type="paragraph" w:styleId="Heading1">
    <w:name w:val="heading 1"/>
    <w:basedOn w:val="Normal"/>
    <w:next w:val="Normal"/>
    <w:link w:val="Heading1Char"/>
    <w:uiPriority w:val="9"/>
    <w:qFormat/>
    <w:rsid w:val="003C0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2BCE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kern w:val="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BCE"/>
    <w:pPr>
      <w:keepNext/>
      <w:keepLines/>
      <w:spacing w:before="200"/>
      <w:outlineLvl w:val="2"/>
    </w:pPr>
    <w:rPr>
      <w:rFonts w:eastAsiaTheme="majorEastAsia" w:cstheme="majorBidi"/>
      <w:b/>
      <w:bCs/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3A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13A91"/>
    <w:rPr>
      <w:vertAlign w:val="superscript"/>
    </w:rPr>
  </w:style>
  <w:style w:type="paragraph" w:customStyle="1" w:styleId="emission">
    <w:name w:val="emission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rfrenceinstitutionnelle">
    <w:name w:val="rfrenceinstitutionnelle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dudocumentcp">
    <w:name w:val="typedudocume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ccompagnantcp">
    <w:name w:val="accompagna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acteprincipalcp">
    <w:name w:val="type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bjetacteprincipalcp">
    <w:name w:val="objet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basic-paragraph">
    <w:name w:val="basic-paragraph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italik">
    <w:name w:val="italik"/>
    <w:basedOn w:val="DefaultParagraphFont"/>
    <w:rsid w:val="008166FB"/>
  </w:style>
  <w:style w:type="paragraph" w:customStyle="1" w:styleId="bold">
    <w:name w:val="bold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lan">
    <w:name w:val="cla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dluka-zakon">
    <w:name w:val="odluka-zako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uto-style1">
    <w:name w:val="auto-style1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entar">
    <w:name w:val="centar"/>
    <w:basedOn w:val="Normal"/>
    <w:rsid w:val="00B77B19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Default">
    <w:name w:val="Default"/>
    <w:rsid w:val="006C3281"/>
    <w:pPr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ListParagraph">
    <w:name w:val="List Paragraph"/>
    <w:basedOn w:val="Normal"/>
    <w:link w:val="ListParagraphChar"/>
    <w:uiPriority w:val="34"/>
    <w:qFormat/>
    <w:rsid w:val="006C3281"/>
    <w:pPr>
      <w:ind w:left="720"/>
      <w:contextualSpacing/>
    </w:pPr>
  </w:style>
  <w:style w:type="table" w:styleId="TableGrid">
    <w:name w:val="Table Grid"/>
    <w:basedOn w:val="TableNormal"/>
    <w:uiPriority w:val="59"/>
    <w:rsid w:val="0088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TF-TEXTE1115">
    <w:name w:val="FATF-TEXTE 11/15"/>
    <w:link w:val="FATF-TEXTE1115Char"/>
    <w:qFormat/>
    <w:rsid w:val="0088138E"/>
    <w:pPr>
      <w:tabs>
        <w:tab w:val="left" w:pos="624"/>
        <w:tab w:val="left" w:pos="1247"/>
        <w:tab w:val="left" w:pos="1871"/>
        <w:tab w:val="left" w:pos="2495"/>
        <w:tab w:val="left" w:pos="3119"/>
      </w:tabs>
      <w:spacing w:after="120" w:line="300" w:lineRule="exact"/>
      <w:jc w:val="both"/>
    </w:pPr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character" w:customStyle="1" w:styleId="FATF-TEXTE1115Char">
    <w:name w:val="FATF-TEXTE 11/15 Char"/>
    <w:basedOn w:val="DefaultParagraphFont"/>
    <w:link w:val="FATF-TEXTE1115"/>
    <w:rsid w:val="0088138E"/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2BCE"/>
    <w:rPr>
      <w:rFonts w:eastAsia="Times New Roman"/>
      <w:b/>
      <w:bCs/>
      <w:color w:val="auto"/>
      <w:kern w:val="0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3FF6"/>
    <w:rPr>
      <w:rFonts w:ascii="Consolas" w:eastAsia="Calibri" w:hAnsi="Consolas"/>
      <w:color w:val="auto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FF6"/>
    <w:rPr>
      <w:rFonts w:ascii="Consolas" w:eastAsia="Calibri" w:hAnsi="Consolas"/>
      <w:color w:val="auto"/>
      <w:kern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6467E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styleId="Strong">
    <w:name w:val="Strong"/>
    <w:basedOn w:val="DefaultParagraphFont"/>
    <w:uiPriority w:val="22"/>
    <w:qFormat/>
    <w:rsid w:val="00F646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C012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2E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632C2"/>
  </w:style>
  <w:style w:type="character" w:styleId="PageNumber">
    <w:name w:val="page number"/>
    <w:basedOn w:val="DefaultParagraphFont"/>
    <w:uiPriority w:val="99"/>
    <w:semiHidden/>
    <w:unhideWhenUsed/>
    <w:rsid w:val="00A70FD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FDA"/>
    <w:pPr>
      <w:spacing w:line="276" w:lineRule="auto"/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70FDA"/>
    <w:pPr>
      <w:spacing w:after="100"/>
    </w:pPr>
  </w:style>
  <w:style w:type="character" w:customStyle="1" w:styleId="il">
    <w:name w:val="il"/>
    <w:basedOn w:val="DefaultParagraphFont"/>
    <w:rsid w:val="00E04390"/>
  </w:style>
  <w:style w:type="character" w:customStyle="1" w:styleId="v2-clan-left-1">
    <w:name w:val="v2-clan-left-1"/>
    <w:basedOn w:val="DefaultParagraphFont"/>
    <w:rsid w:val="00DA75CF"/>
  </w:style>
  <w:style w:type="paragraph" w:customStyle="1" w:styleId="potpis">
    <w:name w:val="potpis"/>
    <w:basedOn w:val="Normal"/>
    <w:rsid w:val="00DA75CF"/>
    <w:pPr>
      <w:spacing w:before="100" w:beforeAutospacing="1" w:after="100" w:afterAutospacing="1"/>
    </w:pPr>
    <w:rPr>
      <w:rFonts w:eastAsia="Times New Roman"/>
      <w:color w:val="auto"/>
      <w:kern w:val="0"/>
      <w:lang w:val="en-GB" w:eastAsia="en-GB"/>
    </w:rPr>
  </w:style>
  <w:style w:type="character" w:customStyle="1" w:styleId="st">
    <w:name w:val="st"/>
    <w:basedOn w:val="DefaultParagraphFont"/>
    <w:rsid w:val="0004492D"/>
  </w:style>
  <w:style w:type="paragraph" w:styleId="Header">
    <w:name w:val="header"/>
    <w:basedOn w:val="Normal"/>
    <w:link w:val="Head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56A"/>
  </w:style>
  <w:style w:type="paragraph" w:styleId="Footer">
    <w:name w:val="footer"/>
    <w:basedOn w:val="Normal"/>
    <w:link w:val="Foot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56A"/>
  </w:style>
  <w:style w:type="paragraph" w:styleId="Revision">
    <w:name w:val="Revision"/>
    <w:hidden/>
    <w:uiPriority w:val="99"/>
    <w:semiHidden/>
    <w:rsid w:val="00F43ECD"/>
    <w:rPr>
      <w:rFonts w:asciiTheme="minorHAnsi" w:hAnsiTheme="minorHAnsi" w:cstheme="minorBidi"/>
      <w:color w:val="auto"/>
      <w:kern w:val="0"/>
      <w:sz w:val="22"/>
      <w:szCs w:val="22"/>
    </w:rPr>
  </w:style>
  <w:style w:type="character" w:customStyle="1" w:styleId="highlight">
    <w:name w:val="highlight"/>
    <w:basedOn w:val="DefaultParagraphFont"/>
    <w:rsid w:val="00F43ECD"/>
  </w:style>
  <w:style w:type="character" w:customStyle="1" w:styleId="naslovpropisa1">
    <w:name w:val="naslovpropisa1"/>
    <w:basedOn w:val="DefaultParagraphFont"/>
    <w:rsid w:val="00182940"/>
  </w:style>
  <w:style w:type="character" w:customStyle="1" w:styleId="naslovpropisa1a">
    <w:name w:val="naslovpropisa1a"/>
    <w:basedOn w:val="DefaultParagraphFont"/>
    <w:rsid w:val="00182940"/>
  </w:style>
  <w:style w:type="paragraph" w:customStyle="1" w:styleId="podnaslovpropisa">
    <w:name w:val="podnaslovpropisa"/>
    <w:basedOn w:val="Normal"/>
    <w:rsid w:val="00182940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table" w:styleId="MediumGrid3-Accent1">
    <w:name w:val="Medium Grid 3 Accent 1"/>
    <w:basedOn w:val="TableNormal"/>
    <w:uiPriority w:val="69"/>
    <w:rsid w:val="00A149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rsid w:val="00972C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D2BCE"/>
    <w:rPr>
      <w:rFonts w:eastAsiaTheme="majorEastAsia" w:cstheme="majorBidi"/>
      <w:b/>
      <w:bCs/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E02C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E02C0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94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974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2020-2024</PublishDate>
  <Abstract>за борбу против прања новца и финансирања тероризма за период 2020–2024. и Акциони план за период 2020–2022. године - ПРЕДЛОГ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6B4476-C42C-4AD1-8F75-63C427D7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СТРАТЕГИЈА</vt:lpstr>
    </vt:vector>
  </TitlesOfParts>
  <Company>Mic</Company>
  <LinksUpToDate>false</LinksUpToDate>
  <CharactersWithSpaces>55662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СТРАТЕГИЈА</dc:title>
  <dc:creator>Snezana Konjevic</dc:creator>
  <cp:lastModifiedBy>Катарина Павличић</cp:lastModifiedBy>
  <cp:revision>2</cp:revision>
  <cp:lastPrinted>2020-02-13T13:39:00Z</cp:lastPrinted>
  <dcterms:created xsi:type="dcterms:W3CDTF">2020-02-19T11:44:00Z</dcterms:created>
  <dcterms:modified xsi:type="dcterms:W3CDTF">2020-02-19T11:44:00Z</dcterms:modified>
</cp:coreProperties>
</file>