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ED4" w:rsidRDefault="00C2449F" w:rsidP="00C2449F">
      <w:pPr>
        <w:spacing w:after="150"/>
        <w:jc w:val="center"/>
      </w:pPr>
      <w:r>
        <w:rPr>
          <w:rFonts w:ascii="Tahoma" w:hAnsi="Tahoma" w:cs="Tahoma"/>
          <w:color w:val="000000"/>
        </w:rPr>
        <w:t>﻿</w:t>
      </w:r>
      <w:r>
        <w:rPr>
          <w:b/>
          <w:color w:val="000000"/>
        </w:rPr>
        <w:t>ЗАКОН</w:t>
      </w:r>
      <w:bookmarkStart w:id="0" w:name="_GoBack"/>
      <w:bookmarkEnd w:id="0"/>
    </w:p>
    <w:p w:rsidR="004B0ED4" w:rsidRDefault="00C2449F">
      <w:pPr>
        <w:spacing w:after="150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допунама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Закона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порезу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добит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правних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лица</w:t>
      </w:r>
      <w:proofErr w:type="spellEnd"/>
    </w:p>
    <w:p w:rsidR="004B0ED4" w:rsidRDefault="00C2449F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4B0ED4" w:rsidRDefault="00C2449F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Закону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порезу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добит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25/01, 80/02, 80/02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, 43/03, 84/04, 18/10, 101/11, 119/12, 47/13,</w:t>
      </w:r>
      <w:r>
        <w:rPr>
          <w:color w:val="000000"/>
        </w:rPr>
        <w:t xml:space="preserve"> 108/13, 68/14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142/14, 91/15 – </w:t>
      </w:r>
      <w:proofErr w:type="spellStart"/>
      <w:r>
        <w:rPr>
          <w:color w:val="000000"/>
        </w:rPr>
        <w:t>аутентично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тумачење</w:t>
      </w:r>
      <w:proofErr w:type="spellEnd"/>
      <w:r>
        <w:rPr>
          <w:color w:val="000000"/>
        </w:rPr>
        <w:t xml:space="preserve">, 112/15, 113/17, 95/18, 86/19 и 153/20), у </w:t>
      </w:r>
      <w:proofErr w:type="spellStart"/>
      <w:r>
        <w:rPr>
          <w:color w:val="000000"/>
        </w:rPr>
        <w:t>члану</w:t>
      </w:r>
      <w:proofErr w:type="spellEnd"/>
      <w:r>
        <w:rPr>
          <w:color w:val="000000"/>
        </w:rPr>
        <w:t xml:space="preserve"> 30. </w:t>
      </w:r>
      <w:proofErr w:type="spellStart"/>
      <w:r>
        <w:rPr>
          <w:color w:val="000000"/>
        </w:rPr>
        <w:t>додају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 xml:space="preserve">. 5−8,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гласе</w:t>
      </w:r>
      <w:proofErr w:type="spellEnd"/>
      <w:r>
        <w:rPr>
          <w:color w:val="000000"/>
        </w:rPr>
        <w:t>:</w:t>
      </w:r>
    </w:p>
    <w:p w:rsidR="004B0ED4" w:rsidRDefault="00C2449F">
      <w:pPr>
        <w:spacing w:after="150"/>
      </w:pPr>
      <w:r>
        <w:rPr>
          <w:color w:val="000000"/>
        </w:rPr>
        <w:t>„</w:t>
      </w:r>
      <w:proofErr w:type="spellStart"/>
      <w:r>
        <w:rPr>
          <w:color w:val="000000"/>
        </w:rPr>
        <w:t>Изузетно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обвезник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определи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добитке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уносом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имовинс</w:t>
      </w:r>
      <w:r>
        <w:rPr>
          <w:color w:val="000000"/>
        </w:rPr>
        <w:t>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капитал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резидентног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укључи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пореску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основицу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резидентно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стечена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отуђи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стицања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истом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уступи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</w:t>
      </w:r>
      <w:r>
        <w:rPr>
          <w:color w:val="000000"/>
        </w:rPr>
        <w:t>шћење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целини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делимично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принципом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дохвата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руке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уступање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59.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59.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>.</w:t>
      </w:r>
    </w:p>
    <w:p w:rsidR="004B0ED4" w:rsidRDefault="00C2449F">
      <w:pPr>
        <w:spacing w:after="150"/>
      </w:pPr>
      <w:proofErr w:type="spellStart"/>
      <w:r>
        <w:rPr>
          <w:color w:val="000000"/>
        </w:rPr>
        <w:t>Тржишна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имовинских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уноса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капитал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резидентног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проценитеља</w:t>
      </w:r>
      <w:proofErr w:type="spellEnd"/>
      <w:r>
        <w:rPr>
          <w:color w:val="000000"/>
        </w:rPr>
        <w:t>.</w:t>
      </w:r>
    </w:p>
    <w:p w:rsidR="004B0ED4" w:rsidRDefault="00C2449F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резидентно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</w:t>
      </w:r>
      <w:r>
        <w:rPr>
          <w:color w:val="000000"/>
        </w:rPr>
        <w:t>тицања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стечена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отуђи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уступи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целини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делимично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ставом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обвезник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изузимање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добитка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основице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дужан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пореској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стечена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отуђена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уступљена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обрачуна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плати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ставом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валоризован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погодност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изгубио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погодност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индексом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потрошачких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статистике</w:t>
      </w:r>
      <w:proofErr w:type="spellEnd"/>
      <w:r>
        <w:rPr>
          <w:color w:val="000000"/>
        </w:rPr>
        <w:t>.</w:t>
      </w:r>
    </w:p>
    <w:p w:rsidR="004B0ED4" w:rsidRDefault="00C2449F">
      <w:pPr>
        <w:spacing w:after="150"/>
      </w:pPr>
      <w:proofErr w:type="spellStart"/>
      <w:r>
        <w:rPr>
          <w:color w:val="000000"/>
        </w:rPr>
        <w:t>Капитални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губици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имовинских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ставом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</w:t>
      </w:r>
      <w:r>
        <w:rPr>
          <w:color w:val="000000"/>
        </w:rPr>
        <w:t>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пребијати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добицима</w:t>
      </w:r>
      <w:proofErr w:type="spellEnd"/>
      <w:r>
        <w:rPr>
          <w:color w:val="000000"/>
        </w:rPr>
        <w:t>.”.</w:t>
      </w:r>
    </w:p>
    <w:p w:rsidR="004B0ED4" w:rsidRDefault="00C2449F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4B0ED4" w:rsidRDefault="00C2449F">
      <w:pPr>
        <w:spacing w:after="150"/>
      </w:pPr>
      <w:proofErr w:type="spellStart"/>
      <w:r>
        <w:rPr>
          <w:color w:val="000000"/>
        </w:rPr>
        <w:t>Одредбе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утврђивање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обрачунавање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плаћање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годину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почиње</w:t>
      </w:r>
      <w:proofErr w:type="spellEnd"/>
      <w:r>
        <w:rPr>
          <w:color w:val="000000"/>
        </w:rPr>
        <w:t xml:space="preserve"> у 2022. </w:t>
      </w:r>
      <w:proofErr w:type="spellStart"/>
      <w:r>
        <w:rPr>
          <w:color w:val="000000"/>
        </w:rPr>
        <w:t>години</w:t>
      </w:r>
      <w:proofErr w:type="spellEnd"/>
      <w:r>
        <w:rPr>
          <w:color w:val="000000"/>
        </w:rPr>
        <w:t>.</w:t>
      </w:r>
    </w:p>
    <w:p w:rsidR="004B0ED4" w:rsidRDefault="00C2449F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4B0ED4" w:rsidRDefault="00C2449F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sectPr w:rsidR="004B0E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D4"/>
    <w:rsid w:val="004B0ED4"/>
    <w:rsid w:val="00C2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4448B8-3729-41D4-93E0-1B434A28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2021-12-22T07:24:00Z</dcterms:created>
  <dcterms:modified xsi:type="dcterms:W3CDTF">2021-12-22T07:24:00Z</dcterms:modified>
</cp:coreProperties>
</file>