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330" w:rsidRDefault="004416D3">
      <w:pPr>
        <w:spacing w:line="137" w:lineRule="atLeast"/>
      </w:pPr>
      <w:bookmarkStart w:id="0" w:name="_GoBack"/>
      <w:bookmarkEnd w:id="0"/>
      <w:r>
        <w:rPr>
          <w:rFonts w:ascii="Verdana" w:eastAsia="Verdana" w:hAnsi="Verdana" w:cs="Verdana"/>
        </w:rPr>
        <w:br/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На основу члана 115. став 12. Закона о играма на срећу („Службени гласник РС”, бр. 18/20 и 94/24),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Министар финансија доноси</w:t>
      </w:r>
    </w:p>
    <w:p w:rsidR="00563330" w:rsidRDefault="004416D3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ПРАВИЛНИК</w:t>
      </w:r>
    </w:p>
    <w:p w:rsidR="00563330" w:rsidRDefault="004416D3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ближим условима и начину испуњености услова за пружање услуге примања допунa евиденционог рачуна играча</w:t>
      </w:r>
    </w:p>
    <w:p w:rsidR="00563330" w:rsidRDefault="004416D3">
      <w:pPr>
        <w:spacing w:line="210" w:lineRule="atLeast"/>
        <w:jc w:val="center"/>
      </w:pPr>
      <w:r>
        <w:rPr>
          <w:rFonts w:ascii="Verdana" w:eastAsia="Verdana" w:hAnsi="Verdana" w:cs="Verdana"/>
        </w:rPr>
        <w:br/>
        <w:t>"Службени гласник РС", број 112 од 12. децембра 2025.</w:t>
      </w:r>
    </w:p>
    <w:p w:rsidR="00563330" w:rsidRDefault="004416D3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Овим правилником прописују се ближи услови за пружање услуге примања допунa евиденционо</w:t>
      </w:r>
      <w:r>
        <w:rPr>
          <w:rFonts w:ascii="Verdana" w:eastAsia="Verdana" w:hAnsi="Verdana" w:cs="Verdana"/>
        </w:rPr>
        <w:t>г рачуна играча у име и за рачун приређивача посебних игара на срећу преко средстава електронске комуникације, начин испуњености услова за спровођење видео надзора у вези са услугом примања допуна евиденционог рачуна играча и чување, архивирање и начин раз</w:t>
      </w:r>
      <w:r>
        <w:rPr>
          <w:rFonts w:ascii="Verdana" w:eastAsia="Verdana" w:hAnsi="Verdana" w:cs="Verdana"/>
        </w:rPr>
        <w:t>мене података електронским путем са софтверским решењем Управе за игре на срећу (у даљем тексту: Управа).</w:t>
      </w:r>
    </w:p>
    <w:p w:rsidR="00563330" w:rsidRDefault="004416D3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Приређивач посебних игара на срећу преко средстава електронске комуникације (у даљем тексту: приређивач) захтев за добијање сагласности из чла</w:t>
      </w:r>
      <w:r>
        <w:rPr>
          <w:rFonts w:ascii="Verdana" w:eastAsia="Verdana" w:hAnsi="Verdana" w:cs="Verdana"/>
        </w:rPr>
        <w:t>на 115. Закона о играма на срећу („Службени гласник РС”, бр. 18/20 и 94/24 – у даљем тексту: Закон), подноси на обрасцу Захтев за добијање сагласности за ангажовање лица за примање допуна евиденционог рачуна играча, који је одштампан уз овај правилник и чи</w:t>
      </w:r>
      <w:r>
        <w:rPr>
          <w:rFonts w:ascii="Verdana" w:eastAsia="Verdana" w:hAnsi="Verdana" w:cs="Verdana"/>
        </w:rPr>
        <w:t>ни његов саставни део.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Уз захтев из става 1. овог члана, приређивач подноси Управи документацију прописану чланом 115. ст. 3. и 4. Закона.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Изузетно од става 2. овог члана, приређивач не доставља уверење Републичког геодетског завода, уколико је за исто лиц</w:t>
      </w:r>
      <w:r>
        <w:rPr>
          <w:rFonts w:ascii="Verdana" w:eastAsia="Verdana" w:hAnsi="Verdana" w:cs="Verdana"/>
        </w:rPr>
        <w:t>е које се ангажује за пружање услуга примања допуна евиденционог рачуна играча регистрованог за учествовање у играма на срећу код тог приређивача (у даљем тексту: прималац допуна) претходно достављено Управи уверење о удаљенoсти између објекта у којем се п</w:t>
      </w:r>
      <w:r>
        <w:rPr>
          <w:rFonts w:ascii="Verdana" w:eastAsia="Verdana" w:hAnsi="Verdana" w:cs="Verdana"/>
        </w:rPr>
        <w:t>римају допуне евиденционог рачуна и образовне установе коју похађају деца, малолетници и млађи пунолетници до навршене 19. године живота.</w:t>
      </w:r>
    </w:p>
    <w:p w:rsidR="00563330" w:rsidRDefault="004416D3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3.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Прималац допуна има обавезу да обезбеди непрекидан видео надзор у складу са Законом.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Непрекидан видео надзор и</w:t>
      </w:r>
      <w:r>
        <w:rPr>
          <w:rFonts w:ascii="Verdana" w:eastAsia="Verdana" w:hAnsi="Verdana" w:cs="Verdana"/>
        </w:rPr>
        <w:t>з става 1. овог члана обухвата снимање сваког места код примаоца допуна на ком се врше допуне евиденционих рачуна играча.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lastRenderedPageBreak/>
        <w:t>Прималац допуна је дужан да на свим камерама и мониторима за видео надзор из става 1. овог члана обезбеди податке о датуму, времену сн</w:t>
      </w:r>
      <w:r>
        <w:rPr>
          <w:rFonts w:ascii="Verdana" w:eastAsia="Verdana" w:hAnsi="Verdana" w:cs="Verdana"/>
        </w:rPr>
        <w:t>имања и броју камере.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Видно поље камере из става 3. овог члана мора бити тако изабрано да се обезбеди довољан број пиксела снимљених лица у непосредној близини места на ком се врше допуне евиденционих рачуна играча, у циљу њихове недвосмислене идентификаци</w:t>
      </w:r>
      <w:r>
        <w:rPr>
          <w:rFonts w:ascii="Verdana" w:eastAsia="Verdana" w:hAnsi="Verdana" w:cs="Verdana"/>
        </w:rPr>
        <w:t>је, са следећим минималним параметрима: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1) резолуција: 1920x1080 пиксела (Full HD);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2) брзина снимања (енг: Frame Rate): 25 фрејмова по секунди (енг: frames per second);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3) компримовање: омогућава се кодек H.265.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Прималац допуна је дужан да на видном месту</w:t>
      </w:r>
      <w:r>
        <w:rPr>
          <w:rFonts w:ascii="Verdana" w:eastAsia="Verdana" w:hAnsi="Verdana" w:cs="Verdana"/>
        </w:rPr>
        <w:t>, истакне обавештење да је простор где се врши услуга примања допуна евиденционог рачуна играча под видео надзором.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 xml:space="preserve">Прималац допуна је дужан да документацију о непрекидном снимању места на ком се врше допуне евиденционих рачуна играча чува 90 дана од дана </w:t>
      </w:r>
      <w:r>
        <w:rPr>
          <w:rFonts w:ascii="Verdana" w:eastAsia="Verdana" w:hAnsi="Verdana" w:cs="Verdana"/>
        </w:rPr>
        <w:t>снимања.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Документација из става 6. овог члана чува се са применљивом технологијом како би се обезбедила безбедност и заштита података у заштићеној просторији у којој је ограничен приступ неовлашћеним лицима.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Целокупни систем видео надзора мора бити заштиће</w:t>
      </w:r>
      <w:r>
        <w:rPr>
          <w:rFonts w:ascii="Verdana" w:eastAsia="Verdana" w:hAnsi="Verdana" w:cs="Verdana"/>
        </w:rPr>
        <w:t>н од приступа неовлашћених лица.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Прималац допуна је дужан да води посебну евиденцију о лицима овлашћеним за руковање документацијом из става 6. овог члана.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Накнадна обрада снимљеног материјала је забрањена.</w:t>
      </w:r>
    </w:p>
    <w:p w:rsidR="00563330" w:rsidRDefault="004416D3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Размена података између примаоца допуна и софтверског решења Управе спроводи се електронским путем преко безбедног Апликативног програмибилног интерфејса (АПИ) који: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1) обезбеђује аутентификацију, ауторизацију и шифровану комуникацију (TLS/SSL, VPN или екв</w:t>
      </w:r>
      <w:r>
        <w:rPr>
          <w:rFonts w:ascii="Verdana" w:eastAsia="Verdana" w:hAnsi="Verdana" w:cs="Verdana"/>
        </w:rPr>
        <w:t>ивалент);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2) подржава размену података о допунама евиденционог рачуна играча, статусима трансакција и грешкама у реалном времену;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3) омогућава Управи праћење трансакција и аутоматски пренос извештаја;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4) омогућава синхронизацију и корекцију грешака (rollba</w:t>
      </w:r>
      <w:r>
        <w:rPr>
          <w:rFonts w:ascii="Verdana" w:eastAsia="Verdana" w:hAnsi="Verdana" w:cs="Verdana"/>
        </w:rPr>
        <w:t>ck) у складу са техничким правилима Управе;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5) обезбеђује записивање свих догађаја (логова) и аутоматско извештавање о инцидентима.</w:t>
      </w:r>
    </w:p>
    <w:p w:rsidR="00563330" w:rsidRDefault="004416D3">
      <w:pPr>
        <w:spacing w:line="210" w:lineRule="atLeast"/>
        <w:jc w:val="center"/>
      </w:pPr>
      <w:r>
        <w:rPr>
          <w:rFonts w:ascii="Verdana" w:eastAsia="Verdana" w:hAnsi="Verdana" w:cs="Verdana"/>
        </w:rPr>
        <w:t>Члан 5.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lastRenderedPageBreak/>
        <w:t>Прималац допуна је дужан да омогући Управи сталан увид у све податке који се односе на примања допуна евиденционог р</w:t>
      </w:r>
      <w:r>
        <w:rPr>
          <w:rFonts w:ascii="Verdana" w:eastAsia="Verdana" w:hAnsi="Verdana" w:cs="Verdana"/>
        </w:rPr>
        <w:t>ачуна играча (као што је врста и висина трансакције, време када је извршена трансакција и др.).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Приређивач je дужан да све трансакције у систему података чува најмање десет година од дана извршене трансакције, у складу са прописима којима се уређује спречавање прања новца и финансирања тероризма, након чега их приређивач може архивирати, с тим што их</w:t>
      </w:r>
      <w:r>
        <w:rPr>
          <w:rFonts w:ascii="Verdana" w:eastAsia="Verdana" w:hAnsi="Verdana" w:cs="Verdana"/>
        </w:rPr>
        <w:t xml:space="preserve"> на захтев Управе мора доставити у изворном облику у року од пет дана од дана пријема захтева.</w:t>
      </w:r>
    </w:p>
    <w:p w:rsidR="00563330" w:rsidRDefault="004416D3">
      <w:pPr>
        <w:spacing w:line="210" w:lineRule="atLeast"/>
        <w:jc w:val="center"/>
      </w:pPr>
      <w:r>
        <w:rPr>
          <w:rFonts w:ascii="Verdana" w:eastAsia="Verdana" w:hAnsi="Verdana" w:cs="Verdana"/>
        </w:rPr>
        <w:t>Члан 6.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Овај правилник ступа на снагу осмог дана од дана објављивања у „Службеном гласнику Републике Србије”.</w:t>
      </w:r>
    </w:p>
    <w:p w:rsidR="00563330" w:rsidRDefault="004416D3">
      <w:pPr>
        <w:spacing w:line="210" w:lineRule="atLeast"/>
        <w:jc w:val="right"/>
      </w:pPr>
      <w:r>
        <w:rPr>
          <w:rFonts w:ascii="Verdana" w:eastAsia="Verdana" w:hAnsi="Verdana" w:cs="Verdana"/>
        </w:rPr>
        <w:t>Број 004655915 2025 10520 027 000 012 001</w:t>
      </w:r>
    </w:p>
    <w:p w:rsidR="00563330" w:rsidRDefault="004416D3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</w:t>
      </w:r>
      <w:r>
        <w:rPr>
          <w:rFonts w:ascii="Verdana" w:eastAsia="Verdana" w:hAnsi="Verdana" w:cs="Verdana"/>
        </w:rPr>
        <w:t>у, 8. децембра 2025. године</w:t>
      </w:r>
    </w:p>
    <w:p w:rsidR="00563330" w:rsidRDefault="004416D3">
      <w:pPr>
        <w:spacing w:line="210" w:lineRule="atLeast"/>
        <w:jc w:val="right"/>
      </w:pPr>
      <w:r>
        <w:rPr>
          <w:rFonts w:ascii="Verdana" w:eastAsia="Verdana" w:hAnsi="Verdana" w:cs="Verdana"/>
        </w:rPr>
        <w:t>Министар,</w:t>
      </w:r>
    </w:p>
    <w:p w:rsidR="00563330" w:rsidRDefault="004416D3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 xml:space="preserve">Синиша Мали, </w:t>
      </w:r>
      <w:r>
        <w:rPr>
          <w:rFonts w:ascii="Verdana" w:eastAsia="Verdana" w:hAnsi="Verdana" w:cs="Verdana"/>
        </w:rPr>
        <w:t>с.р.</w:t>
      </w:r>
    </w:p>
    <w:p w:rsidR="00563330" w:rsidRDefault="004416D3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ЗАХТЕВ ЗА ДОБИЈАЊЕ САГЛАСНОСТИ ЗА АНГАЖОВАЊЕ ЛИЦА ЗА ПРИМАЊЕ ДОПУНА ЕВИДЕНЦИОНОГ РАЧУНА ИГРАЧА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I. ПОДАЦИ О ПОДНОСИОЦУ ЗАХТЕВА – ПРИРЕЂИВАЧУ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1. Назив приређивача игара на срећу: _______________________</w:t>
      </w:r>
      <w:r>
        <w:rPr>
          <w:rFonts w:ascii="Verdana" w:eastAsia="Verdana" w:hAnsi="Verdana" w:cs="Verdana"/>
        </w:rPr>
        <w:t>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2. Матични број и ПИБ: ____________________________________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3. Број и датум решења Управе о одобрењу за приређивање посебних игара на срећу: _______________________________________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4. Седиште (адреса, место, поштански број):__________________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___________</w:t>
      </w:r>
      <w:r>
        <w:rPr>
          <w:rFonts w:ascii="Verdana" w:eastAsia="Verdana" w:hAnsi="Verdana" w:cs="Verdana"/>
        </w:rPr>
        <w:t>_____________________________________________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5. Телефон/е-пошта за контакт: _____________________________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6. Лице овлашћено за заступање: ____________________________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7. Функција/својство: _____________________________________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8. Број и датум решења о рег</w:t>
      </w:r>
      <w:r>
        <w:rPr>
          <w:rFonts w:ascii="Verdana" w:eastAsia="Verdana" w:hAnsi="Verdana" w:cs="Verdana"/>
        </w:rPr>
        <w:t>истрацији у АПР:_________________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II. ПОДАЦИ О ПРИМАОЦУ ДОПУНА ЕВИДЕНЦИОНОГ РАЧУНА ИГРАЧА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1. Назив правног лица/предузетника: ________________________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2. Матични број и ПИБ: ____________________________________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3. Седиште (адреса, место, поштански број):__________________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________________________________________________________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4. Телефон/е-пошта за контакт: _____________________________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5. Лице овлашћено за заступање: ____________________________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6. Функција/сво</w:t>
      </w:r>
      <w:r>
        <w:rPr>
          <w:rFonts w:ascii="Verdana" w:eastAsia="Verdana" w:hAnsi="Verdana" w:cs="Verdana"/>
        </w:rPr>
        <w:t>јство: _____________________________________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lastRenderedPageBreak/>
        <w:t>7. Број и датум решења о регистрацији у АПР:_________________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8. Шифра делатности: _____________________________________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III. ОПШТИ ПОДАЦИ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1. Број уговора о пружању услуга примања допуна: 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2. Датум у</w:t>
      </w:r>
      <w:r>
        <w:rPr>
          <w:rFonts w:ascii="Verdana" w:eastAsia="Verdana" w:hAnsi="Verdana" w:cs="Verdana"/>
        </w:rPr>
        <w:t>говора о пружању услуга примања допуна: 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3. Период важења уговора о пружању услуга примања допуна: _________________________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4. Укупан број објеката у којима се пружа услуга примања допуна: _____________________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5. Укупан број уверења Републичко</w:t>
      </w:r>
      <w:r>
        <w:rPr>
          <w:rFonts w:ascii="Verdana" w:eastAsia="Verdana" w:hAnsi="Verdana" w:cs="Verdana"/>
        </w:rPr>
        <w:t>г геодетског завода о удаљености: __________________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6. Укупан број места на којим се примају допуне под непрекидним видео надзором: 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IV. ПОДАЦИ О ИНФОРМАЦИОНО-КОМУНИКАЦИОНОМ СИСТЕМУ (ИКС) ПРИМАОЦА ДОПУНА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1. Назив и верзија ИКС:_____________________</w:t>
      </w:r>
      <w:r>
        <w:rPr>
          <w:rFonts w:ascii="Verdana" w:eastAsia="Verdana" w:hAnsi="Verdana" w:cs="Verdana"/>
        </w:rPr>
        <w:t>_______________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2. Назив произвођача/добављача ИКС: _______________________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3. Број и датум уверења овлашћене лабораторије: ______________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4. Назив овлашћене лабораторије: ___________________________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Место и датум подношења захтева: _______________________</w:t>
      </w:r>
      <w:r>
        <w:rPr>
          <w:rFonts w:ascii="Verdana" w:eastAsia="Verdana" w:hAnsi="Verdana" w:cs="Verdana"/>
        </w:rPr>
        <w:t>___</w:t>
      </w:r>
    </w:p>
    <w:p w:rsidR="00563330" w:rsidRDefault="004416D3">
      <w:pPr>
        <w:spacing w:line="210" w:lineRule="atLeast"/>
      </w:pPr>
      <w:r>
        <w:rPr>
          <w:rFonts w:ascii="Verdana" w:eastAsia="Verdana" w:hAnsi="Verdana" w:cs="Verdana"/>
        </w:rPr>
        <w:t>Електронски потпис овлашћеног лица приређивача: ____________</w:t>
      </w:r>
    </w:p>
    <w:sectPr w:rsidR="00563330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30"/>
    <w:rsid w:val="004416D3"/>
    <w:rsid w:val="0056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7346A0-EC93-4EF4-87F1-91721F22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2025-12-16T10:43:00Z</dcterms:created>
  <dcterms:modified xsi:type="dcterms:W3CDTF">2025-12-16T10:43:00Z</dcterms:modified>
</cp:coreProperties>
</file>