
<file path=[Content_Types].xml><?xml version="1.0" encoding="utf-8"?>
<Types xmlns="http://schemas.openxmlformats.org/package/2006/content-types">
  <Default Extension="bmp" ContentType="image/bmp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81508" w:rsidRDefault="00155A43">
      <w:pPr>
        <w:spacing w:line="210" w:lineRule="atLeast"/>
      </w:pPr>
      <w:bookmarkStart w:id="0" w:name="_GoBack"/>
      <w:bookmarkEnd w:id="0"/>
      <w:r>
        <w:rPr>
          <w:rFonts w:ascii="Verdana" w:eastAsia="Verdana" w:hAnsi="Verdana" w:cs="Verdana"/>
        </w:rPr>
        <w:t>На основу члана 75. ст. 2. и 4. Закона о буџетском систему („Службени гласник РС”, бр. 54/09, 73/10, 101/10, 101/11, 93/12, 62/13, 63/13 – исправка, 108/13, 142/14, 68/15 – др. закон, 103/15, 99/16, 113/17,  95/18, 31/19, 72/19, 149/20, 118/21, 118/21 – др</w:t>
      </w:r>
      <w:r>
        <w:rPr>
          <w:rFonts w:ascii="Verdana" w:eastAsia="Verdana" w:hAnsi="Verdana" w:cs="Verdana"/>
        </w:rPr>
        <w:t>. закон, 138/22, 92/23 и 94/24),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 xml:space="preserve">Министар финансија доноси </w:t>
      </w:r>
    </w:p>
    <w:p w:rsidR="00B81508" w:rsidRDefault="00155A43">
      <w:pPr>
        <w:spacing w:line="210" w:lineRule="atLeast"/>
        <w:jc w:val="center"/>
      </w:pPr>
      <w:r>
        <w:rPr>
          <w:rFonts w:ascii="Verdana" w:eastAsia="Verdana" w:hAnsi="Verdana" w:cs="Verdana"/>
          <w:b/>
        </w:rPr>
        <w:t>ПРАВИЛНИК</w:t>
      </w:r>
    </w:p>
    <w:p w:rsidR="00B81508" w:rsidRDefault="00155A43">
      <w:pPr>
        <w:spacing w:line="210" w:lineRule="atLeast"/>
        <w:jc w:val="center"/>
      </w:pPr>
      <w:r>
        <w:rPr>
          <w:rFonts w:ascii="Verdana" w:eastAsia="Verdana" w:hAnsi="Verdana" w:cs="Verdana"/>
          <w:b/>
        </w:rPr>
        <w:t>о начину припреме, састављања и подношења финансијских извештаја корисника буџетских средстава и корисника средстава организација за обавезно социјално осигурање</w:t>
      </w:r>
    </w:p>
    <w:p w:rsidR="00B81508" w:rsidRDefault="00155A43">
      <w:pPr>
        <w:spacing w:line="210" w:lineRule="atLeast"/>
        <w:jc w:val="center"/>
      </w:pPr>
      <w:r>
        <w:rPr>
          <w:rFonts w:ascii="Verdana" w:eastAsia="Verdana" w:hAnsi="Verdana" w:cs="Verdana"/>
        </w:rPr>
        <w:t>I. ОСНОВНЕ ОДРЕДБЕ</w:t>
      </w:r>
    </w:p>
    <w:p w:rsidR="00B81508" w:rsidRDefault="00155A43">
      <w:pPr>
        <w:spacing w:line="210" w:lineRule="atLeast"/>
        <w:jc w:val="center"/>
      </w:pPr>
      <w:r>
        <w:rPr>
          <w:rFonts w:ascii="Verdana" w:eastAsia="Verdana" w:hAnsi="Verdana" w:cs="Verdana"/>
        </w:rPr>
        <w:t xml:space="preserve">Члан </w:t>
      </w:r>
      <w:r>
        <w:rPr>
          <w:rFonts w:ascii="Verdana" w:eastAsia="Verdana" w:hAnsi="Verdana" w:cs="Verdana"/>
        </w:rPr>
        <w:t>1.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 xml:space="preserve">Овим правилником прописују се начин припреме, састављања и подношења финансијских извештаја буџета Републике Србије, буџета аутономних покрајина и јединица локалне самоуправе и њихових директних и индиректних корисника, Републичког фонда за здравствено </w:t>
      </w:r>
      <w:r>
        <w:rPr>
          <w:rFonts w:ascii="Verdana" w:eastAsia="Verdana" w:hAnsi="Verdana" w:cs="Verdana"/>
        </w:rPr>
        <w:t>осигурање, Републичког фонда за пензијско и инвалидско осигурање, Фонда за социјално осигурање војних осигураника, Националнe службе за запошљавање и корисника средстава Републичког фонда за здравствено осигурање (у даљем тексту: ентитети), као и садржај о</w:t>
      </w:r>
      <w:r>
        <w:rPr>
          <w:rFonts w:ascii="Verdana" w:eastAsia="Verdana" w:hAnsi="Verdana" w:cs="Verdana"/>
        </w:rPr>
        <w:t xml:space="preserve">бразаца на којима се састављају и достављају финансијски извештаји. </w:t>
      </w:r>
    </w:p>
    <w:p w:rsidR="00B81508" w:rsidRDefault="00155A43">
      <w:pPr>
        <w:spacing w:line="210" w:lineRule="atLeast"/>
        <w:jc w:val="center"/>
      </w:pPr>
      <w:r>
        <w:rPr>
          <w:rFonts w:ascii="Verdana" w:eastAsia="Verdana" w:hAnsi="Verdana" w:cs="Verdana"/>
        </w:rPr>
        <w:t>Члан 2.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 xml:space="preserve">Финансијски извештаји, у смислу овог правилника јесу: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 xml:space="preserve">1) периодични финансијски извештај;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 xml:space="preserve">2) годишњи финансијски извештај. </w:t>
      </w:r>
    </w:p>
    <w:p w:rsidR="00B81508" w:rsidRDefault="00155A43">
      <w:pPr>
        <w:spacing w:line="210" w:lineRule="atLeast"/>
        <w:jc w:val="center"/>
      </w:pPr>
      <w:r>
        <w:rPr>
          <w:rFonts w:ascii="Verdana" w:eastAsia="Verdana" w:hAnsi="Verdana" w:cs="Verdana"/>
        </w:rPr>
        <w:t>Члан 3.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 xml:space="preserve">Годишњи финансијски извештај обухвата: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– Изв</w:t>
      </w:r>
      <w:r>
        <w:rPr>
          <w:rFonts w:ascii="Verdana" w:eastAsia="Verdana" w:hAnsi="Verdana" w:cs="Verdana"/>
        </w:rPr>
        <w:t>ештај о новчаним токовима – Образац НТ,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– Извештај о извршењу буџета – Образац ИБ,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– Рачуноводствене политике,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– Напомене са објашњењима,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– Образложења уз годишњи извештај о извршењу буџета.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Напомене са објашњењима садрже следеће: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1) опште информације о по</w:t>
      </w:r>
      <w:r>
        <w:rPr>
          <w:rFonts w:ascii="Verdana" w:eastAsia="Verdana" w:hAnsi="Verdana" w:cs="Verdana"/>
        </w:rPr>
        <w:t>дносиоцу извештаја;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2) рачуноводствену основу која је коришћена за састављање Извештаја о новчаним токовима и основу која је коришћена за састављање Извештаја о извршењу буџета;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 xml:space="preserve">3) информације о стању готовине и готовинских еквивалената на почетку и крају </w:t>
      </w:r>
      <w:r>
        <w:rPr>
          <w:rFonts w:ascii="Verdana" w:eastAsia="Verdana" w:hAnsi="Verdana" w:cs="Verdana"/>
        </w:rPr>
        <w:t>извештајног периода;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4) датум одобравања финансијских извештаја за објављивање;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lastRenderedPageBreak/>
        <w:t>5) информације о готовини која се налази на рачунима подносилаца извештаја, али није расположива за коришћење или подлеже ограничењима за коришћење, као и информације о неискор</w:t>
      </w:r>
      <w:r>
        <w:rPr>
          <w:rFonts w:ascii="Verdana" w:eastAsia="Verdana" w:hAnsi="Verdana" w:cs="Verdana"/>
        </w:rPr>
        <w:t>ишћеним позајмицама;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6) Биланс стања – Образац БС;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7) Биланс прихода и расхода – Образац ПР;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8) усклађивање прихода и примања и расхода и издатака из Извештаја о извршењу буџета – Образац ИБ и прилива и одлива из Извештаја о новчаним токовима – Образац НТ;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9) додатне информације које нису приказане у финансијским извештајима, али су неопходне за фер презентацију прилива и одлива готовине и салда готовине.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Образложења уз годишњи извештај о извршењу буџета обухватају: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1) образложење одступања између одобрених</w:t>
      </w:r>
      <w:r>
        <w:rPr>
          <w:rFonts w:ascii="Verdana" w:eastAsia="Verdana" w:hAnsi="Verdana" w:cs="Verdana"/>
        </w:rPr>
        <w:t xml:space="preserve"> средстава и извршења;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2) извештај о коришћењу средстава из текуће и сталне буџетске резерве;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3) извештај о гаранцијама датим у току фискалне године;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4) извештај о примљеним донацијама и задужењу на домаћем и страном тржишту новца и капитала и извршеним от</w:t>
      </w:r>
      <w:r>
        <w:rPr>
          <w:rFonts w:ascii="Verdana" w:eastAsia="Verdana" w:hAnsi="Verdana" w:cs="Verdana"/>
        </w:rPr>
        <w:t>платама дугова;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5) извештај о реализацији укупних средстава буџета по корисницима, програмима, пројектима, функцијама, економским класификацијама и изворима, који се односи на ниво буџета Републике Србије, односно локалне власти.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Обрасци који се користе за састављање годишњег финансијског извештаја, напомена са објашњењима су: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1) Извештај о новчаним токовима – Образац НТ;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2) Извештај о извршењу буџета – Образац ИБ;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3) Биланс стања – Образац БС;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4) Биланс прихода и расхода – Образац</w:t>
      </w:r>
      <w:r>
        <w:rPr>
          <w:rFonts w:ascii="Verdana" w:eastAsia="Verdana" w:hAnsi="Verdana" w:cs="Verdana"/>
        </w:rPr>
        <w:t xml:space="preserve"> ПР.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 xml:space="preserve">Обрасци из става 4. овог члана одштампани су уз овај правилник и чине његов саставни део.  </w:t>
      </w:r>
    </w:p>
    <w:p w:rsidR="00B81508" w:rsidRDefault="00155A43">
      <w:pPr>
        <w:spacing w:line="210" w:lineRule="atLeast"/>
        <w:jc w:val="center"/>
      </w:pPr>
      <w:r>
        <w:rPr>
          <w:rFonts w:ascii="Verdana" w:eastAsia="Verdana" w:hAnsi="Verdana" w:cs="Verdana"/>
          <w:b/>
        </w:rPr>
        <w:t>Периодични финансијски извештаји</w:t>
      </w:r>
    </w:p>
    <w:p w:rsidR="00B81508" w:rsidRDefault="00155A43">
      <w:pPr>
        <w:spacing w:line="210" w:lineRule="atLeast"/>
        <w:jc w:val="center"/>
      </w:pPr>
      <w:r>
        <w:rPr>
          <w:rFonts w:ascii="Verdana" w:eastAsia="Verdana" w:hAnsi="Verdana" w:cs="Verdana"/>
        </w:rPr>
        <w:t>Члан 4.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Периодични финансијски извештаји су тромесечни (квартални) финансијски извештаји који се сачињавају на Обрасцу ИБ – Из</w:t>
      </w:r>
      <w:r>
        <w:rPr>
          <w:rFonts w:ascii="Verdana" w:eastAsia="Verdana" w:hAnsi="Verdana" w:cs="Verdana"/>
        </w:rPr>
        <w:t>вештај о извршењу буџета.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Контролисани ентитети састављају периодичне финансијске извештаје о извршењу буџета и достављају надлежном матичном ентитету у року од десет дана од дана истека тромесечја, за потребе планирања и контроле извршења буџета.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Финансиј</w:t>
      </w:r>
      <w:r>
        <w:rPr>
          <w:rFonts w:ascii="Verdana" w:eastAsia="Verdana" w:hAnsi="Verdana" w:cs="Verdana"/>
        </w:rPr>
        <w:t xml:space="preserve">ске извештаје из става 2. овог члана матични ентитети усклађују са подацима садржаним у главној књизи трезора и подацима из својих </w:t>
      </w:r>
      <w:r>
        <w:rPr>
          <w:rFonts w:ascii="Verdana" w:eastAsia="Verdana" w:hAnsi="Verdana" w:cs="Verdana"/>
        </w:rPr>
        <w:lastRenderedPageBreak/>
        <w:t xml:space="preserve">евиденција, врше консолидацију података и достављају органу управе надлежном за послове финансија, у року од 20 дана од дана </w:t>
      </w:r>
      <w:r>
        <w:rPr>
          <w:rFonts w:ascii="Verdana" w:eastAsia="Verdana" w:hAnsi="Verdana" w:cs="Verdana"/>
        </w:rPr>
        <w:t>истека тромесечја.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Контролисани ентитети, који су корисници средстава Републичког фонда за здравствено осигурање (у даљем тексту: РФЗО) састављају периодичне финансијске извештаје о извршењу својих финансијских планова и достављају их РФЗО, у року од десет</w:t>
      </w:r>
      <w:r>
        <w:rPr>
          <w:rFonts w:ascii="Verdana" w:eastAsia="Verdana" w:hAnsi="Verdana" w:cs="Verdana"/>
        </w:rPr>
        <w:t xml:space="preserve"> дана од дана истека тромесечја, за потребе планирања и контроле извршења финансијског плана овог фонда.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Организације за обавезно социјално осигурање (у даљем тексту: ООСО) састављају периодичне финансијске извештаје о извршењу финансијских планова, а РФЗО</w:t>
      </w:r>
      <w:r>
        <w:rPr>
          <w:rFonts w:ascii="Verdana" w:eastAsia="Verdana" w:hAnsi="Verdana" w:cs="Verdana"/>
        </w:rPr>
        <w:t xml:space="preserve"> врши консолидацију извештаја из става 4. овог члана и саставља периодични консолидовани извештај, које достављају Министарству финансија – Управи за трезор у року од 20 дана од дана истека  тромесечја.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Контролисани ентитет, у смислу ст. 2. и 4. овог члана</w:t>
      </w:r>
      <w:r>
        <w:rPr>
          <w:rFonts w:ascii="Verdana" w:eastAsia="Verdana" w:hAnsi="Verdana" w:cs="Verdana"/>
        </w:rPr>
        <w:t>, је ентитет који је под контролом другог ентитета (матичног ентитета), односно индиректни корисник буџетских средстава и корисник средстава Републичког фонда за здравствено осигурање у смислу закона којим се уређује буџетски систем.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Матични ентитет, у сми</w:t>
      </w:r>
      <w:r>
        <w:rPr>
          <w:rFonts w:ascii="Verdana" w:eastAsia="Verdana" w:hAnsi="Verdana" w:cs="Verdana"/>
        </w:rPr>
        <w:t>слу става 3. овог члана,  је ентитет који има контролу над једним или више других ентитета, односно директни корисник буџетских средстава, као и Републички фонд за здравствено осигурање, у смислу закона којим се уређује буџетски систем.</w:t>
      </w:r>
    </w:p>
    <w:p w:rsidR="00B81508" w:rsidRDefault="00155A43">
      <w:pPr>
        <w:spacing w:line="210" w:lineRule="atLeast"/>
        <w:jc w:val="center"/>
      </w:pPr>
      <w:r>
        <w:rPr>
          <w:rFonts w:ascii="Verdana" w:eastAsia="Verdana" w:hAnsi="Verdana" w:cs="Verdana"/>
          <w:b/>
        </w:rPr>
        <w:t>Годишњи финансијски</w:t>
      </w:r>
      <w:r>
        <w:rPr>
          <w:rFonts w:ascii="Verdana" w:eastAsia="Verdana" w:hAnsi="Verdana" w:cs="Verdana"/>
          <w:b/>
        </w:rPr>
        <w:t xml:space="preserve"> извештаји</w:t>
      </w:r>
    </w:p>
    <w:p w:rsidR="00B81508" w:rsidRDefault="00155A43">
      <w:pPr>
        <w:spacing w:line="210" w:lineRule="atLeast"/>
        <w:jc w:val="center"/>
      </w:pPr>
      <w:r>
        <w:rPr>
          <w:rFonts w:ascii="Verdana" w:eastAsia="Verdana" w:hAnsi="Verdana" w:cs="Verdana"/>
        </w:rPr>
        <w:t>Члан 5.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Ентитети који своје финансијско пословање не обављају преко својих подрачуна, састављају годишње финансијске извештаје који обухватају: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1) Извештај о извршењу буџета – Образац ИБ,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 xml:space="preserve">2) Биланс стања – Образац БС,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3) Образложења уз годишњи извештај о извршењу буџета.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Извештаји из става 1. овог члана се достављају на обрасцима из члана 3. став 4. тач. 2) и 3) овог правилника.</w:t>
      </w:r>
    </w:p>
    <w:p w:rsidR="00B81508" w:rsidRDefault="00155A43">
      <w:pPr>
        <w:spacing w:line="210" w:lineRule="atLeast"/>
        <w:jc w:val="center"/>
      </w:pPr>
      <w:r>
        <w:rPr>
          <w:rFonts w:ascii="Verdana" w:eastAsia="Verdana" w:hAnsi="Verdana" w:cs="Verdana"/>
        </w:rPr>
        <w:t>Члан 6.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Ентитети који своје финансијско пословање обављају преко својих подрачуна, као и кон</w:t>
      </w:r>
      <w:r>
        <w:rPr>
          <w:rFonts w:ascii="Verdana" w:eastAsia="Verdana" w:hAnsi="Verdana" w:cs="Verdana"/>
        </w:rPr>
        <w:t>тролисани ентитети који су корисници средстава РФЗО састављају годишње финансијске извештаје који обухватају: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1) Извештај о новчаним токовима – Образац НТ,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2) Извештај о извршењу буџета – Образац ИБ,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3) Биланс стања – Образац БС, као део напомена,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4) Билан</w:t>
      </w:r>
      <w:r>
        <w:rPr>
          <w:rFonts w:ascii="Verdana" w:eastAsia="Verdana" w:hAnsi="Verdana" w:cs="Verdana"/>
        </w:rPr>
        <w:t>с прихода и расхода – Образац ПР, као део напомена,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5) Напомене са објашњењима,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lastRenderedPageBreak/>
        <w:t>6) Образложења уз годишњи извештај о извршењу буџета.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Извештаји из става 1. овог члана се достављају на обрасцима из члана 3. став 4. овог правилника.</w:t>
      </w:r>
    </w:p>
    <w:p w:rsidR="00B81508" w:rsidRDefault="00155A43">
      <w:pPr>
        <w:spacing w:line="210" w:lineRule="atLeast"/>
        <w:jc w:val="center"/>
      </w:pPr>
      <w:r>
        <w:rPr>
          <w:rFonts w:ascii="Verdana" w:eastAsia="Verdana" w:hAnsi="Verdana" w:cs="Verdana"/>
        </w:rPr>
        <w:t>Члан 7.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Завршни рачун буџ</w:t>
      </w:r>
      <w:r>
        <w:rPr>
          <w:rFonts w:ascii="Verdana" w:eastAsia="Verdana" w:hAnsi="Verdana" w:cs="Verdana"/>
        </w:rPr>
        <w:t>ета Републике Србије, буџета аутономних покрајина, јединица локалне самоуправе и ООСО садржи годишњи финансијски извештај о извршењу буџета, односно о извршењу плана, који обухвата: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1) Извештај о новчаним токовима – Образац НТ,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2) Извештај о извршењу буџет</w:t>
      </w:r>
      <w:r>
        <w:rPr>
          <w:rFonts w:ascii="Verdana" w:eastAsia="Verdana" w:hAnsi="Verdana" w:cs="Verdana"/>
        </w:rPr>
        <w:t>а – Образац ИБ,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3) Биланс стања – Образац БС, као део напомена,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4) Биланс прихода и расхода – Образац ПР, као део напомена,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5) Рачуноводствене политике,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 xml:space="preserve">6) Напомене са објашњењима,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7) Образложења уз годишњи извештај о извршењу буџета и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8) Извештај екстерн</w:t>
      </w:r>
      <w:r>
        <w:rPr>
          <w:rFonts w:ascii="Verdana" w:eastAsia="Verdana" w:hAnsi="Verdana" w:cs="Verdana"/>
        </w:rPr>
        <w:t>е ревизије.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Извештаји из става 1. овог члана се достављају на обрасцима из члана 3. став 4. овог правилника.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Завршни рачун буџета Републике Србије, осим извештаја из става 1. овог члана, треба да садржи извештај о учинку програма, укључујући и учинак на ун</w:t>
      </w:r>
      <w:r>
        <w:rPr>
          <w:rFonts w:ascii="Verdana" w:eastAsia="Verdana" w:hAnsi="Verdana" w:cs="Verdana"/>
        </w:rPr>
        <w:t>апређењу родне равноправности и извештај о извршењу пројеката и програмских активности који се односе на заштиту и унапређење животне средине.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Завршни рачун буџета аутономних покрајина и јединица локалне самоуправе, осим извештаја из става 1. овог члана, т</w:t>
      </w:r>
      <w:r>
        <w:rPr>
          <w:rFonts w:ascii="Verdana" w:eastAsia="Verdana" w:hAnsi="Verdana" w:cs="Verdana"/>
        </w:rPr>
        <w:t>реба да садржи и извештај о учинку програма, укључујући и учинак на унапређењу родне равноправности.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Завршни рачун РФЗО, осим извештаја из става 1. овог члана, треба да садржи и годишњи консолидовани финансијски извештај РФЗО, на обрасцу из члана 3. став 4. тачка 2) овог правилника (Извештај о извршењу буџета – Образац ИБ).</w:t>
      </w:r>
    </w:p>
    <w:p w:rsidR="00B81508" w:rsidRDefault="00155A43">
      <w:pPr>
        <w:spacing w:line="210" w:lineRule="atLeast"/>
        <w:jc w:val="center"/>
      </w:pPr>
      <w:r>
        <w:rPr>
          <w:rFonts w:ascii="Verdana" w:eastAsia="Verdana" w:hAnsi="Verdana" w:cs="Verdana"/>
        </w:rPr>
        <w:t>Члан 8.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Матични ентитети који у</w:t>
      </w:r>
      <w:r>
        <w:rPr>
          <w:rFonts w:ascii="Verdana" w:eastAsia="Verdana" w:hAnsi="Verdana" w:cs="Verdana"/>
        </w:rPr>
        <w:t xml:space="preserve"> својој надлежности имају контролисане ентитете и РФЗО састављају консолидоване периодичне и консолидоване годишње финансијске извештаје на обрасцу из члана 3. став 4. тачка 2) овог правилника (Извештај о извршењу буџета – Образац ИБ).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Консолидовани годишњи финансијски извештај буџета Републике Србије, буџета аутономних покрајина и јединица локалне самоуправе саставља се на обрасцу из члана 3. став 4. тачка 2) овог правилника (Извештај о извршењу буџета – Образац ИБ).</w:t>
      </w:r>
    </w:p>
    <w:p w:rsidR="00B81508" w:rsidRDefault="00155A43">
      <w:pPr>
        <w:spacing w:line="210" w:lineRule="atLeast"/>
        <w:jc w:val="center"/>
      </w:pPr>
      <w:r>
        <w:rPr>
          <w:rFonts w:ascii="Verdana" w:eastAsia="Verdana" w:hAnsi="Verdana" w:cs="Verdana"/>
        </w:rPr>
        <w:t>II. ПРИПРЕМА, САСТА</w:t>
      </w:r>
      <w:r>
        <w:rPr>
          <w:rFonts w:ascii="Verdana" w:eastAsia="Verdana" w:hAnsi="Verdana" w:cs="Verdana"/>
        </w:rPr>
        <w:t>ВЉАЊЕ И ПОДНОШЕЊЕ ФИНАНСИЈСКИХ ИЗВЕШТАЈА</w:t>
      </w:r>
    </w:p>
    <w:p w:rsidR="00B81508" w:rsidRDefault="00155A43">
      <w:pPr>
        <w:spacing w:line="210" w:lineRule="atLeast"/>
        <w:jc w:val="center"/>
      </w:pPr>
      <w:r>
        <w:rPr>
          <w:rFonts w:ascii="Verdana" w:eastAsia="Verdana" w:hAnsi="Verdana" w:cs="Verdana"/>
          <w:b/>
        </w:rPr>
        <w:lastRenderedPageBreak/>
        <w:t>1. Припрема финансијских извештаја</w:t>
      </w:r>
    </w:p>
    <w:p w:rsidR="00B81508" w:rsidRDefault="00155A43">
      <w:pPr>
        <w:spacing w:line="210" w:lineRule="atLeast"/>
        <w:jc w:val="center"/>
      </w:pPr>
      <w:r>
        <w:rPr>
          <w:rFonts w:ascii="Verdana" w:eastAsia="Verdana" w:hAnsi="Verdana" w:cs="Verdana"/>
        </w:rPr>
        <w:t>Члан 9.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 xml:space="preserve"> Финансијски извештаји припремају се на принципима готовинске основе у складу са одредбама Закона о буџетском систему (у даљем тексту: Закон) и Уредбе о буџетском рачуновод</w:t>
      </w:r>
      <w:r>
        <w:rPr>
          <w:rFonts w:ascii="Verdana" w:eastAsia="Verdana" w:hAnsi="Verdana" w:cs="Verdana"/>
        </w:rPr>
        <w:t xml:space="preserve">ству („Службени гласник РС”, бр. 125/03, 12/06 и 27/20 – у даљем тексту: Уредба).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Ентитети који су корисници буџетских средстава, односно средстава ООСО, који на основу члана 5. став 6. Уредбе рачуноводствене евиденције за потребе интерног извештавања вод</w:t>
      </w:r>
      <w:r>
        <w:rPr>
          <w:rFonts w:ascii="Verdana" w:eastAsia="Verdana" w:hAnsi="Verdana" w:cs="Verdana"/>
        </w:rPr>
        <w:t xml:space="preserve">е према обрачунској основи, израђују финансијске извештаје на готовинској основи.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 xml:space="preserve">У поступку припреме финансијских извештаја на готовинској основи потребно је извршити следећа књижења, и то за: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1) наплаћене приходе у извештајном периоду, који се односе н</w:t>
      </w:r>
      <w:r>
        <w:rPr>
          <w:rFonts w:ascii="Verdana" w:eastAsia="Verdana" w:hAnsi="Verdana" w:cs="Verdana"/>
        </w:rPr>
        <w:t>а наредни извештајни период, а књижени су на одговарајућим субаналитичким контима синтетичког конта 291100 – Разграничени приходи и примања, тако што се преносе на одговарајући субаналитички конто класе 700000 – Текући приходи, а што утиче на резултат посл</w:t>
      </w:r>
      <w:r>
        <w:rPr>
          <w:rFonts w:ascii="Verdana" w:eastAsia="Verdana" w:hAnsi="Verdana" w:cs="Verdana"/>
        </w:rPr>
        <w:t xml:space="preserve">овања, који је исказан у Обрасцу ПР на ознаци за обраду података (у даљем тексту: ОП) број 2357 или ОП број 2358; 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2) неискоришћена средства донација, хуманитарне помоћи и финансијске помоћи Европске уније у девизама која чине салдо девизних рачуна примао</w:t>
      </w:r>
      <w:r>
        <w:rPr>
          <w:rFonts w:ascii="Verdana" w:eastAsia="Verdana" w:hAnsi="Verdana" w:cs="Verdana"/>
        </w:rPr>
        <w:t>ца донације на дан 31. децембра, односно извештајни датум књиже се на одговарајућим субаналитичким контима у оквиру синтетичког конта 121400 – Девизни рачун, уз одобрење одговарајућег субаналитичког конта у оквиру синтетичког конта 291100 – Разграничени пр</w:t>
      </w:r>
      <w:r>
        <w:rPr>
          <w:rFonts w:ascii="Verdana" w:eastAsia="Verdana" w:hAnsi="Verdana" w:cs="Verdana"/>
        </w:rPr>
        <w:t>иходи и примања и не утичу на резултат пословања извештајног периода, већ се исказују у финансијским извештајима у Обрасцу БС и Обрасцу НТ. У Обрасцу БС исказују се на ОП 1054, као и на ОП 1214. У Обрасцу НТ неискоришћена средства донација, помоћи, хуманит</w:t>
      </w:r>
      <w:r>
        <w:rPr>
          <w:rFonts w:ascii="Verdana" w:eastAsia="Verdana" w:hAnsi="Verdana" w:cs="Verdana"/>
        </w:rPr>
        <w:t>арне помоћи и финансијске помоћи ЕУ у девизама која су прилив извештајног периода додају се на одговарајуће износе прилива исказане на одговарајућим синтетичким контима категорије 730000 – Приливи од донација, помоћи и трансфера.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3) плаћене авансе за набав</w:t>
      </w:r>
      <w:r>
        <w:rPr>
          <w:rFonts w:ascii="Verdana" w:eastAsia="Verdana" w:hAnsi="Verdana" w:cs="Verdana"/>
        </w:rPr>
        <w:t>ку материјала и куповину услуга, који су књижени на одговарајућем субаналитичком конту синтетичког конта 123200 – Дати аванси, депозити и кауције, тако што се прокњиже и на одговарајући субаналитички конто класе 400000 – Текући расходи, уз одобрење конта 2</w:t>
      </w:r>
      <w:r>
        <w:rPr>
          <w:rFonts w:ascii="Verdana" w:eastAsia="Verdana" w:hAnsi="Verdana" w:cs="Verdana"/>
        </w:rPr>
        <w:t xml:space="preserve">91211 – Плаћени аванси за набавку материјала, односно конта 291213 – Плаћени аванси за куповину услуга;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4) исплаћене аконтације за пословна путовања исказане као потраживања на субаналитичком конту 122141 – Аконтације за службено путовање у земљи, односно</w:t>
      </w:r>
      <w:r>
        <w:rPr>
          <w:rFonts w:ascii="Verdana" w:eastAsia="Verdana" w:hAnsi="Verdana" w:cs="Verdana"/>
        </w:rPr>
        <w:t xml:space="preserve"> конту 122142 – Аконтације за службено путовање у иностранство, тако што се прокњиже и на одговарајућа субаналитичка конта класе 400000 – Текући расходи, уз одобрење конта 291221 – Аконтације за пословна путовања;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5) унапред плаћени расходи за наредни изв</w:t>
      </w:r>
      <w:r>
        <w:rPr>
          <w:rFonts w:ascii="Verdana" w:eastAsia="Verdana" w:hAnsi="Verdana" w:cs="Verdana"/>
        </w:rPr>
        <w:t xml:space="preserve">ештајни период, из средстава прихода извештајног периода, који су књижени на субаналитичким контима </w:t>
      </w:r>
      <w:r>
        <w:rPr>
          <w:rFonts w:ascii="Verdana" w:eastAsia="Verdana" w:hAnsi="Verdana" w:cs="Verdana"/>
        </w:rPr>
        <w:lastRenderedPageBreak/>
        <w:t>категорије 130000 – Активна временска разграничења, тако што се прокњиже и на одговарајућа субаналитичка конта класе 400000 – Текући расходи, уз одобрење од</w:t>
      </w:r>
      <w:r>
        <w:rPr>
          <w:rFonts w:ascii="Verdana" w:eastAsia="Verdana" w:hAnsi="Verdana" w:cs="Verdana"/>
        </w:rPr>
        <w:t xml:space="preserve">говарајућих субаналитичких конта категорије 130000 – Активна временска разграничења;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6) обавеза настала у извештајном периоду, а која ће захтевати исплату у наредном извештајном периоду, књижи се одобрењем субаналитичких конта класе 200000 – Обавезе и зад</w:t>
      </w:r>
      <w:r>
        <w:rPr>
          <w:rFonts w:ascii="Verdana" w:eastAsia="Verdana" w:hAnsi="Verdana" w:cs="Verdana"/>
        </w:rPr>
        <w:t>ужењем субаналитичких конта категорије 130000 – Активна временска разграничења. Наведени расход/издатак утицаће на резултат у извештајном периоду у којој ће плаћање бити извршено и тада ће теретити апропријације класе 400000 – Текући расходи или класе 5000</w:t>
      </w:r>
      <w:r>
        <w:rPr>
          <w:rFonts w:ascii="Verdana" w:eastAsia="Verdana" w:hAnsi="Verdana" w:cs="Verdana"/>
        </w:rPr>
        <w:t xml:space="preserve">00 – Издаци за нефинансијску имовину;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7) износ извршене исплате који је књижен на конту 015200 – Аванси за нефинансијску имовину, када се имовина набавља из прихода извештајног периода (текућих прихода), тако што се задужује одговарајући субаналитички кон</w:t>
      </w:r>
      <w:r>
        <w:rPr>
          <w:rFonts w:ascii="Verdana" w:eastAsia="Verdana" w:hAnsi="Verdana" w:cs="Verdana"/>
        </w:rPr>
        <w:t xml:space="preserve">то у оквиру класе 500000 – Издаци за нефинансијску имовину, уз одобрење субаналитичког конта 311151 – Нефинансијска имовина у припреми. </w:t>
      </w:r>
    </w:p>
    <w:p w:rsidR="00B81508" w:rsidRDefault="00155A43">
      <w:pPr>
        <w:spacing w:line="210" w:lineRule="atLeast"/>
        <w:jc w:val="center"/>
      </w:pPr>
      <w:r>
        <w:rPr>
          <w:rFonts w:ascii="Verdana" w:eastAsia="Verdana" w:hAnsi="Verdana" w:cs="Verdana"/>
          <w:b/>
        </w:rPr>
        <w:t>2. Састављање образаца</w:t>
      </w:r>
    </w:p>
    <w:p w:rsidR="00B81508" w:rsidRDefault="00155A43">
      <w:pPr>
        <w:spacing w:line="210" w:lineRule="atLeast"/>
        <w:jc w:val="center"/>
      </w:pPr>
      <w:r>
        <w:rPr>
          <w:rFonts w:ascii="Verdana" w:eastAsia="Verdana" w:hAnsi="Verdana" w:cs="Verdana"/>
        </w:rPr>
        <w:t>Члан 10.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Образац НТ – Извештај о новчаним токовима представаља преглед прилива и одлива готовине</w:t>
      </w:r>
      <w:r>
        <w:rPr>
          <w:rFonts w:ascii="Verdana" w:eastAsia="Verdana" w:hAnsi="Verdana" w:cs="Verdana"/>
        </w:rPr>
        <w:t xml:space="preserve"> и готовинских еквивалената, као и стање готовине на почетку и крају извештајног периода. Приливи и одливи готовине класификују се на приливе и одливе готовине из пословних, инвестиционих и финансијских активности.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Приливи из пословне активности обухватај</w:t>
      </w:r>
      <w:r>
        <w:rPr>
          <w:rFonts w:ascii="Verdana" w:eastAsia="Verdana" w:hAnsi="Verdana" w:cs="Verdana"/>
        </w:rPr>
        <w:t xml:space="preserve">у наплаћене текуће приходе у извештајном периоду док одливи из пословне активности обухватају плаћене текуће расходе у извештајном периоду.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Приливи готовине из активности инвестирања представљају приливе остварене продајом нефинансијске и финансијске имов</w:t>
      </w:r>
      <w:r>
        <w:rPr>
          <w:rFonts w:ascii="Verdana" w:eastAsia="Verdana" w:hAnsi="Verdana" w:cs="Verdana"/>
        </w:rPr>
        <w:t>ине док одливи готовине из активности инвестирања представљају извршене издатке за набавку нефинансијске и финансијске имовине.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Приливи готовине из активности финансирања су приливи од домаћег и иностраног задуживања док су одливи из активности финансирања</w:t>
      </w:r>
      <w:r>
        <w:rPr>
          <w:rFonts w:ascii="Verdana" w:eastAsia="Verdana" w:hAnsi="Verdana" w:cs="Verdana"/>
        </w:rPr>
        <w:t xml:space="preserve"> извршени издаци  по основу плаћања главнице кредита, гаранција и финансијског лизинга.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У Oбразац НТ – Извештај о новчаним токовима уносе се подаци у колоне 5 и 6, према броју конта из колоне 2, односно према опису из колоне 3. Разграничени приходи и прима</w:t>
      </w:r>
      <w:r>
        <w:rPr>
          <w:rFonts w:ascii="Verdana" w:eastAsia="Verdana" w:hAnsi="Verdana" w:cs="Verdana"/>
        </w:rPr>
        <w:t xml:space="preserve">ња исказани на синтетичком  конту 291100 –  Разграничени приходи и примања који се односе на наплаћене приходе и примања који припадају наредном извештајном периоду, увећавају приливе готовине. Плаћени расходи и издаци исказани на синтетичком конту 131100 </w:t>
      </w:r>
      <w:r>
        <w:rPr>
          <w:rFonts w:ascii="Verdana" w:eastAsia="Verdana" w:hAnsi="Verdana" w:cs="Verdana"/>
        </w:rPr>
        <w:t>– Разграничени расходи до једне године који се односе на плаћене расходе који припадају наредном извештајном периоду, увећавају одливе готовине.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Приливи и одливи који утичу на салдо готовине и готовинских еквивалената, а нису евидентирани на економским кла</w:t>
      </w:r>
      <w:r>
        <w:rPr>
          <w:rFonts w:ascii="Verdana" w:eastAsia="Verdana" w:hAnsi="Verdana" w:cs="Verdana"/>
        </w:rPr>
        <w:t xml:space="preserve">сификацијама прихода и примања, односно расхода и издатака приказују се на одговарајућим позицијама у </w:t>
      </w:r>
      <w:r>
        <w:rPr>
          <w:rFonts w:ascii="Verdana" w:eastAsia="Verdana" w:hAnsi="Verdana" w:cs="Verdana"/>
        </w:rPr>
        <w:lastRenderedPageBreak/>
        <w:t>Обрасцу НТ – Извештај о новчаним токовима. Подаци се уносе са одговарајућих конта означених у колони 2, тако што се у колону 5 уносе подаци са одговарајућ</w:t>
      </w:r>
      <w:r>
        <w:rPr>
          <w:rFonts w:ascii="Verdana" w:eastAsia="Verdana" w:hAnsi="Verdana" w:cs="Verdana"/>
        </w:rPr>
        <w:t>их конта из претходног извештајног периода, а у колону 6 подаци са конта из књиговодствене евиденције о оствареним приходима и примањима и извршеним расходима и издацима на крају периода за који се извештај саставља.</w:t>
      </w:r>
    </w:p>
    <w:p w:rsidR="00B81508" w:rsidRDefault="00155A43">
      <w:pPr>
        <w:spacing w:line="210" w:lineRule="atLeast"/>
        <w:jc w:val="center"/>
      </w:pPr>
      <w:r>
        <w:rPr>
          <w:rFonts w:ascii="Verdana" w:eastAsia="Verdana" w:hAnsi="Verdana" w:cs="Verdana"/>
        </w:rPr>
        <w:t>Члан 11.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Образац ИБ – Извештај о изврше</w:t>
      </w:r>
      <w:r>
        <w:rPr>
          <w:rFonts w:ascii="Verdana" w:eastAsia="Verdana" w:hAnsi="Verdana" w:cs="Verdana"/>
        </w:rPr>
        <w:t xml:space="preserve">њу буџета представља упоредни преглед планираних и остварених прихода и примања, расхода и издатака, у извештајном периоду исказаних по изворима финансирања.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 xml:space="preserve">У Образац  ИБ – Извештај о извршењу буџета уносе се подаци у колоне 4 – 11, према броју конта из </w:t>
      </w:r>
      <w:r>
        <w:rPr>
          <w:rFonts w:ascii="Verdana" w:eastAsia="Verdana" w:hAnsi="Verdana" w:cs="Verdana"/>
        </w:rPr>
        <w:t xml:space="preserve">колоне 2, односно према опису из колоне 3.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 xml:space="preserve">У колону 4 уносе се планирани приходи и примања, као и расходи и издаци у висини текуће апропријације.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У колону 5 уноси се износ укупно остварених прихода – примања, односно извршених расхода – издатака и предст</w:t>
      </w:r>
      <w:r>
        <w:rPr>
          <w:rFonts w:ascii="Verdana" w:eastAsia="Verdana" w:hAnsi="Verdana" w:cs="Verdana"/>
        </w:rPr>
        <w:t xml:space="preserve">авља збир износа из колона 6, 7, 8, 9, 10 и 11.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У колону 6 ентитети који су корисници средстава буџета Републике Србије, као и ООСО уносе износ укупно остварених прихода и примања, односно извршених расхода и издатака извора 01 и извора 02, а ентитети кој</w:t>
      </w:r>
      <w:r>
        <w:rPr>
          <w:rFonts w:ascii="Verdana" w:eastAsia="Verdana" w:hAnsi="Verdana" w:cs="Verdana"/>
        </w:rPr>
        <w:t>и су корисници средстава буџета који не припадају буџету Републике Србије, уносе износ укупно остварених прихода и примања, односно извршених расхода и издатака извора 07 за средства примљена из буџета Републике Србије, као и износ извршених расхода и изда</w:t>
      </w:r>
      <w:r>
        <w:rPr>
          <w:rFonts w:ascii="Verdana" w:eastAsia="Verdana" w:hAnsi="Verdana" w:cs="Verdana"/>
        </w:rPr>
        <w:t xml:space="preserve">така извора 17 која потичу из буџета Републике Србије.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 xml:space="preserve">У колону 7 ентитети који су корисници средстава буџета аутономних покрајина уносе износ укупно остварених прихода и примања, односно извршених расхода и издатака извора 01 и извора 02, а ентитети који су корисници средстава буџета који не припадају буџету </w:t>
      </w:r>
      <w:r>
        <w:rPr>
          <w:rFonts w:ascii="Verdana" w:eastAsia="Verdana" w:hAnsi="Verdana" w:cs="Verdana"/>
        </w:rPr>
        <w:t>аутономних покрајина, уносе износ укупно остварених прихода и примања, односно извршених расхода и издатака извора 07 за средства примљена из буџета аутономних покрајина, као и износ извршених расхода и издатака извора 17 која потичу из буџета аутономних п</w:t>
      </w:r>
      <w:r>
        <w:rPr>
          <w:rFonts w:ascii="Verdana" w:eastAsia="Verdana" w:hAnsi="Verdana" w:cs="Verdana"/>
        </w:rPr>
        <w:t xml:space="preserve">окрајина.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У колону 8 ентитети који су корисници средстава буџета општине/града уносе износ укупно остварених прихода и примања, односно извршених расхода и издатака извора 01 и извора 02, а ентитети који су корисници средстава буџета који не припадају буџ</w:t>
      </w:r>
      <w:r>
        <w:rPr>
          <w:rFonts w:ascii="Verdana" w:eastAsia="Verdana" w:hAnsi="Verdana" w:cs="Verdana"/>
        </w:rPr>
        <w:t xml:space="preserve">ету општине/града, уносе износ укупно остварених прихода и примања, односно извршених расхода и издатака извора 07 за средства примљена из буџета општине/града, као и износ извршених расхода и издатака извора 17 која потичу из буџета општине/града.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У коло</w:t>
      </w:r>
      <w:r>
        <w:rPr>
          <w:rFonts w:ascii="Verdana" w:eastAsia="Verdana" w:hAnsi="Verdana" w:cs="Verdana"/>
        </w:rPr>
        <w:t xml:space="preserve">ну 9 уноси се износ остварених прихода и примања, односно извршених расхода и издатака извора 03.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 xml:space="preserve">У колону 10 уноси се износ остварених прихода и примања извора 05, 06, 08 и 56, односно извршених расхода и издатака извора 05, 06, 08, 15 и 56.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lastRenderedPageBreak/>
        <w:t>У колону 11</w:t>
      </w:r>
      <w:r>
        <w:rPr>
          <w:rFonts w:ascii="Verdana" w:eastAsia="Verdana" w:hAnsi="Verdana" w:cs="Verdana"/>
        </w:rPr>
        <w:t xml:space="preserve"> уноси се износ остварених прихода и примања извора 04, 09, 10, 11, 12 и 16, односно извршених расхода и издатака извора 04, 09, 10, 11, 12, 13, 14, 16 и 18.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Ентитети који трансакције по основу програмских и пројектних зајмова обављају преко пословних бан</w:t>
      </w:r>
      <w:r>
        <w:rPr>
          <w:rFonts w:ascii="Verdana" w:eastAsia="Verdana" w:hAnsi="Verdana" w:cs="Verdana"/>
        </w:rPr>
        <w:t xml:space="preserve">ака, примања, расходе и издатке по овом основу евидентирају у Обрасцу ИБ у колони 11.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 xml:space="preserve">У делу I – Укупни приходи и примања, у колонама 6, 7, 8, 9, 10 и 11 садржани су подаци о оствареним приходима и примањима по изворима финансирања. 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У делу II – Укупни р</w:t>
      </w:r>
      <w:r>
        <w:rPr>
          <w:rFonts w:ascii="Verdana" w:eastAsia="Verdana" w:hAnsi="Verdana" w:cs="Verdana"/>
        </w:rPr>
        <w:t xml:space="preserve">асходи и издаци, у колонама 6, 7, 8, 9, 10 и 11 садржани су подаци о коришћењу средстава по изворима финансирања.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У делу III – Утврђивање резултата, утврђује се укупан резултат пословања и резултат по изворима финансирања, као разлика између укупних прихо</w:t>
      </w:r>
      <w:r>
        <w:rPr>
          <w:rFonts w:ascii="Verdana" w:eastAsia="Verdana" w:hAnsi="Verdana" w:cs="Verdana"/>
        </w:rPr>
        <w:t xml:space="preserve">да и примања и укупних расхода и издатака.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Резултат пословања исказује се на ознаци ОП број 5438 као вишак прихода и примања – буџетски суфицит и на ознаци ОП број 5439 као мањак прихода и примања – буџетски дефицит. Вишак прихода и примања, односно мањак</w:t>
      </w:r>
      <w:r>
        <w:rPr>
          <w:rFonts w:ascii="Verdana" w:eastAsia="Verdana" w:hAnsi="Verdana" w:cs="Verdana"/>
        </w:rPr>
        <w:t xml:space="preserve"> прихода и примања утврђује се као разлика између остварених прихода и примања од продаје нефинансијске имовине извештајног периода који су исказани на ознаци ОП број 5436 и расхода и издатака за нефинансијску имовину извештајног периода који су исказани н</w:t>
      </w:r>
      <w:r>
        <w:rPr>
          <w:rFonts w:ascii="Verdana" w:eastAsia="Verdana" w:hAnsi="Verdana" w:cs="Verdana"/>
        </w:rPr>
        <w:t xml:space="preserve">а ознаци ОП број 5437.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Вишак примања исказује се на ознаци ОП број 5442, односно мањак примања на ознаци ОП број 5443 и утврђује се као разлика између примања од задуживања и продаје финансијске имовине који су исказани на ознаци ОП број 5440 и издатака з</w:t>
      </w:r>
      <w:r>
        <w:rPr>
          <w:rFonts w:ascii="Verdana" w:eastAsia="Verdana" w:hAnsi="Verdana" w:cs="Verdana"/>
        </w:rPr>
        <w:t xml:space="preserve">а отплату главнице и набавку финансијске имовине који су исказани на ознаци ОП број 5441.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Вишак новчаних прилива исказује се на ознаци ОП број 5444, односно мањак новчаних прилива на ознаци ОП број 5445 и утврђује се као разлика између укупно остварених п</w:t>
      </w:r>
      <w:r>
        <w:rPr>
          <w:rFonts w:ascii="Verdana" w:eastAsia="Verdana" w:hAnsi="Verdana" w:cs="Verdana"/>
        </w:rPr>
        <w:t xml:space="preserve">рихода и примања који су исказани на ознаци ОП број 5171 и укупних расхода и издатака који су исказани на ознаци ОП број 5435.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Матични и контролисани ентитети који су корисници средстава буџета Републике Србије који имају програмски део буџета, попуњавају</w:t>
      </w:r>
      <w:r>
        <w:rPr>
          <w:rFonts w:ascii="Verdana" w:eastAsia="Verdana" w:hAnsi="Verdana" w:cs="Verdana"/>
        </w:rPr>
        <w:t xml:space="preserve"> и достављају Извештај о извршењу буџета – Образац ИБ за сваки пројекат појединачно. </w:t>
      </w:r>
    </w:p>
    <w:p w:rsidR="00B81508" w:rsidRDefault="00155A43">
      <w:pPr>
        <w:spacing w:line="210" w:lineRule="atLeast"/>
        <w:jc w:val="center"/>
      </w:pPr>
      <w:r>
        <w:rPr>
          <w:rFonts w:ascii="Verdana" w:eastAsia="Verdana" w:hAnsi="Verdana" w:cs="Verdana"/>
        </w:rPr>
        <w:t>Члан 12.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 xml:space="preserve">Образац БС – Биланс стања представља преглед имовине, обавеза и капитала на одређени дан.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 xml:space="preserve">У Oбразац БС – Биланс стања уносе се подаци у колоне 4 – 7, према броју конта из колоне 2, односно према опису из колоне 3.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 xml:space="preserve">У колону 4 уносе се подаци са одговарајућих конта активе и пасиве из претходног извештајног периода (почетно стање). 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lastRenderedPageBreak/>
        <w:t>Подаци за те</w:t>
      </w:r>
      <w:r>
        <w:rPr>
          <w:rFonts w:ascii="Verdana" w:eastAsia="Verdana" w:hAnsi="Verdana" w:cs="Verdana"/>
        </w:rPr>
        <w:t xml:space="preserve">кућу годину, односно за извештајни период за који се саставља образац, уносе се у колоне 5 и 6 активе и колону 5 пасиве, преузимањем стања са конта на крају периода за који се финансијски извештај саставља. 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Подаци у колони 7 утврђују се одузимањем износа</w:t>
      </w:r>
      <w:r>
        <w:rPr>
          <w:rFonts w:ascii="Verdana" w:eastAsia="Verdana" w:hAnsi="Verdana" w:cs="Verdana"/>
        </w:rPr>
        <w:t xml:space="preserve"> у колони 6 од износа у колони 5.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 xml:space="preserve">Под ознаком ОП број 1229 уноси се износ вишка прихода и примања – суфицит који је исказан у Обрасцу 2 – Биланс прихода и расхода на ознаци ОП број 2357.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Под ознаком ОП број 1230 уноси се износ мањка прихода и примања – д</w:t>
      </w:r>
      <w:r>
        <w:rPr>
          <w:rFonts w:ascii="Verdana" w:eastAsia="Verdana" w:hAnsi="Verdana" w:cs="Verdana"/>
        </w:rPr>
        <w:t>ефицит који је исказан у Обрасцу 2 – Биланс прихода и расхода на ознаци ОП број 2358.</w:t>
      </w:r>
    </w:p>
    <w:p w:rsidR="00B81508" w:rsidRDefault="00155A43">
      <w:pPr>
        <w:spacing w:line="210" w:lineRule="atLeast"/>
        <w:jc w:val="center"/>
      </w:pPr>
      <w:r>
        <w:rPr>
          <w:rFonts w:ascii="Verdana" w:eastAsia="Verdana" w:hAnsi="Verdana" w:cs="Verdana"/>
        </w:rPr>
        <w:t>Члан 13.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Образац ПР – Биланс прихода и расхода представља преглед прихода и примања од продаје нефинансијске имовине и расхода и издатака за набавку нефинансијске имовине</w:t>
      </w:r>
      <w:r>
        <w:rPr>
          <w:rFonts w:ascii="Verdana" w:eastAsia="Verdana" w:hAnsi="Verdana" w:cs="Verdana"/>
        </w:rPr>
        <w:t xml:space="preserve"> насталих у току извештајног периода.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 xml:space="preserve">У Oбразац  ПР – Биланс прихода и расхода уносе се подаци у колоне 4 и 5, према броју конта из колоне 2, односно према опису из колоне 3.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Подаци се уносе са одговарајућих конта означених у колони 2, тако што се у колон</w:t>
      </w:r>
      <w:r>
        <w:rPr>
          <w:rFonts w:ascii="Verdana" w:eastAsia="Verdana" w:hAnsi="Verdana" w:cs="Verdana"/>
        </w:rPr>
        <w:t xml:space="preserve">у 4 уносе подаци са одговарајућих конта из претходног извештајног периода, а у колону 5 подаци са конта из књиговодствене евиденције на крају извештајног периода за који се финансијски извештај саставља.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Резултат пословања исказује се на ознаци ОП број 23</w:t>
      </w:r>
      <w:r>
        <w:rPr>
          <w:rFonts w:ascii="Verdana" w:eastAsia="Verdana" w:hAnsi="Verdana" w:cs="Verdana"/>
        </w:rPr>
        <w:t>46 као вишак прихода и примања – буџетски суфицит и на ознаци ОП број 2347 као мањак прихода и примања – буџетски дефицит. Вишак прихода и примања, односно мањак прихода и примања утврђује се као разлика између остварених прихода и примања од продаје нефин</w:t>
      </w:r>
      <w:r>
        <w:rPr>
          <w:rFonts w:ascii="Verdana" w:eastAsia="Verdana" w:hAnsi="Verdana" w:cs="Verdana"/>
        </w:rPr>
        <w:t xml:space="preserve">ансијске имовине извештајног периода који су исказани на ознаци ОП број 2001 и расхода и издатака за нефинансијску имовину извештајног периода који су исказани на ознаци ОП број 2131.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 xml:space="preserve">На ознаци  ОП број 2357 исказује се вишак прихода и примања – суфицит, </w:t>
      </w:r>
      <w:r>
        <w:rPr>
          <w:rFonts w:ascii="Verdana" w:eastAsia="Verdana" w:hAnsi="Verdana" w:cs="Verdana"/>
        </w:rPr>
        <w:t xml:space="preserve">тако што се вишак прихода и примања (ОП број 2346), или мањак прихода и примања (ОП број 2347) коригује за износе на ознакама ОП број 2348 и ОП број 2354.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На ознаци ОП број 2358 исказује се мањак прихода и примања – дефицит, тако што се мањак прихода и пр</w:t>
      </w:r>
      <w:r>
        <w:rPr>
          <w:rFonts w:ascii="Verdana" w:eastAsia="Verdana" w:hAnsi="Verdana" w:cs="Verdana"/>
        </w:rPr>
        <w:t xml:space="preserve">имања (ОП број 2347) или вишак  прихода и примања (ОП број 2346), коригује за износе на ознаци ОП број 2348 и ОП број 2354.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На ознаци ОП број 2359 (ОП 2359 = ОП 2357) исказује се вишак прихода и примања – суфицит за пренос у наредни извештајни период, и то као део вишка прихода и примања наменски опредељен за наредни извештајни период (ОП број 2360) или/и нераспоређени део вишк</w:t>
      </w:r>
      <w:r>
        <w:rPr>
          <w:rFonts w:ascii="Verdana" w:eastAsia="Verdana" w:hAnsi="Verdana" w:cs="Verdana"/>
        </w:rPr>
        <w:t xml:space="preserve">а прихода и примања за пренос у наредни извештајни период (ОП број 2361). 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 xml:space="preserve">На ознаци ОП број 2360 уноси се део вишка прихода и примања исказаног на конту 321121 – Вишак прихода и примања – суфицит, који је наменски опредељен за наредни извештајни период. </w:t>
      </w:r>
      <w:r>
        <w:rPr>
          <w:rFonts w:ascii="Verdana" w:eastAsia="Verdana" w:hAnsi="Verdana" w:cs="Verdana"/>
        </w:rPr>
        <w:t xml:space="preserve">Наведена средства су наплаћена у извештајном периоду, а наменски су опредељена за покриће расхода и </w:t>
      </w:r>
      <w:r>
        <w:rPr>
          <w:rFonts w:ascii="Verdana" w:eastAsia="Verdana" w:hAnsi="Verdana" w:cs="Verdana"/>
        </w:rPr>
        <w:lastRenderedPageBreak/>
        <w:t>издатака у наредном извештајном периоду (наплаћене школарине за целу школску годину, наменске донације, као и наменска средства за створене обавезе по основ</w:t>
      </w:r>
      <w:r>
        <w:rPr>
          <w:rFonts w:ascii="Verdana" w:eastAsia="Verdana" w:hAnsi="Verdana" w:cs="Verdana"/>
        </w:rPr>
        <w:t xml:space="preserve">у набавке нефинансијске имовине у наредној години и сл.).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 xml:space="preserve">На ознаци ОП број 2361 уноси се нераспоређени део вишка прихода и примања који се преноси у наредни извештајни период, а који је исказан на конту 321121 – Вишак прихода и примања – суфицит. </w:t>
      </w:r>
    </w:p>
    <w:p w:rsidR="00B81508" w:rsidRDefault="00155A43">
      <w:pPr>
        <w:spacing w:line="210" w:lineRule="atLeast"/>
        <w:jc w:val="center"/>
      </w:pPr>
      <w:r>
        <w:rPr>
          <w:rFonts w:ascii="Verdana" w:eastAsia="Verdana" w:hAnsi="Verdana" w:cs="Verdana"/>
          <w:b/>
        </w:rPr>
        <w:t>3. Под</w:t>
      </w:r>
      <w:r>
        <w:rPr>
          <w:rFonts w:ascii="Verdana" w:eastAsia="Verdana" w:hAnsi="Verdana" w:cs="Verdana"/>
          <w:b/>
        </w:rPr>
        <w:t xml:space="preserve">ношење финансијских извештаја </w:t>
      </w:r>
    </w:p>
    <w:p w:rsidR="00B81508" w:rsidRDefault="00155A43">
      <w:pPr>
        <w:spacing w:line="210" w:lineRule="atLeast"/>
        <w:jc w:val="center"/>
      </w:pPr>
      <w:r>
        <w:rPr>
          <w:rFonts w:ascii="Verdana" w:eastAsia="Verdana" w:hAnsi="Verdana" w:cs="Verdana"/>
        </w:rPr>
        <w:t xml:space="preserve">Члан 14.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 xml:space="preserve">Матични и контролисани ентитети који су корисници буџетских средстава и ООСО попуњене обрасце подносе у електронској форми кроз информациони систем за подношење финансијских извештаја. 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Приступ информационом систем</w:t>
      </w:r>
      <w:r>
        <w:rPr>
          <w:rFonts w:ascii="Verdana" w:eastAsia="Verdana" w:hAnsi="Verdana" w:cs="Verdana"/>
        </w:rPr>
        <w:t xml:space="preserve">у за подношење финансијских извештаја ентитети остварују уношењем идентификационих података у веб апликацију Управе за трезор, у складу са интерним техничким упутством. 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Потписивање финансијских извештаја се врши електронским потписом који је издат од овл</w:t>
      </w:r>
      <w:r>
        <w:rPr>
          <w:rFonts w:ascii="Verdana" w:eastAsia="Verdana" w:hAnsi="Verdana" w:cs="Verdana"/>
        </w:rPr>
        <w:t xml:space="preserve">ашћеног сертификационог тела и којим се потврђује интегритет података и идентитет ентитета.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 xml:space="preserve">Контролисани ентитети, који су корисници средстава РФЗО попуњене обрасце достављају РФЗО у писаној и електронској форми.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РФЗО, по извршеној контроли, по један при</w:t>
      </w:r>
      <w:r>
        <w:rPr>
          <w:rFonts w:ascii="Verdana" w:eastAsia="Verdana" w:hAnsi="Verdana" w:cs="Verdana"/>
        </w:rPr>
        <w:t xml:space="preserve">мерак у писаној форми: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 xml:space="preserve">1) враћа подносиоцу;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 xml:space="preserve">2) задржава ради обраде.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Обрасце из става 4. овог члана у електронској форми, након обраде, РФЗО доставља Управи за трезор – појединачно за сваки контролисани ентитет и збирно за све контролисане ентитете кори</w:t>
      </w:r>
      <w:r>
        <w:rPr>
          <w:rFonts w:ascii="Verdana" w:eastAsia="Verdana" w:hAnsi="Verdana" w:cs="Verdana"/>
        </w:rPr>
        <w:t xml:space="preserve">снике средстава РФЗО.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 xml:space="preserve">РФЗО, након извршене консолидације финансијских извештаја контролисаних ентитета, доставља консолидовани извештај у електронској форми кроз информациони систем за подношење финансијских извештајa. 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Локални орган управе надлежан за по</w:t>
      </w:r>
      <w:r>
        <w:rPr>
          <w:rFonts w:ascii="Verdana" w:eastAsia="Verdana" w:hAnsi="Verdana" w:cs="Verdana"/>
        </w:rPr>
        <w:t xml:space="preserve">слове финансија финансијске извештаје, као и консолидоване годишње финансијске извештаје општина, односно градова доставља у електронској форми кроз информациони систем за подношење финансијских извештаја. </w:t>
      </w:r>
    </w:p>
    <w:p w:rsidR="00B81508" w:rsidRDefault="00155A43">
      <w:pPr>
        <w:spacing w:line="210" w:lineRule="atLeast"/>
        <w:jc w:val="center"/>
      </w:pPr>
      <w:r>
        <w:rPr>
          <w:rFonts w:ascii="Verdana" w:eastAsia="Verdana" w:hAnsi="Verdana" w:cs="Verdana"/>
        </w:rPr>
        <w:t>III. ЗАВРШНЕ ОДРЕДБЕ</w:t>
      </w:r>
    </w:p>
    <w:p w:rsidR="00B81508" w:rsidRDefault="00155A43">
      <w:pPr>
        <w:spacing w:line="210" w:lineRule="atLeast"/>
        <w:jc w:val="center"/>
      </w:pPr>
      <w:r>
        <w:rPr>
          <w:rFonts w:ascii="Verdana" w:eastAsia="Verdana" w:hAnsi="Verdana" w:cs="Verdana"/>
        </w:rPr>
        <w:t>Члан 15.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t>Даном почетка приме</w:t>
      </w:r>
      <w:r>
        <w:rPr>
          <w:rFonts w:ascii="Verdana" w:eastAsia="Verdana" w:hAnsi="Verdana" w:cs="Verdana"/>
        </w:rPr>
        <w:t>не овог правилника престаје да важи Правилник о начину припреме, састављања и подношења финансијских извештаја корисника буџетских средстава, корисника средстава организација за обавезно социјално осигурање и буџетских фондова („Службени гласник РС”, бр. 1</w:t>
      </w:r>
      <w:r>
        <w:rPr>
          <w:rFonts w:ascii="Verdana" w:eastAsia="Verdana" w:hAnsi="Verdana" w:cs="Verdana"/>
        </w:rPr>
        <w:t>8/15, 104/18, 151/20, 8/21, 41/21, 130/21, 17/22 и 23/25).</w:t>
      </w:r>
    </w:p>
    <w:p w:rsidR="00B81508" w:rsidRDefault="00155A43">
      <w:pPr>
        <w:spacing w:line="210" w:lineRule="atLeast"/>
        <w:jc w:val="center"/>
      </w:pPr>
      <w:r>
        <w:rPr>
          <w:rFonts w:ascii="Verdana" w:eastAsia="Verdana" w:hAnsi="Verdana" w:cs="Verdana"/>
        </w:rPr>
        <w:t>Члан 16.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</w:rPr>
        <w:lastRenderedPageBreak/>
        <w:t>Овај правилник ступа на снагу осмог дана од дана објављивања у „Службеном гласнику Републике Србије”, а примењује се почев од припреме, састављања и подношења годишњих финансијских извешта</w:t>
      </w:r>
      <w:r>
        <w:rPr>
          <w:rFonts w:ascii="Verdana" w:eastAsia="Verdana" w:hAnsi="Verdana" w:cs="Verdana"/>
        </w:rPr>
        <w:t>ја за 2025. годину.</w:t>
      </w:r>
    </w:p>
    <w:p w:rsidR="00B81508" w:rsidRDefault="00155A43">
      <w:pPr>
        <w:spacing w:line="210" w:lineRule="atLeast"/>
        <w:jc w:val="right"/>
      </w:pPr>
      <w:r>
        <w:rPr>
          <w:rFonts w:ascii="Verdana" w:eastAsia="Verdana" w:hAnsi="Verdana" w:cs="Verdana"/>
        </w:rPr>
        <w:t>Број 003282719 2025 10523 007 000 012 001</w:t>
      </w:r>
    </w:p>
    <w:p w:rsidR="00B81508" w:rsidRDefault="00155A43">
      <w:pPr>
        <w:spacing w:line="210" w:lineRule="atLeast"/>
        <w:jc w:val="right"/>
      </w:pPr>
      <w:r>
        <w:rPr>
          <w:rFonts w:ascii="Verdana" w:eastAsia="Verdana" w:hAnsi="Verdana" w:cs="Verdana"/>
        </w:rPr>
        <w:t xml:space="preserve">У Београду, 1. септембра 2025. године </w:t>
      </w:r>
    </w:p>
    <w:p w:rsidR="00B81508" w:rsidRDefault="00155A43">
      <w:pPr>
        <w:spacing w:line="210" w:lineRule="atLeast"/>
        <w:jc w:val="right"/>
      </w:pPr>
      <w:r>
        <w:rPr>
          <w:rFonts w:ascii="Verdana" w:eastAsia="Verdana" w:hAnsi="Verdana" w:cs="Verdana"/>
        </w:rPr>
        <w:t>Министар,</w:t>
      </w:r>
    </w:p>
    <w:p w:rsidR="00B81508" w:rsidRDefault="00155A43">
      <w:pPr>
        <w:spacing w:line="210" w:lineRule="atLeast"/>
        <w:jc w:val="right"/>
      </w:pPr>
      <w:r>
        <w:rPr>
          <w:rFonts w:ascii="Verdana" w:eastAsia="Verdana" w:hAnsi="Verdana" w:cs="Verdana"/>
          <w:b/>
        </w:rPr>
        <w:t>Синиша Мали,</w:t>
      </w:r>
      <w:r>
        <w:rPr>
          <w:rFonts w:ascii="Verdana" w:eastAsia="Verdana" w:hAnsi="Verdana" w:cs="Verdana"/>
        </w:rPr>
        <w:t xml:space="preserve"> с.р.</w:t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drawing>
          <wp:inline distT="0" distB="0" distL="0" distR="0">
            <wp:extent cx="5000000" cy="3552287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AAAAAADAm+gEAAAAAYCxFBeZ4XurjAQAAAABJRU5ErkJggg=="/>
                    <pic:cNvPicPr/>
                  </pic:nvPicPr>
                  <pic:blipFill>
                    <a:blip r:embed="rId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355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355228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iIiIiIiIiIiIqKNJdAfEREREREREREREdHGEuiPiIiIiIiIiIiIiGhjCfRHRERERERERERERLSxBPojIiIiIiIiIiIiItpYAv0REREREREREREREW0sgf6IiIiIiIiIiIiIiDaWQH9ERERERERERERERBtLoD8iIiIiIiIiIiIioo0l0B8RERERERERERER0cb+H2XcuAuG2kjjAAAAAElFTkSuQmCC"/>
                    <pic:cNvPicPr/>
                  </pic:nvPicPr>
                  <pic:blipFill>
                    <a:blip r:embed="rId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355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drawing>
          <wp:inline distT="0" distB="0" distL="0" distR="0">
            <wp:extent cx="5000000" cy="3552287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AAAAAADAWALX+VTbKgssAAAAASUVORK5CYII="/>
                    <pic:cNvPicPr/>
                  </pic:nvPicPr>
                  <pic:blipFill>
                    <a:blip r:embed="rId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355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3552287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0wAAAAASUVORK5CYII="/>
                    <pic:cNvPicPr/>
                  </pic:nvPicPr>
                  <pic:blipFill>
                    <a:blip r:embed="rId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355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drawing>
          <wp:inline distT="0" distB="0" distL="0" distR="0">
            <wp:extent cx="5000000" cy="3552287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rAekQwAAAAASUVORK5CYII="/>
                    <pic:cNvPicPr/>
                  </pic:nvPicPr>
                  <pic:blipFill>
                    <a:blip r:embed="rId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355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3552287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KzH3q95AAAAAElFTkSuQmCC"/>
                    <pic:cNvPicPr/>
                  </pic:nvPicPr>
                  <pic:blipFill>
                    <a:blip r:embed="rId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355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drawing>
          <wp:inline distT="0" distB="0" distL="0" distR="0">
            <wp:extent cx="5000000" cy="3552287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8PcxVbG6Lx2wAAAABJRU5ErkJggg=="/>
                    <pic:cNvPicPr/>
                  </pic:nvPicPr>
                  <pic:blipFill>
                    <a:blip r:embed="rId1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355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3552287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iIiIiIiIiIiIiIDpZAf0REREREREREREREB0ugPyIiIiIiIiIiIiKigyXQHxERERERERERERHRwf4f2Wshk2cktlkAAAAASUVORK5CYII="/>
                    <pic:cNvPicPr/>
                  </pic:nvPicPr>
                  <pic:blipFill>
                    <a:blip r:embed="rId1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355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drawing>
          <wp:inline distT="0" distB="0" distL="0" distR="0">
            <wp:extent cx="5000000" cy="3552287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mSaYhl8iYAAAAAElFTkSuQmCC"/>
                    <pic:cNvPicPr/>
                  </pic:nvPicPr>
                  <pic:blipFill>
                    <a:blip r:embed="rId1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355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3552287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Fu4su827Dk8QAAAABJRU5ErkJggg=="/>
                    <pic:cNvPicPr/>
                  </pic:nvPicPr>
                  <pic:blipFill>
                    <a:blip r:embed="rId1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355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drawing>
          <wp:inline distT="0" distB="0" distL="0" distR="0">
            <wp:extent cx="5000000" cy="3552287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53vRo9iZa7AAAAAElFTkSuQmCC"/>
                    <pic:cNvPicPr/>
                  </pic:nvPicPr>
                  <pic:blipFill>
                    <a:blip r:embed="rId1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355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3552287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W3tOkIjRSRkAAAAAElFTkSuQmCC"/>
                    <pic:cNvPicPr/>
                  </pic:nvPicPr>
                  <pic:blipFill>
                    <a:blip r:embed="rId1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355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drawing>
          <wp:inline distT="0" distB="0" distL="0" distR="0">
            <wp:extent cx="5000000" cy="3552287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pHYQwsy9NxAAAAAElFTkSuQmCC"/>
                    <pic:cNvPicPr/>
                  </pic:nvPicPr>
                  <pic:blipFill>
                    <a:blip r:embed="rId1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355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3552287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tB5+9sAAAAASUVORK5CYII="/>
                    <pic:cNvPicPr/>
                  </pic:nvPicPr>
                  <pic:blipFill>
                    <a:blip r:embed="rId1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355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drawing>
          <wp:inline distT="0" distB="0" distL="0" distR="0">
            <wp:extent cx="5000000" cy="3552287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1Q0I3PBssNpAAAAAElFTkSuQmCC"/>
                    <pic:cNvPicPr/>
                  </pic:nvPicPr>
                  <pic:blipFill>
                    <a:blip r:embed="rId1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355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3552287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f1OEbF+7pBSoAAAAASUVORK5CYII="/>
                    <pic:cNvPicPr/>
                  </pic:nvPicPr>
                  <pic:blipFill>
                    <a:blip r:embed="rId1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355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drawing>
          <wp:inline distT="0" distB="0" distL="0" distR="0">
            <wp:extent cx="5000000" cy="3552287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AAAAAADAWV0lEhN1UcGYAAAAASUVORK5CYII="/>
                    <pic:cNvPicPr/>
                  </pic:nvPicPr>
                  <pic:blipFill>
                    <a:blip r:embed="rId2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355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3552287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+CuqB72U+OnAAAAAElFTkSuQmCC"/>
                    <pic:cNvPicPr/>
                  </pic:nvPicPr>
                  <pic:blipFill>
                    <a:blip r:embed="rId2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355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drawing>
          <wp:inline distT="0" distB="0" distL="0" distR="0">
            <wp:extent cx="5000000" cy="3552287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gliX9eRrmFAAAAABJRU5ErkJggg=="/>
                    <pic:cNvPicPr/>
                  </pic:nvPicPr>
                  <pic:blipFill>
                    <a:blip r:embed="rId2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355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3552287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1A1dnzhCpzXAAAAAElFTkSuQmCC"/>
                    <pic:cNvPicPr/>
                  </pic:nvPicPr>
                  <pic:blipFill>
                    <a:blip r:embed="rId2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355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37718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f+ZNFjkXeL5gAAAABJRU5ErkJggg=="/>
                    <pic:cNvPicPr/>
                  </pic:nvPicPr>
                  <pic:blipFill>
                    <a:blip r:embed="rId2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3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37718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ViaiaPo5ghKAAAAAElFTkSuQmCC"/>
                    <pic:cNvPicPr/>
                  </pic:nvPicPr>
                  <pic:blipFill>
                    <a:blip r:embed="rId2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3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37718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6WzRwAAAABJRU5ErkJggg=="/>
                    <pic:cNvPicPr/>
                  </pic:nvPicPr>
                  <pic:blipFill>
                    <a:blip r:embed="rId2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3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37718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Opp6fRM+pQQAAAABJRU5ErkJggg=="/>
                    <pic:cNvPicPr/>
                  </pic:nvPicPr>
                  <pic:blipFill>
                    <a:blip r:embed="rId2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3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37718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7bh4cT9fvsAAAAASUVORK5CYII="/>
                    <pic:cNvPicPr/>
                  </pic:nvPicPr>
                  <pic:blipFill>
                    <a:blip r:embed="rId2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3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37718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c84HN7ZilvQAAAABJRU5ErkJggg=="/>
                    <pic:cNvPicPr/>
                  </pic:nvPicPr>
                  <pic:blipFill>
                    <a:blip r:embed="rId2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3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37718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jZYuAAAAAElFTkSuQmCC"/>
                    <pic:cNvPicPr/>
                  </pic:nvPicPr>
                  <pic:blipFill>
                    <a:blip r:embed="rId3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3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37718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cQRAEQRAEQRAEQRC0Z2LOexAEQRAEQRAEQRAE7ZpQfgRBEARBEARBEARB0K4J5UcQBEEQBEEQBEEQBO2aUH4EQRAEQRAEQRAEQdCuCeVHEARBEARBEARBEATtmlB+BEEQBEEQBEEQBEHQrgnlRxAEQRAEQRAEQRAE7ZpQfgRBEARBEARBEARB0K4J5UcQBEEQBEEQBEEQBO2aUH4EQRAEQRAEQRAEQdCuCeVHEARBEARBEARBEATtmlB+BEEQBEEQBEEQBEHQrgnlRxAEQRAEQRAEQRAE7ZpQfgRBEARBEARBEARB0K4J5UcQBEEQBEEQBEEQBO2aUH4EQRAEQRAEQRAEQdCuCeVHEARBEARBEARBEATtmv8Pzn9HkH4eAQ0AAAAASUVORK5CYII="/>
                    <pic:cNvPicPr/>
                  </pic:nvPicPr>
                  <pic:blipFill>
                    <a:blip r:embed="rId3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3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37718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AAgNKEHwAAAEBpwg8AAACgNOEHAAAAUJrwAwAAAChN+AEAAACUJvwAAAAAShN+AAAAAKUJPwAAAIDShB8AAABAacIPAAAAoDThBwAAAFCa8AMAAAAoTfgBAAAAlCb8AAAAAEoTfgAAAAClCT8AAACA0v4PtxPkC8B3zxUAAAAASUVORK5CYII="/>
                    <pic:cNvPicPr/>
                  </pic:nvPicPr>
                  <pic:blipFill>
                    <a:blip r:embed="rId3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3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37718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J7FBdtgSroAAAAASUVORK5CYII="/>
                    <pic:cNvPicPr/>
                  </pic:nvPicPr>
                  <pic:blipFill>
                    <a:blip r:embed="rId3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3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37718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Xat5A8lOxQAAAAASUVORK5CYII="/>
                    <pic:cNvPicPr/>
                  </pic:nvPicPr>
                  <pic:blipFill>
                    <a:blip r:embed="rId3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3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37718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AAAAWJMfAAAAwJr8AAAAANbkBwAAALAmPwAAAIA1+QEAAACsBfamWfQUlpnWAAAAAElFTkSuQmCC"/>
                    <pic:cNvPicPr/>
                  </pic:nvPicPr>
                  <pic:blipFill>
                    <a:blip r:embed="rId3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3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37718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twb2v3LW1AAAAAElFTkSuQmCC"/>
                    <pic:cNvPicPr/>
                  </pic:nvPicPr>
                  <pic:blipFill>
                    <a:blip r:embed="rId3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3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37718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pgAAAABJRU5ErkJggg=="/>
                    <pic:cNvPicPr/>
                  </pic:nvPicPr>
                  <pic:blipFill>
                    <a:blip r:embed="rId3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3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37718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9023ekmWz0hAAAAAElFTkSuQmCC"/>
                    <pic:cNvPicPr/>
                  </pic:nvPicPr>
                  <pic:blipFill>
                    <a:blip r:embed="rId3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3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37718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pV2R5kDUR8AAAAASUVORK5CYII="/>
                    <pic:cNvPicPr/>
                  </pic:nvPicPr>
                  <pic:blipFill>
                    <a:blip r:embed="rId3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3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37718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AAAAAElFTkSuQmCC"/>
                    <pic:cNvPicPr/>
                  </pic:nvPicPr>
                  <pic:blipFill>
                    <a:blip r:embed="rId4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3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37718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MFP3bqZ6KjLwAAAABJRU5ErkJggg=="/>
                    <pic:cNvPicPr/>
                  </pic:nvPicPr>
                  <pic:blipFill>
                    <a:blip r:embed="rId4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3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37718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8hEMZlcv+9VgAAAABJRU5ErkJggg=="/>
                    <pic:cNvPicPr/>
                  </pic:nvPicPr>
                  <pic:blipFill>
                    <a:blip r:embed="rId4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3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37718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+FW2hniYTirQAAAABJRU5ErkJggg=="/>
                    <pic:cNvPicPr/>
                  </pic:nvPicPr>
                  <pic:blipFill>
                    <a:blip r:embed="rId4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3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37718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1tzB90MEp4AAAAASUVORK5CYII="/>
                    <pic:cNvPicPr/>
                  </pic:nvPicPr>
                  <pic:blipFill>
                    <a:blip r:embed="rId4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3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37718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+u918nz8SM1QAAAABJRU5ErkJggg=="/>
                    <pic:cNvPicPr/>
                  </pic:nvPicPr>
                  <pic:blipFill>
                    <a:blip r:embed="rId4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3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37718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AAAAASUVORK5CYII="/>
                    <pic:cNvPicPr/>
                  </pic:nvPicPr>
                  <pic:blipFill>
                    <a:blip r:embed="rId4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3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508" w:rsidRDefault="00155A43">
      <w:pPr>
        <w:spacing w:line="210" w:lineRule="atLeast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>
            <wp:extent cx="5000000" cy="7037718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V1+e6wVw9gAAAAASUVORK5CYII="/>
                    <pic:cNvPicPr/>
                  </pic:nvPicPr>
                  <pic:blipFill>
                    <a:blip r:embed="rId4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703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81508">
      <w:pgSz w:w="11906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1508"/>
    <w:rsid w:val="00155A43"/>
    <w:rsid w:val="00B815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574AD5C8-50F3-4BF2-9DD4-460CB28E82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bmp"/><Relationship Id="rId18" Type="http://schemas.openxmlformats.org/officeDocument/2006/relationships/image" Target="media/image15.bmp"/><Relationship Id="rId26" Type="http://schemas.openxmlformats.org/officeDocument/2006/relationships/image" Target="media/image23.bmp"/><Relationship Id="rId39" Type="http://schemas.openxmlformats.org/officeDocument/2006/relationships/image" Target="media/image36.bmp"/><Relationship Id="rId21" Type="http://schemas.openxmlformats.org/officeDocument/2006/relationships/image" Target="media/image18.bmp"/><Relationship Id="rId34" Type="http://schemas.openxmlformats.org/officeDocument/2006/relationships/image" Target="media/image31.bmp"/><Relationship Id="rId42" Type="http://schemas.openxmlformats.org/officeDocument/2006/relationships/image" Target="media/image39.bmp"/><Relationship Id="rId47" Type="http://schemas.openxmlformats.org/officeDocument/2006/relationships/image" Target="media/image44.bmp"/><Relationship Id="rId7" Type="http://schemas.openxmlformats.org/officeDocument/2006/relationships/image" Target="media/image4.bmp"/><Relationship Id="rId2" Type="http://schemas.openxmlformats.org/officeDocument/2006/relationships/settings" Target="settings.xml"/><Relationship Id="rId16" Type="http://schemas.openxmlformats.org/officeDocument/2006/relationships/image" Target="media/image13.bmp"/><Relationship Id="rId29" Type="http://schemas.openxmlformats.org/officeDocument/2006/relationships/image" Target="media/image26.bmp"/><Relationship Id="rId11" Type="http://schemas.openxmlformats.org/officeDocument/2006/relationships/image" Target="media/image8.bmp"/><Relationship Id="rId24" Type="http://schemas.openxmlformats.org/officeDocument/2006/relationships/image" Target="media/image21.bmp"/><Relationship Id="rId32" Type="http://schemas.openxmlformats.org/officeDocument/2006/relationships/image" Target="media/image29.bmp"/><Relationship Id="rId37" Type="http://schemas.openxmlformats.org/officeDocument/2006/relationships/image" Target="media/image34.bmp"/><Relationship Id="rId40" Type="http://schemas.openxmlformats.org/officeDocument/2006/relationships/image" Target="media/image37.bmp"/><Relationship Id="rId45" Type="http://schemas.openxmlformats.org/officeDocument/2006/relationships/image" Target="media/image42.bmp"/><Relationship Id="rId5" Type="http://schemas.openxmlformats.org/officeDocument/2006/relationships/image" Target="media/image2.bmp"/><Relationship Id="rId15" Type="http://schemas.openxmlformats.org/officeDocument/2006/relationships/image" Target="media/image12.bmp"/><Relationship Id="rId23" Type="http://schemas.openxmlformats.org/officeDocument/2006/relationships/image" Target="media/image20.bmp"/><Relationship Id="rId28" Type="http://schemas.openxmlformats.org/officeDocument/2006/relationships/image" Target="media/image25.bmp"/><Relationship Id="rId36" Type="http://schemas.openxmlformats.org/officeDocument/2006/relationships/image" Target="media/image33.bmp"/><Relationship Id="rId49" Type="http://schemas.openxmlformats.org/officeDocument/2006/relationships/theme" Target="theme/theme1.xml"/><Relationship Id="rId10" Type="http://schemas.openxmlformats.org/officeDocument/2006/relationships/image" Target="media/image7.bmp"/><Relationship Id="rId19" Type="http://schemas.openxmlformats.org/officeDocument/2006/relationships/image" Target="media/image16.bmp"/><Relationship Id="rId31" Type="http://schemas.openxmlformats.org/officeDocument/2006/relationships/image" Target="media/image28.bmp"/><Relationship Id="rId44" Type="http://schemas.openxmlformats.org/officeDocument/2006/relationships/image" Target="media/image41.bmp"/><Relationship Id="rId4" Type="http://schemas.openxmlformats.org/officeDocument/2006/relationships/image" Target="media/image1.bmp"/><Relationship Id="rId9" Type="http://schemas.openxmlformats.org/officeDocument/2006/relationships/image" Target="media/image6.bmp"/><Relationship Id="rId14" Type="http://schemas.openxmlformats.org/officeDocument/2006/relationships/image" Target="media/image11.bmp"/><Relationship Id="rId22" Type="http://schemas.openxmlformats.org/officeDocument/2006/relationships/image" Target="media/image19.bmp"/><Relationship Id="rId27" Type="http://schemas.openxmlformats.org/officeDocument/2006/relationships/image" Target="media/image24.bmp"/><Relationship Id="rId30" Type="http://schemas.openxmlformats.org/officeDocument/2006/relationships/image" Target="media/image27.bmp"/><Relationship Id="rId35" Type="http://schemas.openxmlformats.org/officeDocument/2006/relationships/image" Target="media/image32.bmp"/><Relationship Id="rId43" Type="http://schemas.openxmlformats.org/officeDocument/2006/relationships/image" Target="media/image40.bmp"/><Relationship Id="rId48" Type="http://schemas.openxmlformats.org/officeDocument/2006/relationships/fontTable" Target="fontTable.xml"/><Relationship Id="rId8" Type="http://schemas.openxmlformats.org/officeDocument/2006/relationships/image" Target="media/image5.bmp"/><Relationship Id="rId3" Type="http://schemas.openxmlformats.org/officeDocument/2006/relationships/webSettings" Target="webSettings.xml"/><Relationship Id="rId12" Type="http://schemas.openxmlformats.org/officeDocument/2006/relationships/image" Target="media/image9.bmp"/><Relationship Id="rId17" Type="http://schemas.openxmlformats.org/officeDocument/2006/relationships/image" Target="media/image14.bmp"/><Relationship Id="rId25" Type="http://schemas.openxmlformats.org/officeDocument/2006/relationships/image" Target="media/image22.bmp"/><Relationship Id="rId33" Type="http://schemas.openxmlformats.org/officeDocument/2006/relationships/image" Target="media/image30.bmp"/><Relationship Id="rId38" Type="http://schemas.openxmlformats.org/officeDocument/2006/relationships/image" Target="media/image35.bmp"/><Relationship Id="rId46" Type="http://schemas.openxmlformats.org/officeDocument/2006/relationships/image" Target="media/image43.bmp"/><Relationship Id="rId20" Type="http://schemas.openxmlformats.org/officeDocument/2006/relationships/image" Target="media/image17.bmp"/><Relationship Id="rId41" Type="http://schemas.openxmlformats.org/officeDocument/2006/relationships/image" Target="media/image38.bmp"/><Relationship Id="rId1" Type="http://schemas.openxmlformats.org/officeDocument/2006/relationships/styles" Target="styles.xml"/><Relationship Id="rId6" Type="http://schemas.openxmlformats.org/officeDocument/2006/relationships/image" Target="media/image3.bm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45</Pages>
  <Words>3683</Words>
  <Characters>20994</Characters>
  <Application>Microsoft Office Word</Application>
  <DocSecurity>0</DocSecurity>
  <Lines>174</Lines>
  <Paragraphs>49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Jasmina Knеžević</dc:creator>
  <cp:lastModifiedBy>Jasmina Knеžević</cp:lastModifiedBy>
  <cp:revision>2</cp:revision>
  <dcterms:created xsi:type="dcterms:W3CDTF">2025-09-15T08:41:00Z</dcterms:created>
  <dcterms:modified xsi:type="dcterms:W3CDTF">2025-09-15T08:41:00Z</dcterms:modified>
</cp:coreProperties>
</file>