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4B50" w14:textId="672E9C7C" w:rsidR="005F2469" w:rsidRPr="00DD263D" w:rsidRDefault="005F2469" w:rsidP="005F2469">
      <w:pPr>
        <w:rPr>
          <w:rFonts w:ascii="Times New Roman" w:eastAsia="Times New Roman" w:hAnsi="Times New Roman" w:cs="Times New Roman"/>
        </w:rPr>
      </w:pPr>
      <w:bookmarkStart w:id="0" w:name="_Toc62403531"/>
      <w:bookmarkStart w:id="1" w:name="_Toc62404250"/>
      <w:bookmarkStart w:id="2" w:name="_Toc62408749"/>
      <w:bookmarkStart w:id="3" w:name="_Toc64555376"/>
      <w:bookmarkStart w:id="4" w:name="_Toc73613632"/>
    </w:p>
    <w:p w14:paraId="023625AE" w14:textId="132B3145" w:rsidR="00AA19A8" w:rsidRDefault="00AA19A8" w:rsidP="005F2469">
      <w:pPr>
        <w:rPr>
          <w:rFonts w:ascii="Times New Roman" w:eastAsia="Times New Roman" w:hAnsi="Times New Roman" w:cs="Times New Roman"/>
          <w:lang w:val="sr-Cyrl-CS"/>
        </w:rPr>
      </w:pPr>
    </w:p>
    <w:p w14:paraId="7B0DE9AC" w14:textId="77777777" w:rsidR="00AA19A8" w:rsidRPr="00AA19A8" w:rsidRDefault="00AA19A8" w:rsidP="005F2469">
      <w:pPr>
        <w:rPr>
          <w:rFonts w:ascii="Times New Roman" w:eastAsia="Times New Roman" w:hAnsi="Times New Roman" w:cs="Times New Roman"/>
          <w:lang w:val="sr-Cyrl-CS"/>
        </w:rPr>
      </w:pPr>
    </w:p>
    <w:tbl>
      <w:tblPr>
        <w:tblStyle w:val="TableGridLight"/>
        <w:tblW w:w="15876" w:type="dxa"/>
        <w:tblInd w:w="-5" w:type="dxa"/>
        <w:tblLayout w:type="fixed"/>
        <w:tblLook w:val="04A0" w:firstRow="1" w:lastRow="0" w:firstColumn="1" w:lastColumn="0" w:noHBand="0" w:noVBand="1"/>
      </w:tblPr>
      <w:tblGrid>
        <w:gridCol w:w="2344"/>
        <w:gridCol w:w="153"/>
        <w:gridCol w:w="19"/>
        <w:gridCol w:w="9"/>
        <w:gridCol w:w="12"/>
        <w:gridCol w:w="1261"/>
        <w:gridCol w:w="230"/>
        <w:gridCol w:w="50"/>
        <w:gridCol w:w="10"/>
        <w:gridCol w:w="19"/>
        <w:gridCol w:w="1202"/>
        <w:gridCol w:w="290"/>
        <w:gridCol w:w="28"/>
        <w:gridCol w:w="31"/>
        <w:gridCol w:w="16"/>
        <w:gridCol w:w="16"/>
        <w:gridCol w:w="1516"/>
        <w:gridCol w:w="663"/>
        <w:gridCol w:w="365"/>
        <w:gridCol w:w="62"/>
        <w:gridCol w:w="24"/>
        <w:gridCol w:w="15"/>
        <w:gridCol w:w="277"/>
        <w:gridCol w:w="328"/>
        <w:gridCol w:w="94"/>
        <w:gridCol w:w="21"/>
        <w:gridCol w:w="16"/>
        <w:gridCol w:w="14"/>
        <w:gridCol w:w="244"/>
        <w:gridCol w:w="330"/>
        <w:gridCol w:w="324"/>
        <w:gridCol w:w="208"/>
        <w:gridCol w:w="195"/>
        <w:gridCol w:w="23"/>
        <w:gridCol w:w="32"/>
        <w:gridCol w:w="32"/>
        <w:gridCol w:w="10"/>
        <w:gridCol w:w="6"/>
        <w:gridCol w:w="1026"/>
        <w:gridCol w:w="215"/>
        <w:gridCol w:w="190"/>
        <w:gridCol w:w="11"/>
        <w:gridCol w:w="43"/>
        <w:gridCol w:w="31"/>
        <w:gridCol w:w="300"/>
        <w:gridCol w:w="108"/>
        <w:gridCol w:w="25"/>
        <w:gridCol w:w="29"/>
        <w:gridCol w:w="13"/>
        <w:gridCol w:w="40"/>
        <w:gridCol w:w="52"/>
        <w:gridCol w:w="40"/>
        <w:gridCol w:w="9"/>
        <w:gridCol w:w="12"/>
        <w:gridCol w:w="11"/>
        <w:gridCol w:w="334"/>
        <w:gridCol w:w="70"/>
        <w:gridCol w:w="108"/>
        <w:gridCol w:w="371"/>
        <w:gridCol w:w="63"/>
        <w:gridCol w:w="52"/>
        <w:gridCol w:w="42"/>
        <w:gridCol w:w="15"/>
        <w:gridCol w:w="12"/>
        <w:gridCol w:w="10"/>
        <w:gridCol w:w="586"/>
        <w:gridCol w:w="54"/>
        <w:gridCol w:w="26"/>
        <w:gridCol w:w="214"/>
        <w:gridCol w:w="77"/>
        <w:gridCol w:w="101"/>
        <w:gridCol w:w="12"/>
        <w:gridCol w:w="7"/>
        <w:gridCol w:w="326"/>
        <w:gridCol w:w="752"/>
      </w:tblGrid>
      <w:tr w:rsidR="00D30238" w:rsidRPr="00AA19A8" w14:paraId="4F817345" w14:textId="77777777" w:rsidTr="00847511">
        <w:trPr>
          <w:cantSplit/>
          <w:trHeight w:val="1253"/>
        </w:trPr>
        <w:tc>
          <w:tcPr>
            <w:tcW w:w="15876" w:type="dxa"/>
            <w:gridSpan w:val="7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80BB"/>
            <w:vAlign w:val="center"/>
          </w:tcPr>
          <w:p w14:paraId="2A4C6312" w14:textId="42FB9CA9" w:rsidR="00F617BE" w:rsidRPr="00AA19A8" w:rsidRDefault="00F617BE" w:rsidP="00F617BE">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AКЦИОНИ ПЛАН ЗА СПРОВОЂЕЊЕ </w:t>
            </w:r>
            <w:r w:rsidR="003C0382" w:rsidRPr="00AA19A8">
              <w:rPr>
                <w:rFonts w:ascii="Times New Roman" w:hAnsi="Times New Roman" w:cs="Times New Roman"/>
                <w:b/>
                <w:bCs/>
                <w:sz w:val="20"/>
                <w:szCs w:val="20"/>
                <w:lang w:val="sr-Cyrl-CS"/>
              </w:rPr>
              <w:t>ПРОГРАМА РЕФОРМЕ УПРАВЉАЊА ЈАВНИМ ФИНАНСИЈАМА ЗА ПЕРИОД 2026-2030. ГОДИНЕ</w:t>
            </w:r>
            <w:r w:rsidR="00622E4C" w:rsidRPr="00AA19A8">
              <w:rPr>
                <w:rFonts w:ascii="Times New Roman" w:hAnsi="Times New Roman" w:cs="Times New Roman"/>
                <w:b/>
                <w:bCs/>
                <w:sz w:val="20"/>
                <w:szCs w:val="20"/>
                <w:lang w:val="sr-Cyrl-CS"/>
              </w:rPr>
              <w:t>,</w:t>
            </w:r>
            <w:r w:rsidR="003C0382" w:rsidRPr="00AA19A8">
              <w:rPr>
                <w:rFonts w:ascii="Times New Roman" w:hAnsi="Times New Roman" w:cs="Times New Roman"/>
                <w:b/>
                <w:bCs/>
                <w:sz w:val="20"/>
                <w:szCs w:val="20"/>
                <w:lang w:val="sr-Cyrl-CS"/>
              </w:rPr>
              <w:t xml:space="preserve"> ЗА ПЕРИОД 2026-2028. ГОДИНЕ</w:t>
            </w:r>
          </w:p>
        </w:tc>
      </w:tr>
      <w:tr w:rsidR="00D30238" w:rsidRPr="00AA19A8" w14:paraId="2DBF628B" w14:textId="77777777" w:rsidTr="00BA7E6D">
        <w:trPr>
          <w:cantSplit/>
          <w:trHeight w:val="1134"/>
        </w:trPr>
        <w:tc>
          <w:tcPr>
            <w:tcW w:w="15876" w:type="dxa"/>
            <w:gridSpan w:val="7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342FEDB7" w14:textId="77777777" w:rsidR="00F617BE" w:rsidRPr="00AA19A8" w:rsidRDefault="00F617BE" w:rsidP="00F617BE">
            <w:pPr>
              <w:rPr>
                <w:rFonts w:ascii="Times New Roman" w:hAnsi="Times New Roman" w:cs="Times New Roman"/>
                <w:sz w:val="20"/>
                <w:szCs w:val="20"/>
                <w:lang w:val="sr-Cyrl-CS"/>
              </w:rPr>
            </w:pPr>
            <w:bookmarkStart w:id="5" w:name="_Toc73613633"/>
            <w:r w:rsidRPr="00AA19A8">
              <w:rPr>
                <w:rFonts w:ascii="Times New Roman" w:hAnsi="Times New Roman" w:cs="Times New Roman"/>
                <w:sz w:val="20"/>
                <w:szCs w:val="20"/>
                <w:lang w:val="sr-Cyrl-CS"/>
              </w:rPr>
              <w:t>ОПШТИ ЦИЉ: ОСТВАРИВАЊЕ ОДРЖИВОГ БУЏЕТА СА СТАБИЛНИМ ЈАВНИМ ДУГОМ У ОДНОСУ НА БДП УЗ ПОМОЋ БОЉЕГ ФИНАНСИЈСКОГ УПРАВЉАЊА И КОНТРОЛЕ, ПРОЦЕСА РЕВИЗИЈЕ И ПОВЕЗИВАЊA БУЏЕТСКОГ ПЛАНИРАЊА СА ПОЛИТИКАМА ВЛАДЕ</w:t>
            </w:r>
            <w:bookmarkEnd w:id="5"/>
          </w:p>
        </w:tc>
      </w:tr>
      <w:tr w:rsidR="00D30238" w:rsidRPr="00AA19A8" w14:paraId="33C9A0EC" w14:textId="77777777" w:rsidTr="006B65DC">
        <w:trPr>
          <w:cantSplit/>
          <w:trHeight w:val="804"/>
        </w:trPr>
        <w:tc>
          <w:tcPr>
            <w:tcW w:w="2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223438E7"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Назив:</w:t>
            </w:r>
          </w:p>
        </w:tc>
        <w:tc>
          <w:tcPr>
            <w:tcW w:w="13532" w:type="dxa"/>
            <w:gridSpan w:val="7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4877B78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Акциони план за спровођење Програма реформе управљања јавним финансијама</w:t>
            </w:r>
          </w:p>
        </w:tc>
      </w:tr>
      <w:tr w:rsidR="00D30238" w:rsidRPr="00AA19A8" w14:paraId="2B0C3DE6" w14:textId="77777777" w:rsidTr="006B65DC">
        <w:trPr>
          <w:cantSplit/>
          <w:trHeight w:val="804"/>
        </w:trPr>
        <w:tc>
          <w:tcPr>
            <w:tcW w:w="2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592F4B8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Институција одговорна за праћење и контролу реализације:</w:t>
            </w:r>
          </w:p>
        </w:tc>
        <w:tc>
          <w:tcPr>
            <w:tcW w:w="13532" w:type="dxa"/>
            <w:gridSpan w:val="7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0670A8E6"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r>
      <w:tr w:rsidR="00D30238" w:rsidRPr="00AA19A8" w14:paraId="0319E829" w14:textId="77777777" w:rsidTr="006B65DC">
        <w:trPr>
          <w:cantSplit/>
          <w:trHeight w:val="804"/>
        </w:trPr>
        <w:tc>
          <w:tcPr>
            <w:tcW w:w="2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0FAF58D4"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Документ јавне политике за који је акциони план утврђен:</w:t>
            </w:r>
          </w:p>
        </w:tc>
        <w:tc>
          <w:tcPr>
            <w:tcW w:w="13532" w:type="dxa"/>
            <w:gridSpan w:val="7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54EF804D" w14:textId="7C0A9546"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Програм реформе управљања јавним финансијама 2026-2030</w:t>
            </w:r>
            <w:r w:rsidR="00713D3C" w:rsidRPr="00AA19A8">
              <w:rPr>
                <w:rFonts w:ascii="Times New Roman" w:hAnsi="Times New Roman" w:cs="Times New Roman"/>
                <w:sz w:val="20"/>
                <w:szCs w:val="20"/>
                <w:lang w:val="sr-Cyrl-CS"/>
              </w:rPr>
              <w:t>.</w:t>
            </w:r>
          </w:p>
        </w:tc>
      </w:tr>
      <w:tr w:rsidR="00D30238" w:rsidRPr="00AA19A8" w14:paraId="6363716D" w14:textId="77777777" w:rsidTr="006B65DC">
        <w:trPr>
          <w:cantSplit/>
          <w:trHeight w:val="804"/>
        </w:trPr>
        <w:tc>
          <w:tcPr>
            <w:tcW w:w="2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13EC2CBD"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Кровни документ јавних политика</w:t>
            </w:r>
          </w:p>
        </w:tc>
        <w:tc>
          <w:tcPr>
            <w:tcW w:w="13532" w:type="dxa"/>
            <w:gridSpan w:val="7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A0A0"/>
            <w:vAlign w:val="center"/>
          </w:tcPr>
          <w:p w14:paraId="667CF8D8" w14:textId="194AA675"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Стратегија реформе јавне управе 2021-2030</w:t>
            </w:r>
            <w:r w:rsidR="00713D3C" w:rsidRPr="00AA19A8">
              <w:rPr>
                <w:rFonts w:ascii="Times New Roman" w:hAnsi="Times New Roman" w:cs="Times New Roman"/>
                <w:sz w:val="20"/>
                <w:szCs w:val="20"/>
                <w:lang w:val="sr-Cyrl-CS"/>
              </w:rPr>
              <w:t>.</w:t>
            </w:r>
          </w:p>
        </w:tc>
      </w:tr>
      <w:tr w:rsidR="00D30238" w:rsidRPr="00AA19A8" w14:paraId="52890699" w14:textId="77777777" w:rsidTr="006B65DC">
        <w:trPr>
          <w:cantSplit/>
          <w:trHeight w:val="1253"/>
        </w:trPr>
        <w:tc>
          <w:tcPr>
            <w:tcW w:w="2344" w:type="dxa"/>
            <w:tcBorders>
              <w:top w:val="single" w:sz="4" w:space="0" w:color="FFFFFF" w:themeColor="background1"/>
              <w:bottom w:val="single" w:sz="2" w:space="0" w:color="BFBFBF"/>
            </w:tcBorders>
            <w:shd w:val="clear" w:color="auto" w:fill="ECECEC"/>
            <w:vAlign w:val="center"/>
          </w:tcPr>
          <w:p w14:paraId="79033F35"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општег циља (показатељ ефекта)</w:t>
            </w:r>
          </w:p>
        </w:tc>
        <w:tc>
          <w:tcPr>
            <w:tcW w:w="2965" w:type="dxa"/>
            <w:gridSpan w:val="10"/>
            <w:tcBorders>
              <w:top w:val="single" w:sz="4" w:space="0" w:color="FFFFFF" w:themeColor="background1"/>
              <w:bottom w:val="single" w:sz="2" w:space="0" w:color="BFBFBF"/>
            </w:tcBorders>
            <w:shd w:val="clear" w:color="auto" w:fill="ECECEC"/>
            <w:vAlign w:val="center"/>
          </w:tcPr>
          <w:p w14:paraId="0C9CC194"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tcBorders>
              <w:top w:val="single" w:sz="4" w:space="0" w:color="FFFFFF" w:themeColor="background1"/>
              <w:bottom w:val="single" w:sz="2" w:space="0" w:color="BFBFBF"/>
            </w:tcBorders>
            <w:shd w:val="clear" w:color="auto" w:fill="ECECEC"/>
            <w:vAlign w:val="center"/>
          </w:tcPr>
          <w:p w14:paraId="74BAFED7"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tcBorders>
              <w:top w:val="single" w:sz="4" w:space="0" w:color="FFFFFF" w:themeColor="background1"/>
              <w:bottom w:val="single" w:sz="2" w:space="0" w:color="BFBFBF"/>
            </w:tcBorders>
            <w:shd w:val="clear" w:color="auto" w:fill="ECECEC"/>
            <w:vAlign w:val="center"/>
          </w:tcPr>
          <w:p w14:paraId="44CF6129"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tcBorders>
              <w:top w:val="single" w:sz="4" w:space="0" w:color="FFFFFF" w:themeColor="background1"/>
              <w:bottom w:val="single" w:sz="2" w:space="0" w:color="BFBFBF"/>
            </w:tcBorders>
            <w:shd w:val="clear" w:color="auto" w:fill="ECECEC"/>
            <w:vAlign w:val="center"/>
          </w:tcPr>
          <w:p w14:paraId="62CF40D4"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tcBorders>
              <w:top w:val="single" w:sz="4" w:space="0" w:color="FFFFFF" w:themeColor="background1"/>
              <w:bottom w:val="single" w:sz="2" w:space="0" w:color="BFBFBF"/>
            </w:tcBorders>
            <w:shd w:val="clear" w:color="auto" w:fill="ECECEC"/>
            <w:vAlign w:val="center"/>
          </w:tcPr>
          <w:p w14:paraId="43F6E42D"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719C600C"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tcBorders>
              <w:top w:val="single" w:sz="4" w:space="0" w:color="FFFFFF" w:themeColor="background1"/>
              <w:bottom w:val="single" w:sz="2" w:space="0" w:color="BFBFBF"/>
            </w:tcBorders>
            <w:shd w:val="clear" w:color="auto" w:fill="ECECEC"/>
            <w:vAlign w:val="center"/>
          </w:tcPr>
          <w:p w14:paraId="171D9410"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64C5EC46"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tcBorders>
              <w:top w:val="single" w:sz="4" w:space="0" w:color="FFFFFF" w:themeColor="background1"/>
              <w:bottom w:val="single" w:sz="2" w:space="0" w:color="BFBFBF"/>
            </w:tcBorders>
            <w:shd w:val="clear" w:color="auto" w:fill="ECECEC"/>
            <w:vAlign w:val="center"/>
          </w:tcPr>
          <w:p w14:paraId="180617B1"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3CC7A81C"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4BC96980" w14:textId="77777777" w:rsidTr="006B65DC">
        <w:trPr>
          <w:cantSplit/>
          <w:trHeight w:val="1247"/>
        </w:trPr>
        <w:tc>
          <w:tcPr>
            <w:tcW w:w="2344" w:type="dxa"/>
            <w:tcBorders>
              <w:top w:val="single" w:sz="2" w:space="0" w:color="BFBFBF"/>
              <w:bottom w:val="single" w:sz="2" w:space="0" w:color="BFBFBF"/>
            </w:tcBorders>
            <w:vAlign w:val="center"/>
          </w:tcPr>
          <w:p w14:paraId="6DCEFFE9"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Реални раст БДП</w:t>
            </w:r>
          </w:p>
        </w:tc>
        <w:tc>
          <w:tcPr>
            <w:tcW w:w="2965" w:type="dxa"/>
            <w:gridSpan w:val="10"/>
            <w:tcBorders>
              <w:top w:val="single" w:sz="2" w:space="0" w:color="BFBFBF"/>
              <w:bottom w:val="single" w:sz="2" w:space="0" w:color="BFBFBF"/>
            </w:tcBorders>
            <w:vAlign w:val="center"/>
          </w:tcPr>
          <w:p w14:paraId="393C6FCD"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tcBorders>
              <w:top w:val="single" w:sz="2" w:space="0" w:color="BFBFBF"/>
              <w:bottom w:val="single" w:sz="2" w:space="0" w:color="BFBFBF"/>
            </w:tcBorders>
            <w:vAlign w:val="center"/>
          </w:tcPr>
          <w:p w14:paraId="5E99E383"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Фискална стратегија, Програм економских реформи</w:t>
            </w:r>
          </w:p>
        </w:tc>
        <w:tc>
          <w:tcPr>
            <w:tcW w:w="2322" w:type="dxa"/>
            <w:gridSpan w:val="14"/>
            <w:tcBorders>
              <w:top w:val="single" w:sz="2" w:space="0" w:color="BFBFBF"/>
              <w:bottom w:val="single" w:sz="2" w:space="0" w:color="BFBFBF"/>
            </w:tcBorders>
            <w:vAlign w:val="center"/>
          </w:tcPr>
          <w:p w14:paraId="50BA02D6"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3,9%</w:t>
            </w:r>
          </w:p>
        </w:tc>
        <w:tc>
          <w:tcPr>
            <w:tcW w:w="2276" w:type="dxa"/>
            <w:gridSpan w:val="16"/>
            <w:tcBorders>
              <w:top w:val="single" w:sz="2" w:space="0" w:color="BFBFBF"/>
              <w:bottom w:val="single" w:sz="2" w:space="0" w:color="BFBFBF"/>
            </w:tcBorders>
            <w:vAlign w:val="center"/>
          </w:tcPr>
          <w:p w14:paraId="0B0BBB50"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60" w:type="dxa"/>
            <w:gridSpan w:val="11"/>
            <w:tcBorders>
              <w:top w:val="single" w:sz="2" w:space="0" w:color="BFBFBF"/>
              <w:bottom w:val="single" w:sz="2" w:space="0" w:color="BFBFBF"/>
            </w:tcBorders>
            <w:vAlign w:val="center"/>
          </w:tcPr>
          <w:p w14:paraId="5C1DB14B"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w:t>
            </w:r>
          </w:p>
        </w:tc>
        <w:tc>
          <w:tcPr>
            <w:tcW w:w="1074" w:type="dxa"/>
            <w:gridSpan w:val="10"/>
            <w:tcBorders>
              <w:top w:val="single" w:sz="2" w:space="0" w:color="BFBFBF"/>
              <w:bottom w:val="single" w:sz="2" w:space="0" w:color="BFBFBF"/>
            </w:tcBorders>
            <w:vAlign w:val="center"/>
          </w:tcPr>
          <w:p w14:paraId="7A278427"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w:t>
            </w:r>
          </w:p>
        </w:tc>
        <w:tc>
          <w:tcPr>
            <w:tcW w:w="1275" w:type="dxa"/>
            <w:gridSpan w:val="6"/>
            <w:tcBorders>
              <w:top w:val="single" w:sz="2" w:space="0" w:color="BFBFBF"/>
              <w:bottom w:val="single" w:sz="2" w:space="0" w:color="BFBFBF"/>
            </w:tcBorders>
            <w:vAlign w:val="center"/>
          </w:tcPr>
          <w:p w14:paraId="5905BA50"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3,5%</w:t>
            </w:r>
          </w:p>
        </w:tc>
      </w:tr>
      <w:tr w:rsidR="00D30238" w:rsidRPr="00AA19A8" w14:paraId="0963B9AE" w14:textId="77777777" w:rsidTr="006B65DC">
        <w:trPr>
          <w:cantSplit/>
          <w:trHeight w:val="1247"/>
        </w:trPr>
        <w:tc>
          <w:tcPr>
            <w:tcW w:w="2344" w:type="dxa"/>
            <w:tcBorders>
              <w:top w:val="single" w:sz="2" w:space="0" w:color="BFBFBF"/>
            </w:tcBorders>
            <w:vAlign w:val="center"/>
          </w:tcPr>
          <w:p w14:paraId="08E1368F"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Ниво дуга сектора државе у БДП-у</w:t>
            </w:r>
          </w:p>
        </w:tc>
        <w:tc>
          <w:tcPr>
            <w:tcW w:w="2965" w:type="dxa"/>
            <w:gridSpan w:val="10"/>
            <w:tcBorders>
              <w:top w:val="single" w:sz="2" w:space="0" w:color="BFBFBF"/>
            </w:tcBorders>
            <w:vAlign w:val="center"/>
          </w:tcPr>
          <w:p w14:paraId="42F6C45F"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tcBorders>
              <w:top w:val="single" w:sz="2" w:space="0" w:color="BFBFBF"/>
            </w:tcBorders>
            <w:vAlign w:val="center"/>
          </w:tcPr>
          <w:p w14:paraId="0FD841BD"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Фискална стратегија, Програм економских реформи</w:t>
            </w:r>
          </w:p>
        </w:tc>
        <w:tc>
          <w:tcPr>
            <w:tcW w:w="2322" w:type="dxa"/>
            <w:gridSpan w:val="14"/>
            <w:tcBorders>
              <w:top w:val="single" w:sz="2" w:space="0" w:color="BFBFBF"/>
            </w:tcBorders>
            <w:vAlign w:val="center"/>
          </w:tcPr>
          <w:p w14:paraId="765E9F3D"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46,9</w:t>
            </w:r>
          </w:p>
        </w:tc>
        <w:tc>
          <w:tcPr>
            <w:tcW w:w="2276" w:type="dxa"/>
            <w:gridSpan w:val="16"/>
            <w:tcBorders>
              <w:top w:val="single" w:sz="2" w:space="0" w:color="BFBFBF"/>
            </w:tcBorders>
            <w:vAlign w:val="center"/>
          </w:tcPr>
          <w:p w14:paraId="270FCE1D"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60" w:type="dxa"/>
            <w:gridSpan w:val="11"/>
            <w:tcBorders>
              <w:top w:val="single" w:sz="2" w:space="0" w:color="BFBFBF"/>
            </w:tcBorders>
            <w:vAlign w:val="center"/>
          </w:tcPr>
          <w:p w14:paraId="2462F831"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44,5%</w:t>
            </w:r>
          </w:p>
        </w:tc>
        <w:tc>
          <w:tcPr>
            <w:tcW w:w="1074" w:type="dxa"/>
            <w:gridSpan w:val="10"/>
            <w:tcBorders>
              <w:top w:val="single" w:sz="2" w:space="0" w:color="BFBFBF"/>
            </w:tcBorders>
            <w:vAlign w:val="center"/>
          </w:tcPr>
          <w:p w14:paraId="03D8387C"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44,3%</w:t>
            </w:r>
          </w:p>
        </w:tc>
        <w:tc>
          <w:tcPr>
            <w:tcW w:w="1275" w:type="dxa"/>
            <w:gridSpan w:val="6"/>
            <w:tcBorders>
              <w:top w:val="single" w:sz="2" w:space="0" w:color="BFBFBF"/>
            </w:tcBorders>
            <w:vAlign w:val="center"/>
          </w:tcPr>
          <w:p w14:paraId="18FBA7DE"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44,1%</w:t>
            </w:r>
          </w:p>
        </w:tc>
      </w:tr>
      <w:tr w:rsidR="00D30238" w:rsidRPr="00AA19A8" w14:paraId="4228C217" w14:textId="77777777" w:rsidTr="00BA7E6D">
        <w:trPr>
          <w:cantSplit/>
          <w:trHeight w:val="804"/>
        </w:trPr>
        <w:tc>
          <w:tcPr>
            <w:tcW w:w="15876" w:type="dxa"/>
            <w:gridSpan w:val="75"/>
            <w:shd w:val="clear" w:color="auto" w:fill="DEEAF6"/>
            <w:vAlign w:val="center"/>
          </w:tcPr>
          <w:p w14:paraId="51D70D5E" w14:textId="77777777" w:rsidR="00F617BE" w:rsidRPr="00AA19A8" w:rsidRDefault="00F617BE" w:rsidP="00F617BE">
            <w:pPr>
              <w:rPr>
                <w:rFonts w:ascii="Times New Roman" w:hAnsi="Times New Roman" w:cs="Times New Roman"/>
                <w:b/>
                <w:bCs/>
                <w:sz w:val="20"/>
                <w:szCs w:val="20"/>
                <w:lang w:val="sr-Cyrl-CS"/>
              </w:rPr>
            </w:pPr>
            <w:bookmarkStart w:id="6" w:name="_Toc73613634"/>
            <w:r w:rsidRPr="00AA19A8">
              <w:rPr>
                <w:rFonts w:ascii="Times New Roman" w:hAnsi="Times New Roman" w:cs="Times New Roman"/>
                <w:b/>
                <w:bCs/>
                <w:sz w:val="20"/>
                <w:szCs w:val="20"/>
                <w:lang w:val="sr-Cyrl-CS"/>
              </w:rPr>
              <w:t>ПОСЕБНИ ЦИЉ I:  УНАПРЕЂЕНИ КАПАЦИТЕТИ ЗА БУЏЕТСКО ПЛАНИРАЊЕ И УПРАВЉАЊЕ ЈАВНИМ ИНВЕСТИЦИЈАМА</w:t>
            </w:r>
            <w:bookmarkEnd w:id="6"/>
          </w:p>
        </w:tc>
      </w:tr>
      <w:tr w:rsidR="00D30238" w:rsidRPr="00AA19A8" w14:paraId="1CE6B5D8" w14:textId="77777777" w:rsidTr="006B65DC">
        <w:trPr>
          <w:cantSplit/>
          <w:trHeight w:val="1253"/>
        </w:trPr>
        <w:tc>
          <w:tcPr>
            <w:tcW w:w="2344" w:type="dxa"/>
            <w:shd w:val="clear" w:color="auto" w:fill="ECECEC"/>
            <w:vAlign w:val="center"/>
          </w:tcPr>
          <w:p w14:paraId="30AAB842" w14:textId="52F5EF46"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sidR="00DD263D">
              <w:rPr>
                <w:rFonts w:ascii="Times New Roman" w:hAnsi="Times New Roman" w:cs="Times New Roman"/>
                <w:b/>
                <w:bCs/>
                <w:sz w:val="20"/>
                <w:szCs w:val="20"/>
                <w:lang w:val="sr-Cyrl-CS"/>
              </w:rPr>
              <w:t>посебног циља</w:t>
            </w:r>
            <w:r w:rsidRPr="00AA19A8">
              <w:rPr>
                <w:rFonts w:ascii="Times New Roman" w:hAnsi="Times New Roman" w:cs="Times New Roman"/>
                <w:b/>
                <w:bCs/>
                <w:sz w:val="20"/>
                <w:szCs w:val="20"/>
                <w:lang w:val="sr-Cyrl-CS"/>
              </w:rPr>
              <w:t xml:space="preserve"> (показатељ </w:t>
            </w:r>
            <w:r w:rsidR="00DD263D">
              <w:rPr>
                <w:rFonts w:ascii="Times New Roman" w:hAnsi="Times New Roman" w:cs="Times New Roman"/>
                <w:b/>
                <w:bCs/>
                <w:sz w:val="20"/>
                <w:szCs w:val="20"/>
                <w:lang w:val="sr-Cyrl-CS"/>
              </w:rPr>
              <w:t>исхода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206B95E5"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5A622478"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021DE4DE"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4FE1C0E2"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22B18CB3"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106F7D68"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202AB21C"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20FF9FE9"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09A668EB"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5013A67C" w14:textId="77777777" w:rsidR="00F617BE" w:rsidRPr="00AA19A8" w:rsidRDefault="00F617BE" w:rsidP="00AF5CD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74F30F0A" w14:textId="77777777" w:rsidTr="006B65DC">
        <w:trPr>
          <w:cantSplit/>
          <w:trHeight w:val="1253"/>
        </w:trPr>
        <w:tc>
          <w:tcPr>
            <w:tcW w:w="2344" w:type="dxa"/>
            <w:vAlign w:val="center"/>
          </w:tcPr>
          <w:p w14:paraId="59DAEE4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Дефицит сектора државе до 3% БДП-а</w:t>
            </w:r>
          </w:p>
        </w:tc>
        <w:tc>
          <w:tcPr>
            <w:tcW w:w="2965" w:type="dxa"/>
            <w:gridSpan w:val="10"/>
            <w:vAlign w:val="center"/>
          </w:tcPr>
          <w:p w14:paraId="3EF49062"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4753D0F9" w14:textId="7D3F20A0"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Ревидирана Фискална стратегија</w:t>
            </w:r>
          </w:p>
        </w:tc>
        <w:tc>
          <w:tcPr>
            <w:tcW w:w="2322" w:type="dxa"/>
            <w:gridSpan w:val="14"/>
            <w:vAlign w:val="center"/>
          </w:tcPr>
          <w:p w14:paraId="7584C455"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w:t>
            </w:r>
          </w:p>
        </w:tc>
        <w:tc>
          <w:tcPr>
            <w:tcW w:w="2276" w:type="dxa"/>
            <w:gridSpan w:val="16"/>
            <w:vAlign w:val="center"/>
          </w:tcPr>
          <w:p w14:paraId="016CF5F5"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60" w:type="dxa"/>
            <w:gridSpan w:val="11"/>
            <w:vAlign w:val="center"/>
          </w:tcPr>
          <w:p w14:paraId="4C245BE5"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w:t>
            </w:r>
          </w:p>
        </w:tc>
        <w:tc>
          <w:tcPr>
            <w:tcW w:w="1074" w:type="dxa"/>
            <w:gridSpan w:val="10"/>
            <w:vAlign w:val="center"/>
          </w:tcPr>
          <w:p w14:paraId="29E63A42"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w:t>
            </w:r>
          </w:p>
        </w:tc>
        <w:tc>
          <w:tcPr>
            <w:tcW w:w="1275" w:type="dxa"/>
            <w:gridSpan w:val="6"/>
            <w:vAlign w:val="center"/>
          </w:tcPr>
          <w:p w14:paraId="0055C1A9" w14:textId="77777777" w:rsidR="00F617BE" w:rsidRPr="00AA19A8" w:rsidRDefault="00F617BE" w:rsidP="00AF5CD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2,5%</w:t>
            </w:r>
          </w:p>
        </w:tc>
      </w:tr>
      <w:tr w:rsidR="00D30238" w:rsidRPr="00AA19A8" w14:paraId="08216AC0" w14:textId="77777777" w:rsidTr="00BA7E6D">
        <w:trPr>
          <w:cantSplit/>
          <w:trHeight w:val="799"/>
        </w:trPr>
        <w:tc>
          <w:tcPr>
            <w:tcW w:w="15876" w:type="dxa"/>
            <w:gridSpan w:val="75"/>
            <w:shd w:val="clear" w:color="auto" w:fill="ECECEC"/>
            <w:vAlign w:val="center"/>
          </w:tcPr>
          <w:p w14:paraId="2B94D7A4" w14:textId="77777777" w:rsidR="00F617BE" w:rsidRPr="00AA19A8" w:rsidRDefault="00F617BE" w:rsidP="00F617BE">
            <w:pPr>
              <w:rPr>
                <w:rFonts w:ascii="Times New Roman" w:hAnsi="Times New Roman" w:cs="Times New Roman"/>
                <w:b/>
                <w:bCs/>
                <w:i/>
                <w:iCs/>
                <w:sz w:val="20"/>
                <w:szCs w:val="20"/>
                <w:lang w:val="sr-Cyrl-CS"/>
              </w:rPr>
            </w:pPr>
            <w:bookmarkStart w:id="7" w:name="_Toc73613635"/>
            <w:r w:rsidRPr="00AA19A8">
              <w:rPr>
                <w:rFonts w:ascii="Times New Roman" w:hAnsi="Times New Roman" w:cs="Times New Roman"/>
                <w:b/>
                <w:bCs/>
                <w:i/>
                <w:iCs/>
                <w:sz w:val="20"/>
                <w:szCs w:val="20"/>
                <w:lang w:val="sr-Cyrl-CS"/>
              </w:rPr>
              <w:t>Мера 1.1: Унапређење програмског буџета и средњорочног оквира расхода</w:t>
            </w:r>
            <w:bookmarkEnd w:id="7"/>
            <w:r w:rsidRPr="00AA19A8">
              <w:rPr>
                <w:rFonts w:ascii="Times New Roman" w:hAnsi="Times New Roman" w:cs="Times New Roman"/>
                <w:b/>
                <w:bCs/>
                <w:i/>
                <w:iCs/>
                <w:sz w:val="20"/>
                <w:szCs w:val="20"/>
                <w:lang w:val="sr-Cyrl-CS"/>
              </w:rPr>
              <w:t xml:space="preserve"> </w:t>
            </w:r>
          </w:p>
        </w:tc>
      </w:tr>
      <w:tr w:rsidR="00D30238" w:rsidRPr="00AA19A8" w14:paraId="4BAA94EE" w14:textId="77777777" w:rsidTr="006B65DC">
        <w:trPr>
          <w:cantSplit/>
          <w:trHeight w:val="799"/>
        </w:trPr>
        <w:tc>
          <w:tcPr>
            <w:tcW w:w="2344" w:type="dxa"/>
            <w:shd w:val="clear" w:color="auto" w:fill="ECECEC"/>
            <w:vAlign w:val="center"/>
          </w:tcPr>
          <w:p w14:paraId="0508F5C3"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43C8DB2F"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0B8D6D66"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5FFC214A" w14:textId="77777777" w:rsidTr="006B65DC">
        <w:trPr>
          <w:cantSplit/>
          <w:trHeight w:val="799"/>
        </w:trPr>
        <w:tc>
          <w:tcPr>
            <w:tcW w:w="2344" w:type="dxa"/>
            <w:shd w:val="clear" w:color="auto" w:fill="ECECEC"/>
            <w:vAlign w:val="center"/>
          </w:tcPr>
          <w:p w14:paraId="6A20551C" w14:textId="180551CD" w:rsidR="00F617BE" w:rsidRPr="00AA19A8" w:rsidRDefault="00F406D9"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IPA</w:t>
            </w:r>
            <w:r w:rsidR="00F617BE" w:rsidRPr="00AA19A8">
              <w:rPr>
                <w:rFonts w:ascii="Times New Roman" w:hAnsi="Times New Roman" w:cs="Times New Roman"/>
                <w:b/>
                <w:bCs/>
                <w:i/>
                <w:iCs/>
                <w:sz w:val="20"/>
                <w:szCs w:val="20"/>
                <w:lang w:val="sr-Cyrl-CS"/>
              </w:rPr>
              <w:t>2021 и донаторска средства</w:t>
            </w:r>
          </w:p>
        </w:tc>
        <w:tc>
          <w:tcPr>
            <w:tcW w:w="2965" w:type="dxa"/>
            <w:gridSpan w:val="10"/>
            <w:shd w:val="clear" w:color="auto" w:fill="ECECEC"/>
            <w:vAlign w:val="center"/>
          </w:tcPr>
          <w:p w14:paraId="756E0D87"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w:t>
            </w:r>
          </w:p>
        </w:tc>
        <w:tc>
          <w:tcPr>
            <w:tcW w:w="3303" w:type="dxa"/>
            <w:gridSpan w:val="12"/>
            <w:shd w:val="clear" w:color="auto" w:fill="ECECEC"/>
            <w:vAlign w:val="center"/>
          </w:tcPr>
          <w:p w14:paraId="1A09E5A3"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85.000</w:t>
            </w:r>
          </w:p>
        </w:tc>
        <w:tc>
          <w:tcPr>
            <w:tcW w:w="3308" w:type="dxa"/>
            <w:gridSpan w:val="18"/>
            <w:shd w:val="clear" w:color="auto" w:fill="ECECEC"/>
            <w:vAlign w:val="center"/>
          </w:tcPr>
          <w:p w14:paraId="08BB5FC8"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2.400</w:t>
            </w:r>
          </w:p>
        </w:tc>
        <w:tc>
          <w:tcPr>
            <w:tcW w:w="3956" w:type="dxa"/>
            <w:gridSpan w:val="34"/>
            <w:shd w:val="clear" w:color="auto" w:fill="ECECEC"/>
            <w:vAlign w:val="center"/>
          </w:tcPr>
          <w:p w14:paraId="17562CAA"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20.400</w:t>
            </w:r>
          </w:p>
        </w:tc>
      </w:tr>
      <w:tr w:rsidR="00D30238" w:rsidRPr="00AA19A8" w14:paraId="23DE6093" w14:textId="77777777" w:rsidTr="00BA7E6D">
        <w:trPr>
          <w:cantSplit/>
          <w:trHeight w:val="799"/>
        </w:trPr>
        <w:tc>
          <w:tcPr>
            <w:tcW w:w="15876" w:type="dxa"/>
            <w:gridSpan w:val="75"/>
            <w:shd w:val="clear" w:color="auto" w:fill="ECECEC"/>
            <w:vAlign w:val="center"/>
          </w:tcPr>
          <w:p w14:paraId="6696022D" w14:textId="77777777" w:rsidR="00F617BE" w:rsidRPr="00AA19A8" w:rsidRDefault="00F617BE" w:rsidP="00F617BE">
            <w:pPr>
              <w:rPr>
                <w:rFonts w:ascii="Times New Roman" w:hAnsi="Times New Roman" w:cs="Times New Roman"/>
                <w:b/>
                <w:bCs/>
                <w:i/>
                <w:iCs/>
                <w:sz w:val="20"/>
                <w:szCs w:val="20"/>
                <w:lang w:val="sr-Cyrl-CS"/>
              </w:rPr>
            </w:pPr>
            <w:bookmarkStart w:id="8" w:name="_Toc73613636"/>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 Сектор буџета</w:t>
            </w:r>
            <w:bookmarkEnd w:id="8"/>
          </w:p>
        </w:tc>
      </w:tr>
      <w:tr w:rsidR="00D30238" w:rsidRPr="00AA19A8" w14:paraId="30867D78" w14:textId="77777777" w:rsidTr="006B65DC">
        <w:trPr>
          <w:cantSplit/>
          <w:trHeight w:val="799"/>
        </w:trPr>
        <w:tc>
          <w:tcPr>
            <w:tcW w:w="7869" w:type="dxa"/>
            <w:gridSpan w:val="18"/>
            <w:shd w:val="clear" w:color="auto" w:fill="ECECEC"/>
            <w:vAlign w:val="center"/>
          </w:tcPr>
          <w:p w14:paraId="252BB448" w14:textId="176C65E1"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2026-2030</w:t>
            </w:r>
            <w:r w:rsidR="00713D3C" w:rsidRPr="00AA19A8">
              <w:rPr>
                <w:rFonts w:ascii="Times New Roman" w:hAnsi="Times New Roman" w:cs="Times New Roman"/>
                <w:b/>
                <w:bCs/>
                <w:i/>
                <w:iCs/>
                <w:sz w:val="20"/>
                <w:szCs w:val="20"/>
                <w:lang w:val="sr-Cyrl-CS"/>
              </w:rPr>
              <w:t>.</w:t>
            </w:r>
          </w:p>
        </w:tc>
        <w:tc>
          <w:tcPr>
            <w:tcW w:w="8007" w:type="dxa"/>
            <w:gridSpan w:val="57"/>
            <w:shd w:val="clear" w:color="auto" w:fill="ECECEC"/>
            <w:vAlign w:val="center"/>
          </w:tcPr>
          <w:p w14:paraId="18AFEF92" w14:textId="77777777" w:rsidR="00F617BE" w:rsidRPr="00AA19A8" w:rsidRDefault="00F617BE" w:rsidP="00F617BE">
            <w:pPr>
              <w:rPr>
                <w:rFonts w:ascii="Times New Roman" w:hAnsi="Times New Roman" w:cs="Times New Roman"/>
                <w:b/>
                <w:bCs/>
                <w:i/>
                <w:iCs/>
                <w:sz w:val="20"/>
                <w:szCs w:val="20"/>
                <w:lang w:val="sr-Cyrl-CS"/>
              </w:rPr>
            </w:pPr>
            <w:bookmarkStart w:id="9" w:name="_Toc73613638"/>
            <w:r w:rsidRPr="00AA19A8">
              <w:rPr>
                <w:rFonts w:ascii="Times New Roman" w:hAnsi="Times New Roman" w:cs="Times New Roman"/>
                <w:b/>
                <w:bCs/>
                <w:i/>
                <w:iCs/>
                <w:sz w:val="20"/>
                <w:szCs w:val="20"/>
                <w:lang w:val="sr-Cyrl-CS"/>
              </w:rPr>
              <w:t>Тип мере: Информативно едукативна</w:t>
            </w:r>
            <w:bookmarkEnd w:id="9"/>
          </w:p>
        </w:tc>
      </w:tr>
      <w:tr w:rsidR="00D30238" w:rsidRPr="00AA19A8" w14:paraId="04E1DA8F" w14:textId="77777777" w:rsidTr="006B65DC">
        <w:trPr>
          <w:cantSplit/>
          <w:trHeight w:val="1253"/>
        </w:trPr>
        <w:tc>
          <w:tcPr>
            <w:tcW w:w="2344" w:type="dxa"/>
            <w:shd w:val="clear" w:color="auto" w:fill="ECECEC"/>
            <w:vAlign w:val="center"/>
          </w:tcPr>
          <w:p w14:paraId="32883EBC" w14:textId="450091CE"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lastRenderedPageBreak/>
              <w:t xml:space="preserve">Показатељ(и) на нивоу </w:t>
            </w:r>
            <w:r w:rsidR="00DD263D">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sidR="00DD263D">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2FDB797B"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11D02C98"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7A4B6C93"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3A914DCC"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73625177"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1DDC3194"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2366AB3F"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34C4575F"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6B5895ED"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407C8AB3"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752EC13C" w14:textId="77777777" w:rsidTr="006B65DC">
        <w:trPr>
          <w:cantSplit/>
          <w:trHeight w:val="1253"/>
        </w:trPr>
        <w:tc>
          <w:tcPr>
            <w:tcW w:w="2344" w:type="dxa"/>
            <w:vAlign w:val="center"/>
          </w:tcPr>
          <w:p w14:paraId="678A582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здравствених установа које примењују програмски буџет</w:t>
            </w:r>
          </w:p>
        </w:tc>
        <w:tc>
          <w:tcPr>
            <w:tcW w:w="2965" w:type="dxa"/>
            <w:gridSpan w:val="10"/>
            <w:vAlign w:val="center"/>
          </w:tcPr>
          <w:p w14:paraId="4164661F"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43AE9591"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Софтвер за припрему буџета здравствених установа</w:t>
            </w:r>
          </w:p>
        </w:tc>
        <w:tc>
          <w:tcPr>
            <w:tcW w:w="2322" w:type="dxa"/>
            <w:gridSpan w:val="14"/>
            <w:vAlign w:val="center"/>
          </w:tcPr>
          <w:p w14:paraId="1BACC182"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0</w:t>
            </w:r>
          </w:p>
        </w:tc>
        <w:tc>
          <w:tcPr>
            <w:tcW w:w="2276" w:type="dxa"/>
            <w:gridSpan w:val="16"/>
            <w:vAlign w:val="center"/>
          </w:tcPr>
          <w:p w14:paraId="4D8845EF"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7FEFB404"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29DA079F"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70%</w:t>
            </w:r>
          </w:p>
        </w:tc>
        <w:tc>
          <w:tcPr>
            <w:tcW w:w="1275" w:type="dxa"/>
            <w:gridSpan w:val="6"/>
            <w:vAlign w:val="center"/>
          </w:tcPr>
          <w:p w14:paraId="2C633681"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r>
      <w:tr w:rsidR="00D30238" w:rsidRPr="00AA19A8" w14:paraId="6475458F" w14:textId="77777777" w:rsidTr="006B65DC">
        <w:trPr>
          <w:cantSplit/>
          <w:trHeight w:val="630"/>
        </w:trPr>
        <w:tc>
          <w:tcPr>
            <w:tcW w:w="2344" w:type="dxa"/>
            <w:vMerge w:val="restart"/>
            <w:shd w:val="clear" w:color="auto" w:fill="ECECEC"/>
            <w:vAlign w:val="center"/>
          </w:tcPr>
          <w:p w14:paraId="1DB81ADA"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3AEAE102"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5FC6CBF6"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688B8C15"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4C89FB2A"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65E28360" w14:textId="77777777" w:rsidTr="006B65DC">
        <w:trPr>
          <w:cantSplit/>
          <w:trHeight w:val="1253"/>
        </w:trPr>
        <w:tc>
          <w:tcPr>
            <w:tcW w:w="2344" w:type="dxa"/>
            <w:vMerge/>
            <w:shd w:val="clear" w:color="auto" w:fill="ECECEC"/>
            <w:vAlign w:val="center"/>
          </w:tcPr>
          <w:p w14:paraId="01FA6DD9" w14:textId="77777777" w:rsidR="00F617BE" w:rsidRPr="00AA19A8" w:rsidRDefault="00F617BE" w:rsidP="00F617BE">
            <w:pPr>
              <w:rPr>
                <w:rFonts w:ascii="Times New Roman" w:hAnsi="Times New Roman" w:cs="Times New Roman"/>
                <w:sz w:val="20"/>
                <w:szCs w:val="20"/>
                <w:lang w:val="sr-Cyrl-CS"/>
              </w:rPr>
            </w:pPr>
          </w:p>
        </w:tc>
        <w:tc>
          <w:tcPr>
            <w:tcW w:w="1454" w:type="dxa"/>
            <w:gridSpan w:val="5"/>
            <w:vMerge/>
            <w:shd w:val="clear" w:color="auto" w:fill="ECECEC"/>
            <w:vAlign w:val="center"/>
          </w:tcPr>
          <w:p w14:paraId="7F54CAB6" w14:textId="77777777" w:rsidR="00F617BE" w:rsidRPr="00AA19A8" w:rsidRDefault="00F617BE" w:rsidP="004A6D60">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72F1A0C0" w14:textId="77777777" w:rsidR="00F617BE" w:rsidRPr="00AA19A8" w:rsidRDefault="00F617BE" w:rsidP="004A6D60">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3AB0E79A" w14:textId="77777777" w:rsidR="00F617BE" w:rsidRPr="00AA19A8" w:rsidRDefault="00F617BE" w:rsidP="004A6D60">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2FB1D08B"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539A36EB"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5E39A7B7"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64E40938"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1B429F35" w14:textId="77777777" w:rsidR="00F617BE" w:rsidRPr="00AA19A8" w:rsidRDefault="00F617BE" w:rsidP="004A6D6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4F1662F5" w14:textId="77777777" w:rsidTr="006B65DC">
        <w:trPr>
          <w:cantSplit/>
          <w:trHeight w:val="1701"/>
        </w:trPr>
        <w:tc>
          <w:tcPr>
            <w:tcW w:w="2344" w:type="dxa"/>
            <w:vAlign w:val="center"/>
          </w:tcPr>
          <w:p w14:paraId="3DD6F2E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1.1.1 Увођење програмског буџета у здравствене установе</w:t>
            </w:r>
          </w:p>
        </w:tc>
        <w:tc>
          <w:tcPr>
            <w:tcW w:w="1454" w:type="dxa"/>
            <w:gridSpan w:val="5"/>
            <w:vAlign w:val="center"/>
          </w:tcPr>
          <w:p w14:paraId="7A30AF59"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11" w:type="dxa"/>
            <w:gridSpan w:val="5"/>
            <w:vAlign w:val="center"/>
          </w:tcPr>
          <w:p w14:paraId="38C3F513"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509DAA99"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РФЗО</w:t>
            </w:r>
          </w:p>
        </w:tc>
        <w:tc>
          <w:tcPr>
            <w:tcW w:w="2322" w:type="dxa"/>
            <w:gridSpan w:val="14"/>
            <w:vAlign w:val="center"/>
          </w:tcPr>
          <w:p w14:paraId="4BA6A179"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2021</w:t>
            </w:r>
          </w:p>
        </w:tc>
        <w:tc>
          <w:tcPr>
            <w:tcW w:w="2276" w:type="dxa"/>
            <w:gridSpan w:val="16"/>
            <w:vAlign w:val="center"/>
          </w:tcPr>
          <w:p w14:paraId="528D7C64" w14:textId="77777777" w:rsidR="00F617BE" w:rsidRPr="00AA19A8" w:rsidRDefault="00F617BE" w:rsidP="004A6D60">
            <w:pPr>
              <w:jc w:val="center"/>
              <w:rPr>
                <w:rFonts w:ascii="Times New Roman" w:hAnsi="Times New Roman" w:cs="Times New Roman"/>
                <w:sz w:val="20"/>
                <w:szCs w:val="20"/>
                <w:lang w:val="sr-Cyrl-CS"/>
              </w:rPr>
            </w:pPr>
          </w:p>
        </w:tc>
        <w:tc>
          <w:tcPr>
            <w:tcW w:w="1060" w:type="dxa"/>
            <w:gridSpan w:val="11"/>
            <w:vAlign w:val="center"/>
          </w:tcPr>
          <w:p w14:paraId="18E9F594" w14:textId="13AF3FF5"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85.000</w:t>
            </w:r>
          </w:p>
        </w:tc>
        <w:tc>
          <w:tcPr>
            <w:tcW w:w="1074" w:type="dxa"/>
            <w:gridSpan w:val="10"/>
            <w:vAlign w:val="center"/>
          </w:tcPr>
          <w:p w14:paraId="627EDBCC"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37C30151"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E749BEB" w14:textId="77777777" w:rsidTr="006B65DC">
        <w:trPr>
          <w:cantSplit/>
          <w:trHeight w:val="2268"/>
        </w:trPr>
        <w:tc>
          <w:tcPr>
            <w:tcW w:w="2344" w:type="dxa"/>
            <w:vAlign w:val="center"/>
          </w:tcPr>
          <w:p w14:paraId="28DF256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1.1.2 Израда методологија и приручника за припрему програмског буџета и извештавање о учинку програма све нивое власти</w:t>
            </w:r>
          </w:p>
        </w:tc>
        <w:tc>
          <w:tcPr>
            <w:tcW w:w="1454" w:type="dxa"/>
            <w:gridSpan w:val="5"/>
            <w:vAlign w:val="center"/>
          </w:tcPr>
          <w:p w14:paraId="13A99B96"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11" w:type="dxa"/>
            <w:gridSpan w:val="5"/>
            <w:vAlign w:val="center"/>
          </w:tcPr>
          <w:p w14:paraId="6CC27672"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7B46F303" w14:textId="77777777" w:rsidR="00F617BE" w:rsidRPr="00AA19A8" w:rsidRDefault="00F617BE" w:rsidP="004A6D60">
            <w:pPr>
              <w:jc w:val="center"/>
              <w:rPr>
                <w:rFonts w:ascii="Times New Roman" w:hAnsi="Times New Roman" w:cs="Times New Roman"/>
                <w:sz w:val="20"/>
                <w:szCs w:val="20"/>
                <w:lang w:val="sr-Cyrl-CS"/>
              </w:rPr>
            </w:pPr>
          </w:p>
        </w:tc>
        <w:tc>
          <w:tcPr>
            <w:tcW w:w="2322" w:type="dxa"/>
            <w:gridSpan w:val="14"/>
            <w:vAlign w:val="center"/>
          </w:tcPr>
          <w:p w14:paraId="6BE5C72D"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69170ABF" w14:textId="77777777" w:rsidR="00F617BE" w:rsidRPr="00AA19A8" w:rsidRDefault="00F617BE" w:rsidP="004A6D60">
            <w:pPr>
              <w:jc w:val="center"/>
              <w:rPr>
                <w:rFonts w:ascii="Times New Roman" w:hAnsi="Times New Roman" w:cs="Times New Roman"/>
                <w:sz w:val="20"/>
                <w:szCs w:val="20"/>
                <w:lang w:val="sr-Cyrl-CS"/>
              </w:rPr>
            </w:pPr>
          </w:p>
        </w:tc>
        <w:tc>
          <w:tcPr>
            <w:tcW w:w="1060" w:type="dxa"/>
            <w:gridSpan w:val="11"/>
            <w:vAlign w:val="center"/>
          </w:tcPr>
          <w:p w14:paraId="340435E7"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2094A3B4"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2.400*</w:t>
            </w:r>
          </w:p>
        </w:tc>
        <w:tc>
          <w:tcPr>
            <w:tcW w:w="1275" w:type="dxa"/>
            <w:gridSpan w:val="6"/>
            <w:vAlign w:val="center"/>
          </w:tcPr>
          <w:p w14:paraId="0159007E" w14:textId="77777777" w:rsidR="00F617BE" w:rsidRPr="00AA19A8" w:rsidRDefault="00F617BE" w:rsidP="004A6D6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3BF55B37" w14:textId="77777777" w:rsidTr="006B65DC">
        <w:trPr>
          <w:cantSplit/>
          <w:trHeight w:val="1701"/>
        </w:trPr>
        <w:tc>
          <w:tcPr>
            <w:tcW w:w="2344" w:type="dxa"/>
            <w:vAlign w:val="center"/>
          </w:tcPr>
          <w:p w14:paraId="6A8E5E69"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1.1.3 Унапређење модула за праћење и евалуацију учинка програма и израда обједињеног извештаја о учинку</w:t>
            </w:r>
          </w:p>
        </w:tc>
        <w:tc>
          <w:tcPr>
            <w:tcW w:w="1454" w:type="dxa"/>
            <w:gridSpan w:val="5"/>
            <w:vAlign w:val="center"/>
          </w:tcPr>
          <w:p w14:paraId="72C8D7DB"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1E0DD41D"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138F1136" w14:textId="77777777" w:rsidR="00F617BE" w:rsidRPr="00AA19A8" w:rsidRDefault="00F617BE" w:rsidP="0025585E">
            <w:pPr>
              <w:jc w:val="center"/>
              <w:rPr>
                <w:rFonts w:ascii="Times New Roman" w:hAnsi="Times New Roman" w:cs="Times New Roman"/>
                <w:sz w:val="20"/>
                <w:szCs w:val="20"/>
                <w:lang w:val="sr-Cyrl-CS"/>
              </w:rPr>
            </w:pPr>
          </w:p>
        </w:tc>
        <w:tc>
          <w:tcPr>
            <w:tcW w:w="2322" w:type="dxa"/>
            <w:gridSpan w:val="14"/>
            <w:vAlign w:val="center"/>
          </w:tcPr>
          <w:p w14:paraId="729412B1"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359DF47B" w14:textId="77777777" w:rsidR="00F617BE" w:rsidRPr="00AA19A8" w:rsidRDefault="00F617BE" w:rsidP="0025585E">
            <w:pPr>
              <w:jc w:val="center"/>
              <w:rPr>
                <w:rFonts w:ascii="Times New Roman" w:hAnsi="Times New Roman" w:cs="Times New Roman"/>
                <w:sz w:val="20"/>
                <w:szCs w:val="20"/>
                <w:lang w:val="sr-Cyrl-CS"/>
              </w:rPr>
            </w:pPr>
          </w:p>
        </w:tc>
        <w:tc>
          <w:tcPr>
            <w:tcW w:w="1060" w:type="dxa"/>
            <w:gridSpan w:val="11"/>
            <w:vAlign w:val="center"/>
          </w:tcPr>
          <w:p w14:paraId="07B8E6FB"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5B81EBEC"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2244942E" w14:textId="0E4EE8D2"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1.200* + 12.000*</w:t>
            </w:r>
          </w:p>
        </w:tc>
      </w:tr>
      <w:tr w:rsidR="00D30238" w:rsidRPr="00AA19A8" w14:paraId="69B1E52F" w14:textId="77777777" w:rsidTr="006B65DC">
        <w:trPr>
          <w:cantSplit/>
          <w:trHeight w:val="2268"/>
        </w:trPr>
        <w:tc>
          <w:tcPr>
            <w:tcW w:w="2344" w:type="dxa"/>
            <w:vAlign w:val="center"/>
          </w:tcPr>
          <w:p w14:paraId="4EB910CA"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1.1.4 Унапређење система и развој модела за кредибилнију пројекцију расхода и повећање транспарентности буџета</w:t>
            </w:r>
          </w:p>
        </w:tc>
        <w:tc>
          <w:tcPr>
            <w:tcW w:w="1454" w:type="dxa"/>
            <w:gridSpan w:val="5"/>
            <w:vAlign w:val="center"/>
          </w:tcPr>
          <w:p w14:paraId="2CC5FDFC"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42AD75E7"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1390F217" w14:textId="77777777" w:rsidR="00F617BE" w:rsidRPr="00AA19A8" w:rsidRDefault="00F617BE" w:rsidP="0025585E">
            <w:pPr>
              <w:jc w:val="center"/>
              <w:rPr>
                <w:rFonts w:ascii="Times New Roman" w:hAnsi="Times New Roman" w:cs="Times New Roman"/>
                <w:sz w:val="20"/>
                <w:szCs w:val="20"/>
                <w:lang w:val="sr-Cyrl-CS"/>
              </w:rPr>
            </w:pPr>
          </w:p>
        </w:tc>
        <w:tc>
          <w:tcPr>
            <w:tcW w:w="2322" w:type="dxa"/>
            <w:gridSpan w:val="14"/>
            <w:vAlign w:val="center"/>
          </w:tcPr>
          <w:p w14:paraId="3AA427A9"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469246ED" w14:textId="77777777" w:rsidR="00F617BE" w:rsidRPr="00AA19A8" w:rsidRDefault="00F617BE" w:rsidP="0025585E">
            <w:pPr>
              <w:jc w:val="center"/>
              <w:rPr>
                <w:rFonts w:ascii="Times New Roman" w:hAnsi="Times New Roman" w:cs="Times New Roman"/>
                <w:sz w:val="20"/>
                <w:szCs w:val="20"/>
                <w:lang w:val="sr-Cyrl-CS"/>
              </w:rPr>
            </w:pPr>
          </w:p>
        </w:tc>
        <w:tc>
          <w:tcPr>
            <w:tcW w:w="1060" w:type="dxa"/>
            <w:gridSpan w:val="11"/>
            <w:vAlign w:val="center"/>
          </w:tcPr>
          <w:p w14:paraId="74B7C557"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491A933D" w14:textId="77777777"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1B8F7616" w14:textId="04467A5D" w:rsidR="00F617BE" w:rsidRPr="00AA19A8" w:rsidRDefault="00F617BE" w:rsidP="0025585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1.200* + 6.000*</w:t>
            </w:r>
          </w:p>
        </w:tc>
      </w:tr>
      <w:tr w:rsidR="00D30238" w:rsidRPr="00AA19A8" w14:paraId="15D9A2D5" w14:textId="77777777" w:rsidTr="00BA7E6D">
        <w:trPr>
          <w:cantSplit/>
          <w:trHeight w:val="804"/>
        </w:trPr>
        <w:tc>
          <w:tcPr>
            <w:tcW w:w="15876" w:type="dxa"/>
            <w:gridSpan w:val="75"/>
            <w:shd w:val="clear" w:color="auto" w:fill="ECECEC"/>
            <w:vAlign w:val="center"/>
          </w:tcPr>
          <w:p w14:paraId="68B228F1" w14:textId="77777777" w:rsidR="00F617BE" w:rsidRPr="00AA19A8" w:rsidRDefault="00F617BE" w:rsidP="00F617BE">
            <w:pPr>
              <w:rPr>
                <w:rFonts w:ascii="Times New Roman" w:hAnsi="Times New Roman" w:cs="Times New Roman"/>
                <w:b/>
                <w:bCs/>
                <w:i/>
                <w:iCs/>
                <w:sz w:val="20"/>
                <w:szCs w:val="20"/>
                <w:lang w:val="sr-Cyrl-CS"/>
              </w:rPr>
            </w:pPr>
            <w:bookmarkStart w:id="10" w:name="_Toc73613639"/>
            <w:r w:rsidRPr="00AA19A8">
              <w:rPr>
                <w:rFonts w:ascii="Times New Roman" w:hAnsi="Times New Roman" w:cs="Times New Roman"/>
                <w:b/>
                <w:bCs/>
                <w:i/>
                <w:iCs/>
                <w:sz w:val="20"/>
                <w:szCs w:val="20"/>
                <w:lang w:val="sr-Cyrl-CS"/>
              </w:rPr>
              <w:t>Мера 1.2: Јачање институционалних капацитета и унапређење методолошког оквира за зелено буџетирање</w:t>
            </w:r>
            <w:bookmarkEnd w:id="10"/>
          </w:p>
        </w:tc>
      </w:tr>
      <w:tr w:rsidR="00D30238" w:rsidRPr="00AA19A8" w14:paraId="36D478E0" w14:textId="77777777" w:rsidTr="006B65DC">
        <w:trPr>
          <w:cantSplit/>
          <w:trHeight w:val="804"/>
        </w:trPr>
        <w:tc>
          <w:tcPr>
            <w:tcW w:w="2344" w:type="dxa"/>
            <w:shd w:val="clear" w:color="auto" w:fill="ECECEC"/>
            <w:vAlign w:val="center"/>
          </w:tcPr>
          <w:p w14:paraId="594893D4"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505C0CAC"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765F0875"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5403EAC2" w14:textId="77777777" w:rsidTr="006B65DC">
        <w:trPr>
          <w:cantSplit/>
          <w:trHeight w:val="804"/>
        </w:trPr>
        <w:tc>
          <w:tcPr>
            <w:tcW w:w="2344" w:type="dxa"/>
            <w:shd w:val="clear" w:color="auto" w:fill="ECECEC"/>
            <w:vAlign w:val="center"/>
          </w:tcPr>
          <w:p w14:paraId="102DF355"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Донаторска средства</w:t>
            </w:r>
          </w:p>
        </w:tc>
        <w:tc>
          <w:tcPr>
            <w:tcW w:w="2965" w:type="dxa"/>
            <w:gridSpan w:val="10"/>
            <w:shd w:val="clear" w:color="auto" w:fill="ECECEC"/>
            <w:vAlign w:val="center"/>
          </w:tcPr>
          <w:p w14:paraId="4DDCC212"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w:t>
            </w:r>
          </w:p>
        </w:tc>
        <w:tc>
          <w:tcPr>
            <w:tcW w:w="3303" w:type="dxa"/>
            <w:gridSpan w:val="12"/>
            <w:shd w:val="clear" w:color="auto" w:fill="ECECEC"/>
            <w:vAlign w:val="center"/>
          </w:tcPr>
          <w:p w14:paraId="290DFD3D"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1.560</w:t>
            </w:r>
          </w:p>
        </w:tc>
        <w:tc>
          <w:tcPr>
            <w:tcW w:w="3308" w:type="dxa"/>
            <w:gridSpan w:val="18"/>
            <w:shd w:val="clear" w:color="auto" w:fill="ECECEC"/>
            <w:vAlign w:val="center"/>
          </w:tcPr>
          <w:p w14:paraId="18B8D8B1"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1.560</w:t>
            </w:r>
          </w:p>
        </w:tc>
        <w:tc>
          <w:tcPr>
            <w:tcW w:w="3956" w:type="dxa"/>
            <w:gridSpan w:val="34"/>
            <w:shd w:val="clear" w:color="auto" w:fill="ECECEC"/>
            <w:vAlign w:val="center"/>
          </w:tcPr>
          <w:p w14:paraId="065DB560"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3.780</w:t>
            </w:r>
          </w:p>
        </w:tc>
      </w:tr>
      <w:tr w:rsidR="00D30238" w:rsidRPr="00AA19A8" w14:paraId="22393639" w14:textId="77777777" w:rsidTr="00D2513B">
        <w:trPr>
          <w:cantSplit/>
          <w:trHeight w:val="804"/>
        </w:trPr>
        <w:tc>
          <w:tcPr>
            <w:tcW w:w="15876" w:type="dxa"/>
            <w:gridSpan w:val="75"/>
            <w:tcBorders>
              <w:bottom w:val="single" w:sz="2" w:space="0" w:color="BFBFBF"/>
            </w:tcBorders>
            <w:shd w:val="clear" w:color="auto" w:fill="ECECEC"/>
            <w:vAlign w:val="center"/>
          </w:tcPr>
          <w:p w14:paraId="3551E7DF" w14:textId="77777777" w:rsidR="00F617BE" w:rsidRPr="00AA19A8" w:rsidRDefault="00F617BE" w:rsidP="00F617BE">
            <w:pPr>
              <w:rPr>
                <w:rFonts w:ascii="Times New Roman" w:hAnsi="Times New Roman" w:cs="Times New Roman"/>
                <w:b/>
                <w:bCs/>
                <w:i/>
                <w:iCs/>
                <w:sz w:val="20"/>
                <w:szCs w:val="20"/>
                <w:lang w:val="sr-Cyrl-CS"/>
              </w:rPr>
            </w:pPr>
            <w:bookmarkStart w:id="11" w:name="_Toc73613640"/>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 Сектор буџета</w:t>
            </w:r>
            <w:bookmarkEnd w:id="11"/>
          </w:p>
        </w:tc>
      </w:tr>
      <w:tr w:rsidR="00D30238" w:rsidRPr="00AA19A8" w14:paraId="6FB21C17" w14:textId="77777777" w:rsidTr="006B65DC">
        <w:trPr>
          <w:cantSplit/>
          <w:trHeight w:val="804"/>
        </w:trPr>
        <w:tc>
          <w:tcPr>
            <w:tcW w:w="7869" w:type="dxa"/>
            <w:gridSpan w:val="18"/>
            <w:tcBorders>
              <w:top w:val="single" w:sz="2" w:space="0" w:color="BFBFBF"/>
              <w:left w:val="single" w:sz="2" w:space="0" w:color="BFBFBF"/>
              <w:bottom w:val="single" w:sz="2" w:space="0" w:color="BFBFBF"/>
              <w:right w:val="single" w:sz="2" w:space="0" w:color="BFBFBF"/>
            </w:tcBorders>
            <w:shd w:val="clear" w:color="auto" w:fill="ECECEC"/>
            <w:vAlign w:val="center"/>
          </w:tcPr>
          <w:p w14:paraId="07E1E4E1" w14:textId="4535A4E0" w:rsidR="00F617BE" w:rsidRPr="00AA19A8" w:rsidRDefault="00F617BE" w:rsidP="00F617BE">
            <w:pPr>
              <w:rPr>
                <w:rFonts w:ascii="Times New Roman" w:hAnsi="Times New Roman" w:cs="Times New Roman"/>
                <w:b/>
                <w:bCs/>
                <w:i/>
                <w:iCs/>
                <w:sz w:val="20"/>
                <w:szCs w:val="20"/>
                <w:lang w:val="sr-Cyrl-CS"/>
              </w:rPr>
            </w:pPr>
            <w:bookmarkStart w:id="12" w:name="_Toc73613641"/>
            <w:r w:rsidRPr="00AA19A8">
              <w:rPr>
                <w:rFonts w:ascii="Times New Roman" w:hAnsi="Times New Roman" w:cs="Times New Roman"/>
                <w:b/>
                <w:bCs/>
                <w:i/>
                <w:iCs/>
                <w:sz w:val="20"/>
                <w:szCs w:val="20"/>
                <w:lang w:val="sr-Cyrl-CS"/>
              </w:rPr>
              <w:t>Период спровођења: 2026-20</w:t>
            </w:r>
            <w:bookmarkEnd w:id="12"/>
            <w:r w:rsidRPr="00AA19A8">
              <w:rPr>
                <w:rFonts w:ascii="Times New Roman" w:hAnsi="Times New Roman" w:cs="Times New Roman"/>
                <w:b/>
                <w:bCs/>
                <w:i/>
                <w:iCs/>
                <w:sz w:val="20"/>
                <w:szCs w:val="20"/>
                <w:lang w:val="sr-Cyrl-CS"/>
              </w:rPr>
              <w:t>30</w:t>
            </w:r>
            <w:r w:rsidR="00713D3C" w:rsidRPr="00AA19A8">
              <w:rPr>
                <w:rFonts w:ascii="Times New Roman" w:hAnsi="Times New Roman" w:cs="Times New Roman"/>
                <w:b/>
                <w:bCs/>
                <w:i/>
                <w:iCs/>
                <w:sz w:val="20"/>
                <w:szCs w:val="20"/>
                <w:lang w:val="sr-Cyrl-CS"/>
              </w:rPr>
              <w:t>.</w:t>
            </w:r>
          </w:p>
        </w:tc>
        <w:tc>
          <w:tcPr>
            <w:tcW w:w="8007" w:type="dxa"/>
            <w:gridSpan w:val="57"/>
            <w:tcBorders>
              <w:top w:val="single" w:sz="2" w:space="0" w:color="BFBFBF"/>
              <w:left w:val="single" w:sz="2" w:space="0" w:color="BFBFBF"/>
              <w:bottom w:val="single" w:sz="2" w:space="0" w:color="BFBFBF"/>
              <w:right w:val="single" w:sz="2" w:space="0" w:color="BFBFBF"/>
            </w:tcBorders>
            <w:shd w:val="clear" w:color="auto" w:fill="ECECEC"/>
            <w:vAlign w:val="center"/>
          </w:tcPr>
          <w:p w14:paraId="001639C0" w14:textId="77777777" w:rsidR="00F617BE" w:rsidRPr="00AA19A8" w:rsidRDefault="00F617BE" w:rsidP="00F617BE">
            <w:pPr>
              <w:rPr>
                <w:rFonts w:ascii="Times New Roman" w:hAnsi="Times New Roman" w:cs="Times New Roman"/>
                <w:b/>
                <w:bCs/>
                <w:i/>
                <w:iCs/>
                <w:sz w:val="20"/>
                <w:szCs w:val="20"/>
                <w:lang w:val="sr-Cyrl-CS"/>
              </w:rPr>
            </w:pPr>
            <w:bookmarkStart w:id="13" w:name="_Toc73613642"/>
            <w:r w:rsidRPr="00AA19A8">
              <w:rPr>
                <w:rFonts w:ascii="Times New Roman" w:hAnsi="Times New Roman" w:cs="Times New Roman"/>
                <w:b/>
                <w:bCs/>
                <w:i/>
                <w:iCs/>
                <w:sz w:val="20"/>
                <w:szCs w:val="20"/>
                <w:lang w:val="sr-Cyrl-CS"/>
              </w:rPr>
              <w:t>Тип мере: Институционално управљачко организациона</w:t>
            </w:r>
            <w:bookmarkEnd w:id="13"/>
          </w:p>
        </w:tc>
      </w:tr>
      <w:tr w:rsidR="00D30238" w:rsidRPr="00AA19A8" w14:paraId="3A79B2FB" w14:textId="77777777" w:rsidTr="006B65DC">
        <w:trPr>
          <w:cantSplit/>
          <w:trHeight w:val="1253"/>
        </w:trPr>
        <w:tc>
          <w:tcPr>
            <w:tcW w:w="2344" w:type="dxa"/>
            <w:tcBorders>
              <w:top w:val="single" w:sz="2" w:space="0" w:color="BFBFBF"/>
              <w:left w:val="single" w:sz="2" w:space="0" w:color="BFBFBF"/>
              <w:bottom w:val="single" w:sz="2" w:space="0" w:color="BFBFBF"/>
              <w:right w:val="single" w:sz="2" w:space="0" w:color="BFBFBF"/>
            </w:tcBorders>
            <w:shd w:val="clear" w:color="auto" w:fill="ECECEC"/>
            <w:vAlign w:val="center"/>
          </w:tcPr>
          <w:p w14:paraId="1EEC980B" w14:textId="6EC5FFF4"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2965" w:type="dxa"/>
            <w:gridSpan w:val="10"/>
            <w:tcBorders>
              <w:top w:val="single" w:sz="2" w:space="0" w:color="BFBFBF"/>
              <w:left w:val="single" w:sz="2" w:space="0" w:color="BFBFBF"/>
              <w:bottom w:val="single" w:sz="2" w:space="0" w:color="BFBFBF"/>
              <w:right w:val="single" w:sz="2" w:space="0" w:color="BFBFBF"/>
            </w:tcBorders>
            <w:shd w:val="clear" w:color="auto" w:fill="ECECEC"/>
            <w:vAlign w:val="center"/>
          </w:tcPr>
          <w:p w14:paraId="75919EA8" w14:textId="77777777" w:rsidR="00F617BE" w:rsidRPr="00AA19A8" w:rsidRDefault="00F617BE" w:rsidP="00641CF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tcBorders>
              <w:top w:val="single" w:sz="2" w:space="0" w:color="BFBFBF"/>
              <w:left w:val="single" w:sz="2" w:space="0" w:color="BFBFBF"/>
              <w:bottom w:val="single" w:sz="2" w:space="0" w:color="BFBFBF"/>
              <w:right w:val="single" w:sz="2" w:space="0" w:color="BFBFBF"/>
            </w:tcBorders>
            <w:shd w:val="clear" w:color="auto" w:fill="ECECEC"/>
            <w:vAlign w:val="center"/>
          </w:tcPr>
          <w:p w14:paraId="6E8089DD" w14:textId="77777777" w:rsidR="00F617BE" w:rsidRPr="00AA19A8" w:rsidRDefault="00F617BE" w:rsidP="00641CF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tcBorders>
              <w:top w:val="single" w:sz="2" w:space="0" w:color="BFBFBF"/>
              <w:left w:val="single" w:sz="2" w:space="0" w:color="BFBFBF"/>
              <w:bottom w:val="single" w:sz="2" w:space="0" w:color="BFBFBF"/>
              <w:right w:val="single" w:sz="2" w:space="0" w:color="BFBFBF"/>
            </w:tcBorders>
            <w:shd w:val="clear" w:color="auto" w:fill="ECECEC"/>
            <w:vAlign w:val="center"/>
          </w:tcPr>
          <w:p w14:paraId="5435E6C9" w14:textId="77777777" w:rsidR="00F617BE" w:rsidRPr="00AA19A8" w:rsidRDefault="00F617BE" w:rsidP="00641CF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tcBorders>
              <w:top w:val="single" w:sz="2" w:space="0" w:color="BFBFBF"/>
              <w:left w:val="single" w:sz="2" w:space="0" w:color="BFBFBF"/>
              <w:bottom w:val="single" w:sz="2" w:space="0" w:color="BFBFBF"/>
              <w:right w:val="single" w:sz="2" w:space="0" w:color="BFBFBF"/>
            </w:tcBorders>
            <w:shd w:val="clear" w:color="auto" w:fill="ECECEC"/>
            <w:vAlign w:val="center"/>
          </w:tcPr>
          <w:p w14:paraId="32E37E78" w14:textId="77777777" w:rsidR="00F617BE" w:rsidRPr="00AA19A8" w:rsidRDefault="00F617BE" w:rsidP="00641CF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tcBorders>
              <w:top w:val="single" w:sz="2" w:space="0" w:color="BFBFBF"/>
              <w:left w:val="single" w:sz="2" w:space="0" w:color="BFBFBF"/>
              <w:bottom w:val="single" w:sz="2" w:space="0" w:color="BFBFBF"/>
              <w:right w:val="single" w:sz="2" w:space="0" w:color="BFBFBF"/>
            </w:tcBorders>
            <w:shd w:val="clear" w:color="auto" w:fill="ECECEC"/>
            <w:vAlign w:val="center"/>
          </w:tcPr>
          <w:p w14:paraId="5C778614" w14:textId="77777777" w:rsidR="00F617BE" w:rsidRPr="00AA19A8" w:rsidRDefault="00F617BE" w:rsidP="00641CF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74" w:type="dxa"/>
            <w:gridSpan w:val="10"/>
            <w:tcBorders>
              <w:top w:val="single" w:sz="2" w:space="0" w:color="BFBFBF"/>
              <w:left w:val="single" w:sz="2" w:space="0" w:color="BFBFBF"/>
              <w:bottom w:val="single" w:sz="2" w:space="0" w:color="BFBFBF"/>
              <w:right w:val="single" w:sz="2" w:space="0" w:color="BFBFBF"/>
            </w:tcBorders>
            <w:shd w:val="clear" w:color="auto" w:fill="ECECEC"/>
            <w:vAlign w:val="center"/>
          </w:tcPr>
          <w:p w14:paraId="705F87DA" w14:textId="77777777" w:rsidR="00F617BE" w:rsidRPr="00AA19A8" w:rsidRDefault="00F617BE" w:rsidP="00641CF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275" w:type="dxa"/>
            <w:gridSpan w:val="6"/>
            <w:tcBorders>
              <w:top w:val="single" w:sz="2" w:space="0" w:color="BFBFBF"/>
              <w:left w:val="single" w:sz="2" w:space="0" w:color="BFBFBF"/>
              <w:bottom w:val="single" w:sz="2" w:space="0" w:color="BFBFBF"/>
              <w:right w:val="single" w:sz="2" w:space="0" w:color="BFBFBF"/>
            </w:tcBorders>
            <w:shd w:val="clear" w:color="auto" w:fill="ECECEC"/>
            <w:vAlign w:val="center"/>
          </w:tcPr>
          <w:p w14:paraId="1BEBA731" w14:textId="77777777" w:rsidR="00F617BE" w:rsidRPr="00AA19A8" w:rsidRDefault="00F617BE" w:rsidP="00641CF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2F4C586D" w14:textId="77777777" w:rsidTr="006B65DC">
        <w:trPr>
          <w:cantSplit/>
          <w:trHeight w:val="1253"/>
        </w:trPr>
        <w:tc>
          <w:tcPr>
            <w:tcW w:w="2344" w:type="dxa"/>
            <w:tcBorders>
              <w:top w:val="single" w:sz="2" w:space="0" w:color="BFBFBF"/>
            </w:tcBorders>
            <w:vAlign w:val="center"/>
          </w:tcPr>
          <w:p w14:paraId="69D41927"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Обухват примене методологије за зелено буџетирање за све нивое власти</w:t>
            </w:r>
          </w:p>
        </w:tc>
        <w:tc>
          <w:tcPr>
            <w:tcW w:w="2965" w:type="dxa"/>
            <w:gridSpan w:val="10"/>
            <w:tcBorders>
              <w:top w:val="single" w:sz="2" w:space="0" w:color="BFBFBF"/>
            </w:tcBorders>
            <w:vAlign w:val="center"/>
          </w:tcPr>
          <w:p w14:paraId="08D5E26F" w14:textId="77777777" w:rsidR="00F617BE" w:rsidRPr="00AA19A8" w:rsidRDefault="00F617BE" w:rsidP="00641CF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tcBorders>
              <w:top w:val="single" w:sz="2" w:space="0" w:color="BFBFBF"/>
            </w:tcBorders>
            <w:vAlign w:val="center"/>
          </w:tcPr>
          <w:p w14:paraId="105C7A12" w14:textId="77777777" w:rsidR="00F617BE" w:rsidRPr="00AA19A8" w:rsidRDefault="00F617BE" w:rsidP="00641CF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Извештај МФ</w:t>
            </w:r>
          </w:p>
        </w:tc>
        <w:tc>
          <w:tcPr>
            <w:tcW w:w="2322" w:type="dxa"/>
            <w:gridSpan w:val="14"/>
            <w:tcBorders>
              <w:top w:val="single" w:sz="2" w:space="0" w:color="BFBFBF"/>
            </w:tcBorders>
            <w:vAlign w:val="center"/>
          </w:tcPr>
          <w:p w14:paraId="46C3AB6D" w14:textId="77777777" w:rsidR="00F617BE" w:rsidRPr="00AA19A8" w:rsidRDefault="00F617BE" w:rsidP="00641CF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50%</w:t>
            </w:r>
          </w:p>
        </w:tc>
        <w:tc>
          <w:tcPr>
            <w:tcW w:w="2276" w:type="dxa"/>
            <w:gridSpan w:val="16"/>
            <w:tcBorders>
              <w:top w:val="single" w:sz="2" w:space="0" w:color="BFBFBF"/>
            </w:tcBorders>
            <w:vAlign w:val="center"/>
          </w:tcPr>
          <w:p w14:paraId="5B9458DA" w14:textId="77777777" w:rsidR="00F617BE" w:rsidRPr="00AA19A8" w:rsidRDefault="00F617BE" w:rsidP="00641CF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tcBorders>
              <w:top w:val="single" w:sz="2" w:space="0" w:color="BFBFBF"/>
            </w:tcBorders>
            <w:vAlign w:val="center"/>
          </w:tcPr>
          <w:p w14:paraId="65217E62" w14:textId="77777777" w:rsidR="00F617BE" w:rsidRPr="00AA19A8" w:rsidRDefault="00F617BE" w:rsidP="00641CF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50%</w:t>
            </w:r>
          </w:p>
        </w:tc>
        <w:tc>
          <w:tcPr>
            <w:tcW w:w="1074" w:type="dxa"/>
            <w:gridSpan w:val="10"/>
            <w:tcBorders>
              <w:top w:val="single" w:sz="2" w:space="0" w:color="BFBFBF"/>
            </w:tcBorders>
            <w:vAlign w:val="center"/>
          </w:tcPr>
          <w:p w14:paraId="50FA519D" w14:textId="77777777" w:rsidR="00F617BE" w:rsidRPr="00AA19A8" w:rsidRDefault="00F617BE" w:rsidP="00641CF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275" w:type="dxa"/>
            <w:gridSpan w:val="6"/>
            <w:tcBorders>
              <w:top w:val="single" w:sz="2" w:space="0" w:color="BFBFBF"/>
            </w:tcBorders>
            <w:vAlign w:val="center"/>
          </w:tcPr>
          <w:p w14:paraId="2E19CFF9" w14:textId="77777777" w:rsidR="00F617BE" w:rsidRPr="00AA19A8" w:rsidRDefault="00F617BE" w:rsidP="00641CF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r>
      <w:tr w:rsidR="00D30238" w:rsidRPr="00AA19A8" w14:paraId="0C938486" w14:textId="77777777" w:rsidTr="006B65DC">
        <w:trPr>
          <w:cantSplit/>
          <w:trHeight w:val="630"/>
        </w:trPr>
        <w:tc>
          <w:tcPr>
            <w:tcW w:w="2344" w:type="dxa"/>
            <w:vMerge w:val="restart"/>
            <w:shd w:val="clear" w:color="auto" w:fill="ECECEC"/>
            <w:vAlign w:val="center"/>
          </w:tcPr>
          <w:p w14:paraId="1EE926B1"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717E06A6"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0AD210E9"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37DF5ED6"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0F460752"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6BD7586B" w14:textId="77777777" w:rsidTr="006B65DC">
        <w:trPr>
          <w:cantSplit/>
          <w:trHeight w:val="1253"/>
        </w:trPr>
        <w:tc>
          <w:tcPr>
            <w:tcW w:w="2344" w:type="dxa"/>
            <w:vMerge/>
            <w:shd w:val="clear" w:color="auto" w:fill="ECECEC"/>
            <w:vAlign w:val="center"/>
          </w:tcPr>
          <w:p w14:paraId="124FB0D8" w14:textId="77777777" w:rsidR="00F617BE" w:rsidRPr="00AA19A8" w:rsidRDefault="00F617BE" w:rsidP="00F617BE">
            <w:pPr>
              <w:rPr>
                <w:rFonts w:ascii="Times New Roman" w:hAnsi="Times New Roman" w:cs="Times New Roman"/>
                <w:b/>
                <w:bCs/>
                <w:sz w:val="20"/>
                <w:szCs w:val="20"/>
                <w:lang w:val="sr-Cyrl-CS"/>
              </w:rPr>
            </w:pPr>
          </w:p>
        </w:tc>
        <w:tc>
          <w:tcPr>
            <w:tcW w:w="1454" w:type="dxa"/>
            <w:gridSpan w:val="5"/>
            <w:vMerge/>
            <w:shd w:val="clear" w:color="auto" w:fill="ECECEC"/>
            <w:vAlign w:val="center"/>
          </w:tcPr>
          <w:p w14:paraId="16400FBC" w14:textId="77777777" w:rsidR="00F617BE" w:rsidRPr="00AA19A8" w:rsidRDefault="00F617BE" w:rsidP="00CE2480">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32A85ACB" w14:textId="77777777" w:rsidR="00F617BE" w:rsidRPr="00AA19A8" w:rsidRDefault="00F617BE" w:rsidP="00CE2480">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7FAFD9C3" w14:textId="77777777" w:rsidR="00F617BE" w:rsidRPr="00AA19A8" w:rsidRDefault="00F617BE" w:rsidP="00CE2480">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1841FAA3"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36390F2A"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460790D4"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2B4BF54D"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1C0E4E1C" w14:textId="77777777" w:rsidR="00F617BE" w:rsidRPr="00AA19A8" w:rsidRDefault="00F617BE" w:rsidP="00CE248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403EE4C9" w14:textId="77777777" w:rsidTr="006B65DC">
        <w:trPr>
          <w:cantSplit/>
          <w:trHeight w:val="1253"/>
        </w:trPr>
        <w:tc>
          <w:tcPr>
            <w:tcW w:w="2344" w:type="dxa"/>
            <w:vAlign w:val="center"/>
          </w:tcPr>
          <w:p w14:paraId="3F67EF51"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1.2.1 Организација радионица за буџетске аналитичаре у циљу јачања капацитета за зелено буџетирање</w:t>
            </w:r>
          </w:p>
        </w:tc>
        <w:tc>
          <w:tcPr>
            <w:tcW w:w="1454" w:type="dxa"/>
            <w:gridSpan w:val="5"/>
            <w:vAlign w:val="center"/>
          </w:tcPr>
          <w:p w14:paraId="1154C661"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4Q 2028</w:t>
            </w:r>
          </w:p>
        </w:tc>
        <w:tc>
          <w:tcPr>
            <w:tcW w:w="1511" w:type="dxa"/>
            <w:gridSpan w:val="5"/>
            <w:vAlign w:val="center"/>
          </w:tcPr>
          <w:p w14:paraId="7C4B2371" w14:textId="454275BC"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 </w:t>
            </w:r>
            <w:r w:rsidR="007D442A">
              <w:rPr>
                <w:rFonts w:ascii="Times New Roman" w:hAnsi="Times New Roman" w:cs="Times New Roman"/>
                <w:sz w:val="20"/>
                <w:szCs w:val="20"/>
                <w:lang w:val="sr-Cyrl-CS"/>
              </w:rPr>
              <w:t>С</w:t>
            </w:r>
            <w:r w:rsidRPr="00AA19A8">
              <w:rPr>
                <w:rFonts w:ascii="Times New Roman" w:hAnsi="Times New Roman" w:cs="Times New Roman"/>
                <w:sz w:val="20"/>
                <w:szCs w:val="20"/>
                <w:lang w:val="sr-Cyrl-CS"/>
              </w:rPr>
              <w:t>ектор буџета</w:t>
            </w:r>
          </w:p>
        </w:tc>
        <w:tc>
          <w:tcPr>
            <w:tcW w:w="2560" w:type="dxa"/>
            <w:gridSpan w:val="7"/>
            <w:vAlign w:val="center"/>
          </w:tcPr>
          <w:p w14:paraId="699BACB2" w14:textId="77777777" w:rsidR="00F617BE" w:rsidRPr="00AA19A8" w:rsidRDefault="00F617BE" w:rsidP="00326683">
            <w:pPr>
              <w:jc w:val="center"/>
              <w:rPr>
                <w:rFonts w:ascii="Times New Roman" w:hAnsi="Times New Roman" w:cs="Times New Roman"/>
                <w:sz w:val="20"/>
                <w:szCs w:val="20"/>
                <w:lang w:val="sr-Cyrl-CS"/>
              </w:rPr>
            </w:pPr>
          </w:p>
        </w:tc>
        <w:tc>
          <w:tcPr>
            <w:tcW w:w="2322" w:type="dxa"/>
            <w:gridSpan w:val="14"/>
            <w:vAlign w:val="center"/>
          </w:tcPr>
          <w:p w14:paraId="143D123E"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05F18561" w14:textId="77777777" w:rsidR="00F617BE" w:rsidRPr="00AA19A8" w:rsidRDefault="00F617BE" w:rsidP="00326683">
            <w:pPr>
              <w:jc w:val="center"/>
              <w:rPr>
                <w:rFonts w:ascii="Times New Roman" w:hAnsi="Times New Roman" w:cs="Times New Roman"/>
                <w:sz w:val="20"/>
                <w:szCs w:val="20"/>
                <w:lang w:val="sr-Cyrl-CS"/>
              </w:rPr>
            </w:pPr>
          </w:p>
        </w:tc>
        <w:tc>
          <w:tcPr>
            <w:tcW w:w="1060" w:type="dxa"/>
            <w:gridSpan w:val="11"/>
            <w:vAlign w:val="center"/>
          </w:tcPr>
          <w:p w14:paraId="1D969E33"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780*</w:t>
            </w:r>
          </w:p>
        </w:tc>
        <w:tc>
          <w:tcPr>
            <w:tcW w:w="1074" w:type="dxa"/>
            <w:gridSpan w:val="10"/>
            <w:vAlign w:val="center"/>
          </w:tcPr>
          <w:p w14:paraId="363FDAB4"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780*</w:t>
            </w:r>
          </w:p>
        </w:tc>
        <w:tc>
          <w:tcPr>
            <w:tcW w:w="1275" w:type="dxa"/>
            <w:gridSpan w:val="6"/>
            <w:vAlign w:val="center"/>
          </w:tcPr>
          <w:p w14:paraId="4AB5EC81"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780*</w:t>
            </w:r>
          </w:p>
        </w:tc>
      </w:tr>
      <w:tr w:rsidR="00D30238" w:rsidRPr="00AA19A8" w14:paraId="5220FD7A" w14:textId="77777777" w:rsidTr="006B65DC">
        <w:trPr>
          <w:cantSplit/>
          <w:trHeight w:val="1253"/>
        </w:trPr>
        <w:tc>
          <w:tcPr>
            <w:tcW w:w="2344" w:type="dxa"/>
            <w:vAlign w:val="center"/>
          </w:tcPr>
          <w:p w14:paraId="47DBB747"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1.2.2 Проширење обухвата методологије за зелено буџетирање у погледу врсте расхода и нивоа власти</w:t>
            </w:r>
          </w:p>
        </w:tc>
        <w:tc>
          <w:tcPr>
            <w:tcW w:w="1454" w:type="dxa"/>
            <w:gridSpan w:val="5"/>
            <w:vAlign w:val="center"/>
          </w:tcPr>
          <w:p w14:paraId="53130AD7"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4Q 2028</w:t>
            </w:r>
          </w:p>
        </w:tc>
        <w:tc>
          <w:tcPr>
            <w:tcW w:w="1511" w:type="dxa"/>
            <w:gridSpan w:val="5"/>
            <w:vAlign w:val="center"/>
          </w:tcPr>
          <w:p w14:paraId="1C93B11A" w14:textId="4D3B1213"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 </w:t>
            </w:r>
            <w:r w:rsidR="007D442A">
              <w:rPr>
                <w:rFonts w:ascii="Times New Roman" w:hAnsi="Times New Roman" w:cs="Times New Roman"/>
                <w:sz w:val="20"/>
                <w:szCs w:val="20"/>
                <w:lang w:val="sr-Cyrl-CS"/>
              </w:rPr>
              <w:t>С</w:t>
            </w:r>
            <w:r w:rsidRPr="00AA19A8">
              <w:rPr>
                <w:rFonts w:ascii="Times New Roman" w:hAnsi="Times New Roman" w:cs="Times New Roman"/>
                <w:sz w:val="20"/>
                <w:szCs w:val="20"/>
                <w:lang w:val="sr-Cyrl-CS"/>
              </w:rPr>
              <w:t>ектор буџета</w:t>
            </w:r>
          </w:p>
        </w:tc>
        <w:tc>
          <w:tcPr>
            <w:tcW w:w="2560" w:type="dxa"/>
            <w:gridSpan w:val="7"/>
            <w:vAlign w:val="center"/>
          </w:tcPr>
          <w:p w14:paraId="68FDE180" w14:textId="77777777" w:rsidR="00F617BE" w:rsidRPr="00AA19A8" w:rsidRDefault="00F617BE" w:rsidP="00326683">
            <w:pPr>
              <w:jc w:val="center"/>
              <w:rPr>
                <w:rFonts w:ascii="Times New Roman" w:hAnsi="Times New Roman" w:cs="Times New Roman"/>
                <w:sz w:val="20"/>
                <w:szCs w:val="20"/>
                <w:lang w:val="sr-Cyrl-CS"/>
              </w:rPr>
            </w:pPr>
          </w:p>
        </w:tc>
        <w:tc>
          <w:tcPr>
            <w:tcW w:w="2322" w:type="dxa"/>
            <w:gridSpan w:val="14"/>
            <w:vAlign w:val="center"/>
          </w:tcPr>
          <w:p w14:paraId="6EC0C809"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74C6E79E" w14:textId="77777777" w:rsidR="00F617BE" w:rsidRPr="00AA19A8" w:rsidRDefault="00F617BE" w:rsidP="00326683">
            <w:pPr>
              <w:jc w:val="center"/>
              <w:rPr>
                <w:rFonts w:ascii="Times New Roman" w:hAnsi="Times New Roman" w:cs="Times New Roman"/>
                <w:sz w:val="20"/>
                <w:szCs w:val="20"/>
                <w:lang w:val="sr-Cyrl-CS"/>
              </w:rPr>
            </w:pPr>
          </w:p>
        </w:tc>
        <w:tc>
          <w:tcPr>
            <w:tcW w:w="1060" w:type="dxa"/>
            <w:gridSpan w:val="11"/>
            <w:vAlign w:val="center"/>
          </w:tcPr>
          <w:p w14:paraId="0DB09D66"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4B93156A"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64A968A9"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900*</w:t>
            </w:r>
          </w:p>
        </w:tc>
      </w:tr>
      <w:tr w:rsidR="00D30238" w:rsidRPr="00AA19A8" w14:paraId="2CA0131F" w14:textId="77777777" w:rsidTr="006B65DC">
        <w:trPr>
          <w:cantSplit/>
          <w:trHeight w:val="1253"/>
        </w:trPr>
        <w:tc>
          <w:tcPr>
            <w:tcW w:w="2344" w:type="dxa"/>
            <w:vAlign w:val="center"/>
          </w:tcPr>
          <w:p w14:paraId="56A9023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1.2.3 Унапређење капацитета радне групе за зелено буџетирање кроз организацију обука и радионица</w:t>
            </w:r>
          </w:p>
        </w:tc>
        <w:tc>
          <w:tcPr>
            <w:tcW w:w="1454" w:type="dxa"/>
            <w:gridSpan w:val="5"/>
            <w:vAlign w:val="center"/>
          </w:tcPr>
          <w:p w14:paraId="2CC7E4F5"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4Q 2028</w:t>
            </w:r>
          </w:p>
        </w:tc>
        <w:tc>
          <w:tcPr>
            <w:tcW w:w="1511" w:type="dxa"/>
            <w:gridSpan w:val="5"/>
            <w:vAlign w:val="center"/>
          </w:tcPr>
          <w:p w14:paraId="0BA75C14" w14:textId="7369C5E1"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 </w:t>
            </w:r>
            <w:r w:rsidR="007D442A">
              <w:rPr>
                <w:rFonts w:ascii="Times New Roman" w:hAnsi="Times New Roman" w:cs="Times New Roman"/>
                <w:sz w:val="20"/>
                <w:szCs w:val="20"/>
                <w:lang w:val="sr-Cyrl-CS"/>
              </w:rPr>
              <w:t>С</w:t>
            </w:r>
            <w:r w:rsidRPr="00AA19A8">
              <w:rPr>
                <w:rFonts w:ascii="Times New Roman" w:hAnsi="Times New Roman" w:cs="Times New Roman"/>
                <w:sz w:val="20"/>
                <w:szCs w:val="20"/>
                <w:lang w:val="sr-Cyrl-CS"/>
              </w:rPr>
              <w:t>ектор буџета</w:t>
            </w:r>
          </w:p>
        </w:tc>
        <w:tc>
          <w:tcPr>
            <w:tcW w:w="2560" w:type="dxa"/>
            <w:gridSpan w:val="7"/>
            <w:vAlign w:val="center"/>
          </w:tcPr>
          <w:p w14:paraId="2E843346" w14:textId="77777777" w:rsidR="00F617BE" w:rsidRPr="00AA19A8" w:rsidRDefault="00F617BE" w:rsidP="00326683">
            <w:pPr>
              <w:jc w:val="center"/>
              <w:rPr>
                <w:rFonts w:ascii="Times New Roman" w:hAnsi="Times New Roman" w:cs="Times New Roman"/>
                <w:sz w:val="20"/>
                <w:szCs w:val="20"/>
                <w:lang w:val="sr-Cyrl-CS"/>
              </w:rPr>
            </w:pPr>
          </w:p>
        </w:tc>
        <w:tc>
          <w:tcPr>
            <w:tcW w:w="2322" w:type="dxa"/>
            <w:gridSpan w:val="14"/>
            <w:vAlign w:val="center"/>
          </w:tcPr>
          <w:p w14:paraId="20AFCD43"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13624C19" w14:textId="77777777" w:rsidR="00F617BE" w:rsidRPr="00AA19A8" w:rsidRDefault="00F617BE" w:rsidP="00326683">
            <w:pPr>
              <w:jc w:val="center"/>
              <w:rPr>
                <w:rFonts w:ascii="Times New Roman" w:hAnsi="Times New Roman" w:cs="Times New Roman"/>
                <w:sz w:val="20"/>
                <w:szCs w:val="20"/>
                <w:lang w:val="sr-Cyrl-CS"/>
              </w:rPr>
            </w:pPr>
          </w:p>
        </w:tc>
        <w:tc>
          <w:tcPr>
            <w:tcW w:w="1060" w:type="dxa"/>
            <w:gridSpan w:val="11"/>
            <w:vAlign w:val="center"/>
          </w:tcPr>
          <w:p w14:paraId="3D0E1CDF"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780*</w:t>
            </w:r>
          </w:p>
        </w:tc>
        <w:tc>
          <w:tcPr>
            <w:tcW w:w="1074" w:type="dxa"/>
            <w:gridSpan w:val="10"/>
            <w:vAlign w:val="center"/>
          </w:tcPr>
          <w:p w14:paraId="61765CEB"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780*</w:t>
            </w:r>
          </w:p>
        </w:tc>
        <w:tc>
          <w:tcPr>
            <w:tcW w:w="1275" w:type="dxa"/>
            <w:gridSpan w:val="6"/>
            <w:vAlign w:val="center"/>
          </w:tcPr>
          <w:p w14:paraId="14D78F45" w14:textId="77777777" w:rsidR="00F617BE" w:rsidRPr="00AA19A8" w:rsidRDefault="00F617BE" w:rsidP="003266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780*</w:t>
            </w:r>
          </w:p>
        </w:tc>
      </w:tr>
      <w:tr w:rsidR="00D30238" w:rsidRPr="00AA19A8" w14:paraId="09395B9F" w14:textId="77777777" w:rsidTr="006B65DC">
        <w:trPr>
          <w:cantSplit/>
          <w:trHeight w:val="1701"/>
        </w:trPr>
        <w:tc>
          <w:tcPr>
            <w:tcW w:w="2344" w:type="dxa"/>
            <w:vAlign w:val="center"/>
          </w:tcPr>
          <w:p w14:paraId="140A69ED"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1.2.4. Студијска посета – пример добре праксе зеленог буџетирања</w:t>
            </w:r>
          </w:p>
        </w:tc>
        <w:tc>
          <w:tcPr>
            <w:tcW w:w="1454" w:type="dxa"/>
            <w:gridSpan w:val="5"/>
            <w:vAlign w:val="center"/>
          </w:tcPr>
          <w:p w14:paraId="6E8E5E85" w14:textId="77777777" w:rsidR="00F617BE" w:rsidRPr="00AA19A8" w:rsidRDefault="00F617BE" w:rsidP="00BF45A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4Q 2028</w:t>
            </w:r>
          </w:p>
        </w:tc>
        <w:tc>
          <w:tcPr>
            <w:tcW w:w="1511" w:type="dxa"/>
            <w:gridSpan w:val="5"/>
            <w:vAlign w:val="center"/>
          </w:tcPr>
          <w:p w14:paraId="66CD01B6" w14:textId="19F295C0" w:rsidR="00F617BE" w:rsidRPr="00AA19A8" w:rsidRDefault="00F617BE" w:rsidP="00BF45A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 </w:t>
            </w:r>
            <w:r w:rsidR="007D442A">
              <w:rPr>
                <w:rFonts w:ascii="Times New Roman" w:hAnsi="Times New Roman" w:cs="Times New Roman"/>
                <w:sz w:val="20"/>
                <w:szCs w:val="20"/>
                <w:lang w:val="sr-Cyrl-CS"/>
              </w:rPr>
              <w:t>С</w:t>
            </w:r>
            <w:r w:rsidRPr="00AA19A8">
              <w:rPr>
                <w:rFonts w:ascii="Times New Roman" w:hAnsi="Times New Roman" w:cs="Times New Roman"/>
                <w:sz w:val="20"/>
                <w:szCs w:val="20"/>
                <w:lang w:val="sr-Cyrl-CS"/>
              </w:rPr>
              <w:t>ектор буџета</w:t>
            </w:r>
          </w:p>
        </w:tc>
        <w:tc>
          <w:tcPr>
            <w:tcW w:w="2560" w:type="dxa"/>
            <w:gridSpan w:val="7"/>
            <w:vAlign w:val="center"/>
          </w:tcPr>
          <w:p w14:paraId="61C78473" w14:textId="77777777" w:rsidR="00F617BE" w:rsidRPr="00AA19A8" w:rsidRDefault="00F617BE" w:rsidP="00BF45AB">
            <w:pPr>
              <w:jc w:val="center"/>
              <w:rPr>
                <w:rFonts w:ascii="Times New Roman" w:hAnsi="Times New Roman" w:cs="Times New Roman"/>
                <w:sz w:val="20"/>
                <w:szCs w:val="20"/>
                <w:lang w:val="sr-Cyrl-CS"/>
              </w:rPr>
            </w:pPr>
          </w:p>
        </w:tc>
        <w:tc>
          <w:tcPr>
            <w:tcW w:w="2322" w:type="dxa"/>
            <w:gridSpan w:val="14"/>
            <w:vAlign w:val="center"/>
          </w:tcPr>
          <w:p w14:paraId="3E3107BE" w14:textId="77777777" w:rsidR="00F617BE" w:rsidRPr="00AA19A8" w:rsidRDefault="00F617BE" w:rsidP="00BF45A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7A02E74D" w14:textId="77777777" w:rsidR="00F617BE" w:rsidRPr="00AA19A8" w:rsidRDefault="00F617BE" w:rsidP="00BF45AB">
            <w:pPr>
              <w:jc w:val="center"/>
              <w:rPr>
                <w:rFonts w:ascii="Times New Roman" w:hAnsi="Times New Roman" w:cs="Times New Roman"/>
                <w:sz w:val="20"/>
                <w:szCs w:val="20"/>
                <w:lang w:val="sr-Cyrl-CS"/>
              </w:rPr>
            </w:pPr>
          </w:p>
        </w:tc>
        <w:tc>
          <w:tcPr>
            <w:tcW w:w="1060" w:type="dxa"/>
            <w:gridSpan w:val="11"/>
            <w:vAlign w:val="center"/>
          </w:tcPr>
          <w:p w14:paraId="5C7068A9" w14:textId="77777777" w:rsidR="00F617BE" w:rsidRPr="00AA19A8" w:rsidRDefault="00F617BE" w:rsidP="00BF45A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5F6C069E" w14:textId="77777777" w:rsidR="00F617BE" w:rsidRPr="00AA19A8" w:rsidRDefault="00F617BE" w:rsidP="00BF45A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4E46B277" w14:textId="77777777" w:rsidR="00F617BE" w:rsidRPr="00AA19A8" w:rsidRDefault="00F617BE" w:rsidP="00BF45A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1.320*</w:t>
            </w:r>
          </w:p>
        </w:tc>
      </w:tr>
      <w:tr w:rsidR="00D30238" w:rsidRPr="00AA19A8" w14:paraId="5E65D64A" w14:textId="77777777" w:rsidTr="00BA7E6D">
        <w:trPr>
          <w:cantSplit/>
          <w:trHeight w:val="805"/>
        </w:trPr>
        <w:tc>
          <w:tcPr>
            <w:tcW w:w="15876" w:type="dxa"/>
            <w:gridSpan w:val="75"/>
            <w:shd w:val="clear" w:color="auto" w:fill="ECECEC"/>
            <w:vAlign w:val="center"/>
          </w:tcPr>
          <w:p w14:paraId="787C94D0" w14:textId="77777777" w:rsidR="00F617BE" w:rsidRPr="00AA19A8" w:rsidRDefault="00F617BE" w:rsidP="00F617BE">
            <w:pPr>
              <w:rPr>
                <w:rFonts w:ascii="Times New Roman" w:hAnsi="Times New Roman" w:cs="Times New Roman"/>
                <w:b/>
                <w:bCs/>
                <w:i/>
                <w:iCs/>
                <w:sz w:val="20"/>
                <w:szCs w:val="20"/>
                <w:lang w:val="sr-Cyrl-CS"/>
              </w:rPr>
            </w:pPr>
            <w:bookmarkStart w:id="14" w:name="_Toc73613643"/>
            <w:r w:rsidRPr="00AA19A8">
              <w:rPr>
                <w:rFonts w:ascii="Times New Roman" w:hAnsi="Times New Roman" w:cs="Times New Roman"/>
                <w:b/>
                <w:bCs/>
                <w:i/>
                <w:iCs/>
                <w:sz w:val="20"/>
                <w:szCs w:val="20"/>
                <w:lang w:val="sr-Cyrl-CS"/>
              </w:rPr>
              <w:t>Мера 1.3: Усклађивање буџетског процеса у Републици Србији са буџетским процесом у Европској унији</w:t>
            </w:r>
            <w:bookmarkEnd w:id="14"/>
          </w:p>
        </w:tc>
      </w:tr>
      <w:tr w:rsidR="00D30238" w:rsidRPr="00AA19A8" w14:paraId="25333089" w14:textId="77777777" w:rsidTr="006B65DC">
        <w:trPr>
          <w:cantSplit/>
          <w:trHeight w:val="805"/>
        </w:trPr>
        <w:tc>
          <w:tcPr>
            <w:tcW w:w="2344" w:type="dxa"/>
            <w:shd w:val="clear" w:color="auto" w:fill="ECECEC"/>
            <w:vAlign w:val="center"/>
          </w:tcPr>
          <w:p w14:paraId="03DAAFED"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lastRenderedPageBreak/>
              <w:t>Извор финансирања мере</w:t>
            </w:r>
          </w:p>
        </w:tc>
        <w:tc>
          <w:tcPr>
            <w:tcW w:w="2965" w:type="dxa"/>
            <w:gridSpan w:val="10"/>
            <w:shd w:val="clear" w:color="auto" w:fill="ECECEC"/>
            <w:vAlign w:val="center"/>
          </w:tcPr>
          <w:p w14:paraId="779BBECE"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2CF3EF61"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5E2804C4" w14:textId="77777777" w:rsidTr="006B65DC">
        <w:trPr>
          <w:cantSplit/>
          <w:trHeight w:val="805"/>
        </w:trPr>
        <w:tc>
          <w:tcPr>
            <w:tcW w:w="2344" w:type="dxa"/>
            <w:shd w:val="clear" w:color="auto" w:fill="ECECEC"/>
            <w:vAlign w:val="center"/>
          </w:tcPr>
          <w:p w14:paraId="37D9B882"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Донаторска средства</w:t>
            </w:r>
          </w:p>
        </w:tc>
        <w:tc>
          <w:tcPr>
            <w:tcW w:w="2965" w:type="dxa"/>
            <w:gridSpan w:val="10"/>
            <w:shd w:val="clear" w:color="auto" w:fill="ECECEC"/>
            <w:vAlign w:val="center"/>
          </w:tcPr>
          <w:p w14:paraId="36882AAB"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w:t>
            </w:r>
          </w:p>
        </w:tc>
        <w:tc>
          <w:tcPr>
            <w:tcW w:w="3303" w:type="dxa"/>
            <w:gridSpan w:val="12"/>
            <w:shd w:val="clear" w:color="auto" w:fill="ECECEC"/>
            <w:vAlign w:val="center"/>
          </w:tcPr>
          <w:p w14:paraId="20D9BAFD"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w:t>
            </w:r>
          </w:p>
        </w:tc>
        <w:tc>
          <w:tcPr>
            <w:tcW w:w="3308" w:type="dxa"/>
            <w:gridSpan w:val="18"/>
            <w:shd w:val="clear" w:color="auto" w:fill="ECECEC"/>
            <w:vAlign w:val="center"/>
          </w:tcPr>
          <w:p w14:paraId="5BE73FB8"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2.400</w:t>
            </w:r>
          </w:p>
        </w:tc>
        <w:tc>
          <w:tcPr>
            <w:tcW w:w="3956" w:type="dxa"/>
            <w:gridSpan w:val="34"/>
            <w:shd w:val="clear" w:color="auto" w:fill="ECECEC"/>
            <w:vAlign w:val="center"/>
          </w:tcPr>
          <w:p w14:paraId="51845E71" w14:textId="77777777" w:rsidR="00F617BE" w:rsidRPr="00AA19A8" w:rsidRDefault="00F617BE" w:rsidP="00AE337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w:t>
            </w:r>
          </w:p>
        </w:tc>
      </w:tr>
      <w:tr w:rsidR="00D30238" w:rsidRPr="00AA19A8" w14:paraId="36FA39F7" w14:textId="77777777" w:rsidTr="00BA7E6D">
        <w:trPr>
          <w:cantSplit/>
          <w:trHeight w:val="805"/>
        </w:trPr>
        <w:tc>
          <w:tcPr>
            <w:tcW w:w="15876" w:type="dxa"/>
            <w:gridSpan w:val="75"/>
            <w:shd w:val="clear" w:color="auto" w:fill="ECECEC"/>
            <w:vAlign w:val="center"/>
          </w:tcPr>
          <w:p w14:paraId="404BCCBD" w14:textId="77777777" w:rsidR="00F617BE" w:rsidRPr="00AA19A8" w:rsidRDefault="00F617BE" w:rsidP="00F617BE">
            <w:pPr>
              <w:rPr>
                <w:rFonts w:ascii="Times New Roman" w:hAnsi="Times New Roman" w:cs="Times New Roman"/>
                <w:b/>
                <w:bCs/>
                <w:i/>
                <w:iCs/>
                <w:sz w:val="20"/>
                <w:szCs w:val="20"/>
                <w:lang w:val="sr-Cyrl-CS"/>
              </w:rPr>
            </w:pPr>
            <w:bookmarkStart w:id="15" w:name="_Toc73613644"/>
            <w:r w:rsidRPr="00AA19A8">
              <w:rPr>
                <w:rFonts w:ascii="Times New Roman" w:hAnsi="Times New Roman" w:cs="Times New Roman"/>
                <w:b/>
                <w:bCs/>
                <w:i/>
                <w:iCs/>
                <w:sz w:val="20"/>
                <w:szCs w:val="20"/>
                <w:lang w:val="sr-Cyrl-CS"/>
              </w:rPr>
              <w:t xml:space="preserve">Институција одговорна за спровођење (координацију спровођења) мере: </w:t>
            </w:r>
            <w:bookmarkEnd w:id="15"/>
            <w:r w:rsidRPr="00AA19A8">
              <w:rPr>
                <w:rFonts w:ascii="Times New Roman" w:hAnsi="Times New Roman" w:cs="Times New Roman"/>
                <w:b/>
                <w:bCs/>
                <w:i/>
                <w:iCs/>
                <w:sz w:val="20"/>
                <w:szCs w:val="20"/>
                <w:lang w:val="sr-Cyrl-CS"/>
              </w:rPr>
              <w:t>Министарство финансија - Сектор буџета</w:t>
            </w:r>
          </w:p>
        </w:tc>
      </w:tr>
      <w:tr w:rsidR="00D30238" w:rsidRPr="00AA19A8" w14:paraId="335FDEC4" w14:textId="77777777" w:rsidTr="006B65DC">
        <w:trPr>
          <w:cantSplit/>
          <w:trHeight w:val="805"/>
        </w:trPr>
        <w:tc>
          <w:tcPr>
            <w:tcW w:w="7869" w:type="dxa"/>
            <w:gridSpan w:val="18"/>
            <w:shd w:val="clear" w:color="auto" w:fill="ECECEC"/>
            <w:vAlign w:val="center"/>
          </w:tcPr>
          <w:p w14:paraId="388E8143" w14:textId="1A8F0EE0" w:rsidR="00F617BE" w:rsidRPr="00AA19A8" w:rsidRDefault="00F617BE" w:rsidP="00F617BE">
            <w:pPr>
              <w:rPr>
                <w:rFonts w:ascii="Times New Roman" w:hAnsi="Times New Roman" w:cs="Times New Roman"/>
                <w:b/>
                <w:bCs/>
                <w:i/>
                <w:iCs/>
                <w:sz w:val="20"/>
                <w:szCs w:val="20"/>
                <w:lang w:val="sr-Cyrl-CS"/>
              </w:rPr>
            </w:pPr>
            <w:bookmarkStart w:id="16" w:name="_Toc73613645"/>
            <w:r w:rsidRPr="00AA19A8">
              <w:rPr>
                <w:rFonts w:ascii="Times New Roman" w:hAnsi="Times New Roman" w:cs="Times New Roman"/>
                <w:b/>
                <w:bCs/>
                <w:i/>
                <w:iCs/>
                <w:sz w:val="20"/>
                <w:szCs w:val="20"/>
                <w:lang w:val="sr-Cyrl-CS"/>
              </w:rPr>
              <w:t>Период спровођења: 2026-20</w:t>
            </w:r>
            <w:bookmarkEnd w:id="16"/>
            <w:r w:rsidRPr="00AA19A8">
              <w:rPr>
                <w:rFonts w:ascii="Times New Roman" w:hAnsi="Times New Roman" w:cs="Times New Roman"/>
                <w:b/>
                <w:bCs/>
                <w:i/>
                <w:iCs/>
                <w:sz w:val="20"/>
                <w:szCs w:val="20"/>
                <w:lang w:val="sr-Cyrl-CS"/>
              </w:rPr>
              <w:t>30</w:t>
            </w:r>
            <w:r w:rsidR="00713D3C" w:rsidRPr="00AA19A8">
              <w:rPr>
                <w:rFonts w:ascii="Times New Roman" w:hAnsi="Times New Roman" w:cs="Times New Roman"/>
                <w:b/>
                <w:bCs/>
                <w:i/>
                <w:iCs/>
                <w:sz w:val="20"/>
                <w:szCs w:val="20"/>
                <w:lang w:val="sr-Cyrl-CS"/>
              </w:rPr>
              <w:t>.</w:t>
            </w:r>
          </w:p>
        </w:tc>
        <w:tc>
          <w:tcPr>
            <w:tcW w:w="8007" w:type="dxa"/>
            <w:gridSpan w:val="57"/>
            <w:shd w:val="clear" w:color="auto" w:fill="ECECEC"/>
            <w:vAlign w:val="center"/>
          </w:tcPr>
          <w:p w14:paraId="4E01BA96" w14:textId="77777777" w:rsidR="00F617BE" w:rsidRPr="00AA19A8" w:rsidRDefault="00F617BE" w:rsidP="00F617BE">
            <w:pPr>
              <w:rPr>
                <w:rFonts w:ascii="Times New Roman" w:hAnsi="Times New Roman" w:cs="Times New Roman"/>
                <w:b/>
                <w:bCs/>
                <w:i/>
                <w:iCs/>
                <w:sz w:val="20"/>
                <w:szCs w:val="20"/>
                <w:lang w:val="sr-Cyrl-CS"/>
              </w:rPr>
            </w:pPr>
            <w:bookmarkStart w:id="17" w:name="_Toc73613646"/>
            <w:r w:rsidRPr="00AA19A8">
              <w:rPr>
                <w:rFonts w:ascii="Times New Roman" w:hAnsi="Times New Roman" w:cs="Times New Roman"/>
                <w:b/>
                <w:bCs/>
                <w:i/>
                <w:iCs/>
                <w:sz w:val="20"/>
                <w:szCs w:val="20"/>
                <w:lang w:val="sr-Cyrl-CS"/>
              </w:rPr>
              <w:t>Тип мере: Информативно едукативна</w:t>
            </w:r>
            <w:bookmarkEnd w:id="17"/>
          </w:p>
        </w:tc>
      </w:tr>
      <w:tr w:rsidR="00D30238" w:rsidRPr="00AA19A8" w14:paraId="5EA8E55D" w14:textId="77777777" w:rsidTr="006B65DC">
        <w:trPr>
          <w:cantSplit/>
          <w:trHeight w:val="1253"/>
        </w:trPr>
        <w:tc>
          <w:tcPr>
            <w:tcW w:w="2344" w:type="dxa"/>
            <w:shd w:val="clear" w:color="auto" w:fill="ECECEC"/>
            <w:vAlign w:val="center"/>
          </w:tcPr>
          <w:p w14:paraId="7FF1C99C" w14:textId="3E63A15C"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79D05FA7" w14:textId="77777777" w:rsidR="00F617BE" w:rsidRPr="00AA19A8" w:rsidRDefault="00F617BE" w:rsidP="00BF45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49F27EC8" w14:textId="77777777" w:rsidR="00F617BE" w:rsidRPr="00AA19A8" w:rsidRDefault="00F617BE" w:rsidP="00BF45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76F694E5" w14:textId="77777777" w:rsidR="00F617BE" w:rsidRPr="00AA19A8" w:rsidRDefault="00F617BE" w:rsidP="00BF45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6CBB1804" w14:textId="77777777" w:rsidR="00F617BE" w:rsidRPr="00AA19A8" w:rsidRDefault="00F617BE" w:rsidP="00BF45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609530FC" w14:textId="77777777" w:rsidR="00F617BE" w:rsidRPr="00AA19A8" w:rsidRDefault="00F617BE" w:rsidP="00BF45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74" w:type="dxa"/>
            <w:gridSpan w:val="10"/>
            <w:shd w:val="clear" w:color="auto" w:fill="ECECEC"/>
            <w:vAlign w:val="center"/>
          </w:tcPr>
          <w:p w14:paraId="5685242A" w14:textId="77777777" w:rsidR="00F617BE" w:rsidRPr="00AA19A8" w:rsidRDefault="00F617BE" w:rsidP="00BF45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275" w:type="dxa"/>
            <w:gridSpan w:val="6"/>
            <w:shd w:val="clear" w:color="auto" w:fill="ECECEC"/>
            <w:vAlign w:val="center"/>
          </w:tcPr>
          <w:p w14:paraId="4CC93952" w14:textId="77777777" w:rsidR="00F617BE" w:rsidRPr="00AA19A8" w:rsidRDefault="00F617BE" w:rsidP="00BF45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17D07C1D" w14:textId="77777777" w:rsidTr="006B65DC">
        <w:trPr>
          <w:cantSplit/>
          <w:trHeight w:val="1701"/>
        </w:trPr>
        <w:tc>
          <w:tcPr>
            <w:tcW w:w="2344" w:type="dxa"/>
            <w:vAlign w:val="center"/>
          </w:tcPr>
          <w:p w14:paraId="1074142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обучених буџетских аналитичара у Министарству финансија</w:t>
            </w:r>
          </w:p>
        </w:tc>
        <w:tc>
          <w:tcPr>
            <w:tcW w:w="2965" w:type="dxa"/>
            <w:gridSpan w:val="10"/>
            <w:vAlign w:val="center"/>
          </w:tcPr>
          <w:p w14:paraId="5036D1B2"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62178137"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Извештај МФ</w:t>
            </w:r>
          </w:p>
        </w:tc>
        <w:tc>
          <w:tcPr>
            <w:tcW w:w="2322" w:type="dxa"/>
            <w:gridSpan w:val="14"/>
            <w:vAlign w:val="center"/>
          </w:tcPr>
          <w:p w14:paraId="3AC4F5DE"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0</w:t>
            </w:r>
          </w:p>
        </w:tc>
        <w:tc>
          <w:tcPr>
            <w:tcW w:w="2276" w:type="dxa"/>
            <w:gridSpan w:val="16"/>
            <w:vAlign w:val="center"/>
          </w:tcPr>
          <w:p w14:paraId="31192C27"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2DBF9A3A"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w:t>
            </w:r>
          </w:p>
        </w:tc>
        <w:tc>
          <w:tcPr>
            <w:tcW w:w="1074" w:type="dxa"/>
            <w:gridSpan w:val="10"/>
            <w:vAlign w:val="center"/>
          </w:tcPr>
          <w:p w14:paraId="2A8C768B"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275" w:type="dxa"/>
            <w:gridSpan w:val="6"/>
            <w:vAlign w:val="center"/>
          </w:tcPr>
          <w:p w14:paraId="69AC734F"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6F29E25" w14:textId="77777777" w:rsidTr="006B65DC">
        <w:trPr>
          <w:cantSplit/>
          <w:trHeight w:val="630"/>
        </w:trPr>
        <w:tc>
          <w:tcPr>
            <w:tcW w:w="2344" w:type="dxa"/>
            <w:vMerge w:val="restart"/>
            <w:shd w:val="clear" w:color="auto" w:fill="ECECEC"/>
            <w:vAlign w:val="center"/>
          </w:tcPr>
          <w:p w14:paraId="343612EB"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1980858F"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72907DA9"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2C31BDDF"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0B4DE90F"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185844ED" w14:textId="77777777" w:rsidTr="006B65DC">
        <w:trPr>
          <w:cantSplit/>
          <w:trHeight w:val="1253"/>
        </w:trPr>
        <w:tc>
          <w:tcPr>
            <w:tcW w:w="2344" w:type="dxa"/>
            <w:vMerge/>
            <w:shd w:val="clear" w:color="auto" w:fill="ECECEC"/>
            <w:vAlign w:val="center"/>
          </w:tcPr>
          <w:p w14:paraId="64A9C609" w14:textId="77777777" w:rsidR="00F617BE" w:rsidRPr="00AA19A8" w:rsidRDefault="00F617BE" w:rsidP="00F617BE">
            <w:pPr>
              <w:rPr>
                <w:rFonts w:ascii="Times New Roman" w:hAnsi="Times New Roman" w:cs="Times New Roman"/>
                <w:b/>
                <w:bCs/>
                <w:sz w:val="20"/>
                <w:szCs w:val="20"/>
                <w:lang w:val="sr-Cyrl-CS"/>
              </w:rPr>
            </w:pPr>
          </w:p>
        </w:tc>
        <w:tc>
          <w:tcPr>
            <w:tcW w:w="1454" w:type="dxa"/>
            <w:gridSpan w:val="5"/>
            <w:vMerge/>
            <w:shd w:val="clear" w:color="auto" w:fill="ECECEC"/>
            <w:vAlign w:val="center"/>
          </w:tcPr>
          <w:p w14:paraId="601F23E1" w14:textId="77777777" w:rsidR="00F617BE" w:rsidRPr="00AA19A8" w:rsidRDefault="00F617BE" w:rsidP="00476B79">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25B05C10" w14:textId="77777777" w:rsidR="00F617BE" w:rsidRPr="00AA19A8" w:rsidRDefault="00F617BE" w:rsidP="00476B79">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79C885CF" w14:textId="77777777" w:rsidR="00F617BE" w:rsidRPr="00AA19A8" w:rsidRDefault="00F617BE" w:rsidP="00476B79">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1CC258A7"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66CFBB48"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4A50B756"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15963397"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3E45D710"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02EA2A8E" w14:textId="77777777" w:rsidTr="006B65DC">
        <w:trPr>
          <w:cantSplit/>
          <w:trHeight w:val="2268"/>
        </w:trPr>
        <w:tc>
          <w:tcPr>
            <w:tcW w:w="2344" w:type="dxa"/>
            <w:vAlign w:val="center"/>
          </w:tcPr>
          <w:p w14:paraId="0D58EFD9"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1.3.1 Анализа процеса припреме буџета у Републици Србији и усклађеност са буџетским процесом у земљама ЕУ</w:t>
            </w:r>
          </w:p>
        </w:tc>
        <w:tc>
          <w:tcPr>
            <w:tcW w:w="1454" w:type="dxa"/>
            <w:gridSpan w:val="5"/>
            <w:vAlign w:val="center"/>
          </w:tcPr>
          <w:p w14:paraId="27F610B4"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11" w:type="dxa"/>
            <w:gridSpan w:val="5"/>
            <w:vAlign w:val="center"/>
          </w:tcPr>
          <w:p w14:paraId="25EB9E10" w14:textId="0A6795A9"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w:t>
            </w:r>
            <w:r w:rsidR="007D442A">
              <w:rPr>
                <w:rFonts w:ascii="Times New Roman" w:hAnsi="Times New Roman" w:cs="Times New Roman"/>
                <w:sz w:val="20"/>
                <w:szCs w:val="20"/>
                <w:lang w:val="sr-Cyrl-CS"/>
              </w:rPr>
              <w:t>-</w:t>
            </w:r>
            <w:r w:rsidRPr="00AA19A8">
              <w:rPr>
                <w:rFonts w:ascii="Times New Roman" w:hAnsi="Times New Roman" w:cs="Times New Roman"/>
                <w:sz w:val="20"/>
                <w:szCs w:val="20"/>
                <w:lang w:val="sr-Cyrl-CS"/>
              </w:rPr>
              <w:t>Сектор буџета</w:t>
            </w:r>
          </w:p>
        </w:tc>
        <w:tc>
          <w:tcPr>
            <w:tcW w:w="2560" w:type="dxa"/>
            <w:gridSpan w:val="7"/>
            <w:vAlign w:val="center"/>
          </w:tcPr>
          <w:p w14:paraId="5B1B8907" w14:textId="77777777" w:rsidR="00F617BE" w:rsidRPr="00AA19A8" w:rsidRDefault="00F617BE" w:rsidP="00476B79">
            <w:pPr>
              <w:jc w:val="center"/>
              <w:rPr>
                <w:rFonts w:ascii="Times New Roman" w:hAnsi="Times New Roman" w:cs="Times New Roman"/>
                <w:sz w:val="20"/>
                <w:szCs w:val="20"/>
                <w:lang w:val="sr-Cyrl-CS"/>
              </w:rPr>
            </w:pPr>
          </w:p>
        </w:tc>
        <w:tc>
          <w:tcPr>
            <w:tcW w:w="2322" w:type="dxa"/>
            <w:gridSpan w:val="14"/>
            <w:vAlign w:val="center"/>
          </w:tcPr>
          <w:p w14:paraId="4A64BABE"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155CE5C4" w14:textId="77777777" w:rsidR="00F617BE" w:rsidRPr="00AA19A8" w:rsidRDefault="00F617BE" w:rsidP="00476B79">
            <w:pPr>
              <w:jc w:val="center"/>
              <w:rPr>
                <w:rFonts w:ascii="Times New Roman" w:hAnsi="Times New Roman" w:cs="Times New Roman"/>
                <w:sz w:val="20"/>
                <w:szCs w:val="20"/>
                <w:lang w:val="sr-Cyrl-CS"/>
              </w:rPr>
            </w:pPr>
          </w:p>
        </w:tc>
        <w:tc>
          <w:tcPr>
            <w:tcW w:w="1060" w:type="dxa"/>
            <w:gridSpan w:val="11"/>
            <w:vAlign w:val="center"/>
          </w:tcPr>
          <w:p w14:paraId="27E74268"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6DEB5E14"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1.200*</w:t>
            </w:r>
          </w:p>
        </w:tc>
        <w:tc>
          <w:tcPr>
            <w:tcW w:w="1275" w:type="dxa"/>
            <w:gridSpan w:val="6"/>
            <w:vAlign w:val="center"/>
          </w:tcPr>
          <w:p w14:paraId="79851E59"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79189158" w14:textId="77777777" w:rsidTr="006B65DC">
        <w:trPr>
          <w:cantSplit/>
          <w:trHeight w:val="2268"/>
        </w:trPr>
        <w:tc>
          <w:tcPr>
            <w:tcW w:w="2344" w:type="dxa"/>
            <w:vAlign w:val="center"/>
          </w:tcPr>
          <w:p w14:paraId="6C6F448D"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1.3.2 Израда смерница за усклађивање буџетског процеса са стандардима ЕУ</w:t>
            </w:r>
          </w:p>
        </w:tc>
        <w:tc>
          <w:tcPr>
            <w:tcW w:w="1454" w:type="dxa"/>
            <w:gridSpan w:val="5"/>
            <w:vAlign w:val="center"/>
          </w:tcPr>
          <w:p w14:paraId="03A5D38F"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0BB1C296" w14:textId="42E51CA2"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w:t>
            </w:r>
            <w:r w:rsidR="007D442A">
              <w:rPr>
                <w:rFonts w:ascii="Times New Roman" w:hAnsi="Times New Roman" w:cs="Times New Roman"/>
                <w:sz w:val="20"/>
                <w:szCs w:val="20"/>
                <w:lang w:val="sr-Cyrl-CS"/>
              </w:rPr>
              <w:t>-</w:t>
            </w:r>
            <w:r w:rsidRPr="00AA19A8">
              <w:rPr>
                <w:rFonts w:ascii="Times New Roman" w:hAnsi="Times New Roman" w:cs="Times New Roman"/>
                <w:sz w:val="20"/>
                <w:szCs w:val="20"/>
                <w:lang w:val="sr-Cyrl-CS"/>
              </w:rPr>
              <w:t>Сектор буџета</w:t>
            </w:r>
          </w:p>
        </w:tc>
        <w:tc>
          <w:tcPr>
            <w:tcW w:w="2560" w:type="dxa"/>
            <w:gridSpan w:val="7"/>
            <w:vAlign w:val="center"/>
          </w:tcPr>
          <w:p w14:paraId="3D82995B" w14:textId="77777777" w:rsidR="00F617BE" w:rsidRPr="00AA19A8" w:rsidRDefault="00F617BE" w:rsidP="00476B79">
            <w:pPr>
              <w:jc w:val="center"/>
              <w:rPr>
                <w:rFonts w:ascii="Times New Roman" w:hAnsi="Times New Roman" w:cs="Times New Roman"/>
                <w:sz w:val="20"/>
                <w:szCs w:val="20"/>
                <w:lang w:val="sr-Cyrl-CS"/>
              </w:rPr>
            </w:pPr>
          </w:p>
        </w:tc>
        <w:tc>
          <w:tcPr>
            <w:tcW w:w="2322" w:type="dxa"/>
            <w:gridSpan w:val="14"/>
            <w:vAlign w:val="center"/>
          </w:tcPr>
          <w:p w14:paraId="56421FFC"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41D1DDEA" w14:textId="77777777" w:rsidR="00F617BE" w:rsidRPr="00AA19A8" w:rsidRDefault="00F617BE" w:rsidP="00476B79">
            <w:pPr>
              <w:jc w:val="center"/>
              <w:rPr>
                <w:rFonts w:ascii="Times New Roman" w:hAnsi="Times New Roman" w:cs="Times New Roman"/>
                <w:sz w:val="20"/>
                <w:szCs w:val="20"/>
                <w:lang w:val="sr-Cyrl-CS"/>
              </w:rPr>
            </w:pPr>
          </w:p>
        </w:tc>
        <w:tc>
          <w:tcPr>
            <w:tcW w:w="1060" w:type="dxa"/>
            <w:gridSpan w:val="11"/>
            <w:vAlign w:val="center"/>
          </w:tcPr>
          <w:p w14:paraId="2B3B2BE8"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18102B37"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w:t>
            </w:r>
          </w:p>
        </w:tc>
        <w:tc>
          <w:tcPr>
            <w:tcW w:w="1275" w:type="dxa"/>
            <w:gridSpan w:val="6"/>
            <w:vAlign w:val="center"/>
          </w:tcPr>
          <w:p w14:paraId="3F569ED8"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7892F61F" w14:textId="77777777" w:rsidTr="006B65DC">
        <w:trPr>
          <w:cantSplit/>
          <w:trHeight w:val="2268"/>
        </w:trPr>
        <w:tc>
          <w:tcPr>
            <w:tcW w:w="2344" w:type="dxa"/>
            <w:vAlign w:val="center"/>
          </w:tcPr>
          <w:p w14:paraId="3E8CC4BF"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1.3.3 Унапређење капацитета буџетских аналитичара за припрему буџета у складу са прописима ЕУ</w:t>
            </w:r>
          </w:p>
        </w:tc>
        <w:tc>
          <w:tcPr>
            <w:tcW w:w="1454" w:type="dxa"/>
            <w:gridSpan w:val="5"/>
            <w:vAlign w:val="center"/>
          </w:tcPr>
          <w:p w14:paraId="39649CE4"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63E3B7EF" w14:textId="6A883B15"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w:t>
            </w:r>
            <w:r w:rsidR="007D442A">
              <w:rPr>
                <w:rFonts w:ascii="Times New Roman" w:hAnsi="Times New Roman" w:cs="Times New Roman"/>
                <w:sz w:val="20"/>
                <w:szCs w:val="20"/>
                <w:lang w:val="sr-Cyrl-CS"/>
              </w:rPr>
              <w:t>-</w:t>
            </w:r>
            <w:r w:rsidRPr="00AA19A8">
              <w:rPr>
                <w:rFonts w:ascii="Times New Roman" w:hAnsi="Times New Roman" w:cs="Times New Roman"/>
                <w:sz w:val="20"/>
                <w:szCs w:val="20"/>
                <w:lang w:val="sr-Cyrl-CS"/>
              </w:rPr>
              <w:t>Сектор буџета</w:t>
            </w:r>
          </w:p>
        </w:tc>
        <w:tc>
          <w:tcPr>
            <w:tcW w:w="2560" w:type="dxa"/>
            <w:gridSpan w:val="7"/>
            <w:vAlign w:val="center"/>
          </w:tcPr>
          <w:p w14:paraId="32143540" w14:textId="77777777" w:rsidR="00F617BE" w:rsidRPr="00AA19A8" w:rsidRDefault="00F617BE" w:rsidP="00476B79">
            <w:pPr>
              <w:jc w:val="center"/>
              <w:rPr>
                <w:rFonts w:ascii="Times New Roman" w:hAnsi="Times New Roman" w:cs="Times New Roman"/>
                <w:sz w:val="20"/>
                <w:szCs w:val="20"/>
                <w:lang w:val="sr-Cyrl-CS"/>
              </w:rPr>
            </w:pPr>
          </w:p>
        </w:tc>
        <w:tc>
          <w:tcPr>
            <w:tcW w:w="2322" w:type="dxa"/>
            <w:gridSpan w:val="14"/>
            <w:vAlign w:val="center"/>
          </w:tcPr>
          <w:p w14:paraId="4C4BA188"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0C80AA9D" w14:textId="77777777" w:rsidR="00F617BE" w:rsidRPr="00AA19A8" w:rsidRDefault="00F617BE" w:rsidP="00476B79">
            <w:pPr>
              <w:jc w:val="center"/>
              <w:rPr>
                <w:rFonts w:ascii="Times New Roman" w:hAnsi="Times New Roman" w:cs="Times New Roman"/>
                <w:sz w:val="20"/>
                <w:szCs w:val="20"/>
                <w:lang w:val="sr-Cyrl-CS"/>
              </w:rPr>
            </w:pPr>
          </w:p>
        </w:tc>
        <w:tc>
          <w:tcPr>
            <w:tcW w:w="1060" w:type="dxa"/>
            <w:gridSpan w:val="11"/>
            <w:vAlign w:val="center"/>
          </w:tcPr>
          <w:p w14:paraId="3F1DF219"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7ADD713C"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w:t>
            </w:r>
          </w:p>
        </w:tc>
        <w:tc>
          <w:tcPr>
            <w:tcW w:w="1275" w:type="dxa"/>
            <w:gridSpan w:val="6"/>
            <w:vAlign w:val="center"/>
          </w:tcPr>
          <w:p w14:paraId="1C4E07EE"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29F6E38" w14:textId="77777777" w:rsidTr="00BA7E6D">
        <w:trPr>
          <w:cantSplit/>
          <w:trHeight w:val="805"/>
        </w:trPr>
        <w:tc>
          <w:tcPr>
            <w:tcW w:w="15876" w:type="dxa"/>
            <w:gridSpan w:val="75"/>
            <w:shd w:val="clear" w:color="auto" w:fill="ECECEC"/>
            <w:vAlign w:val="center"/>
          </w:tcPr>
          <w:p w14:paraId="38F8FA19" w14:textId="77777777" w:rsidR="00F617BE" w:rsidRPr="00AA19A8" w:rsidRDefault="00F617BE" w:rsidP="00F617BE">
            <w:pPr>
              <w:rPr>
                <w:rFonts w:ascii="Times New Roman" w:hAnsi="Times New Roman" w:cs="Times New Roman"/>
                <w:b/>
                <w:bCs/>
                <w:i/>
                <w:iCs/>
                <w:sz w:val="20"/>
                <w:szCs w:val="20"/>
                <w:lang w:val="sr-Cyrl-CS"/>
              </w:rPr>
            </w:pPr>
            <w:bookmarkStart w:id="18" w:name="_Toc73613647"/>
            <w:r w:rsidRPr="00AA19A8">
              <w:rPr>
                <w:rFonts w:ascii="Times New Roman" w:hAnsi="Times New Roman" w:cs="Times New Roman"/>
                <w:b/>
                <w:bCs/>
                <w:i/>
                <w:iCs/>
                <w:sz w:val="20"/>
                <w:szCs w:val="20"/>
                <w:lang w:val="sr-Cyrl-CS"/>
              </w:rPr>
              <w:t xml:space="preserve">Мера 1.4: Унапређење окружења за ефикасно управљање капиталним пројектима </w:t>
            </w:r>
            <w:bookmarkEnd w:id="18"/>
          </w:p>
        </w:tc>
      </w:tr>
      <w:tr w:rsidR="00D30238" w:rsidRPr="00AA19A8" w14:paraId="3FA7717A" w14:textId="77777777" w:rsidTr="006B65DC">
        <w:trPr>
          <w:cantSplit/>
          <w:trHeight w:val="805"/>
        </w:trPr>
        <w:tc>
          <w:tcPr>
            <w:tcW w:w="2344" w:type="dxa"/>
            <w:shd w:val="clear" w:color="auto" w:fill="ECECEC"/>
            <w:vAlign w:val="center"/>
          </w:tcPr>
          <w:p w14:paraId="79542BB6"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2D1DEF5D" w14:textId="77777777" w:rsidR="00F617BE" w:rsidRPr="00AA19A8" w:rsidRDefault="00F617BE" w:rsidP="00476B7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70747B34" w14:textId="77777777" w:rsidR="00F617BE" w:rsidRPr="00AA19A8" w:rsidRDefault="00F617BE" w:rsidP="00476B7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28CD8CB8" w14:textId="77777777" w:rsidTr="006B65DC">
        <w:trPr>
          <w:cantSplit/>
          <w:trHeight w:val="805"/>
        </w:trPr>
        <w:tc>
          <w:tcPr>
            <w:tcW w:w="2344" w:type="dxa"/>
            <w:shd w:val="clear" w:color="auto" w:fill="ECECEC"/>
            <w:vAlign w:val="center"/>
          </w:tcPr>
          <w:p w14:paraId="15B92B44"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Донаторска средства</w:t>
            </w:r>
          </w:p>
        </w:tc>
        <w:tc>
          <w:tcPr>
            <w:tcW w:w="2965" w:type="dxa"/>
            <w:gridSpan w:val="10"/>
            <w:shd w:val="clear" w:color="auto" w:fill="ECECEC"/>
            <w:vAlign w:val="center"/>
          </w:tcPr>
          <w:p w14:paraId="7BBD904A" w14:textId="77777777" w:rsidR="00F617BE" w:rsidRPr="00AA19A8" w:rsidRDefault="00F617BE" w:rsidP="00476B7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w:t>
            </w:r>
          </w:p>
        </w:tc>
        <w:tc>
          <w:tcPr>
            <w:tcW w:w="3303" w:type="dxa"/>
            <w:gridSpan w:val="12"/>
            <w:shd w:val="clear" w:color="auto" w:fill="ECECEC"/>
            <w:vAlign w:val="center"/>
          </w:tcPr>
          <w:p w14:paraId="325556C0" w14:textId="77777777" w:rsidR="00F617BE" w:rsidRPr="00AA19A8" w:rsidRDefault="00F617BE" w:rsidP="00476B7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4.900</w:t>
            </w:r>
          </w:p>
        </w:tc>
        <w:tc>
          <w:tcPr>
            <w:tcW w:w="3308" w:type="dxa"/>
            <w:gridSpan w:val="18"/>
            <w:shd w:val="clear" w:color="auto" w:fill="ECECEC"/>
            <w:vAlign w:val="center"/>
          </w:tcPr>
          <w:p w14:paraId="0EEDE4EF" w14:textId="77777777" w:rsidR="00F617BE" w:rsidRPr="00AA19A8" w:rsidRDefault="00F617BE" w:rsidP="00476B7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1.600</w:t>
            </w:r>
          </w:p>
        </w:tc>
        <w:tc>
          <w:tcPr>
            <w:tcW w:w="3956" w:type="dxa"/>
            <w:gridSpan w:val="34"/>
            <w:shd w:val="clear" w:color="auto" w:fill="ECECEC"/>
            <w:vAlign w:val="center"/>
          </w:tcPr>
          <w:p w14:paraId="57746EDA" w14:textId="77777777" w:rsidR="00F617BE" w:rsidRPr="00AA19A8" w:rsidRDefault="00F617BE" w:rsidP="00476B7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100</w:t>
            </w:r>
          </w:p>
        </w:tc>
      </w:tr>
      <w:tr w:rsidR="00D30238" w:rsidRPr="00AA19A8" w14:paraId="34A06A23" w14:textId="77777777" w:rsidTr="00BA7E6D">
        <w:trPr>
          <w:cantSplit/>
          <w:trHeight w:val="805"/>
        </w:trPr>
        <w:tc>
          <w:tcPr>
            <w:tcW w:w="15876" w:type="dxa"/>
            <w:gridSpan w:val="75"/>
            <w:shd w:val="clear" w:color="auto" w:fill="ECECEC"/>
            <w:vAlign w:val="center"/>
          </w:tcPr>
          <w:p w14:paraId="709C3B6B" w14:textId="77777777" w:rsidR="00F617BE" w:rsidRPr="00AA19A8" w:rsidRDefault="00F617BE" w:rsidP="00F617BE">
            <w:pPr>
              <w:rPr>
                <w:rFonts w:ascii="Times New Roman" w:hAnsi="Times New Roman" w:cs="Times New Roman"/>
                <w:b/>
                <w:bCs/>
                <w:i/>
                <w:iCs/>
                <w:sz w:val="20"/>
                <w:szCs w:val="20"/>
                <w:lang w:val="sr-Cyrl-CS"/>
              </w:rPr>
            </w:pPr>
            <w:bookmarkStart w:id="19" w:name="_Toc73613648"/>
            <w:r w:rsidRPr="00AA19A8">
              <w:rPr>
                <w:rFonts w:ascii="Times New Roman" w:hAnsi="Times New Roman" w:cs="Times New Roman"/>
                <w:b/>
                <w:bCs/>
                <w:i/>
                <w:iCs/>
                <w:sz w:val="20"/>
                <w:szCs w:val="20"/>
                <w:lang w:val="sr-Cyrl-CS"/>
              </w:rPr>
              <w:lastRenderedPageBreak/>
              <w:t xml:space="preserve">Институција одговорна за спровођење (координацију спровођења) мере: Министарство финансија - Сектор за </w:t>
            </w:r>
            <w:bookmarkEnd w:id="19"/>
            <w:r w:rsidRPr="00AA19A8">
              <w:rPr>
                <w:rFonts w:ascii="Times New Roman" w:hAnsi="Times New Roman" w:cs="Times New Roman"/>
                <w:b/>
                <w:bCs/>
                <w:i/>
                <w:iCs/>
                <w:sz w:val="20"/>
                <w:szCs w:val="20"/>
                <w:lang w:val="sr-Cyrl-CS"/>
              </w:rPr>
              <w:t>капиталне пројекте</w:t>
            </w:r>
          </w:p>
        </w:tc>
      </w:tr>
      <w:tr w:rsidR="00D30238" w:rsidRPr="00AA19A8" w14:paraId="1F9B9026" w14:textId="77777777" w:rsidTr="006B65DC">
        <w:trPr>
          <w:cantSplit/>
          <w:trHeight w:val="805"/>
        </w:trPr>
        <w:tc>
          <w:tcPr>
            <w:tcW w:w="7869" w:type="dxa"/>
            <w:gridSpan w:val="18"/>
            <w:shd w:val="clear" w:color="auto" w:fill="ECECEC"/>
            <w:vAlign w:val="center"/>
          </w:tcPr>
          <w:p w14:paraId="09149AB5" w14:textId="288A2A80"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2026-2030</w:t>
            </w:r>
            <w:r w:rsidR="00713D3C" w:rsidRPr="00AA19A8">
              <w:rPr>
                <w:rFonts w:ascii="Times New Roman" w:hAnsi="Times New Roman" w:cs="Times New Roman"/>
                <w:b/>
                <w:bCs/>
                <w:i/>
                <w:iCs/>
                <w:sz w:val="20"/>
                <w:szCs w:val="20"/>
                <w:lang w:val="sr-Cyrl-CS"/>
              </w:rPr>
              <w:t>.</w:t>
            </w:r>
          </w:p>
        </w:tc>
        <w:tc>
          <w:tcPr>
            <w:tcW w:w="8007" w:type="dxa"/>
            <w:gridSpan w:val="57"/>
            <w:shd w:val="clear" w:color="auto" w:fill="ECECEC"/>
            <w:vAlign w:val="center"/>
          </w:tcPr>
          <w:p w14:paraId="767FCAFF"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Регулаторна</w:t>
            </w:r>
          </w:p>
        </w:tc>
      </w:tr>
      <w:tr w:rsidR="00D30238" w:rsidRPr="00AA19A8" w14:paraId="62BA8B12" w14:textId="77777777" w:rsidTr="006B65DC">
        <w:trPr>
          <w:cantSplit/>
          <w:trHeight w:val="1253"/>
        </w:trPr>
        <w:tc>
          <w:tcPr>
            <w:tcW w:w="2344" w:type="dxa"/>
            <w:shd w:val="clear" w:color="auto" w:fill="ECECEC"/>
            <w:vAlign w:val="center"/>
          </w:tcPr>
          <w:p w14:paraId="2DF5D0DB" w14:textId="0E073ECE"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4A5A2D3C"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0086422C"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39A550A0"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1612DE46"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6CE5E1B1"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74" w:type="dxa"/>
            <w:gridSpan w:val="10"/>
            <w:shd w:val="clear" w:color="auto" w:fill="ECECEC"/>
            <w:vAlign w:val="center"/>
          </w:tcPr>
          <w:p w14:paraId="4A104154"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275" w:type="dxa"/>
            <w:gridSpan w:val="6"/>
            <w:shd w:val="clear" w:color="auto" w:fill="ECECEC"/>
            <w:vAlign w:val="center"/>
          </w:tcPr>
          <w:p w14:paraId="6CA7216F" w14:textId="77777777" w:rsidR="00F617BE" w:rsidRPr="00AA19A8" w:rsidRDefault="00F617BE" w:rsidP="00476B7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34581F67" w14:textId="77777777" w:rsidTr="006B65DC">
        <w:trPr>
          <w:cantSplit/>
          <w:trHeight w:val="3402"/>
        </w:trPr>
        <w:tc>
          <w:tcPr>
            <w:tcW w:w="2344" w:type="dxa"/>
            <w:vAlign w:val="center"/>
          </w:tcPr>
          <w:p w14:paraId="2976132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капиталних пројеката који су укључени у буџет, који подлежу оцени и који су оцењени у складу са методологијом која уређује капиталне пројекте</w:t>
            </w:r>
          </w:p>
        </w:tc>
        <w:tc>
          <w:tcPr>
            <w:tcW w:w="2965" w:type="dxa"/>
            <w:gridSpan w:val="10"/>
            <w:vAlign w:val="center"/>
          </w:tcPr>
          <w:p w14:paraId="31CA4C76"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38E41DAA"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Закон о буџету/Листа РККИ</w:t>
            </w:r>
          </w:p>
        </w:tc>
        <w:tc>
          <w:tcPr>
            <w:tcW w:w="2322" w:type="dxa"/>
            <w:gridSpan w:val="14"/>
            <w:vAlign w:val="center"/>
          </w:tcPr>
          <w:p w14:paraId="2252D196"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w:t>
            </w:r>
          </w:p>
        </w:tc>
        <w:tc>
          <w:tcPr>
            <w:tcW w:w="2276" w:type="dxa"/>
            <w:gridSpan w:val="16"/>
            <w:vAlign w:val="center"/>
          </w:tcPr>
          <w:p w14:paraId="5E3F1E43"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3678E813" w14:textId="77777777" w:rsidR="00F617BE" w:rsidRPr="00AA19A8" w:rsidRDefault="00F617BE"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70%</w:t>
            </w:r>
          </w:p>
        </w:tc>
        <w:tc>
          <w:tcPr>
            <w:tcW w:w="1074" w:type="dxa"/>
            <w:gridSpan w:val="10"/>
            <w:vAlign w:val="center"/>
          </w:tcPr>
          <w:p w14:paraId="576C04C8" w14:textId="763453B0" w:rsidR="00F617BE" w:rsidRPr="00AA19A8" w:rsidRDefault="00BA7E6D"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w:t>
            </w:r>
            <w:r w:rsidR="00F617BE" w:rsidRPr="00AA19A8">
              <w:rPr>
                <w:rFonts w:ascii="Times New Roman" w:hAnsi="Times New Roman" w:cs="Times New Roman"/>
                <w:sz w:val="20"/>
                <w:szCs w:val="20"/>
                <w:lang w:val="sr-Cyrl-CS"/>
              </w:rPr>
              <w:t>%</w:t>
            </w:r>
          </w:p>
        </w:tc>
        <w:tc>
          <w:tcPr>
            <w:tcW w:w="1275" w:type="dxa"/>
            <w:gridSpan w:val="6"/>
            <w:vAlign w:val="center"/>
          </w:tcPr>
          <w:p w14:paraId="66004B5D" w14:textId="55045625" w:rsidR="00F617BE" w:rsidRPr="00AA19A8" w:rsidRDefault="00BA7E6D" w:rsidP="00476B79">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90</w:t>
            </w:r>
            <w:r w:rsidR="00F617BE" w:rsidRPr="00AA19A8">
              <w:rPr>
                <w:rFonts w:ascii="Times New Roman" w:hAnsi="Times New Roman" w:cs="Times New Roman"/>
                <w:sz w:val="20"/>
                <w:szCs w:val="20"/>
                <w:lang w:val="sr-Cyrl-CS"/>
              </w:rPr>
              <w:t>%</w:t>
            </w:r>
          </w:p>
        </w:tc>
      </w:tr>
      <w:tr w:rsidR="00D30238" w:rsidRPr="00AA19A8" w14:paraId="73320ED3" w14:textId="77777777" w:rsidTr="006B65DC">
        <w:trPr>
          <w:cantSplit/>
          <w:trHeight w:val="629"/>
        </w:trPr>
        <w:tc>
          <w:tcPr>
            <w:tcW w:w="2344" w:type="dxa"/>
            <w:vMerge w:val="restart"/>
            <w:shd w:val="clear" w:color="auto" w:fill="ECECEC"/>
            <w:vAlign w:val="center"/>
          </w:tcPr>
          <w:p w14:paraId="33B98C7C"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704F3142"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2921A45E"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0AAB7980"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6F60E4AF"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37D4A9B9" w14:textId="77777777" w:rsidTr="006B65DC">
        <w:trPr>
          <w:cantSplit/>
          <w:trHeight w:val="1253"/>
        </w:trPr>
        <w:tc>
          <w:tcPr>
            <w:tcW w:w="2344" w:type="dxa"/>
            <w:vMerge/>
            <w:shd w:val="clear" w:color="auto" w:fill="ECECEC"/>
            <w:vAlign w:val="center"/>
          </w:tcPr>
          <w:p w14:paraId="626F9B3A" w14:textId="77777777" w:rsidR="00F617BE" w:rsidRPr="00AA19A8" w:rsidRDefault="00F617BE" w:rsidP="00F617BE">
            <w:pPr>
              <w:rPr>
                <w:rFonts w:ascii="Times New Roman" w:hAnsi="Times New Roman" w:cs="Times New Roman"/>
                <w:sz w:val="20"/>
                <w:szCs w:val="20"/>
                <w:lang w:val="sr-Cyrl-CS"/>
              </w:rPr>
            </w:pPr>
          </w:p>
        </w:tc>
        <w:tc>
          <w:tcPr>
            <w:tcW w:w="1454" w:type="dxa"/>
            <w:gridSpan w:val="5"/>
            <w:vMerge/>
            <w:shd w:val="clear" w:color="auto" w:fill="ECECEC"/>
            <w:vAlign w:val="center"/>
          </w:tcPr>
          <w:p w14:paraId="6EA2F388" w14:textId="77777777" w:rsidR="00F617BE" w:rsidRPr="00AA19A8" w:rsidRDefault="00F617BE" w:rsidP="0021686A">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7C65A515" w14:textId="77777777" w:rsidR="00F617BE" w:rsidRPr="00AA19A8" w:rsidRDefault="00F617BE" w:rsidP="0021686A">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627B206C" w14:textId="77777777" w:rsidR="00F617BE" w:rsidRPr="00AA19A8" w:rsidRDefault="00F617BE" w:rsidP="0021686A">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2897AA93"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5D778CFC"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4E68999B"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1DD9A507"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419CCF97" w14:textId="77777777" w:rsidR="00F617BE" w:rsidRPr="00AA19A8" w:rsidRDefault="00F617BE" w:rsidP="0021686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373D84D6" w14:textId="77777777" w:rsidTr="006B65DC">
        <w:trPr>
          <w:cantSplit/>
          <w:trHeight w:val="1587"/>
        </w:trPr>
        <w:tc>
          <w:tcPr>
            <w:tcW w:w="2344" w:type="dxa"/>
            <w:vAlign w:val="center"/>
          </w:tcPr>
          <w:p w14:paraId="747FFE3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1.4.1 Измене и допуне правног оквира у складу са идентификованим слабостима примене у пракси</w:t>
            </w:r>
          </w:p>
        </w:tc>
        <w:tc>
          <w:tcPr>
            <w:tcW w:w="1454" w:type="dxa"/>
            <w:gridSpan w:val="5"/>
            <w:vAlign w:val="center"/>
          </w:tcPr>
          <w:p w14:paraId="6D476B6D"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11" w:type="dxa"/>
            <w:gridSpan w:val="5"/>
            <w:vAlign w:val="center"/>
          </w:tcPr>
          <w:p w14:paraId="67F11554"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26CC248A" w14:textId="77777777" w:rsidR="00F617BE" w:rsidRPr="00AA19A8" w:rsidRDefault="00F617BE" w:rsidP="0021686A">
            <w:pPr>
              <w:jc w:val="center"/>
              <w:rPr>
                <w:rFonts w:ascii="Times New Roman" w:hAnsi="Times New Roman" w:cs="Times New Roman"/>
                <w:i/>
                <w:iCs/>
                <w:sz w:val="20"/>
                <w:szCs w:val="20"/>
                <w:lang w:val="sr-Cyrl-CS"/>
              </w:rPr>
            </w:pPr>
            <w:r w:rsidRPr="00AA19A8">
              <w:rPr>
                <w:rFonts w:ascii="Times New Roman" w:hAnsi="Times New Roman" w:cs="Times New Roman"/>
                <w:i/>
                <w:iCs/>
                <w:sz w:val="20"/>
                <w:szCs w:val="20"/>
                <w:lang w:val="sr-Cyrl-CS"/>
              </w:rPr>
              <w:t>World Bank, SECO, IMF</w:t>
            </w:r>
          </w:p>
        </w:tc>
        <w:tc>
          <w:tcPr>
            <w:tcW w:w="2322" w:type="dxa"/>
            <w:gridSpan w:val="14"/>
            <w:vAlign w:val="center"/>
          </w:tcPr>
          <w:p w14:paraId="00A280A1"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752D4054" w14:textId="77777777" w:rsidR="00F617BE" w:rsidRPr="00AA19A8" w:rsidRDefault="00F617BE" w:rsidP="0021686A">
            <w:pPr>
              <w:jc w:val="center"/>
              <w:rPr>
                <w:rFonts w:ascii="Times New Roman" w:hAnsi="Times New Roman" w:cs="Times New Roman"/>
                <w:sz w:val="20"/>
                <w:szCs w:val="20"/>
                <w:lang w:val="sr-Cyrl-CS"/>
              </w:rPr>
            </w:pPr>
          </w:p>
        </w:tc>
        <w:tc>
          <w:tcPr>
            <w:tcW w:w="1060" w:type="dxa"/>
            <w:gridSpan w:val="11"/>
            <w:vAlign w:val="center"/>
          </w:tcPr>
          <w:p w14:paraId="6409DE49"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2.400</w:t>
            </w:r>
          </w:p>
        </w:tc>
        <w:tc>
          <w:tcPr>
            <w:tcW w:w="1074" w:type="dxa"/>
            <w:gridSpan w:val="10"/>
            <w:vAlign w:val="center"/>
          </w:tcPr>
          <w:p w14:paraId="69A180FE"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73DE6E61"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139A81B" w14:textId="77777777" w:rsidTr="006B65DC">
        <w:trPr>
          <w:cantSplit/>
          <w:trHeight w:val="1701"/>
        </w:trPr>
        <w:tc>
          <w:tcPr>
            <w:tcW w:w="2344" w:type="dxa"/>
            <w:vAlign w:val="center"/>
          </w:tcPr>
          <w:p w14:paraId="4E1DDA7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1.4.2 Унапређење и стандардизација извештаја за јавност о статусу капиталних пројеката који се прате у складу са методологијом</w:t>
            </w:r>
          </w:p>
        </w:tc>
        <w:tc>
          <w:tcPr>
            <w:tcW w:w="1454" w:type="dxa"/>
            <w:gridSpan w:val="5"/>
            <w:vAlign w:val="center"/>
          </w:tcPr>
          <w:p w14:paraId="6A53B198"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11" w:type="dxa"/>
            <w:gridSpan w:val="5"/>
            <w:vAlign w:val="center"/>
          </w:tcPr>
          <w:p w14:paraId="27D0F94C"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16F8B3BA" w14:textId="77777777" w:rsidR="00F617BE" w:rsidRPr="00AA19A8" w:rsidRDefault="00F617BE" w:rsidP="0021686A">
            <w:pPr>
              <w:jc w:val="center"/>
              <w:rPr>
                <w:rFonts w:ascii="Times New Roman" w:hAnsi="Times New Roman" w:cs="Times New Roman"/>
                <w:i/>
                <w:iCs/>
                <w:sz w:val="20"/>
                <w:szCs w:val="20"/>
                <w:lang w:val="sr-Cyrl-CS"/>
              </w:rPr>
            </w:pPr>
            <w:r w:rsidRPr="00AA19A8">
              <w:rPr>
                <w:rFonts w:ascii="Times New Roman" w:hAnsi="Times New Roman" w:cs="Times New Roman"/>
                <w:i/>
                <w:iCs/>
                <w:sz w:val="20"/>
                <w:szCs w:val="20"/>
                <w:lang w:val="sr-Cyrl-CS"/>
              </w:rPr>
              <w:t>World Bank, SECO, IMF</w:t>
            </w:r>
          </w:p>
        </w:tc>
        <w:tc>
          <w:tcPr>
            <w:tcW w:w="2322" w:type="dxa"/>
            <w:gridSpan w:val="14"/>
            <w:vAlign w:val="center"/>
          </w:tcPr>
          <w:p w14:paraId="5E139540"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3051984F" w14:textId="77777777" w:rsidR="00F617BE" w:rsidRPr="00AA19A8" w:rsidRDefault="00F617BE" w:rsidP="0021686A">
            <w:pPr>
              <w:jc w:val="center"/>
              <w:rPr>
                <w:rFonts w:ascii="Times New Roman" w:hAnsi="Times New Roman" w:cs="Times New Roman"/>
                <w:sz w:val="20"/>
                <w:szCs w:val="20"/>
                <w:lang w:val="sr-Cyrl-CS"/>
              </w:rPr>
            </w:pPr>
          </w:p>
        </w:tc>
        <w:tc>
          <w:tcPr>
            <w:tcW w:w="1060" w:type="dxa"/>
            <w:gridSpan w:val="11"/>
            <w:vAlign w:val="center"/>
          </w:tcPr>
          <w:p w14:paraId="454CE34B"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31B890DC"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1.000</w:t>
            </w:r>
          </w:p>
        </w:tc>
        <w:tc>
          <w:tcPr>
            <w:tcW w:w="1275" w:type="dxa"/>
            <w:gridSpan w:val="6"/>
            <w:vAlign w:val="center"/>
          </w:tcPr>
          <w:p w14:paraId="109A0EE2"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6358EB3F" w14:textId="77777777" w:rsidTr="006B65DC">
        <w:trPr>
          <w:cantSplit/>
          <w:trHeight w:val="3742"/>
        </w:trPr>
        <w:tc>
          <w:tcPr>
            <w:tcW w:w="2344" w:type="dxa"/>
            <w:vAlign w:val="center"/>
          </w:tcPr>
          <w:p w14:paraId="1BF2C989"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1.4.3 Упознавање службеника у Сектору за капиталне пројекте са добром међународном праксом која се односе на планирање, праћење и извештавање у области јавних инвестиција кроз једну студијску посету и организацију  радионице за запослене у Сектору за капиталне пројекте и за друге ресоре</w:t>
            </w:r>
          </w:p>
        </w:tc>
        <w:tc>
          <w:tcPr>
            <w:tcW w:w="1454" w:type="dxa"/>
            <w:gridSpan w:val="5"/>
            <w:vAlign w:val="center"/>
          </w:tcPr>
          <w:p w14:paraId="4C2A4950"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11" w:type="dxa"/>
            <w:gridSpan w:val="5"/>
            <w:vAlign w:val="center"/>
          </w:tcPr>
          <w:p w14:paraId="0D4B5E6A"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1F71CA4C" w14:textId="77777777" w:rsidR="00F617BE" w:rsidRPr="00AA19A8" w:rsidRDefault="00F617BE" w:rsidP="0021686A">
            <w:pPr>
              <w:jc w:val="center"/>
              <w:rPr>
                <w:rFonts w:ascii="Times New Roman" w:hAnsi="Times New Roman" w:cs="Times New Roman"/>
                <w:i/>
                <w:iCs/>
                <w:sz w:val="20"/>
                <w:szCs w:val="20"/>
                <w:lang w:val="sr-Cyrl-CS"/>
              </w:rPr>
            </w:pPr>
            <w:r w:rsidRPr="00AA19A8">
              <w:rPr>
                <w:rFonts w:ascii="Times New Roman" w:hAnsi="Times New Roman" w:cs="Times New Roman"/>
                <w:i/>
                <w:iCs/>
                <w:sz w:val="20"/>
                <w:szCs w:val="20"/>
                <w:lang w:val="sr-Cyrl-CS"/>
              </w:rPr>
              <w:t>World Bank, SECO, IMF</w:t>
            </w:r>
          </w:p>
        </w:tc>
        <w:tc>
          <w:tcPr>
            <w:tcW w:w="2322" w:type="dxa"/>
            <w:gridSpan w:val="14"/>
            <w:vAlign w:val="center"/>
          </w:tcPr>
          <w:p w14:paraId="6B6A8B84"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717732D9" w14:textId="77777777" w:rsidR="00F617BE" w:rsidRPr="00AA19A8" w:rsidRDefault="00F617BE" w:rsidP="0021686A">
            <w:pPr>
              <w:jc w:val="center"/>
              <w:rPr>
                <w:rFonts w:ascii="Times New Roman" w:hAnsi="Times New Roman" w:cs="Times New Roman"/>
                <w:sz w:val="20"/>
                <w:szCs w:val="20"/>
                <w:lang w:val="sr-Cyrl-CS"/>
              </w:rPr>
            </w:pPr>
          </w:p>
        </w:tc>
        <w:tc>
          <w:tcPr>
            <w:tcW w:w="1060" w:type="dxa"/>
            <w:gridSpan w:val="11"/>
            <w:vAlign w:val="center"/>
          </w:tcPr>
          <w:p w14:paraId="04E69E41" w14:textId="77777777" w:rsidR="00F617BE" w:rsidRPr="00AA19A8" w:rsidDel="002758DB"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2.500</w:t>
            </w:r>
          </w:p>
        </w:tc>
        <w:tc>
          <w:tcPr>
            <w:tcW w:w="1074" w:type="dxa"/>
            <w:gridSpan w:val="10"/>
            <w:vAlign w:val="center"/>
          </w:tcPr>
          <w:p w14:paraId="1E51DAFD"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454AD84D"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338D826A" w14:textId="77777777" w:rsidTr="006B65DC">
        <w:trPr>
          <w:cantSplit/>
          <w:trHeight w:val="1877"/>
        </w:trPr>
        <w:tc>
          <w:tcPr>
            <w:tcW w:w="2344" w:type="dxa"/>
            <w:vAlign w:val="center"/>
          </w:tcPr>
          <w:p w14:paraId="6545B197"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1.4.4 Израда приручника о методологији у области капиталних пројеката (дизајн, припрема за штампу, лектура, консултантска подршка за садржај)</w:t>
            </w:r>
          </w:p>
        </w:tc>
        <w:tc>
          <w:tcPr>
            <w:tcW w:w="1454" w:type="dxa"/>
            <w:gridSpan w:val="5"/>
            <w:vAlign w:val="center"/>
          </w:tcPr>
          <w:p w14:paraId="3DBAE8AA"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Q1 2028</w:t>
            </w:r>
          </w:p>
        </w:tc>
        <w:tc>
          <w:tcPr>
            <w:tcW w:w="1511" w:type="dxa"/>
            <w:gridSpan w:val="5"/>
            <w:vAlign w:val="center"/>
          </w:tcPr>
          <w:p w14:paraId="467C906F"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Сектор за капиталне пројекте</w:t>
            </w:r>
          </w:p>
        </w:tc>
        <w:tc>
          <w:tcPr>
            <w:tcW w:w="2560" w:type="dxa"/>
            <w:gridSpan w:val="7"/>
            <w:vAlign w:val="center"/>
          </w:tcPr>
          <w:p w14:paraId="33BDC186" w14:textId="77777777" w:rsidR="00F617BE" w:rsidRPr="00AA19A8" w:rsidRDefault="00F617BE" w:rsidP="0021686A">
            <w:pPr>
              <w:jc w:val="center"/>
              <w:rPr>
                <w:rFonts w:ascii="Times New Roman" w:hAnsi="Times New Roman" w:cs="Times New Roman"/>
                <w:i/>
                <w:iCs/>
                <w:sz w:val="20"/>
                <w:szCs w:val="20"/>
                <w:lang w:val="sr-Cyrl-CS"/>
              </w:rPr>
            </w:pPr>
            <w:r w:rsidRPr="00AA19A8">
              <w:rPr>
                <w:rFonts w:ascii="Times New Roman" w:hAnsi="Times New Roman" w:cs="Times New Roman"/>
                <w:i/>
                <w:iCs/>
                <w:sz w:val="20"/>
                <w:szCs w:val="20"/>
                <w:lang w:val="sr-Cyrl-CS"/>
              </w:rPr>
              <w:t>SECO</w:t>
            </w:r>
          </w:p>
        </w:tc>
        <w:tc>
          <w:tcPr>
            <w:tcW w:w="2322" w:type="dxa"/>
            <w:gridSpan w:val="14"/>
            <w:vAlign w:val="center"/>
          </w:tcPr>
          <w:p w14:paraId="11B60B4C"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276" w:type="dxa"/>
            <w:gridSpan w:val="16"/>
            <w:vAlign w:val="center"/>
          </w:tcPr>
          <w:p w14:paraId="0FDC1F61" w14:textId="77777777" w:rsidR="00F617BE" w:rsidRPr="00AA19A8" w:rsidRDefault="00F617BE" w:rsidP="0021686A">
            <w:pPr>
              <w:jc w:val="center"/>
              <w:rPr>
                <w:rFonts w:ascii="Times New Roman" w:hAnsi="Times New Roman" w:cs="Times New Roman"/>
                <w:sz w:val="20"/>
                <w:szCs w:val="20"/>
                <w:lang w:val="sr-Cyrl-CS"/>
              </w:rPr>
            </w:pPr>
          </w:p>
        </w:tc>
        <w:tc>
          <w:tcPr>
            <w:tcW w:w="1060" w:type="dxa"/>
            <w:gridSpan w:val="11"/>
            <w:vAlign w:val="center"/>
          </w:tcPr>
          <w:p w14:paraId="0AAC8BA2" w14:textId="77777777" w:rsidR="00F617BE" w:rsidRPr="00AA19A8" w:rsidDel="002758DB"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18756C98"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w:t>
            </w:r>
          </w:p>
        </w:tc>
        <w:tc>
          <w:tcPr>
            <w:tcW w:w="1275" w:type="dxa"/>
            <w:gridSpan w:val="6"/>
            <w:vAlign w:val="center"/>
          </w:tcPr>
          <w:p w14:paraId="6BD3B32C" w14:textId="77777777" w:rsidR="00F617BE" w:rsidRPr="00AA19A8" w:rsidRDefault="00F617BE" w:rsidP="0021686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r>
      <w:tr w:rsidR="00D30238" w:rsidRPr="00AA19A8" w14:paraId="29C1036B" w14:textId="77777777" w:rsidTr="00BA7E6D">
        <w:trPr>
          <w:cantSplit/>
          <w:trHeight w:val="805"/>
        </w:trPr>
        <w:tc>
          <w:tcPr>
            <w:tcW w:w="15876" w:type="dxa"/>
            <w:gridSpan w:val="75"/>
            <w:shd w:val="clear" w:color="auto" w:fill="ECECEC"/>
            <w:vAlign w:val="center"/>
          </w:tcPr>
          <w:p w14:paraId="56D0F7D8" w14:textId="77777777" w:rsidR="00F617BE" w:rsidRPr="00AA19A8" w:rsidRDefault="00F617BE" w:rsidP="00F617BE">
            <w:pPr>
              <w:rPr>
                <w:rFonts w:ascii="Times New Roman" w:hAnsi="Times New Roman" w:cs="Times New Roman"/>
                <w:b/>
                <w:bCs/>
                <w:i/>
                <w:iCs/>
                <w:sz w:val="20"/>
                <w:szCs w:val="20"/>
                <w:lang w:val="sr-Cyrl-CS"/>
              </w:rPr>
            </w:pPr>
            <w:bookmarkStart w:id="20" w:name="_Toc73613649"/>
            <w:r w:rsidRPr="00AA19A8">
              <w:rPr>
                <w:rFonts w:ascii="Times New Roman" w:hAnsi="Times New Roman" w:cs="Times New Roman"/>
                <w:b/>
                <w:bCs/>
                <w:i/>
                <w:iCs/>
                <w:sz w:val="20"/>
                <w:szCs w:val="20"/>
                <w:lang w:val="sr-Cyrl-CS"/>
              </w:rPr>
              <w:lastRenderedPageBreak/>
              <w:t>Мера 1.5:  Јачање капацитета Одељења за праћење фискалних ризика</w:t>
            </w:r>
            <w:bookmarkEnd w:id="20"/>
          </w:p>
        </w:tc>
      </w:tr>
      <w:tr w:rsidR="00D30238" w:rsidRPr="00AA19A8" w14:paraId="63349B87" w14:textId="77777777" w:rsidTr="006B65DC">
        <w:trPr>
          <w:cantSplit/>
          <w:trHeight w:val="805"/>
        </w:trPr>
        <w:tc>
          <w:tcPr>
            <w:tcW w:w="2344" w:type="dxa"/>
            <w:shd w:val="clear" w:color="auto" w:fill="ECECEC"/>
            <w:vAlign w:val="center"/>
          </w:tcPr>
          <w:p w14:paraId="6CACF390"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4208D765" w14:textId="77777777" w:rsidR="00F617BE" w:rsidRPr="00AA19A8" w:rsidRDefault="00F617BE" w:rsidP="0021686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683C0FBC" w14:textId="77777777" w:rsidR="00F617BE" w:rsidRPr="00AA19A8" w:rsidRDefault="00F617BE" w:rsidP="0021686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7FC2D38E" w14:textId="77777777" w:rsidTr="006B65DC">
        <w:trPr>
          <w:cantSplit/>
          <w:trHeight w:val="805"/>
        </w:trPr>
        <w:tc>
          <w:tcPr>
            <w:tcW w:w="2344" w:type="dxa"/>
            <w:shd w:val="clear" w:color="auto" w:fill="ECECEC"/>
            <w:vAlign w:val="center"/>
          </w:tcPr>
          <w:p w14:paraId="743F6A06"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2965" w:type="dxa"/>
            <w:gridSpan w:val="10"/>
            <w:shd w:val="clear" w:color="auto" w:fill="ECECEC"/>
            <w:vAlign w:val="center"/>
          </w:tcPr>
          <w:p w14:paraId="3FD35C2B" w14:textId="77777777" w:rsidR="00F617BE" w:rsidRPr="00AA19A8" w:rsidRDefault="00F617BE" w:rsidP="0021686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2301-0013</w:t>
            </w:r>
          </w:p>
        </w:tc>
        <w:tc>
          <w:tcPr>
            <w:tcW w:w="3303" w:type="dxa"/>
            <w:gridSpan w:val="12"/>
            <w:shd w:val="clear" w:color="auto" w:fill="ECECEC"/>
            <w:vAlign w:val="center"/>
          </w:tcPr>
          <w:p w14:paraId="2A83BE5B" w14:textId="77777777" w:rsidR="00F617BE" w:rsidRPr="00AA19A8" w:rsidRDefault="00F617BE" w:rsidP="0021686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28.350</w:t>
            </w:r>
          </w:p>
        </w:tc>
        <w:tc>
          <w:tcPr>
            <w:tcW w:w="3308" w:type="dxa"/>
            <w:gridSpan w:val="18"/>
            <w:shd w:val="clear" w:color="auto" w:fill="ECECEC"/>
            <w:vAlign w:val="center"/>
          </w:tcPr>
          <w:p w14:paraId="1B2A6FA5" w14:textId="77777777" w:rsidR="00F617BE" w:rsidRPr="00AA19A8" w:rsidRDefault="00F617BE" w:rsidP="0021686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25.200</w:t>
            </w:r>
          </w:p>
        </w:tc>
        <w:tc>
          <w:tcPr>
            <w:tcW w:w="3956" w:type="dxa"/>
            <w:gridSpan w:val="34"/>
            <w:shd w:val="clear" w:color="auto" w:fill="ECECEC"/>
            <w:vAlign w:val="center"/>
          </w:tcPr>
          <w:p w14:paraId="4609C477" w14:textId="77777777" w:rsidR="00F617BE" w:rsidRPr="00AA19A8" w:rsidRDefault="00F617BE" w:rsidP="0021686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14.700</w:t>
            </w:r>
          </w:p>
        </w:tc>
      </w:tr>
      <w:tr w:rsidR="00D30238" w:rsidRPr="00AA19A8" w14:paraId="20FB80B7" w14:textId="77777777" w:rsidTr="00BA7E6D">
        <w:trPr>
          <w:cantSplit/>
          <w:trHeight w:val="805"/>
        </w:trPr>
        <w:tc>
          <w:tcPr>
            <w:tcW w:w="15876" w:type="dxa"/>
            <w:gridSpan w:val="75"/>
            <w:shd w:val="clear" w:color="auto" w:fill="ECECEC"/>
            <w:vAlign w:val="center"/>
          </w:tcPr>
          <w:p w14:paraId="703AF5FB" w14:textId="77777777" w:rsidR="00F617BE" w:rsidRPr="00AA19A8" w:rsidRDefault="00F617BE" w:rsidP="00F617BE">
            <w:pPr>
              <w:rPr>
                <w:rFonts w:ascii="Times New Roman" w:hAnsi="Times New Roman" w:cs="Times New Roman"/>
                <w:b/>
                <w:bCs/>
                <w:i/>
                <w:iCs/>
                <w:sz w:val="20"/>
                <w:szCs w:val="20"/>
                <w:lang w:val="sr-Cyrl-CS"/>
              </w:rPr>
            </w:pPr>
            <w:bookmarkStart w:id="21" w:name="_Toc73613650"/>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 Сектор буџета, Одељење за праћење фискалних ризика</w:t>
            </w:r>
            <w:bookmarkEnd w:id="21"/>
          </w:p>
        </w:tc>
      </w:tr>
      <w:tr w:rsidR="00D30238" w:rsidRPr="00AA19A8" w14:paraId="12A80548" w14:textId="77777777" w:rsidTr="006B65DC">
        <w:trPr>
          <w:cantSplit/>
          <w:trHeight w:val="805"/>
        </w:trPr>
        <w:tc>
          <w:tcPr>
            <w:tcW w:w="7869" w:type="dxa"/>
            <w:gridSpan w:val="18"/>
            <w:shd w:val="clear" w:color="auto" w:fill="ECECEC"/>
            <w:vAlign w:val="center"/>
          </w:tcPr>
          <w:p w14:paraId="6B85C0EC" w14:textId="2F22A58C" w:rsidR="00F617BE" w:rsidRPr="00AA19A8" w:rsidRDefault="00F617BE" w:rsidP="00F617BE">
            <w:pPr>
              <w:rPr>
                <w:rFonts w:ascii="Times New Roman" w:hAnsi="Times New Roman" w:cs="Times New Roman"/>
                <w:b/>
                <w:bCs/>
                <w:i/>
                <w:iCs/>
                <w:sz w:val="20"/>
                <w:szCs w:val="20"/>
                <w:lang w:val="sr-Cyrl-CS"/>
              </w:rPr>
            </w:pPr>
            <w:bookmarkStart w:id="22" w:name="_Toc73613651"/>
            <w:r w:rsidRPr="00AA19A8">
              <w:rPr>
                <w:rFonts w:ascii="Times New Roman" w:hAnsi="Times New Roman" w:cs="Times New Roman"/>
                <w:b/>
                <w:bCs/>
                <w:i/>
                <w:iCs/>
                <w:sz w:val="20"/>
                <w:szCs w:val="20"/>
                <w:lang w:val="sr-Cyrl-CS"/>
              </w:rPr>
              <w:t>Период спровођења: 2026-</w:t>
            </w:r>
            <w:bookmarkEnd w:id="22"/>
            <w:r w:rsidRPr="00AA19A8">
              <w:rPr>
                <w:rFonts w:ascii="Times New Roman" w:hAnsi="Times New Roman" w:cs="Times New Roman"/>
                <w:b/>
                <w:bCs/>
                <w:i/>
                <w:iCs/>
                <w:sz w:val="20"/>
                <w:szCs w:val="20"/>
                <w:lang w:val="sr-Cyrl-CS"/>
              </w:rPr>
              <w:t>2030</w:t>
            </w:r>
            <w:r w:rsidR="00713D3C" w:rsidRPr="00AA19A8">
              <w:rPr>
                <w:rFonts w:ascii="Times New Roman" w:hAnsi="Times New Roman" w:cs="Times New Roman"/>
                <w:b/>
                <w:bCs/>
                <w:i/>
                <w:iCs/>
                <w:sz w:val="20"/>
                <w:szCs w:val="20"/>
                <w:lang w:val="sr-Cyrl-CS"/>
              </w:rPr>
              <w:t>.</w:t>
            </w:r>
          </w:p>
        </w:tc>
        <w:tc>
          <w:tcPr>
            <w:tcW w:w="8007" w:type="dxa"/>
            <w:gridSpan w:val="57"/>
            <w:shd w:val="clear" w:color="auto" w:fill="ECECEC"/>
            <w:vAlign w:val="center"/>
          </w:tcPr>
          <w:p w14:paraId="054712C7" w14:textId="77777777" w:rsidR="00F617BE" w:rsidRPr="00AA19A8" w:rsidRDefault="00F617BE" w:rsidP="00F617BE">
            <w:pPr>
              <w:rPr>
                <w:rFonts w:ascii="Times New Roman" w:hAnsi="Times New Roman" w:cs="Times New Roman"/>
                <w:b/>
                <w:bCs/>
                <w:i/>
                <w:iCs/>
                <w:sz w:val="20"/>
                <w:szCs w:val="20"/>
                <w:lang w:val="sr-Cyrl-CS"/>
              </w:rPr>
            </w:pPr>
            <w:bookmarkStart w:id="23" w:name="_Toc73613652"/>
            <w:r w:rsidRPr="00AA19A8">
              <w:rPr>
                <w:rFonts w:ascii="Times New Roman" w:hAnsi="Times New Roman" w:cs="Times New Roman"/>
                <w:b/>
                <w:bCs/>
                <w:i/>
                <w:iCs/>
                <w:sz w:val="20"/>
                <w:szCs w:val="20"/>
                <w:lang w:val="sr-Cyrl-CS"/>
              </w:rPr>
              <w:t>Тип мере: Институционално управљачко организациона</w:t>
            </w:r>
            <w:bookmarkEnd w:id="23"/>
          </w:p>
        </w:tc>
      </w:tr>
      <w:tr w:rsidR="00D30238" w:rsidRPr="00AA19A8" w14:paraId="50DA916E" w14:textId="77777777" w:rsidTr="006B65DC">
        <w:trPr>
          <w:cantSplit/>
          <w:trHeight w:val="1253"/>
        </w:trPr>
        <w:tc>
          <w:tcPr>
            <w:tcW w:w="2344" w:type="dxa"/>
            <w:shd w:val="clear" w:color="auto" w:fill="ECECEC"/>
            <w:vAlign w:val="center"/>
          </w:tcPr>
          <w:p w14:paraId="52DF5C58"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2965" w:type="dxa"/>
            <w:gridSpan w:val="10"/>
            <w:shd w:val="clear" w:color="auto" w:fill="ECECEC"/>
            <w:vAlign w:val="center"/>
          </w:tcPr>
          <w:p w14:paraId="5DE676DB"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6D6A960F"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2D0BA9DF"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1729" w:type="dxa"/>
            <w:gridSpan w:val="9"/>
            <w:shd w:val="clear" w:color="auto" w:fill="ECECEC"/>
            <w:vAlign w:val="center"/>
          </w:tcPr>
          <w:p w14:paraId="3380A38F"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236" w:type="dxa"/>
            <w:gridSpan w:val="17"/>
            <w:shd w:val="clear" w:color="auto" w:fill="ECECEC"/>
            <w:vAlign w:val="center"/>
          </w:tcPr>
          <w:p w14:paraId="690F6CBA"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0FCB1C3A"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231" w:type="dxa"/>
            <w:gridSpan w:val="10"/>
            <w:shd w:val="clear" w:color="auto" w:fill="ECECEC"/>
            <w:vAlign w:val="center"/>
          </w:tcPr>
          <w:p w14:paraId="7E068BD2"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5C2F04AD"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489" w:type="dxa"/>
            <w:gridSpan w:val="7"/>
            <w:shd w:val="clear" w:color="auto" w:fill="ECECEC"/>
            <w:vAlign w:val="center"/>
          </w:tcPr>
          <w:p w14:paraId="12D357C3" w14:textId="77777777" w:rsidR="00F617BE" w:rsidRPr="00AA19A8" w:rsidRDefault="00F617BE" w:rsidP="0097141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284E5369" w14:textId="77777777" w:rsidTr="006B65DC">
        <w:trPr>
          <w:cantSplit/>
          <w:trHeight w:val="1253"/>
        </w:trPr>
        <w:tc>
          <w:tcPr>
            <w:tcW w:w="2344" w:type="dxa"/>
            <w:vAlign w:val="center"/>
          </w:tcPr>
          <w:p w14:paraId="6C0A0EA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Објављен извештај о фискалним ризицима</w:t>
            </w:r>
          </w:p>
        </w:tc>
        <w:tc>
          <w:tcPr>
            <w:tcW w:w="2965" w:type="dxa"/>
            <w:gridSpan w:val="10"/>
            <w:vAlign w:val="center"/>
          </w:tcPr>
          <w:p w14:paraId="58E06FB6"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Објављено/Није објављено</w:t>
            </w:r>
          </w:p>
        </w:tc>
        <w:tc>
          <w:tcPr>
            <w:tcW w:w="2560" w:type="dxa"/>
            <w:gridSpan w:val="7"/>
            <w:vAlign w:val="center"/>
          </w:tcPr>
          <w:p w14:paraId="352A738E"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Интернет страница Министарства финансија</w:t>
            </w:r>
          </w:p>
        </w:tc>
        <w:tc>
          <w:tcPr>
            <w:tcW w:w="2322" w:type="dxa"/>
            <w:gridSpan w:val="14"/>
            <w:vAlign w:val="center"/>
          </w:tcPr>
          <w:p w14:paraId="389FF1A4"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729" w:type="dxa"/>
            <w:gridSpan w:val="9"/>
            <w:vAlign w:val="center"/>
          </w:tcPr>
          <w:p w14:paraId="6B05FF5C"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236" w:type="dxa"/>
            <w:gridSpan w:val="17"/>
            <w:vAlign w:val="center"/>
          </w:tcPr>
          <w:p w14:paraId="60226401"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Објављено</w:t>
            </w:r>
          </w:p>
        </w:tc>
        <w:tc>
          <w:tcPr>
            <w:tcW w:w="1231" w:type="dxa"/>
            <w:gridSpan w:val="10"/>
            <w:vAlign w:val="center"/>
          </w:tcPr>
          <w:p w14:paraId="226376AC"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Објављено</w:t>
            </w:r>
          </w:p>
        </w:tc>
        <w:tc>
          <w:tcPr>
            <w:tcW w:w="1489" w:type="dxa"/>
            <w:gridSpan w:val="7"/>
            <w:vAlign w:val="center"/>
          </w:tcPr>
          <w:p w14:paraId="5CCC6512"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Објављено</w:t>
            </w:r>
          </w:p>
        </w:tc>
      </w:tr>
      <w:tr w:rsidR="00D30238" w:rsidRPr="00AA19A8" w14:paraId="441BB8CF" w14:textId="77777777" w:rsidTr="006B65DC">
        <w:trPr>
          <w:cantSplit/>
          <w:trHeight w:val="1253"/>
        </w:trPr>
        <w:tc>
          <w:tcPr>
            <w:tcW w:w="2344" w:type="dxa"/>
            <w:vAlign w:val="center"/>
          </w:tcPr>
          <w:p w14:paraId="5FE29DE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Измена и допуна Јединствене методологије за праћење фискалних ризика у РС</w:t>
            </w:r>
          </w:p>
        </w:tc>
        <w:tc>
          <w:tcPr>
            <w:tcW w:w="2965" w:type="dxa"/>
            <w:gridSpan w:val="10"/>
            <w:vAlign w:val="center"/>
          </w:tcPr>
          <w:p w14:paraId="13CFF6E4"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Усвојено/Није усвојено</w:t>
            </w:r>
          </w:p>
        </w:tc>
        <w:tc>
          <w:tcPr>
            <w:tcW w:w="2560" w:type="dxa"/>
            <w:gridSpan w:val="7"/>
            <w:vAlign w:val="center"/>
          </w:tcPr>
          <w:p w14:paraId="2C3F521C"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Службени гласник РС</w:t>
            </w:r>
          </w:p>
        </w:tc>
        <w:tc>
          <w:tcPr>
            <w:tcW w:w="2322" w:type="dxa"/>
            <w:gridSpan w:val="14"/>
            <w:vAlign w:val="center"/>
          </w:tcPr>
          <w:p w14:paraId="143DC860"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729" w:type="dxa"/>
            <w:gridSpan w:val="9"/>
            <w:vAlign w:val="center"/>
          </w:tcPr>
          <w:p w14:paraId="213CDA4D"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236" w:type="dxa"/>
            <w:gridSpan w:val="17"/>
            <w:vAlign w:val="center"/>
          </w:tcPr>
          <w:p w14:paraId="368F8421"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31" w:type="dxa"/>
            <w:gridSpan w:val="10"/>
            <w:vAlign w:val="center"/>
          </w:tcPr>
          <w:p w14:paraId="3ACCBCC2"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489" w:type="dxa"/>
            <w:gridSpan w:val="7"/>
            <w:vAlign w:val="center"/>
          </w:tcPr>
          <w:p w14:paraId="5B721EFD" w14:textId="77777777" w:rsidR="00F617BE" w:rsidRPr="00AA19A8" w:rsidRDefault="00F617BE" w:rsidP="003B6AB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Усвојено</w:t>
            </w:r>
          </w:p>
        </w:tc>
      </w:tr>
      <w:tr w:rsidR="00D30238" w:rsidRPr="00AA19A8" w14:paraId="27161B73" w14:textId="77777777" w:rsidTr="006B65DC">
        <w:trPr>
          <w:cantSplit/>
          <w:trHeight w:val="629"/>
        </w:trPr>
        <w:tc>
          <w:tcPr>
            <w:tcW w:w="2344" w:type="dxa"/>
            <w:vMerge w:val="restart"/>
            <w:shd w:val="clear" w:color="auto" w:fill="ECECEC"/>
            <w:vAlign w:val="center"/>
          </w:tcPr>
          <w:p w14:paraId="768DC26D" w14:textId="77777777" w:rsidR="00F617BE" w:rsidRPr="00AA19A8" w:rsidRDefault="00F617BE" w:rsidP="003B6AB1">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3768B8A6"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47808542"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2884FD5C"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10F877BC"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13AA0442" w14:textId="77777777" w:rsidTr="006B65DC">
        <w:trPr>
          <w:cantSplit/>
          <w:trHeight w:val="1253"/>
        </w:trPr>
        <w:tc>
          <w:tcPr>
            <w:tcW w:w="2344" w:type="dxa"/>
            <w:vMerge/>
            <w:shd w:val="clear" w:color="auto" w:fill="ECECEC"/>
            <w:vAlign w:val="center"/>
          </w:tcPr>
          <w:p w14:paraId="1627CE71" w14:textId="77777777" w:rsidR="00F617BE" w:rsidRPr="00AA19A8" w:rsidRDefault="00F617BE" w:rsidP="003B6AB1">
            <w:pPr>
              <w:jc w:val="center"/>
              <w:rPr>
                <w:rFonts w:ascii="Times New Roman" w:hAnsi="Times New Roman" w:cs="Times New Roman"/>
                <w:b/>
                <w:bCs/>
                <w:sz w:val="20"/>
                <w:szCs w:val="20"/>
                <w:lang w:val="sr-Cyrl-CS"/>
              </w:rPr>
            </w:pPr>
          </w:p>
        </w:tc>
        <w:tc>
          <w:tcPr>
            <w:tcW w:w="1454" w:type="dxa"/>
            <w:gridSpan w:val="5"/>
            <w:vMerge/>
            <w:shd w:val="clear" w:color="auto" w:fill="ECECEC"/>
            <w:vAlign w:val="center"/>
          </w:tcPr>
          <w:p w14:paraId="1027795B" w14:textId="77777777" w:rsidR="00F617BE" w:rsidRPr="00AA19A8" w:rsidRDefault="00F617BE" w:rsidP="003B6AB1">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5567434B" w14:textId="77777777" w:rsidR="00F617BE" w:rsidRPr="00AA19A8" w:rsidRDefault="00F617BE" w:rsidP="003B6AB1">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758D66AA" w14:textId="77777777" w:rsidR="00F617BE" w:rsidRPr="00AA19A8" w:rsidRDefault="00F617BE" w:rsidP="003B6AB1">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4CA88078"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7755470B"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1D936DD4"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3BE9292B"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7ADD3793" w14:textId="77777777" w:rsidR="00F617BE" w:rsidRPr="00AA19A8" w:rsidRDefault="00F617BE" w:rsidP="003B6AB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176E39C9" w14:textId="77777777" w:rsidTr="006B65DC">
        <w:trPr>
          <w:cantSplit/>
          <w:trHeight w:val="2268"/>
        </w:trPr>
        <w:tc>
          <w:tcPr>
            <w:tcW w:w="2344" w:type="dxa"/>
            <w:vAlign w:val="center"/>
          </w:tcPr>
          <w:p w14:paraId="7C72033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1.5.1 Унапређење и стандардизација извештавања о фискалним ризицима</w:t>
            </w:r>
          </w:p>
        </w:tc>
        <w:tc>
          <w:tcPr>
            <w:tcW w:w="1454" w:type="dxa"/>
            <w:gridSpan w:val="5"/>
            <w:vAlign w:val="center"/>
          </w:tcPr>
          <w:p w14:paraId="3CF2010A"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11" w:type="dxa"/>
            <w:gridSpan w:val="5"/>
            <w:vAlign w:val="center"/>
          </w:tcPr>
          <w:p w14:paraId="2B1EAEFB"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Сектор буџета, Одељење за праћење фискалних ризика</w:t>
            </w:r>
          </w:p>
        </w:tc>
        <w:tc>
          <w:tcPr>
            <w:tcW w:w="2560" w:type="dxa"/>
            <w:gridSpan w:val="7"/>
            <w:vAlign w:val="center"/>
          </w:tcPr>
          <w:p w14:paraId="532B9E90"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Светска банка</w:t>
            </w:r>
          </w:p>
        </w:tc>
        <w:tc>
          <w:tcPr>
            <w:tcW w:w="2322" w:type="dxa"/>
            <w:gridSpan w:val="14"/>
            <w:vAlign w:val="center"/>
          </w:tcPr>
          <w:p w14:paraId="4B6EC9D0"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 Донаторска средства</w:t>
            </w:r>
          </w:p>
        </w:tc>
        <w:tc>
          <w:tcPr>
            <w:tcW w:w="2276" w:type="dxa"/>
            <w:gridSpan w:val="16"/>
            <w:vAlign w:val="center"/>
          </w:tcPr>
          <w:p w14:paraId="7440FFAF" w14:textId="77777777" w:rsidR="00F617BE" w:rsidRPr="00AA19A8" w:rsidRDefault="00F617BE" w:rsidP="00636C5F">
            <w:pPr>
              <w:jc w:val="center"/>
              <w:rPr>
                <w:rFonts w:ascii="Times New Roman" w:hAnsi="Times New Roman" w:cs="Times New Roman"/>
                <w:sz w:val="20"/>
                <w:szCs w:val="20"/>
                <w:lang w:val="sr-Cyrl-CS"/>
              </w:rPr>
            </w:pPr>
          </w:p>
        </w:tc>
        <w:tc>
          <w:tcPr>
            <w:tcW w:w="1060" w:type="dxa"/>
            <w:gridSpan w:val="11"/>
            <w:vAlign w:val="center"/>
          </w:tcPr>
          <w:p w14:paraId="7C9DD594"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16.800</w:t>
            </w:r>
          </w:p>
        </w:tc>
        <w:tc>
          <w:tcPr>
            <w:tcW w:w="1074" w:type="dxa"/>
            <w:gridSpan w:val="10"/>
            <w:vAlign w:val="center"/>
          </w:tcPr>
          <w:p w14:paraId="4E179C74"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7AD9FA8F"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71B3051B" w14:textId="77777777" w:rsidTr="006B65DC">
        <w:trPr>
          <w:cantSplit/>
          <w:trHeight w:val="2268"/>
        </w:trPr>
        <w:tc>
          <w:tcPr>
            <w:tcW w:w="2344" w:type="dxa"/>
            <w:vAlign w:val="center"/>
          </w:tcPr>
          <w:p w14:paraId="7AAB94F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1.5.2 Ревидовање методологије за праћење фискалних ризика везаних за пословање државних предузећа и локалних самоуправа</w:t>
            </w:r>
          </w:p>
        </w:tc>
        <w:tc>
          <w:tcPr>
            <w:tcW w:w="1454" w:type="dxa"/>
            <w:gridSpan w:val="5"/>
            <w:vAlign w:val="center"/>
          </w:tcPr>
          <w:p w14:paraId="237F4D88"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11" w:type="dxa"/>
            <w:gridSpan w:val="5"/>
            <w:vAlign w:val="center"/>
          </w:tcPr>
          <w:p w14:paraId="65CE270E"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Сектор буџета, Одељење за праћење фискалних ризика</w:t>
            </w:r>
          </w:p>
        </w:tc>
        <w:tc>
          <w:tcPr>
            <w:tcW w:w="2560" w:type="dxa"/>
            <w:gridSpan w:val="7"/>
            <w:vAlign w:val="center"/>
          </w:tcPr>
          <w:p w14:paraId="30BD3D52"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Светска банка</w:t>
            </w:r>
          </w:p>
        </w:tc>
        <w:tc>
          <w:tcPr>
            <w:tcW w:w="2322" w:type="dxa"/>
            <w:gridSpan w:val="14"/>
            <w:vAlign w:val="center"/>
          </w:tcPr>
          <w:p w14:paraId="66E64894"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 Донаторска средства</w:t>
            </w:r>
          </w:p>
        </w:tc>
        <w:tc>
          <w:tcPr>
            <w:tcW w:w="2276" w:type="dxa"/>
            <w:gridSpan w:val="16"/>
            <w:vAlign w:val="center"/>
          </w:tcPr>
          <w:p w14:paraId="2B7B5525"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2301-0013 (Редовна издвајања)</w:t>
            </w:r>
          </w:p>
        </w:tc>
        <w:tc>
          <w:tcPr>
            <w:tcW w:w="1060" w:type="dxa"/>
            <w:gridSpan w:val="11"/>
            <w:vAlign w:val="center"/>
          </w:tcPr>
          <w:p w14:paraId="357E3E30"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4.200</w:t>
            </w:r>
          </w:p>
        </w:tc>
        <w:tc>
          <w:tcPr>
            <w:tcW w:w="1074" w:type="dxa"/>
            <w:gridSpan w:val="10"/>
            <w:vAlign w:val="center"/>
          </w:tcPr>
          <w:p w14:paraId="472497CC"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12.600</w:t>
            </w:r>
          </w:p>
        </w:tc>
        <w:tc>
          <w:tcPr>
            <w:tcW w:w="1275" w:type="dxa"/>
            <w:gridSpan w:val="6"/>
            <w:vAlign w:val="center"/>
          </w:tcPr>
          <w:p w14:paraId="61E03736"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2809BB8C" w14:textId="77777777" w:rsidTr="006B65DC">
        <w:trPr>
          <w:cantSplit/>
          <w:trHeight w:val="2268"/>
        </w:trPr>
        <w:tc>
          <w:tcPr>
            <w:tcW w:w="2344" w:type="dxa"/>
            <w:vAlign w:val="center"/>
          </w:tcPr>
          <w:p w14:paraId="7BD7CBA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1.5.3 Израда методологије за повезивање буџетских резерви са квантификованим показатељима ризика</w:t>
            </w:r>
          </w:p>
        </w:tc>
        <w:tc>
          <w:tcPr>
            <w:tcW w:w="1454" w:type="dxa"/>
            <w:gridSpan w:val="5"/>
            <w:vAlign w:val="center"/>
          </w:tcPr>
          <w:p w14:paraId="20ABABD8"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74EC348A"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Сектор буџета, Одељење за праћење фискалних ризика</w:t>
            </w:r>
          </w:p>
        </w:tc>
        <w:tc>
          <w:tcPr>
            <w:tcW w:w="2560" w:type="dxa"/>
            <w:gridSpan w:val="7"/>
            <w:vAlign w:val="center"/>
          </w:tcPr>
          <w:p w14:paraId="24A87F61"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Светска банка</w:t>
            </w:r>
          </w:p>
        </w:tc>
        <w:tc>
          <w:tcPr>
            <w:tcW w:w="2322" w:type="dxa"/>
            <w:gridSpan w:val="14"/>
            <w:vAlign w:val="center"/>
          </w:tcPr>
          <w:p w14:paraId="6F2B7FC8"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 Донаторска средства</w:t>
            </w:r>
          </w:p>
        </w:tc>
        <w:tc>
          <w:tcPr>
            <w:tcW w:w="2276" w:type="dxa"/>
            <w:gridSpan w:val="16"/>
            <w:vAlign w:val="center"/>
          </w:tcPr>
          <w:p w14:paraId="72D209CC"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2301 -0013 (Редовна издвајања)</w:t>
            </w:r>
          </w:p>
        </w:tc>
        <w:tc>
          <w:tcPr>
            <w:tcW w:w="1060" w:type="dxa"/>
            <w:gridSpan w:val="11"/>
            <w:vAlign w:val="center"/>
          </w:tcPr>
          <w:p w14:paraId="7ECED7E8"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7.350</w:t>
            </w:r>
          </w:p>
        </w:tc>
        <w:tc>
          <w:tcPr>
            <w:tcW w:w="1074" w:type="dxa"/>
            <w:gridSpan w:val="10"/>
            <w:vAlign w:val="center"/>
          </w:tcPr>
          <w:p w14:paraId="603DE8C6"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8.400</w:t>
            </w:r>
          </w:p>
        </w:tc>
        <w:tc>
          <w:tcPr>
            <w:tcW w:w="1275" w:type="dxa"/>
            <w:gridSpan w:val="6"/>
            <w:vAlign w:val="center"/>
          </w:tcPr>
          <w:p w14:paraId="4217D9C2"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9.450</w:t>
            </w:r>
          </w:p>
        </w:tc>
      </w:tr>
      <w:tr w:rsidR="00D30238" w:rsidRPr="00AA19A8" w14:paraId="2B2151D5" w14:textId="77777777" w:rsidTr="006B65DC">
        <w:trPr>
          <w:cantSplit/>
          <w:trHeight w:val="2268"/>
        </w:trPr>
        <w:tc>
          <w:tcPr>
            <w:tcW w:w="2344" w:type="dxa"/>
            <w:vAlign w:val="center"/>
          </w:tcPr>
          <w:p w14:paraId="186CBC0F"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1.5.4 Израда методологије за праћење фискалних ризика од климатских промена</w:t>
            </w:r>
          </w:p>
        </w:tc>
        <w:tc>
          <w:tcPr>
            <w:tcW w:w="1454" w:type="dxa"/>
            <w:gridSpan w:val="5"/>
            <w:vAlign w:val="center"/>
          </w:tcPr>
          <w:p w14:paraId="1E7748E5"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61342A91"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Сектор буџета, Одељење за праћење фискалних ризика</w:t>
            </w:r>
          </w:p>
        </w:tc>
        <w:tc>
          <w:tcPr>
            <w:tcW w:w="2560" w:type="dxa"/>
            <w:gridSpan w:val="7"/>
            <w:vAlign w:val="center"/>
          </w:tcPr>
          <w:p w14:paraId="2951F16A"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Светска банка</w:t>
            </w:r>
          </w:p>
        </w:tc>
        <w:tc>
          <w:tcPr>
            <w:tcW w:w="2322" w:type="dxa"/>
            <w:gridSpan w:val="14"/>
            <w:vAlign w:val="center"/>
          </w:tcPr>
          <w:p w14:paraId="47A74932"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 Донаторска средства</w:t>
            </w:r>
          </w:p>
        </w:tc>
        <w:tc>
          <w:tcPr>
            <w:tcW w:w="2276" w:type="dxa"/>
            <w:gridSpan w:val="16"/>
            <w:vAlign w:val="center"/>
          </w:tcPr>
          <w:p w14:paraId="77AFED42"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2031-0013 (Редовна издвајања)</w:t>
            </w:r>
          </w:p>
          <w:p w14:paraId="332E04F9" w14:textId="77777777" w:rsidR="00F617BE" w:rsidRPr="00AA19A8" w:rsidRDefault="00F617BE" w:rsidP="00636C5F">
            <w:pPr>
              <w:jc w:val="center"/>
              <w:rPr>
                <w:rFonts w:ascii="Times New Roman" w:hAnsi="Times New Roman" w:cs="Times New Roman"/>
                <w:sz w:val="20"/>
                <w:szCs w:val="20"/>
                <w:lang w:val="sr-Cyrl-CS"/>
              </w:rPr>
            </w:pPr>
          </w:p>
        </w:tc>
        <w:tc>
          <w:tcPr>
            <w:tcW w:w="1060" w:type="dxa"/>
            <w:gridSpan w:val="11"/>
            <w:vAlign w:val="center"/>
          </w:tcPr>
          <w:p w14:paraId="07819203"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10CB307E"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4.200</w:t>
            </w:r>
          </w:p>
        </w:tc>
        <w:tc>
          <w:tcPr>
            <w:tcW w:w="1275" w:type="dxa"/>
            <w:gridSpan w:val="6"/>
            <w:vAlign w:val="center"/>
          </w:tcPr>
          <w:p w14:paraId="5E101C7A"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5.250</w:t>
            </w:r>
          </w:p>
        </w:tc>
      </w:tr>
      <w:tr w:rsidR="00D30238" w:rsidRPr="00AA19A8" w14:paraId="02C074B6" w14:textId="77777777" w:rsidTr="00BA7E6D">
        <w:trPr>
          <w:cantSplit/>
          <w:trHeight w:val="805"/>
        </w:trPr>
        <w:tc>
          <w:tcPr>
            <w:tcW w:w="15876" w:type="dxa"/>
            <w:gridSpan w:val="75"/>
            <w:shd w:val="clear" w:color="auto" w:fill="ECECEC"/>
            <w:vAlign w:val="center"/>
          </w:tcPr>
          <w:p w14:paraId="384D263B"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Мера 1.6:  Успостављање система за координацију и управљање сопственим средствима ЕУ</w:t>
            </w:r>
          </w:p>
        </w:tc>
      </w:tr>
      <w:tr w:rsidR="00D30238" w:rsidRPr="00AA19A8" w14:paraId="4B4D3A1D" w14:textId="77777777" w:rsidTr="006B65DC">
        <w:trPr>
          <w:cantSplit/>
          <w:trHeight w:val="805"/>
        </w:trPr>
        <w:tc>
          <w:tcPr>
            <w:tcW w:w="2344" w:type="dxa"/>
            <w:shd w:val="clear" w:color="auto" w:fill="ECECEC"/>
            <w:vAlign w:val="center"/>
          </w:tcPr>
          <w:p w14:paraId="2C4A2457"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3360D641" w14:textId="77777777" w:rsidR="00F617BE" w:rsidRPr="00AA19A8" w:rsidRDefault="00F617BE" w:rsidP="00636C5F">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25085262" w14:textId="77777777" w:rsidR="00F617BE" w:rsidRPr="00AA19A8" w:rsidRDefault="00F617BE" w:rsidP="00636C5F">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41CD5A05" w14:textId="77777777" w:rsidTr="006B65DC">
        <w:trPr>
          <w:cantSplit/>
          <w:trHeight w:val="805"/>
        </w:trPr>
        <w:tc>
          <w:tcPr>
            <w:tcW w:w="2344" w:type="dxa"/>
            <w:shd w:val="clear" w:color="auto" w:fill="ECECEC"/>
            <w:vAlign w:val="center"/>
          </w:tcPr>
          <w:p w14:paraId="6CBB536F"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IPA2022</w:t>
            </w:r>
          </w:p>
        </w:tc>
        <w:tc>
          <w:tcPr>
            <w:tcW w:w="2965" w:type="dxa"/>
            <w:gridSpan w:val="10"/>
            <w:shd w:val="clear" w:color="auto" w:fill="ECECEC"/>
            <w:vAlign w:val="center"/>
          </w:tcPr>
          <w:p w14:paraId="697CAE8D" w14:textId="77777777" w:rsidR="00F617BE" w:rsidRPr="00AA19A8" w:rsidRDefault="00F617BE" w:rsidP="00636C5F">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2301-0012</w:t>
            </w:r>
          </w:p>
        </w:tc>
        <w:tc>
          <w:tcPr>
            <w:tcW w:w="3303" w:type="dxa"/>
            <w:gridSpan w:val="12"/>
            <w:shd w:val="clear" w:color="auto" w:fill="ECECEC"/>
            <w:vAlign w:val="center"/>
          </w:tcPr>
          <w:p w14:paraId="6F414058" w14:textId="77777777" w:rsidR="00F617BE" w:rsidRPr="00AA19A8" w:rsidRDefault="00F617BE" w:rsidP="00636C5F">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85.000</w:t>
            </w:r>
          </w:p>
        </w:tc>
        <w:tc>
          <w:tcPr>
            <w:tcW w:w="3308" w:type="dxa"/>
            <w:gridSpan w:val="18"/>
            <w:shd w:val="clear" w:color="auto" w:fill="ECECEC"/>
            <w:vAlign w:val="center"/>
          </w:tcPr>
          <w:p w14:paraId="354E6A1A" w14:textId="77777777" w:rsidR="00F617BE" w:rsidRPr="00AA19A8" w:rsidRDefault="00F617BE" w:rsidP="00636C5F">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110.000</w:t>
            </w:r>
          </w:p>
        </w:tc>
        <w:tc>
          <w:tcPr>
            <w:tcW w:w="3956" w:type="dxa"/>
            <w:gridSpan w:val="34"/>
            <w:shd w:val="clear" w:color="auto" w:fill="ECECEC"/>
            <w:vAlign w:val="center"/>
          </w:tcPr>
          <w:p w14:paraId="1C494449" w14:textId="77777777" w:rsidR="00F617BE" w:rsidRPr="00AA19A8" w:rsidRDefault="00F617BE" w:rsidP="00636C5F">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50.000</w:t>
            </w:r>
          </w:p>
        </w:tc>
      </w:tr>
      <w:tr w:rsidR="00D30238" w:rsidRPr="00AA19A8" w14:paraId="5DB41223" w14:textId="77777777" w:rsidTr="00BA7E6D">
        <w:trPr>
          <w:cantSplit/>
          <w:trHeight w:val="805"/>
        </w:trPr>
        <w:tc>
          <w:tcPr>
            <w:tcW w:w="15876" w:type="dxa"/>
            <w:gridSpan w:val="75"/>
            <w:shd w:val="clear" w:color="auto" w:fill="ECECEC"/>
            <w:vAlign w:val="center"/>
          </w:tcPr>
          <w:p w14:paraId="7E033FD0" w14:textId="3D5C49CD"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Институција одговорна за спровођење (координацију спровођења) мере: </w:t>
            </w:r>
            <w:r w:rsidR="006175B3" w:rsidRPr="00AA19A8">
              <w:rPr>
                <w:rFonts w:ascii="Times New Roman" w:hAnsi="Times New Roman" w:cs="Times New Roman"/>
                <w:b/>
                <w:bCs/>
                <w:i/>
                <w:iCs/>
                <w:sz w:val="20"/>
                <w:szCs w:val="20"/>
                <w:lang w:val="sr-Cyrl-CS"/>
              </w:rPr>
              <w:t xml:space="preserve">Министарство финансија - </w:t>
            </w:r>
            <w:r w:rsidRPr="00AA19A8">
              <w:rPr>
                <w:rFonts w:ascii="Times New Roman" w:hAnsi="Times New Roman" w:cs="Times New Roman"/>
                <w:b/>
                <w:bCs/>
                <w:i/>
                <w:iCs/>
                <w:sz w:val="20"/>
                <w:szCs w:val="20"/>
                <w:lang w:val="sr-Cyrl-CS"/>
              </w:rPr>
              <w:t>Сектор за макроекономске и фискалне анализе и пројекције</w:t>
            </w:r>
          </w:p>
        </w:tc>
      </w:tr>
      <w:tr w:rsidR="00D30238" w:rsidRPr="00AA19A8" w14:paraId="4630BE8D" w14:textId="77777777" w:rsidTr="006B65DC">
        <w:trPr>
          <w:cantSplit/>
          <w:trHeight w:val="805"/>
        </w:trPr>
        <w:tc>
          <w:tcPr>
            <w:tcW w:w="7869" w:type="dxa"/>
            <w:gridSpan w:val="18"/>
            <w:shd w:val="clear" w:color="auto" w:fill="ECECEC"/>
            <w:vAlign w:val="center"/>
          </w:tcPr>
          <w:p w14:paraId="6028A10E"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2026-2028.</w:t>
            </w:r>
          </w:p>
        </w:tc>
        <w:tc>
          <w:tcPr>
            <w:tcW w:w="8007" w:type="dxa"/>
            <w:gridSpan w:val="57"/>
            <w:shd w:val="clear" w:color="auto" w:fill="ECECEC"/>
            <w:vAlign w:val="center"/>
          </w:tcPr>
          <w:p w14:paraId="11B775D9"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информативно-едукативна</w:t>
            </w:r>
          </w:p>
        </w:tc>
      </w:tr>
      <w:tr w:rsidR="00D30238" w:rsidRPr="00AA19A8" w14:paraId="26F7EB5E" w14:textId="77777777" w:rsidTr="006B65DC">
        <w:trPr>
          <w:cantSplit/>
          <w:trHeight w:val="1253"/>
        </w:trPr>
        <w:tc>
          <w:tcPr>
            <w:tcW w:w="2344" w:type="dxa"/>
            <w:shd w:val="clear" w:color="auto" w:fill="ECECEC"/>
            <w:vAlign w:val="center"/>
          </w:tcPr>
          <w:p w14:paraId="570B1451"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2965" w:type="dxa"/>
            <w:gridSpan w:val="10"/>
            <w:shd w:val="clear" w:color="auto" w:fill="ECECEC"/>
            <w:vAlign w:val="center"/>
          </w:tcPr>
          <w:p w14:paraId="5F17533F"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1CE18057"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12054507"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1324" w:type="dxa"/>
            <w:gridSpan w:val="7"/>
            <w:shd w:val="clear" w:color="auto" w:fill="ECECEC"/>
            <w:vAlign w:val="center"/>
          </w:tcPr>
          <w:p w14:paraId="6F35D297"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463" w:type="dxa"/>
            <w:gridSpan w:val="17"/>
            <w:shd w:val="clear" w:color="auto" w:fill="ECECEC"/>
            <w:vAlign w:val="center"/>
          </w:tcPr>
          <w:p w14:paraId="7EDCDBC5"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329" w:type="dxa"/>
            <w:gridSpan w:val="10"/>
            <w:shd w:val="clear" w:color="auto" w:fill="ECECEC"/>
            <w:vAlign w:val="center"/>
          </w:tcPr>
          <w:p w14:paraId="79E80A93"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569" w:type="dxa"/>
            <w:gridSpan w:val="9"/>
            <w:shd w:val="clear" w:color="auto" w:fill="ECECEC"/>
            <w:vAlign w:val="center"/>
          </w:tcPr>
          <w:p w14:paraId="55EAACE7"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42DC761B" w14:textId="77777777" w:rsidTr="006B65DC">
        <w:trPr>
          <w:cantSplit/>
          <w:trHeight w:val="1253"/>
        </w:trPr>
        <w:tc>
          <w:tcPr>
            <w:tcW w:w="2344" w:type="dxa"/>
            <w:vAlign w:val="center"/>
          </w:tcPr>
          <w:p w14:paraId="100D39A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Ниво напретка у оквиру преговарачког поглавља 33</w:t>
            </w:r>
          </w:p>
        </w:tc>
        <w:tc>
          <w:tcPr>
            <w:tcW w:w="2965" w:type="dxa"/>
            <w:gridSpan w:val="10"/>
            <w:vAlign w:val="center"/>
          </w:tcPr>
          <w:p w14:paraId="6668D670" w14:textId="77777777" w:rsidR="00F617BE" w:rsidRPr="00AA19A8" w:rsidRDefault="00F617BE" w:rsidP="00D87B4B">
            <w:pPr>
              <w:ind w:left="170"/>
              <w:rPr>
                <w:rFonts w:ascii="Times New Roman" w:hAnsi="Times New Roman" w:cs="Times New Roman"/>
                <w:sz w:val="20"/>
                <w:szCs w:val="20"/>
                <w:lang w:val="sr-Cyrl-CS"/>
              </w:rPr>
            </w:pPr>
            <w:r w:rsidRPr="00AA19A8">
              <w:rPr>
                <w:rFonts w:ascii="Times New Roman" w:hAnsi="Times New Roman" w:cs="Times New Roman"/>
                <w:sz w:val="20"/>
                <w:szCs w:val="20"/>
                <w:lang w:val="sr-Cyrl-CS"/>
              </w:rPr>
              <w:t>1.Није остварен напредак</w:t>
            </w:r>
          </w:p>
          <w:p w14:paraId="5EF777AE" w14:textId="77777777" w:rsidR="00F617BE" w:rsidRPr="00AA19A8" w:rsidRDefault="00F617BE" w:rsidP="00D87B4B">
            <w:pPr>
              <w:ind w:left="170"/>
              <w:rPr>
                <w:rFonts w:ascii="Times New Roman" w:hAnsi="Times New Roman" w:cs="Times New Roman"/>
                <w:sz w:val="20"/>
                <w:szCs w:val="20"/>
                <w:lang w:val="sr-Cyrl-CS"/>
              </w:rPr>
            </w:pPr>
            <w:r w:rsidRPr="00AA19A8">
              <w:rPr>
                <w:rFonts w:ascii="Times New Roman" w:hAnsi="Times New Roman" w:cs="Times New Roman"/>
                <w:sz w:val="20"/>
                <w:szCs w:val="20"/>
                <w:lang w:val="sr-Cyrl-CS"/>
              </w:rPr>
              <w:t>2.Ограничен напредак</w:t>
            </w:r>
          </w:p>
          <w:p w14:paraId="56B724C1" w14:textId="77777777" w:rsidR="00F617BE" w:rsidRPr="00AA19A8" w:rsidRDefault="00F617BE" w:rsidP="00D87B4B">
            <w:pPr>
              <w:ind w:left="170"/>
              <w:rPr>
                <w:rFonts w:ascii="Times New Roman" w:hAnsi="Times New Roman" w:cs="Times New Roman"/>
                <w:sz w:val="20"/>
                <w:szCs w:val="20"/>
                <w:lang w:val="sr-Cyrl-CS"/>
              </w:rPr>
            </w:pPr>
            <w:r w:rsidRPr="00AA19A8">
              <w:rPr>
                <w:rFonts w:ascii="Times New Roman" w:hAnsi="Times New Roman" w:cs="Times New Roman"/>
                <w:sz w:val="20"/>
                <w:szCs w:val="20"/>
                <w:lang w:val="sr-Cyrl-CS"/>
              </w:rPr>
              <w:t>3.Известан напредак</w:t>
            </w:r>
          </w:p>
        </w:tc>
        <w:tc>
          <w:tcPr>
            <w:tcW w:w="2560" w:type="dxa"/>
            <w:gridSpan w:val="7"/>
            <w:vAlign w:val="center"/>
          </w:tcPr>
          <w:p w14:paraId="4B09D216"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Годишњи извештај Европске комисије о Србији</w:t>
            </w:r>
          </w:p>
        </w:tc>
        <w:tc>
          <w:tcPr>
            <w:tcW w:w="2322" w:type="dxa"/>
            <w:gridSpan w:val="14"/>
            <w:vAlign w:val="center"/>
          </w:tcPr>
          <w:p w14:paraId="52CD64E4"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1.Није остварен напредак</w:t>
            </w:r>
          </w:p>
        </w:tc>
        <w:tc>
          <w:tcPr>
            <w:tcW w:w="1324" w:type="dxa"/>
            <w:gridSpan w:val="7"/>
            <w:vAlign w:val="center"/>
          </w:tcPr>
          <w:p w14:paraId="2CA462EF"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463" w:type="dxa"/>
            <w:gridSpan w:val="17"/>
            <w:vAlign w:val="center"/>
          </w:tcPr>
          <w:p w14:paraId="39743813" w14:textId="77777777" w:rsidR="00F617BE" w:rsidRPr="00AA19A8" w:rsidRDefault="00F617BE" w:rsidP="00636C5F">
            <w:pPr>
              <w:jc w:val="center"/>
              <w:rPr>
                <w:rFonts w:ascii="Times New Roman" w:hAnsi="Times New Roman" w:cs="Times New Roman"/>
                <w:sz w:val="20"/>
                <w:szCs w:val="20"/>
                <w:lang w:val="sr-Cyrl-CS"/>
              </w:rPr>
            </w:pPr>
          </w:p>
          <w:p w14:paraId="3A981528"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2.Ограничен напредак</w:t>
            </w:r>
          </w:p>
          <w:p w14:paraId="77707AB7" w14:textId="77777777" w:rsidR="00F617BE" w:rsidRPr="00AA19A8" w:rsidRDefault="00F617BE" w:rsidP="00636C5F">
            <w:pPr>
              <w:jc w:val="center"/>
              <w:rPr>
                <w:rFonts w:ascii="Times New Roman" w:hAnsi="Times New Roman" w:cs="Times New Roman"/>
                <w:sz w:val="20"/>
                <w:szCs w:val="20"/>
                <w:lang w:val="sr-Cyrl-CS"/>
              </w:rPr>
            </w:pPr>
          </w:p>
        </w:tc>
        <w:tc>
          <w:tcPr>
            <w:tcW w:w="1329" w:type="dxa"/>
            <w:gridSpan w:val="10"/>
            <w:vAlign w:val="center"/>
          </w:tcPr>
          <w:p w14:paraId="3120C0DB"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3.Известан напредак</w:t>
            </w:r>
          </w:p>
        </w:tc>
        <w:tc>
          <w:tcPr>
            <w:tcW w:w="1569" w:type="dxa"/>
            <w:gridSpan w:val="9"/>
            <w:vAlign w:val="center"/>
          </w:tcPr>
          <w:p w14:paraId="50936D7F"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 Известан напредак</w:t>
            </w:r>
          </w:p>
        </w:tc>
      </w:tr>
      <w:tr w:rsidR="00D30238" w:rsidRPr="00AA19A8" w14:paraId="32E3609F" w14:textId="77777777" w:rsidTr="006B65DC">
        <w:trPr>
          <w:cantSplit/>
          <w:trHeight w:val="630"/>
        </w:trPr>
        <w:tc>
          <w:tcPr>
            <w:tcW w:w="2344" w:type="dxa"/>
            <w:vMerge w:val="restart"/>
            <w:shd w:val="clear" w:color="auto" w:fill="ECECEC"/>
            <w:vAlign w:val="center"/>
          </w:tcPr>
          <w:p w14:paraId="1EABC2E7"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3E60CA45"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223C954E"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09389BD1"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5BBE6988"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70F0B898" w14:textId="77777777" w:rsidTr="006B65DC">
        <w:trPr>
          <w:cantSplit/>
          <w:trHeight w:val="1253"/>
        </w:trPr>
        <w:tc>
          <w:tcPr>
            <w:tcW w:w="2344" w:type="dxa"/>
            <w:vMerge/>
            <w:shd w:val="clear" w:color="auto" w:fill="ECECEC"/>
            <w:vAlign w:val="center"/>
          </w:tcPr>
          <w:p w14:paraId="57FE81E9" w14:textId="77777777" w:rsidR="00F617BE" w:rsidRPr="00AA19A8" w:rsidRDefault="00F617BE" w:rsidP="00F617BE">
            <w:pPr>
              <w:rPr>
                <w:rFonts w:ascii="Times New Roman" w:hAnsi="Times New Roman" w:cs="Times New Roman"/>
                <w:b/>
                <w:bCs/>
                <w:sz w:val="20"/>
                <w:szCs w:val="20"/>
                <w:lang w:val="sr-Cyrl-CS"/>
              </w:rPr>
            </w:pPr>
          </w:p>
        </w:tc>
        <w:tc>
          <w:tcPr>
            <w:tcW w:w="1454" w:type="dxa"/>
            <w:gridSpan w:val="5"/>
            <w:vMerge/>
            <w:shd w:val="clear" w:color="auto" w:fill="ECECEC"/>
            <w:vAlign w:val="center"/>
          </w:tcPr>
          <w:p w14:paraId="59CAB2CA" w14:textId="77777777" w:rsidR="00F617BE" w:rsidRPr="00AA19A8" w:rsidRDefault="00F617BE" w:rsidP="00636C5F">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5039E5D8" w14:textId="77777777" w:rsidR="00F617BE" w:rsidRPr="00AA19A8" w:rsidRDefault="00F617BE" w:rsidP="00636C5F">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58336FFA" w14:textId="77777777" w:rsidR="00F617BE" w:rsidRPr="00AA19A8" w:rsidRDefault="00F617BE" w:rsidP="00636C5F">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485BA1DC"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7E5D5F2B"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5F18E430"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58F6F11C"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148C99B0" w14:textId="77777777" w:rsidR="00F617BE" w:rsidRPr="00AA19A8" w:rsidRDefault="00F617BE" w:rsidP="00636C5F">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1E5E417E" w14:textId="77777777" w:rsidTr="006B65DC">
        <w:trPr>
          <w:cantSplit/>
          <w:trHeight w:val="2494"/>
        </w:trPr>
        <w:tc>
          <w:tcPr>
            <w:tcW w:w="2344" w:type="dxa"/>
            <w:vAlign w:val="center"/>
          </w:tcPr>
          <w:p w14:paraId="5DE6A03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1.6.1 Успостављање оперативних и процедуралних веза између институција у циљу унапређења координације и размене података у складу са обавезама поглавља 33</w:t>
            </w:r>
          </w:p>
        </w:tc>
        <w:tc>
          <w:tcPr>
            <w:tcW w:w="1454" w:type="dxa"/>
            <w:gridSpan w:val="5"/>
            <w:vAlign w:val="center"/>
          </w:tcPr>
          <w:p w14:paraId="739E62A1"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11" w:type="dxa"/>
            <w:gridSpan w:val="5"/>
            <w:vAlign w:val="center"/>
          </w:tcPr>
          <w:p w14:paraId="1E3AC136" w14:textId="074F725E"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4F12FEDF" w14:textId="7B9CABCF"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РЗС, Пореска управа, Управа царина, НБС, Управа за </w:t>
            </w:r>
            <w:r w:rsidR="00AF0FE3" w:rsidRPr="00AA19A8">
              <w:rPr>
                <w:rFonts w:ascii="Times New Roman" w:hAnsi="Times New Roman" w:cs="Times New Roman"/>
                <w:sz w:val="20"/>
                <w:szCs w:val="20"/>
                <w:lang w:val="sr-Cyrl-CS"/>
              </w:rPr>
              <w:t>трезор</w:t>
            </w:r>
            <w:r w:rsidRPr="00AA19A8">
              <w:rPr>
                <w:rFonts w:ascii="Times New Roman" w:hAnsi="Times New Roman" w:cs="Times New Roman"/>
                <w:sz w:val="20"/>
                <w:szCs w:val="20"/>
                <w:lang w:val="sr-Cyrl-CS"/>
              </w:rPr>
              <w:t>, Министарство заштите животне средине, Агенција за заштиту животне средине</w:t>
            </w:r>
          </w:p>
        </w:tc>
        <w:tc>
          <w:tcPr>
            <w:tcW w:w="2322" w:type="dxa"/>
            <w:gridSpan w:val="14"/>
            <w:vAlign w:val="center"/>
          </w:tcPr>
          <w:p w14:paraId="26C88B14"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276" w:type="dxa"/>
            <w:gridSpan w:val="16"/>
            <w:vAlign w:val="center"/>
          </w:tcPr>
          <w:p w14:paraId="768C3E7A" w14:textId="77777777" w:rsidR="00F617BE" w:rsidRPr="00AA19A8" w:rsidRDefault="00F617BE" w:rsidP="00636C5F">
            <w:pPr>
              <w:jc w:val="center"/>
              <w:rPr>
                <w:rFonts w:ascii="Times New Roman" w:hAnsi="Times New Roman" w:cs="Times New Roman"/>
                <w:sz w:val="20"/>
                <w:szCs w:val="20"/>
                <w:lang w:val="sr-Cyrl-CS"/>
              </w:rPr>
            </w:pPr>
          </w:p>
        </w:tc>
        <w:tc>
          <w:tcPr>
            <w:tcW w:w="1060" w:type="dxa"/>
            <w:gridSpan w:val="11"/>
            <w:vAlign w:val="center"/>
          </w:tcPr>
          <w:p w14:paraId="7D45C1B5"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78253277"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460DE6DB"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9FE3456" w14:textId="77777777" w:rsidTr="006B65DC">
        <w:trPr>
          <w:cantSplit/>
          <w:trHeight w:val="2494"/>
        </w:trPr>
        <w:tc>
          <w:tcPr>
            <w:tcW w:w="2344" w:type="dxa"/>
            <w:vAlign w:val="center"/>
          </w:tcPr>
          <w:p w14:paraId="210341C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1.6.2  Развој и унапређење система, процеса и процедура у организационом и информационом, односно техничко-технолошком смислу</w:t>
            </w:r>
          </w:p>
        </w:tc>
        <w:tc>
          <w:tcPr>
            <w:tcW w:w="1454" w:type="dxa"/>
            <w:gridSpan w:val="5"/>
            <w:vAlign w:val="center"/>
          </w:tcPr>
          <w:p w14:paraId="14FE9828"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061FE07F" w14:textId="0DE33C8B"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0FF410D3" w14:textId="5B2124A0"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РЗС, Пореска управа, Управа царина, НБС, Управа за </w:t>
            </w:r>
            <w:r w:rsidR="00AF0FE3" w:rsidRPr="00AA19A8">
              <w:rPr>
                <w:rFonts w:ascii="Times New Roman" w:hAnsi="Times New Roman" w:cs="Times New Roman"/>
                <w:sz w:val="20"/>
                <w:szCs w:val="20"/>
                <w:lang w:val="sr-Cyrl-CS"/>
              </w:rPr>
              <w:t>трезор</w:t>
            </w:r>
            <w:r w:rsidRPr="00AA19A8">
              <w:rPr>
                <w:rFonts w:ascii="Times New Roman" w:hAnsi="Times New Roman" w:cs="Times New Roman"/>
                <w:sz w:val="20"/>
                <w:szCs w:val="20"/>
                <w:lang w:val="sr-Cyrl-CS"/>
              </w:rPr>
              <w:t>, Министарство заштите животне средине, Агенција за заштиту животне средине</w:t>
            </w:r>
          </w:p>
        </w:tc>
        <w:tc>
          <w:tcPr>
            <w:tcW w:w="2322" w:type="dxa"/>
            <w:gridSpan w:val="14"/>
            <w:vAlign w:val="center"/>
          </w:tcPr>
          <w:p w14:paraId="21363A55"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2022</w:t>
            </w:r>
          </w:p>
        </w:tc>
        <w:tc>
          <w:tcPr>
            <w:tcW w:w="2276" w:type="dxa"/>
            <w:gridSpan w:val="16"/>
            <w:vAlign w:val="center"/>
          </w:tcPr>
          <w:p w14:paraId="386893E3" w14:textId="77777777" w:rsidR="00F617BE" w:rsidRPr="00AA19A8" w:rsidRDefault="00F617BE" w:rsidP="00636C5F">
            <w:pPr>
              <w:jc w:val="center"/>
              <w:rPr>
                <w:rFonts w:ascii="Times New Roman" w:hAnsi="Times New Roman" w:cs="Times New Roman"/>
                <w:sz w:val="20"/>
                <w:szCs w:val="20"/>
                <w:lang w:val="sr-Cyrl-CS"/>
              </w:rPr>
            </w:pPr>
          </w:p>
        </w:tc>
        <w:tc>
          <w:tcPr>
            <w:tcW w:w="1060" w:type="dxa"/>
            <w:gridSpan w:val="11"/>
            <w:vAlign w:val="center"/>
          </w:tcPr>
          <w:p w14:paraId="1EFE5078"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60.000</w:t>
            </w:r>
          </w:p>
        </w:tc>
        <w:tc>
          <w:tcPr>
            <w:tcW w:w="1074" w:type="dxa"/>
            <w:gridSpan w:val="10"/>
            <w:vAlign w:val="center"/>
          </w:tcPr>
          <w:p w14:paraId="1D61DFBE"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60.000</w:t>
            </w:r>
          </w:p>
        </w:tc>
        <w:tc>
          <w:tcPr>
            <w:tcW w:w="1275" w:type="dxa"/>
            <w:gridSpan w:val="6"/>
            <w:vAlign w:val="center"/>
          </w:tcPr>
          <w:p w14:paraId="4ED12ED3"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7707E8C6" w14:textId="77777777" w:rsidTr="006B65DC">
        <w:trPr>
          <w:cantSplit/>
          <w:trHeight w:val="2494"/>
        </w:trPr>
        <w:tc>
          <w:tcPr>
            <w:tcW w:w="2344" w:type="dxa"/>
            <w:vAlign w:val="center"/>
          </w:tcPr>
          <w:p w14:paraId="382A9F5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1.6.3 Успостављање и развој административних капацитета кроз формирање одговарајућих организационих јединица, запошљавање и обуку. </w:t>
            </w:r>
          </w:p>
        </w:tc>
        <w:tc>
          <w:tcPr>
            <w:tcW w:w="1454" w:type="dxa"/>
            <w:gridSpan w:val="5"/>
            <w:vAlign w:val="center"/>
          </w:tcPr>
          <w:p w14:paraId="56305746"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179103E1" w14:textId="61966368"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560" w:type="dxa"/>
            <w:gridSpan w:val="7"/>
            <w:vAlign w:val="center"/>
          </w:tcPr>
          <w:p w14:paraId="314E9459" w14:textId="7B0ABE93"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РЗС, Пореска управа, Управа царина, НБС, Управа за </w:t>
            </w:r>
            <w:r w:rsidR="00AF0FE3" w:rsidRPr="00AA19A8">
              <w:rPr>
                <w:rFonts w:ascii="Times New Roman" w:hAnsi="Times New Roman" w:cs="Times New Roman"/>
                <w:sz w:val="20"/>
                <w:szCs w:val="20"/>
                <w:lang w:val="sr-Cyrl-CS"/>
              </w:rPr>
              <w:t>трезор</w:t>
            </w:r>
            <w:r w:rsidRPr="00AA19A8">
              <w:rPr>
                <w:rFonts w:ascii="Times New Roman" w:hAnsi="Times New Roman" w:cs="Times New Roman"/>
                <w:sz w:val="20"/>
                <w:szCs w:val="20"/>
                <w:lang w:val="sr-Cyrl-CS"/>
              </w:rPr>
              <w:t>, Министарство заштите животне средине, Агенција за заштиту животне средине</w:t>
            </w:r>
          </w:p>
        </w:tc>
        <w:tc>
          <w:tcPr>
            <w:tcW w:w="2322" w:type="dxa"/>
            <w:gridSpan w:val="14"/>
            <w:vAlign w:val="center"/>
          </w:tcPr>
          <w:p w14:paraId="2E9DEA5B"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tc>
        <w:tc>
          <w:tcPr>
            <w:tcW w:w="2276" w:type="dxa"/>
            <w:gridSpan w:val="16"/>
            <w:vAlign w:val="center"/>
          </w:tcPr>
          <w:p w14:paraId="7B347E98" w14:textId="77777777" w:rsidR="00F617BE" w:rsidRPr="00AA19A8" w:rsidRDefault="00F617BE" w:rsidP="00636C5F">
            <w:pPr>
              <w:jc w:val="center"/>
              <w:rPr>
                <w:rFonts w:ascii="Times New Roman" w:hAnsi="Times New Roman" w:cs="Times New Roman"/>
                <w:sz w:val="20"/>
                <w:szCs w:val="20"/>
                <w:lang w:val="sr-Cyrl-CS"/>
              </w:rPr>
            </w:pPr>
          </w:p>
        </w:tc>
        <w:tc>
          <w:tcPr>
            <w:tcW w:w="1060" w:type="dxa"/>
            <w:gridSpan w:val="11"/>
            <w:vAlign w:val="center"/>
          </w:tcPr>
          <w:p w14:paraId="27E98FBF"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25.000</w:t>
            </w:r>
          </w:p>
        </w:tc>
        <w:tc>
          <w:tcPr>
            <w:tcW w:w="1074" w:type="dxa"/>
            <w:gridSpan w:val="10"/>
            <w:vAlign w:val="center"/>
          </w:tcPr>
          <w:p w14:paraId="463C560C"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50.000</w:t>
            </w:r>
          </w:p>
        </w:tc>
        <w:tc>
          <w:tcPr>
            <w:tcW w:w="1275" w:type="dxa"/>
            <w:gridSpan w:val="6"/>
            <w:vAlign w:val="center"/>
          </w:tcPr>
          <w:p w14:paraId="13BDE507" w14:textId="77777777" w:rsidR="00F617BE" w:rsidRPr="00AA19A8" w:rsidRDefault="00F617BE" w:rsidP="00636C5F">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50.000</w:t>
            </w:r>
          </w:p>
        </w:tc>
      </w:tr>
      <w:tr w:rsidR="00D30238" w:rsidRPr="00AA19A8" w14:paraId="317AFAD4" w14:textId="77777777" w:rsidTr="00BA7E6D">
        <w:trPr>
          <w:cantSplit/>
          <w:trHeight w:val="804"/>
        </w:trPr>
        <w:tc>
          <w:tcPr>
            <w:tcW w:w="15876" w:type="dxa"/>
            <w:gridSpan w:val="75"/>
            <w:shd w:val="clear" w:color="auto" w:fill="ECECEC"/>
            <w:vAlign w:val="center"/>
          </w:tcPr>
          <w:p w14:paraId="0579ECB8"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lastRenderedPageBreak/>
              <w:t>Мера 1.7:  Унапређење средњорочног планирања</w:t>
            </w:r>
          </w:p>
        </w:tc>
      </w:tr>
      <w:tr w:rsidR="00D30238" w:rsidRPr="00AA19A8" w14:paraId="101C10BF" w14:textId="77777777" w:rsidTr="006B65DC">
        <w:trPr>
          <w:cantSplit/>
          <w:trHeight w:val="804"/>
        </w:trPr>
        <w:tc>
          <w:tcPr>
            <w:tcW w:w="2344" w:type="dxa"/>
            <w:shd w:val="clear" w:color="auto" w:fill="ECECEC"/>
            <w:vAlign w:val="center"/>
          </w:tcPr>
          <w:p w14:paraId="55F56264"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41CC8C31" w14:textId="77777777" w:rsidR="00F617BE" w:rsidRPr="00AA19A8" w:rsidRDefault="00F617BE" w:rsidP="00F023F4">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5F2B02EC" w14:textId="77777777" w:rsidR="00F617BE" w:rsidRPr="00AA19A8" w:rsidRDefault="00F617BE" w:rsidP="00F023F4">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19EC4FDC" w14:textId="77777777" w:rsidTr="006B65DC">
        <w:trPr>
          <w:cantSplit/>
          <w:trHeight w:val="804"/>
        </w:trPr>
        <w:tc>
          <w:tcPr>
            <w:tcW w:w="2344" w:type="dxa"/>
            <w:shd w:val="clear" w:color="auto" w:fill="ECECEC"/>
            <w:vAlign w:val="center"/>
          </w:tcPr>
          <w:p w14:paraId="1FBB3047"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w:t>
            </w:r>
          </w:p>
        </w:tc>
        <w:tc>
          <w:tcPr>
            <w:tcW w:w="2965" w:type="dxa"/>
            <w:gridSpan w:val="10"/>
            <w:shd w:val="clear" w:color="auto" w:fill="ECECEC"/>
            <w:vAlign w:val="center"/>
          </w:tcPr>
          <w:p w14:paraId="6B37D2CE" w14:textId="77777777" w:rsidR="00F617BE" w:rsidRPr="00AA19A8" w:rsidRDefault="00F617BE" w:rsidP="00F023F4">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0610-0006</w:t>
            </w:r>
          </w:p>
        </w:tc>
        <w:tc>
          <w:tcPr>
            <w:tcW w:w="3303" w:type="dxa"/>
            <w:gridSpan w:val="12"/>
            <w:shd w:val="clear" w:color="auto" w:fill="ECECEC"/>
            <w:vAlign w:val="center"/>
          </w:tcPr>
          <w:p w14:paraId="579F1FD2" w14:textId="77777777" w:rsidR="00F617BE" w:rsidRPr="00AA19A8" w:rsidRDefault="00F617BE" w:rsidP="00F023F4">
            <w:pPr>
              <w:jc w:val="center"/>
              <w:rPr>
                <w:rFonts w:ascii="Times New Roman" w:hAnsi="Times New Roman" w:cs="Times New Roman"/>
                <w:b/>
                <w:bCs/>
                <w:i/>
                <w:iCs/>
                <w:sz w:val="20"/>
                <w:szCs w:val="20"/>
                <w:lang w:val="sr-Cyrl-CS"/>
              </w:rPr>
            </w:pPr>
          </w:p>
        </w:tc>
        <w:tc>
          <w:tcPr>
            <w:tcW w:w="3319" w:type="dxa"/>
            <w:gridSpan w:val="19"/>
            <w:shd w:val="clear" w:color="auto" w:fill="ECECEC"/>
            <w:vAlign w:val="center"/>
          </w:tcPr>
          <w:p w14:paraId="0E94A637" w14:textId="77777777" w:rsidR="00F617BE" w:rsidRPr="00AA19A8" w:rsidRDefault="00F617BE" w:rsidP="00F023F4">
            <w:pPr>
              <w:jc w:val="center"/>
              <w:rPr>
                <w:rFonts w:ascii="Times New Roman" w:hAnsi="Times New Roman" w:cs="Times New Roman"/>
                <w:b/>
                <w:bCs/>
                <w:i/>
                <w:iCs/>
                <w:sz w:val="20"/>
                <w:szCs w:val="20"/>
                <w:lang w:val="sr-Cyrl-CS"/>
              </w:rPr>
            </w:pPr>
          </w:p>
        </w:tc>
        <w:tc>
          <w:tcPr>
            <w:tcW w:w="3945" w:type="dxa"/>
            <w:gridSpan w:val="33"/>
            <w:shd w:val="clear" w:color="auto" w:fill="ECECEC"/>
            <w:vAlign w:val="center"/>
          </w:tcPr>
          <w:p w14:paraId="77B9472C" w14:textId="77777777" w:rsidR="00F617BE" w:rsidRPr="00AA19A8" w:rsidRDefault="00F617BE" w:rsidP="00F023F4">
            <w:pPr>
              <w:jc w:val="center"/>
              <w:rPr>
                <w:rFonts w:ascii="Times New Roman" w:hAnsi="Times New Roman" w:cs="Times New Roman"/>
                <w:b/>
                <w:bCs/>
                <w:i/>
                <w:iCs/>
                <w:sz w:val="20"/>
                <w:szCs w:val="20"/>
                <w:lang w:val="sr-Cyrl-CS"/>
              </w:rPr>
            </w:pPr>
          </w:p>
        </w:tc>
      </w:tr>
      <w:tr w:rsidR="00D30238" w:rsidRPr="00AA19A8" w14:paraId="038505A5" w14:textId="77777777" w:rsidTr="00BA7E6D">
        <w:trPr>
          <w:cantSplit/>
          <w:trHeight w:val="804"/>
        </w:trPr>
        <w:tc>
          <w:tcPr>
            <w:tcW w:w="15876" w:type="dxa"/>
            <w:gridSpan w:val="75"/>
            <w:shd w:val="clear" w:color="auto" w:fill="ECECEC"/>
            <w:vAlign w:val="center"/>
          </w:tcPr>
          <w:p w14:paraId="19C05B8E"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Републички секретаријат за јавне политике (РСЈП)</w:t>
            </w:r>
          </w:p>
        </w:tc>
      </w:tr>
      <w:tr w:rsidR="00D30238" w:rsidRPr="00AA19A8" w14:paraId="203C71F4" w14:textId="77777777" w:rsidTr="006B65DC">
        <w:trPr>
          <w:cantSplit/>
          <w:trHeight w:val="804"/>
        </w:trPr>
        <w:tc>
          <w:tcPr>
            <w:tcW w:w="7869" w:type="dxa"/>
            <w:gridSpan w:val="18"/>
            <w:shd w:val="clear" w:color="auto" w:fill="ECECEC"/>
            <w:vAlign w:val="center"/>
          </w:tcPr>
          <w:p w14:paraId="2136411E"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2026-2028.</w:t>
            </w:r>
          </w:p>
        </w:tc>
        <w:tc>
          <w:tcPr>
            <w:tcW w:w="8007" w:type="dxa"/>
            <w:gridSpan w:val="57"/>
            <w:shd w:val="clear" w:color="auto" w:fill="ECECEC"/>
            <w:vAlign w:val="center"/>
          </w:tcPr>
          <w:p w14:paraId="396CDBE3"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информативно-едукативна</w:t>
            </w:r>
          </w:p>
        </w:tc>
      </w:tr>
      <w:tr w:rsidR="00D30238" w:rsidRPr="00AA19A8" w14:paraId="069B8951" w14:textId="77777777" w:rsidTr="006B65DC">
        <w:trPr>
          <w:cantSplit/>
          <w:trHeight w:val="1253"/>
        </w:trPr>
        <w:tc>
          <w:tcPr>
            <w:tcW w:w="2344" w:type="dxa"/>
            <w:shd w:val="clear" w:color="auto" w:fill="ECECEC"/>
            <w:vAlign w:val="center"/>
          </w:tcPr>
          <w:p w14:paraId="49EC52FD" w14:textId="0F64EE5E" w:rsidR="00F617BE" w:rsidRPr="00AA19A8" w:rsidRDefault="00DD263D" w:rsidP="00353117">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0A389A57"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3885BAB2"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7D581640"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375AA26A"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2B159E71"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74" w:type="dxa"/>
            <w:gridSpan w:val="10"/>
            <w:shd w:val="clear" w:color="auto" w:fill="ECECEC"/>
            <w:vAlign w:val="center"/>
          </w:tcPr>
          <w:p w14:paraId="776C1809"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275" w:type="dxa"/>
            <w:gridSpan w:val="6"/>
            <w:shd w:val="clear" w:color="auto" w:fill="ECECEC"/>
            <w:vAlign w:val="center"/>
          </w:tcPr>
          <w:p w14:paraId="08E2F9F3"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7913F102" w14:textId="77777777" w:rsidTr="006B65DC">
        <w:trPr>
          <w:cantSplit/>
          <w:trHeight w:val="1253"/>
        </w:trPr>
        <w:tc>
          <w:tcPr>
            <w:tcW w:w="2344" w:type="dxa"/>
            <w:vAlign w:val="center"/>
          </w:tcPr>
          <w:p w14:paraId="17EF981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 усвојених и објављених средњорочних планова обвезника средњорочног планирања на републичком нивоу</w:t>
            </w:r>
          </w:p>
        </w:tc>
        <w:tc>
          <w:tcPr>
            <w:tcW w:w="2965" w:type="dxa"/>
            <w:gridSpan w:val="10"/>
            <w:vAlign w:val="center"/>
          </w:tcPr>
          <w:p w14:paraId="5DAA252F"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w:t>
            </w:r>
          </w:p>
        </w:tc>
        <w:tc>
          <w:tcPr>
            <w:tcW w:w="2560" w:type="dxa"/>
            <w:gridSpan w:val="7"/>
            <w:vAlign w:val="center"/>
          </w:tcPr>
          <w:p w14:paraId="636167D2"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Интернет странице обвезника средњорочног планирања</w:t>
            </w:r>
          </w:p>
        </w:tc>
        <w:tc>
          <w:tcPr>
            <w:tcW w:w="2322" w:type="dxa"/>
            <w:gridSpan w:val="14"/>
            <w:vAlign w:val="center"/>
          </w:tcPr>
          <w:p w14:paraId="2AD8C4C6"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29</w:t>
            </w:r>
          </w:p>
        </w:tc>
        <w:tc>
          <w:tcPr>
            <w:tcW w:w="2276" w:type="dxa"/>
            <w:gridSpan w:val="16"/>
            <w:vAlign w:val="center"/>
          </w:tcPr>
          <w:p w14:paraId="59019F78"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2E4F99A2"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30</w:t>
            </w:r>
          </w:p>
        </w:tc>
        <w:tc>
          <w:tcPr>
            <w:tcW w:w="1074" w:type="dxa"/>
            <w:gridSpan w:val="10"/>
            <w:vAlign w:val="center"/>
          </w:tcPr>
          <w:p w14:paraId="3EC5A9ED"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32</w:t>
            </w:r>
          </w:p>
        </w:tc>
        <w:tc>
          <w:tcPr>
            <w:tcW w:w="1275" w:type="dxa"/>
            <w:gridSpan w:val="6"/>
            <w:vAlign w:val="center"/>
          </w:tcPr>
          <w:p w14:paraId="4014CD47"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34</w:t>
            </w:r>
          </w:p>
        </w:tc>
      </w:tr>
      <w:tr w:rsidR="00D30238" w:rsidRPr="00AA19A8" w14:paraId="0853DD33" w14:textId="77777777" w:rsidTr="006B65DC">
        <w:trPr>
          <w:cantSplit/>
          <w:trHeight w:val="2268"/>
        </w:trPr>
        <w:tc>
          <w:tcPr>
            <w:tcW w:w="2344" w:type="dxa"/>
            <w:vAlign w:val="center"/>
          </w:tcPr>
          <w:p w14:paraId="0D11E03A"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објављених извештаја о спровођењу средњорочних планова у односу на укупан број објављених средњорочних планова, који су важећи за годину за коју се извештава</w:t>
            </w:r>
          </w:p>
        </w:tc>
        <w:tc>
          <w:tcPr>
            <w:tcW w:w="2965" w:type="dxa"/>
            <w:gridSpan w:val="10"/>
            <w:vAlign w:val="center"/>
          </w:tcPr>
          <w:p w14:paraId="01D3C659"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346CFD6E"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Интернет странице обвезника средњорочног планирања</w:t>
            </w:r>
          </w:p>
        </w:tc>
        <w:tc>
          <w:tcPr>
            <w:tcW w:w="2322" w:type="dxa"/>
            <w:gridSpan w:val="14"/>
            <w:vAlign w:val="center"/>
          </w:tcPr>
          <w:p w14:paraId="5443282C"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93%</w:t>
            </w:r>
          </w:p>
        </w:tc>
        <w:tc>
          <w:tcPr>
            <w:tcW w:w="2276" w:type="dxa"/>
            <w:gridSpan w:val="16"/>
            <w:vAlign w:val="center"/>
          </w:tcPr>
          <w:p w14:paraId="2F690E35"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6C52C225"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95%</w:t>
            </w:r>
          </w:p>
        </w:tc>
        <w:tc>
          <w:tcPr>
            <w:tcW w:w="1074" w:type="dxa"/>
            <w:gridSpan w:val="10"/>
            <w:vAlign w:val="center"/>
          </w:tcPr>
          <w:p w14:paraId="3DEEFCCD"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95%</w:t>
            </w:r>
          </w:p>
        </w:tc>
        <w:tc>
          <w:tcPr>
            <w:tcW w:w="1275" w:type="dxa"/>
            <w:gridSpan w:val="6"/>
            <w:vAlign w:val="center"/>
          </w:tcPr>
          <w:p w14:paraId="14652BF4" w14:textId="77777777" w:rsidR="00F617BE" w:rsidRPr="00AA19A8" w:rsidRDefault="00F617BE" w:rsidP="003531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95%</w:t>
            </w:r>
          </w:p>
        </w:tc>
      </w:tr>
      <w:tr w:rsidR="00D30238" w:rsidRPr="00AA19A8" w14:paraId="0FBB49FA" w14:textId="77777777" w:rsidTr="006B65DC">
        <w:trPr>
          <w:cantSplit/>
          <w:trHeight w:val="630"/>
        </w:trPr>
        <w:tc>
          <w:tcPr>
            <w:tcW w:w="2344" w:type="dxa"/>
            <w:vMerge w:val="restart"/>
            <w:shd w:val="clear" w:color="auto" w:fill="ECECEC"/>
            <w:vAlign w:val="center"/>
          </w:tcPr>
          <w:p w14:paraId="1459B1CA" w14:textId="77777777" w:rsidR="00F617BE" w:rsidRPr="00AA19A8" w:rsidRDefault="00F617BE" w:rsidP="00353117">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lastRenderedPageBreak/>
              <w:t>Назив активности:</w:t>
            </w:r>
          </w:p>
        </w:tc>
        <w:tc>
          <w:tcPr>
            <w:tcW w:w="1454" w:type="dxa"/>
            <w:gridSpan w:val="5"/>
            <w:vMerge w:val="restart"/>
            <w:shd w:val="clear" w:color="auto" w:fill="ECECEC"/>
            <w:vAlign w:val="center"/>
          </w:tcPr>
          <w:p w14:paraId="50065811"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1E6D5B2B"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644F560A"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52A49A2B"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76559242" w14:textId="77777777" w:rsidTr="006B65DC">
        <w:trPr>
          <w:cantSplit/>
          <w:trHeight w:val="1253"/>
        </w:trPr>
        <w:tc>
          <w:tcPr>
            <w:tcW w:w="2344" w:type="dxa"/>
            <w:vMerge/>
            <w:shd w:val="clear" w:color="auto" w:fill="ECECEC"/>
            <w:vAlign w:val="center"/>
          </w:tcPr>
          <w:p w14:paraId="1F11B3F2" w14:textId="77777777" w:rsidR="00F617BE" w:rsidRPr="00AA19A8" w:rsidRDefault="00F617BE" w:rsidP="00353117">
            <w:pPr>
              <w:jc w:val="center"/>
              <w:rPr>
                <w:rFonts w:ascii="Times New Roman" w:hAnsi="Times New Roman" w:cs="Times New Roman"/>
                <w:b/>
                <w:bCs/>
                <w:sz w:val="20"/>
                <w:szCs w:val="20"/>
                <w:lang w:val="sr-Cyrl-CS"/>
              </w:rPr>
            </w:pPr>
          </w:p>
        </w:tc>
        <w:tc>
          <w:tcPr>
            <w:tcW w:w="1454" w:type="dxa"/>
            <w:gridSpan w:val="5"/>
            <w:vMerge/>
            <w:shd w:val="clear" w:color="auto" w:fill="ECECEC"/>
            <w:vAlign w:val="center"/>
          </w:tcPr>
          <w:p w14:paraId="05310044" w14:textId="77777777" w:rsidR="00F617BE" w:rsidRPr="00AA19A8" w:rsidRDefault="00F617BE" w:rsidP="00353117">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43E3F0C4" w14:textId="77777777" w:rsidR="00F617BE" w:rsidRPr="00AA19A8" w:rsidRDefault="00F617BE" w:rsidP="00353117">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1A9874A9" w14:textId="77777777" w:rsidR="00F617BE" w:rsidRPr="00AA19A8" w:rsidRDefault="00F617BE" w:rsidP="00353117">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65C0289F"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17E34291"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047D703F"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5B47E3DF"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6FFDCAAF" w14:textId="77777777" w:rsidR="00F617BE" w:rsidRPr="00AA19A8" w:rsidRDefault="00F617BE" w:rsidP="0035311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0DA9D27B" w14:textId="77777777" w:rsidTr="006B65DC">
        <w:trPr>
          <w:cantSplit/>
          <w:trHeight w:val="2835"/>
        </w:trPr>
        <w:tc>
          <w:tcPr>
            <w:tcW w:w="2344" w:type="dxa"/>
            <w:vAlign w:val="center"/>
          </w:tcPr>
          <w:p w14:paraId="4BD8E364" w14:textId="6ABE9485" w:rsidR="00F617BE" w:rsidRPr="00AA19A8" w:rsidRDefault="00F617BE" w:rsidP="00BB001A">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1.7.1  Пружање системске менторске подршке изради средњорочних планова обвезника средњорочног планирања на републичком нивоу, за боље усклађивање са годишњим буџетима обвезника</w:t>
            </w:r>
          </w:p>
        </w:tc>
        <w:tc>
          <w:tcPr>
            <w:tcW w:w="1454" w:type="dxa"/>
            <w:gridSpan w:val="5"/>
            <w:vAlign w:val="center"/>
          </w:tcPr>
          <w:p w14:paraId="5A983F14"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1DB8D49C"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РСЈП</w:t>
            </w:r>
          </w:p>
        </w:tc>
        <w:tc>
          <w:tcPr>
            <w:tcW w:w="2560" w:type="dxa"/>
            <w:gridSpan w:val="7"/>
            <w:vAlign w:val="center"/>
          </w:tcPr>
          <w:p w14:paraId="56C11F31"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Обвезници средњорочног планирања</w:t>
            </w:r>
          </w:p>
        </w:tc>
        <w:tc>
          <w:tcPr>
            <w:tcW w:w="2322" w:type="dxa"/>
            <w:gridSpan w:val="14"/>
            <w:vAlign w:val="center"/>
          </w:tcPr>
          <w:p w14:paraId="49D66F52"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276" w:type="dxa"/>
            <w:gridSpan w:val="16"/>
            <w:vAlign w:val="center"/>
          </w:tcPr>
          <w:p w14:paraId="4279726F"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0610-0006</w:t>
            </w:r>
          </w:p>
        </w:tc>
        <w:tc>
          <w:tcPr>
            <w:tcW w:w="1060" w:type="dxa"/>
            <w:gridSpan w:val="11"/>
            <w:vAlign w:val="center"/>
          </w:tcPr>
          <w:p w14:paraId="4827D767"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3B7F6468"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213BC964"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601EEAC" w14:textId="77777777" w:rsidTr="006B65DC">
        <w:trPr>
          <w:cantSplit/>
          <w:trHeight w:val="2835"/>
        </w:trPr>
        <w:tc>
          <w:tcPr>
            <w:tcW w:w="2344" w:type="dxa"/>
            <w:vAlign w:val="center"/>
          </w:tcPr>
          <w:p w14:paraId="46FC614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1.7.2 Успостављање мреже координатора средњорочног планирања, ради унапређења усклађености планирања јавних политика са средњорочним оквиром расхода</w:t>
            </w:r>
            <w:r w:rsidRPr="00AA19A8" w:rsidDel="006A1101">
              <w:rPr>
                <w:rFonts w:ascii="Times New Roman" w:hAnsi="Times New Roman" w:cs="Times New Roman"/>
                <w:sz w:val="20"/>
                <w:szCs w:val="20"/>
                <w:lang w:val="sr-Cyrl-CS"/>
              </w:rPr>
              <w:t xml:space="preserve"> </w:t>
            </w:r>
          </w:p>
        </w:tc>
        <w:tc>
          <w:tcPr>
            <w:tcW w:w="1454" w:type="dxa"/>
            <w:gridSpan w:val="5"/>
            <w:vAlign w:val="center"/>
          </w:tcPr>
          <w:p w14:paraId="5B2D6551"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7794C3EA"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РСЈП</w:t>
            </w:r>
          </w:p>
        </w:tc>
        <w:tc>
          <w:tcPr>
            <w:tcW w:w="2560" w:type="dxa"/>
            <w:gridSpan w:val="7"/>
            <w:vAlign w:val="center"/>
          </w:tcPr>
          <w:p w14:paraId="212CF301"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Обвезници средњорочног планирања</w:t>
            </w:r>
          </w:p>
        </w:tc>
        <w:tc>
          <w:tcPr>
            <w:tcW w:w="2322" w:type="dxa"/>
            <w:gridSpan w:val="14"/>
            <w:vAlign w:val="center"/>
          </w:tcPr>
          <w:p w14:paraId="54731EBD"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276" w:type="dxa"/>
            <w:gridSpan w:val="16"/>
            <w:vAlign w:val="center"/>
          </w:tcPr>
          <w:p w14:paraId="5F6F2D66"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0610-0006</w:t>
            </w:r>
          </w:p>
        </w:tc>
        <w:tc>
          <w:tcPr>
            <w:tcW w:w="1060" w:type="dxa"/>
            <w:gridSpan w:val="11"/>
            <w:vAlign w:val="center"/>
          </w:tcPr>
          <w:p w14:paraId="472D7BBE"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36F1121F"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595110E4" w14:textId="77777777" w:rsidR="00F617BE" w:rsidRPr="00AA19A8" w:rsidRDefault="00F617BE" w:rsidP="00AB4BC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734D4E31" w14:textId="77777777" w:rsidTr="00BA7E6D">
        <w:trPr>
          <w:cantSplit/>
          <w:trHeight w:val="805"/>
        </w:trPr>
        <w:tc>
          <w:tcPr>
            <w:tcW w:w="15876" w:type="dxa"/>
            <w:gridSpan w:val="75"/>
            <w:shd w:val="clear" w:color="auto" w:fill="DEEAF6"/>
            <w:vAlign w:val="center"/>
          </w:tcPr>
          <w:p w14:paraId="632DE8EA"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ПОСЕБНИ ЦИЉ II: ЕФИКАСНО ПРИКУПЉАЊЕ И УПРАВЉАЊЕ БУЏЕТСКИМ СРЕДСТВИМА</w:t>
            </w:r>
          </w:p>
        </w:tc>
      </w:tr>
      <w:tr w:rsidR="00D30238" w:rsidRPr="00AA19A8" w14:paraId="5A9AF73C" w14:textId="77777777" w:rsidTr="006B65DC">
        <w:trPr>
          <w:cantSplit/>
          <w:trHeight w:val="1253"/>
        </w:trPr>
        <w:tc>
          <w:tcPr>
            <w:tcW w:w="2344" w:type="dxa"/>
            <w:shd w:val="clear" w:color="auto" w:fill="ECECEC"/>
            <w:vAlign w:val="center"/>
          </w:tcPr>
          <w:p w14:paraId="77BDB14C" w14:textId="5203E752" w:rsidR="00F617BE" w:rsidRPr="00AA19A8" w:rsidRDefault="00F617BE" w:rsidP="00E078EA">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lastRenderedPageBreak/>
              <w:t xml:space="preserve">Показатељ(и) на нивоу </w:t>
            </w:r>
            <w:r w:rsidR="00DD263D">
              <w:rPr>
                <w:rFonts w:ascii="Times New Roman" w:hAnsi="Times New Roman" w:cs="Times New Roman"/>
                <w:b/>
                <w:bCs/>
                <w:sz w:val="20"/>
                <w:szCs w:val="20"/>
                <w:lang w:val="sr-Cyrl-CS"/>
              </w:rPr>
              <w:t>посебног циља</w:t>
            </w:r>
            <w:r w:rsidRPr="00AA19A8">
              <w:rPr>
                <w:rFonts w:ascii="Times New Roman" w:hAnsi="Times New Roman" w:cs="Times New Roman"/>
                <w:b/>
                <w:bCs/>
                <w:sz w:val="20"/>
                <w:szCs w:val="20"/>
                <w:lang w:val="sr-Cyrl-CS"/>
              </w:rPr>
              <w:t xml:space="preserve"> (показатељ </w:t>
            </w:r>
            <w:r w:rsidR="00DD263D">
              <w:rPr>
                <w:rFonts w:ascii="Times New Roman" w:hAnsi="Times New Roman" w:cs="Times New Roman"/>
                <w:b/>
                <w:bCs/>
                <w:sz w:val="20"/>
                <w:szCs w:val="20"/>
                <w:lang w:val="sr-Cyrl-CS"/>
              </w:rPr>
              <w:t>исхода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4347A86B" w14:textId="77777777" w:rsidR="00F617BE" w:rsidRPr="00AA19A8" w:rsidRDefault="00F617BE" w:rsidP="00E078E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2F14FBCC" w14:textId="77777777" w:rsidR="00F617BE" w:rsidRPr="00AA19A8" w:rsidRDefault="00F617BE" w:rsidP="00E078E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530C7C4D" w14:textId="77777777" w:rsidR="00F617BE" w:rsidRPr="00AA19A8" w:rsidRDefault="00F617BE" w:rsidP="00E078E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210982D8" w14:textId="77777777" w:rsidR="00F617BE" w:rsidRPr="00AA19A8" w:rsidRDefault="00F617BE" w:rsidP="00E078E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04ED6F64" w14:textId="77777777" w:rsidR="00F617BE" w:rsidRPr="00AA19A8" w:rsidRDefault="00F617BE" w:rsidP="00E078E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74" w:type="dxa"/>
            <w:gridSpan w:val="10"/>
            <w:shd w:val="clear" w:color="auto" w:fill="ECECEC"/>
            <w:vAlign w:val="center"/>
          </w:tcPr>
          <w:p w14:paraId="23D6F76B" w14:textId="77777777" w:rsidR="00F617BE" w:rsidRPr="00AA19A8" w:rsidRDefault="00F617BE" w:rsidP="00E078E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275" w:type="dxa"/>
            <w:gridSpan w:val="6"/>
            <w:shd w:val="clear" w:color="auto" w:fill="ECECEC"/>
            <w:vAlign w:val="center"/>
          </w:tcPr>
          <w:p w14:paraId="08DE7E2B" w14:textId="77777777" w:rsidR="00F617BE" w:rsidRPr="00AA19A8" w:rsidRDefault="00F617BE" w:rsidP="00E078E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048AC6CB" w14:textId="77777777" w:rsidTr="006B65DC">
        <w:trPr>
          <w:cantSplit/>
          <w:trHeight w:val="1877"/>
        </w:trPr>
        <w:tc>
          <w:tcPr>
            <w:tcW w:w="2344" w:type="dxa"/>
            <w:vAlign w:val="center"/>
          </w:tcPr>
          <w:p w14:paraId="060B9ACF"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Стварни приходи и расходи буџета сектора државе на годишњем нивоу су у опсегу 5% од пројектованих у фискалној стратегији.</w:t>
            </w:r>
          </w:p>
        </w:tc>
        <w:tc>
          <w:tcPr>
            <w:tcW w:w="2965" w:type="dxa"/>
            <w:gridSpan w:val="10"/>
            <w:vAlign w:val="center"/>
          </w:tcPr>
          <w:p w14:paraId="063E9ACB" w14:textId="77777777" w:rsidR="00F617BE" w:rsidRPr="00AA19A8" w:rsidRDefault="00F617BE" w:rsidP="00EC1DA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2AC51BF0" w14:textId="77777777" w:rsidR="00F617BE" w:rsidRPr="00AA19A8" w:rsidRDefault="00F617BE" w:rsidP="00EC1DA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Фискална стратегија</w:t>
            </w:r>
          </w:p>
        </w:tc>
        <w:tc>
          <w:tcPr>
            <w:tcW w:w="2322" w:type="dxa"/>
            <w:gridSpan w:val="14"/>
            <w:vAlign w:val="center"/>
          </w:tcPr>
          <w:p w14:paraId="66CD96E2" w14:textId="77777777" w:rsidR="00F617BE" w:rsidRPr="00AA19A8" w:rsidRDefault="00F617BE" w:rsidP="00EC1DA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 опсегу до 5%</w:t>
            </w:r>
          </w:p>
        </w:tc>
        <w:tc>
          <w:tcPr>
            <w:tcW w:w="2276" w:type="dxa"/>
            <w:gridSpan w:val="16"/>
            <w:vAlign w:val="center"/>
          </w:tcPr>
          <w:p w14:paraId="78224DFD" w14:textId="77777777" w:rsidR="00F617BE" w:rsidRPr="00AA19A8" w:rsidRDefault="00F617BE" w:rsidP="00EC1DA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5716E6B5" w14:textId="77777777" w:rsidR="00F617BE" w:rsidRPr="00AA19A8" w:rsidRDefault="00F617BE" w:rsidP="00EC1DA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 опсегу до 5%</w:t>
            </w:r>
          </w:p>
        </w:tc>
        <w:tc>
          <w:tcPr>
            <w:tcW w:w="1074" w:type="dxa"/>
            <w:gridSpan w:val="10"/>
            <w:vAlign w:val="center"/>
          </w:tcPr>
          <w:p w14:paraId="249D9B14" w14:textId="77777777" w:rsidR="00F617BE" w:rsidRPr="00AA19A8" w:rsidRDefault="00F617BE" w:rsidP="00EC1DA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 опсегу до 5%</w:t>
            </w:r>
          </w:p>
        </w:tc>
        <w:tc>
          <w:tcPr>
            <w:tcW w:w="1275" w:type="dxa"/>
            <w:gridSpan w:val="6"/>
            <w:vAlign w:val="center"/>
          </w:tcPr>
          <w:p w14:paraId="4D530244" w14:textId="77777777" w:rsidR="00F617BE" w:rsidRPr="00AA19A8" w:rsidRDefault="00F617BE" w:rsidP="00EC1DA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 опсегу до 5%</w:t>
            </w:r>
          </w:p>
        </w:tc>
      </w:tr>
      <w:tr w:rsidR="00D30238" w:rsidRPr="00AA19A8" w14:paraId="3BF21066" w14:textId="77777777" w:rsidTr="006B65DC">
        <w:trPr>
          <w:cantSplit/>
          <w:trHeight w:val="804"/>
        </w:trPr>
        <w:tc>
          <w:tcPr>
            <w:tcW w:w="15124" w:type="dxa"/>
            <w:gridSpan w:val="74"/>
            <w:shd w:val="clear" w:color="auto" w:fill="ECECEC"/>
            <w:vAlign w:val="center"/>
          </w:tcPr>
          <w:p w14:paraId="5AF91649" w14:textId="77777777" w:rsidR="00F617BE" w:rsidRPr="00AA19A8" w:rsidRDefault="00F617BE" w:rsidP="00F617BE">
            <w:pPr>
              <w:rPr>
                <w:rFonts w:ascii="Times New Roman" w:hAnsi="Times New Roman" w:cs="Times New Roman"/>
                <w:b/>
                <w:bCs/>
                <w:i/>
                <w:iCs/>
                <w:sz w:val="20"/>
                <w:szCs w:val="20"/>
                <w:lang w:val="sr-Cyrl-CS"/>
              </w:rPr>
            </w:pPr>
            <w:bookmarkStart w:id="24" w:name="_Toc73613654"/>
            <w:r w:rsidRPr="00AA19A8">
              <w:rPr>
                <w:rFonts w:ascii="Times New Roman" w:hAnsi="Times New Roman" w:cs="Times New Roman"/>
                <w:b/>
                <w:bCs/>
                <w:i/>
                <w:iCs/>
                <w:sz w:val="20"/>
                <w:szCs w:val="20"/>
                <w:lang w:val="sr-Cyrl-CS"/>
              </w:rPr>
              <w:t>Мера 2.1: Ефикасно прикупљање буџетских прихода који су у надлежности Пореске управе</w:t>
            </w:r>
            <w:bookmarkEnd w:id="24"/>
          </w:p>
        </w:tc>
        <w:tc>
          <w:tcPr>
            <w:tcW w:w="752" w:type="dxa"/>
            <w:shd w:val="clear" w:color="auto" w:fill="ECECEC"/>
            <w:vAlign w:val="center"/>
          </w:tcPr>
          <w:p w14:paraId="20D8E5BC" w14:textId="77777777" w:rsidR="00F617BE" w:rsidRPr="00AA19A8" w:rsidRDefault="00F617BE" w:rsidP="00F617BE">
            <w:pPr>
              <w:rPr>
                <w:rFonts w:ascii="Times New Roman" w:hAnsi="Times New Roman" w:cs="Times New Roman"/>
                <w:b/>
                <w:bCs/>
                <w:i/>
                <w:iCs/>
                <w:sz w:val="20"/>
                <w:szCs w:val="20"/>
                <w:lang w:val="sr-Cyrl-CS"/>
              </w:rPr>
            </w:pPr>
          </w:p>
        </w:tc>
      </w:tr>
      <w:tr w:rsidR="00D30238" w:rsidRPr="00AA19A8" w14:paraId="635B95C6" w14:textId="77777777" w:rsidTr="006B65DC">
        <w:trPr>
          <w:cantSplit/>
          <w:trHeight w:val="1259"/>
        </w:trPr>
        <w:tc>
          <w:tcPr>
            <w:tcW w:w="2344" w:type="dxa"/>
            <w:shd w:val="clear" w:color="auto" w:fill="ECECEC"/>
            <w:vAlign w:val="center"/>
          </w:tcPr>
          <w:p w14:paraId="506BEE3F"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579FD4E1" w14:textId="77777777" w:rsidR="00F617BE" w:rsidRPr="00AA19A8" w:rsidRDefault="00F617BE" w:rsidP="00C41A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29B6AE75" w14:textId="77777777" w:rsidR="00F617BE" w:rsidRPr="00AA19A8" w:rsidRDefault="00F617BE" w:rsidP="00C41A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p w14:paraId="604F7580" w14:textId="77777777" w:rsidR="00F617BE" w:rsidRPr="00AA19A8" w:rsidRDefault="00F617BE" w:rsidP="00C41A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(Напомена: у оквиру ове мере за одређене активности постоји збирни приказ за две или три године. У циљу попуњавања табеле испод, ова средства су подељена равномерно по годинама, што не мора да буде случај у пракси)</w:t>
            </w:r>
          </w:p>
        </w:tc>
      </w:tr>
      <w:tr w:rsidR="00D30238" w:rsidRPr="00AA19A8" w14:paraId="3D01BB62" w14:textId="77777777" w:rsidTr="006B65DC">
        <w:trPr>
          <w:cantSplit/>
          <w:trHeight w:val="805"/>
        </w:trPr>
        <w:tc>
          <w:tcPr>
            <w:tcW w:w="2344" w:type="dxa"/>
            <w:shd w:val="clear" w:color="auto" w:fill="ECECEC"/>
            <w:vAlign w:val="center"/>
          </w:tcPr>
          <w:p w14:paraId="4B8DCACF"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Зајам, IPA2021, IPA2022, Донаторска средства</w:t>
            </w:r>
          </w:p>
        </w:tc>
        <w:tc>
          <w:tcPr>
            <w:tcW w:w="2965" w:type="dxa"/>
            <w:gridSpan w:val="10"/>
            <w:shd w:val="clear" w:color="auto" w:fill="ECECEC"/>
            <w:vAlign w:val="center"/>
          </w:tcPr>
          <w:p w14:paraId="19AA4709" w14:textId="77777777" w:rsidR="00F617BE" w:rsidRPr="00AA19A8" w:rsidRDefault="00F617BE" w:rsidP="00C41A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w:t>
            </w:r>
          </w:p>
        </w:tc>
        <w:tc>
          <w:tcPr>
            <w:tcW w:w="3303" w:type="dxa"/>
            <w:gridSpan w:val="12"/>
            <w:shd w:val="clear" w:color="auto" w:fill="ECECEC"/>
            <w:vAlign w:val="center"/>
          </w:tcPr>
          <w:p w14:paraId="3473E3F6" w14:textId="099CEAF4" w:rsidR="00F617BE" w:rsidRPr="00AA19A8" w:rsidRDefault="00F617BE" w:rsidP="00C41A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2026: </w:t>
            </w:r>
            <w:r w:rsidR="00474726" w:rsidRPr="00AA19A8">
              <w:rPr>
                <w:rFonts w:ascii="Times New Roman" w:hAnsi="Times New Roman" w:cs="Times New Roman"/>
                <w:b/>
                <w:bCs/>
                <w:i/>
                <w:iCs/>
                <w:sz w:val="20"/>
                <w:szCs w:val="20"/>
                <w:lang w:val="sr-Cyrl-CS"/>
              </w:rPr>
              <w:t>1.680.980,95</w:t>
            </w:r>
          </w:p>
        </w:tc>
        <w:tc>
          <w:tcPr>
            <w:tcW w:w="3319" w:type="dxa"/>
            <w:gridSpan w:val="19"/>
            <w:shd w:val="clear" w:color="auto" w:fill="ECECEC"/>
            <w:vAlign w:val="center"/>
          </w:tcPr>
          <w:p w14:paraId="5CFD16FA" w14:textId="7DF09A05" w:rsidR="00F617BE" w:rsidRPr="00AA19A8" w:rsidRDefault="00F617BE" w:rsidP="00C41A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1.</w:t>
            </w:r>
            <w:r w:rsidR="00474726" w:rsidRPr="00AA19A8">
              <w:rPr>
                <w:rFonts w:ascii="Times New Roman" w:hAnsi="Times New Roman" w:cs="Times New Roman"/>
                <w:b/>
                <w:bCs/>
                <w:i/>
                <w:iCs/>
                <w:sz w:val="20"/>
                <w:szCs w:val="20"/>
                <w:lang w:val="sr-Cyrl-CS"/>
              </w:rPr>
              <w:t>860.778,97</w:t>
            </w:r>
          </w:p>
        </w:tc>
        <w:tc>
          <w:tcPr>
            <w:tcW w:w="3945" w:type="dxa"/>
            <w:gridSpan w:val="33"/>
            <w:shd w:val="clear" w:color="auto" w:fill="ECECEC"/>
            <w:vAlign w:val="center"/>
          </w:tcPr>
          <w:p w14:paraId="74676104" w14:textId="456BB30C" w:rsidR="00F617BE" w:rsidRPr="00AA19A8" w:rsidRDefault="00F617BE" w:rsidP="00C41A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2028: </w:t>
            </w:r>
            <w:r w:rsidR="00474726" w:rsidRPr="00AA19A8">
              <w:rPr>
                <w:rFonts w:ascii="Times New Roman" w:hAnsi="Times New Roman" w:cs="Times New Roman"/>
                <w:b/>
                <w:bCs/>
                <w:i/>
                <w:iCs/>
                <w:sz w:val="20"/>
                <w:szCs w:val="20"/>
                <w:lang w:val="sr-Cyrl-CS"/>
              </w:rPr>
              <w:t>2.958.827</w:t>
            </w:r>
          </w:p>
        </w:tc>
      </w:tr>
      <w:tr w:rsidR="00D30238" w:rsidRPr="00AA19A8" w14:paraId="3AFC6E73" w14:textId="77777777" w:rsidTr="00BA7E6D">
        <w:trPr>
          <w:cantSplit/>
          <w:trHeight w:val="805"/>
        </w:trPr>
        <w:tc>
          <w:tcPr>
            <w:tcW w:w="15876" w:type="dxa"/>
            <w:gridSpan w:val="75"/>
            <w:shd w:val="clear" w:color="auto" w:fill="ECECEC"/>
            <w:vAlign w:val="center"/>
          </w:tcPr>
          <w:p w14:paraId="067E6BDB" w14:textId="2D1E9630" w:rsidR="00F617BE" w:rsidRPr="00AA19A8" w:rsidRDefault="00F617BE" w:rsidP="00F617BE">
            <w:pPr>
              <w:rPr>
                <w:rFonts w:ascii="Times New Roman" w:hAnsi="Times New Roman" w:cs="Times New Roman"/>
                <w:b/>
                <w:bCs/>
                <w:i/>
                <w:iCs/>
                <w:sz w:val="20"/>
                <w:szCs w:val="20"/>
                <w:lang w:val="sr-Cyrl-CS"/>
              </w:rPr>
            </w:pPr>
            <w:bookmarkStart w:id="25" w:name="_Toc73613655"/>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w:t>
            </w:r>
            <w:r w:rsidR="006175B3" w:rsidRPr="00AA19A8">
              <w:rPr>
                <w:rFonts w:ascii="Times New Roman" w:hAnsi="Times New Roman" w:cs="Times New Roman"/>
                <w:b/>
                <w:bCs/>
                <w:i/>
                <w:iCs/>
                <w:sz w:val="20"/>
                <w:szCs w:val="20"/>
                <w:lang w:val="sr-Cyrl-CS"/>
              </w:rPr>
              <w:t xml:space="preserve"> </w:t>
            </w:r>
            <w:r w:rsidRPr="00AA19A8">
              <w:rPr>
                <w:rFonts w:ascii="Times New Roman" w:hAnsi="Times New Roman" w:cs="Times New Roman"/>
                <w:b/>
                <w:bCs/>
                <w:i/>
                <w:iCs/>
                <w:sz w:val="20"/>
                <w:szCs w:val="20"/>
                <w:lang w:val="sr-Cyrl-CS"/>
              </w:rPr>
              <w:t>-</w:t>
            </w:r>
            <w:r w:rsidR="006175B3" w:rsidRPr="00AA19A8">
              <w:rPr>
                <w:rFonts w:ascii="Times New Roman" w:hAnsi="Times New Roman" w:cs="Times New Roman"/>
                <w:b/>
                <w:bCs/>
                <w:i/>
                <w:iCs/>
                <w:sz w:val="20"/>
                <w:szCs w:val="20"/>
                <w:lang w:val="sr-Cyrl-CS"/>
              </w:rPr>
              <w:t xml:space="preserve"> </w:t>
            </w:r>
            <w:r w:rsidRPr="00AA19A8">
              <w:rPr>
                <w:rFonts w:ascii="Times New Roman" w:hAnsi="Times New Roman" w:cs="Times New Roman"/>
                <w:b/>
                <w:bCs/>
                <w:i/>
                <w:iCs/>
                <w:sz w:val="20"/>
                <w:szCs w:val="20"/>
                <w:lang w:val="sr-Cyrl-CS"/>
              </w:rPr>
              <w:t>Пореска управа</w:t>
            </w:r>
            <w:bookmarkEnd w:id="25"/>
          </w:p>
        </w:tc>
      </w:tr>
      <w:tr w:rsidR="00D30238" w:rsidRPr="00AA19A8" w14:paraId="551CC3F6" w14:textId="77777777" w:rsidTr="006B65DC">
        <w:trPr>
          <w:cantSplit/>
          <w:trHeight w:val="804"/>
        </w:trPr>
        <w:tc>
          <w:tcPr>
            <w:tcW w:w="7869" w:type="dxa"/>
            <w:gridSpan w:val="18"/>
            <w:shd w:val="clear" w:color="auto" w:fill="ECECEC"/>
            <w:vAlign w:val="center"/>
          </w:tcPr>
          <w:p w14:paraId="01260CF8" w14:textId="4807E186" w:rsidR="00F617BE" w:rsidRPr="00AA19A8" w:rsidRDefault="00F617BE" w:rsidP="00F617BE">
            <w:pPr>
              <w:rPr>
                <w:rFonts w:ascii="Times New Roman" w:hAnsi="Times New Roman" w:cs="Times New Roman"/>
                <w:b/>
                <w:bCs/>
                <w:i/>
                <w:iCs/>
                <w:sz w:val="20"/>
                <w:szCs w:val="20"/>
                <w:lang w:val="sr-Cyrl-CS"/>
              </w:rPr>
            </w:pPr>
            <w:bookmarkStart w:id="26" w:name="_Toc73613656"/>
            <w:r w:rsidRPr="00AA19A8">
              <w:rPr>
                <w:rFonts w:ascii="Times New Roman" w:hAnsi="Times New Roman" w:cs="Times New Roman"/>
                <w:b/>
                <w:bCs/>
                <w:i/>
                <w:iCs/>
                <w:sz w:val="20"/>
                <w:szCs w:val="20"/>
                <w:lang w:val="sr-Cyrl-CS"/>
              </w:rPr>
              <w:t>Период спровођења: 2026-20</w:t>
            </w:r>
            <w:bookmarkEnd w:id="26"/>
            <w:r w:rsidRPr="00AA19A8">
              <w:rPr>
                <w:rFonts w:ascii="Times New Roman" w:hAnsi="Times New Roman" w:cs="Times New Roman"/>
                <w:b/>
                <w:bCs/>
                <w:i/>
                <w:iCs/>
                <w:sz w:val="20"/>
                <w:szCs w:val="20"/>
                <w:lang w:val="sr-Cyrl-CS"/>
              </w:rPr>
              <w:t>30</w:t>
            </w:r>
            <w:r w:rsidR="00713D3C" w:rsidRPr="00AA19A8">
              <w:rPr>
                <w:rFonts w:ascii="Times New Roman" w:hAnsi="Times New Roman" w:cs="Times New Roman"/>
                <w:b/>
                <w:bCs/>
                <w:i/>
                <w:iCs/>
                <w:sz w:val="20"/>
                <w:szCs w:val="20"/>
                <w:lang w:val="sr-Cyrl-CS"/>
              </w:rPr>
              <w:t>.</w:t>
            </w:r>
          </w:p>
        </w:tc>
        <w:tc>
          <w:tcPr>
            <w:tcW w:w="8007" w:type="dxa"/>
            <w:gridSpan w:val="57"/>
            <w:shd w:val="clear" w:color="auto" w:fill="ECECEC"/>
            <w:vAlign w:val="center"/>
          </w:tcPr>
          <w:p w14:paraId="2BCC3BBE" w14:textId="77777777" w:rsidR="00F617BE" w:rsidRPr="00AA19A8" w:rsidRDefault="00F617BE" w:rsidP="00F617BE">
            <w:pPr>
              <w:rPr>
                <w:rFonts w:ascii="Times New Roman" w:hAnsi="Times New Roman" w:cs="Times New Roman"/>
                <w:b/>
                <w:bCs/>
                <w:i/>
                <w:iCs/>
                <w:sz w:val="20"/>
                <w:szCs w:val="20"/>
                <w:lang w:val="sr-Cyrl-CS"/>
              </w:rPr>
            </w:pPr>
            <w:bookmarkStart w:id="27" w:name="_Toc73613657"/>
            <w:r w:rsidRPr="00AA19A8">
              <w:rPr>
                <w:rFonts w:ascii="Times New Roman" w:hAnsi="Times New Roman" w:cs="Times New Roman"/>
                <w:b/>
                <w:bCs/>
                <w:i/>
                <w:iCs/>
                <w:sz w:val="20"/>
                <w:szCs w:val="20"/>
                <w:lang w:val="sr-Cyrl-CS"/>
              </w:rPr>
              <w:t>Тип мере: Институционално управљачко организациона</w:t>
            </w:r>
            <w:bookmarkEnd w:id="27"/>
          </w:p>
        </w:tc>
      </w:tr>
      <w:tr w:rsidR="00D30238" w:rsidRPr="00AA19A8" w14:paraId="2A1FC950" w14:textId="77777777" w:rsidTr="006B65DC">
        <w:trPr>
          <w:cantSplit/>
          <w:trHeight w:val="1253"/>
        </w:trPr>
        <w:tc>
          <w:tcPr>
            <w:tcW w:w="2344" w:type="dxa"/>
            <w:shd w:val="clear" w:color="auto" w:fill="ECECEC"/>
            <w:vAlign w:val="center"/>
          </w:tcPr>
          <w:p w14:paraId="4B9694D6" w14:textId="4E56252F"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6AD8BD71"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17E880E1"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4DA4EFB6"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4B8CE6E4"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7782A77F"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74" w:type="dxa"/>
            <w:gridSpan w:val="10"/>
            <w:shd w:val="clear" w:color="auto" w:fill="ECECEC"/>
            <w:vAlign w:val="center"/>
          </w:tcPr>
          <w:p w14:paraId="6A6097D7"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275" w:type="dxa"/>
            <w:gridSpan w:val="6"/>
            <w:shd w:val="clear" w:color="auto" w:fill="ECECEC"/>
            <w:vAlign w:val="center"/>
          </w:tcPr>
          <w:p w14:paraId="16ADF1BE"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3C69707D" w14:textId="77777777" w:rsidTr="006B65DC">
        <w:trPr>
          <w:cantSplit/>
          <w:trHeight w:val="1871"/>
        </w:trPr>
        <w:tc>
          <w:tcPr>
            <w:tcW w:w="2344" w:type="dxa"/>
            <w:vAlign w:val="center"/>
          </w:tcPr>
          <w:p w14:paraId="207AB9E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Проценат оствaрене наплате у односу на одобрену буџетску процену (порез на доходак, порез на добит, бруто домаћи ПДВ, бруто акцизе)</w:t>
            </w:r>
          </w:p>
        </w:tc>
        <w:tc>
          <w:tcPr>
            <w:tcW w:w="2965" w:type="dxa"/>
            <w:gridSpan w:val="10"/>
            <w:vAlign w:val="center"/>
          </w:tcPr>
          <w:p w14:paraId="1F39F94E"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0E1DF5E3"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Закон о буџету и Извештај Пореске управе</w:t>
            </w:r>
          </w:p>
        </w:tc>
        <w:tc>
          <w:tcPr>
            <w:tcW w:w="2322" w:type="dxa"/>
            <w:gridSpan w:val="14"/>
            <w:vAlign w:val="center"/>
          </w:tcPr>
          <w:p w14:paraId="2E6EC30F"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104,4%</w:t>
            </w:r>
          </w:p>
        </w:tc>
        <w:tc>
          <w:tcPr>
            <w:tcW w:w="2276" w:type="dxa"/>
            <w:gridSpan w:val="16"/>
            <w:vAlign w:val="center"/>
          </w:tcPr>
          <w:p w14:paraId="6A3DD5C3"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613E8656"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074" w:type="dxa"/>
            <w:gridSpan w:val="10"/>
            <w:vAlign w:val="center"/>
          </w:tcPr>
          <w:p w14:paraId="36B46BAE"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275" w:type="dxa"/>
            <w:gridSpan w:val="6"/>
            <w:vAlign w:val="center"/>
          </w:tcPr>
          <w:p w14:paraId="4293D544"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r>
      <w:tr w:rsidR="00D30238" w:rsidRPr="00AA19A8" w14:paraId="749CD6CB" w14:textId="77777777" w:rsidTr="006B65DC">
        <w:trPr>
          <w:cantSplit/>
          <w:trHeight w:val="629"/>
        </w:trPr>
        <w:tc>
          <w:tcPr>
            <w:tcW w:w="2344" w:type="dxa"/>
            <w:vMerge w:val="restart"/>
            <w:shd w:val="clear" w:color="auto" w:fill="ECECEC"/>
            <w:vAlign w:val="center"/>
          </w:tcPr>
          <w:p w14:paraId="340D3CA2"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7ADBE8CB"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617E9AB2"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51018EAE"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43CB9841"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27D2BF11" w14:textId="77777777" w:rsidTr="006B65DC">
        <w:trPr>
          <w:cantSplit/>
          <w:trHeight w:val="1253"/>
        </w:trPr>
        <w:tc>
          <w:tcPr>
            <w:tcW w:w="2344" w:type="dxa"/>
            <w:vMerge/>
            <w:shd w:val="clear" w:color="auto" w:fill="ECECEC"/>
            <w:vAlign w:val="center"/>
          </w:tcPr>
          <w:p w14:paraId="3FE91A24" w14:textId="77777777" w:rsidR="00F617BE" w:rsidRPr="00AA19A8" w:rsidRDefault="00F617BE" w:rsidP="00F617BE">
            <w:pPr>
              <w:rPr>
                <w:rFonts w:ascii="Times New Roman" w:hAnsi="Times New Roman" w:cs="Times New Roman"/>
                <w:b/>
                <w:bCs/>
                <w:sz w:val="20"/>
                <w:szCs w:val="20"/>
                <w:lang w:val="sr-Cyrl-CS"/>
              </w:rPr>
            </w:pPr>
          </w:p>
        </w:tc>
        <w:tc>
          <w:tcPr>
            <w:tcW w:w="1454" w:type="dxa"/>
            <w:gridSpan w:val="5"/>
            <w:vMerge/>
            <w:shd w:val="clear" w:color="auto" w:fill="ECECEC"/>
            <w:vAlign w:val="center"/>
          </w:tcPr>
          <w:p w14:paraId="6C9C9C3C" w14:textId="77777777" w:rsidR="00F617BE" w:rsidRPr="00AA19A8" w:rsidRDefault="00F617BE" w:rsidP="00036EC6">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4F229CBC" w14:textId="77777777" w:rsidR="00F617BE" w:rsidRPr="00AA19A8" w:rsidRDefault="00F617BE" w:rsidP="00036EC6">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7DE3CAB5" w14:textId="77777777" w:rsidR="00F617BE" w:rsidRPr="00AA19A8" w:rsidRDefault="00F617BE" w:rsidP="00036EC6">
            <w:pPr>
              <w:jc w:val="center"/>
              <w:rPr>
                <w:rFonts w:ascii="Times New Roman" w:hAnsi="Times New Roman" w:cs="Times New Roman"/>
                <w:b/>
                <w:bCs/>
                <w:sz w:val="20"/>
                <w:szCs w:val="20"/>
                <w:lang w:val="sr-Cyrl-CS"/>
              </w:rPr>
            </w:pPr>
          </w:p>
        </w:tc>
        <w:tc>
          <w:tcPr>
            <w:tcW w:w="1790" w:type="dxa"/>
            <w:gridSpan w:val="12"/>
            <w:shd w:val="clear" w:color="auto" w:fill="ECECEC"/>
            <w:vAlign w:val="center"/>
          </w:tcPr>
          <w:p w14:paraId="26E48FF8"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1856" w:type="dxa"/>
            <w:gridSpan w:val="9"/>
            <w:shd w:val="clear" w:color="auto" w:fill="ECECEC"/>
            <w:vAlign w:val="center"/>
          </w:tcPr>
          <w:p w14:paraId="2973EDA5"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463" w:type="dxa"/>
            <w:gridSpan w:val="17"/>
            <w:shd w:val="clear" w:color="auto" w:fill="ECECEC"/>
            <w:vAlign w:val="center"/>
          </w:tcPr>
          <w:p w14:paraId="5F709088"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329" w:type="dxa"/>
            <w:gridSpan w:val="10"/>
            <w:shd w:val="clear" w:color="auto" w:fill="ECECEC"/>
            <w:vAlign w:val="center"/>
          </w:tcPr>
          <w:p w14:paraId="7C659715"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569" w:type="dxa"/>
            <w:gridSpan w:val="9"/>
            <w:shd w:val="clear" w:color="auto" w:fill="ECECEC"/>
            <w:vAlign w:val="center"/>
          </w:tcPr>
          <w:p w14:paraId="6061ED20" w14:textId="77777777" w:rsidR="00F617BE" w:rsidRPr="00AA19A8" w:rsidRDefault="00F617BE" w:rsidP="00036EC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6D200A01" w14:textId="77777777" w:rsidTr="006B65DC">
        <w:trPr>
          <w:cantSplit/>
          <w:trHeight w:val="2835"/>
        </w:trPr>
        <w:tc>
          <w:tcPr>
            <w:tcW w:w="2344" w:type="dxa"/>
            <w:vAlign w:val="center"/>
          </w:tcPr>
          <w:p w14:paraId="5AF8ABD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2.1.1 Имплементација готовог комерцијалног решења за интегрисани информациони систем за управљање порезима (COTS-ITMS)</w:t>
            </w:r>
          </w:p>
        </w:tc>
        <w:tc>
          <w:tcPr>
            <w:tcW w:w="1454" w:type="dxa"/>
            <w:gridSpan w:val="5"/>
            <w:vAlign w:val="center"/>
          </w:tcPr>
          <w:p w14:paraId="10E64270"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6C8F6D8B"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Пореска управа</w:t>
            </w:r>
          </w:p>
        </w:tc>
        <w:tc>
          <w:tcPr>
            <w:tcW w:w="2560" w:type="dxa"/>
            <w:gridSpan w:val="7"/>
            <w:vAlign w:val="center"/>
          </w:tcPr>
          <w:p w14:paraId="556A69CD" w14:textId="77777777" w:rsidR="00F617BE" w:rsidRPr="00AA19A8" w:rsidRDefault="00F617BE" w:rsidP="00036EC6">
            <w:pPr>
              <w:jc w:val="center"/>
              <w:rPr>
                <w:rFonts w:ascii="Times New Roman" w:hAnsi="Times New Roman" w:cs="Times New Roman"/>
                <w:sz w:val="20"/>
                <w:szCs w:val="20"/>
                <w:lang w:val="sr-Cyrl-CS"/>
              </w:rPr>
            </w:pPr>
          </w:p>
        </w:tc>
        <w:tc>
          <w:tcPr>
            <w:tcW w:w="1790" w:type="dxa"/>
            <w:gridSpan w:val="12"/>
            <w:vAlign w:val="center"/>
          </w:tcPr>
          <w:p w14:paraId="6E69C47F"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Закон о потврђивању Споразума о зајму (додатно финансирање ТАМП, зајам 8936-YF) између Републике Србије и Међународне банке за обнову и развој</w:t>
            </w:r>
          </w:p>
        </w:tc>
        <w:tc>
          <w:tcPr>
            <w:tcW w:w="1856" w:type="dxa"/>
            <w:gridSpan w:val="9"/>
            <w:vAlign w:val="center"/>
          </w:tcPr>
          <w:p w14:paraId="6AA432F9" w14:textId="77777777" w:rsidR="00F617BE" w:rsidRPr="00AA19A8" w:rsidRDefault="00F617BE" w:rsidP="00036EC6">
            <w:pPr>
              <w:jc w:val="center"/>
              <w:rPr>
                <w:rFonts w:ascii="Times New Roman" w:hAnsi="Times New Roman" w:cs="Times New Roman"/>
                <w:sz w:val="20"/>
                <w:szCs w:val="20"/>
                <w:lang w:val="sr-Cyrl-CS"/>
              </w:rPr>
            </w:pPr>
          </w:p>
        </w:tc>
        <w:tc>
          <w:tcPr>
            <w:tcW w:w="1463" w:type="dxa"/>
            <w:gridSpan w:val="17"/>
            <w:vAlign w:val="center"/>
          </w:tcPr>
          <w:p w14:paraId="38445798" w14:textId="76D36C12" w:rsidR="007A1DAC" w:rsidRPr="00AA19A8" w:rsidRDefault="007A1DAC" w:rsidP="00A345A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1.513.250</w:t>
            </w:r>
          </w:p>
        </w:tc>
        <w:tc>
          <w:tcPr>
            <w:tcW w:w="1329" w:type="dxa"/>
            <w:gridSpan w:val="10"/>
            <w:vAlign w:val="center"/>
          </w:tcPr>
          <w:p w14:paraId="30E13398" w14:textId="0540D51B" w:rsidR="00F617BE" w:rsidRPr="00AA19A8" w:rsidRDefault="007A1DAC"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1.793.662</w:t>
            </w:r>
          </w:p>
        </w:tc>
        <w:tc>
          <w:tcPr>
            <w:tcW w:w="1569" w:type="dxa"/>
            <w:gridSpan w:val="9"/>
            <w:vAlign w:val="center"/>
          </w:tcPr>
          <w:p w14:paraId="4A850BBC" w14:textId="70B954C1" w:rsidR="00F617BE" w:rsidRPr="00AA19A8" w:rsidRDefault="007A1DAC"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2.943.071</w:t>
            </w:r>
          </w:p>
        </w:tc>
      </w:tr>
      <w:tr w:rsidR="00D30238" w:rsidRPr="00AA19A8" w14:paraId="3E48C903" w14:textId="77777777" w:rsidTr="006B65DC">
        <w:trPr>
          <w:cantSplit/>
          <w:trHeight w:val="1701"/>
        </w:trPr>
        <w:tc>
          <w:tcPr>
            <w:tcW w:w="2344" w:type="dxa"/>
            <w:vAlign w:val="center"/>
          </w:tcPr>
          <w:p w14:paraId="012CB8F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2.1.2 Унапређење  функције образовања у Пореској управи Републике Србије</w:t>
            </w:r>
          </w:p>
        </w:tc>
        <w:tc>
          <w:tcPr>
            <w:tcW w:w="1454" w:type="dxa"/>
            <w:gridSpan w:val="5"/>
            <w:vAlign w:val="center"/>
          </w:tcPr>
          <w:p w14:paraId="2BC14F53"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Q2 2027</w:t>
            </w:r>
          </w:p>
        </w:tc>
        <w:tc>
          <w:tcPr>
            <w:tcW w:w="1511" w:type="dxa"/>
            <w:gridSpan w:val="5"/>
            <w:vAlign w:val="center"/>
          </w:tcPr>
          <w:p w14:paraId="320CEA56"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Пореска управа</w:t>
            </w:r>
          </w:p>
        </w:tc>
        <w:tc>
          <w:tcPr>
            <w:tcW w:w="2560" w:type="dxa"/>
            <w:gridSpan w:val="7"/>
            <w:vAlign w:val="center"/>
          </w:tcPr>
          <w:p w14:paraId="3486B9A6" w14:textId="77777777" w:rsidR="00F617BE" w:rsidRPr="00AA19A8" w:rsidRDefault="00F617BE" w:rsidP="00036EC6">
            <w:pPr>
              <w:jc w:val="center"/>
              <w:rPr>
                <w:rFonts w:ascii="Times New Roman" w:hAnsi="Times New Roman" w:cs="Times New Roman"/>
                <w:sz w:val="20"/>
                <w:szCs w:val="20"/>
                <w:lang w:val="sr-Cyrl-CS"/>
              </w:rPr>
            </w:pPr>
          </w:p>
        </w:tc>
        <w:tc>
          <w:tcPr>
            <w:tcW w:w="1790" w:type="dxa"/>
            <w:gridSpan w:val="12"/>
            <w:vAlign w:val="center"/>
          </w:tcPr>
          <w:p w14:paraId="2F8CF3AE" w14:textId="77777777" w:rsidR="00F617BE" w:rsidRPr="00AA19A8" w:rsidRDefault="00F617BE" w:rsidP="00036EC6">
            <w:pPr>
              <w:jc w:val="center"/>
              <w:rPr>
                <w:rFonts w:ascii="Times New Roman" w:hAnsi="Times New Roman" w:cs="Times New Roman"/>
                <w:sz w:val="20"/>
                <w:szCs w:val="20"/>
                <w:lang w:val="sr-Cyrl-CS"/>
              </w:rPr>
            </w:pPr>
          </w:p>
          <w:p w14:paraId="4D6D184A"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 xml:space="preserve"> 2022</w:t>
            </w:r>
          </w:p>
          <w:p w14:paraId="6D49A84F" w14:textId="77777777" w:rsidR="00F617BE" w:rsidRPr="00AA19A8" w:rsidRDefault="00F617BE" w:rsidP="00036EC6">
            <w:pPr>
              <w:jc w:val="center"/>
              <w:rPr>
                <w:rFonts w:ascii="Times New Roman" w:hAnsi="Times New Roman" w:cs="Times New Roman"/>
                <w:sz w:val="20"/>
                <w:szCs w:val="20"/>
                <w:lang w:val="sr-Cyrl-CS"/>
              </w:rPr>
            </w:pPr>
          </w:p>
        </w:tc>
        <w:tc>
          <w:tcPr>
            <w:tcW w:w="1856" w:type="dxa"/>
            <w:gridSpan w:val="9"/>
            <w:vAlign w:val="center"/>
          </w:tcPr>
          <w:p w14:paraId="3DCAC38E" w14:textId="77777777" w:rsidR="00F617BE" w:rsidRPr="00AA19A8" w:rsidRDefault="00F617BE" w:rsidP="00036EC6">
            <w:pPr>
              <w:jc w:val="center"/>
              <w:rPr>
                <w:rFonts w:ascii="Times New Roman" w:hAnsi="Times New Roman" w:cs="Times New Roman"/>
                <w:sz w:val="20"/>
                <w:szCs w:val="20"/>
                <w:lang w:val="sr-Cyrl-CS"/>
              </w:rPr>
            </w:pPr>
          </w:p>
        </w:tc>
        <w:tc>
          <w:tcPr>
            <w:tcW w:w="1463" w:type="dxa"/>
            <w:gridSpan w:val="17"/>
            <w:vAlign w:val="center"/>
          </w:tcPr>
          <w:p w14:paraId="26BCE4F2" w14:textId="19210392" w:rsidR="00F617BE" w:rsidRPr="00AA19A8" w:rsidRDefault="007A1DAC"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 74.074</w:t>
            </w:r>
          </w:p>
        </w:tc>
        <w:tc>
          <w:tcPr>
            <w:tcW w:w="1329" w:type="dxa"/>
            <w:gridSpan w:val="10"/>
            <w:vAlign w:val="center"/>
          </w:tcPr>
          <w:p w14:paraId="37A7E0E5"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18.000</w:t>
            </w:r>
          </w:p>
        </w:tc>
        <w:tc>
          <w:tcPr>
            <w:tcW w:w="1569" w:type="dxa"/>
            <w:gridSpan w:val="9"/>
            <w:vAlign w:val="center"/>
          </w:tcPr>
          <w:p w14:paraId="3E6B87E2"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9047ACF" w14:textId="77777777" w:rsidTr="006B65DC">
        <w:trPr>
          <w:cantSplit/>
          <w:trHeight w:val="2268"/>
        </w:trPr>
        <w:tc>
          <w:tcPr>
            <w:tcW w:w="2344" w:type="dxa"/>
            <w:vAlign w:val="center"/>
          </w:tcPr>
          <w:p w14:paraId="09543EC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2.1.3 Даље усаглашавање националног законодавства и израда мапе пута релевантног за подршку  имплементације међународних система размене информација</w:t>
            </w:r>
          </w:p>
        </w:tc>
        <w:tc>
          <w:tcPr>
            <w:tcW w:w="1454" w:type="dxa"/>
            <w:gridSpan w:val="5"/>
            <w:vAlign w:val="center"/>
          </w:tcPr>
          <w:p w14:paraId="7FF80A3D"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11" w:type="dxa"/>
            <w:gridSpan w:val="5"/>
            <w:vAlign w:val="center"/>
          </w:tcPr>
          <w:p w14:paraId="69ADB2BB"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Пореска управа</w:t>
            </w:r>
          </w:p>
        </w:tc>
        <w:tc>
          <w:tcPr>
            <w:tcW w:w="2560" w:type="dxa"/>
            <w:gridSpan w:val="7"/>
            <w:vAlign w:val="center"/>
          </w:tcPr>
          <w:p w14:paraId="47AE916A" w14:textId="77777777" w:rsidR="00F617BE" w:rsidRPr="00AA19A8" w:rsidRDefault="00F617BE" w:rsidP="00036EC6">
            <w:pPr>
              <w:jc w:val="center"/>
              <w:rPr>
                <w:rFonts w:ascii="Times New Roman" w:hAnsi="Times New Roman" w:cs="Times New Roman"/>
                <w:sz w:val="20"/>
                <w:szCs w:val="20"/>
                <w:lang w:val="sr-Cyrl-CS"/>
              </w:rPr>
            </w:pPr>
          </w:p>
        </w:tc>
        <w:tc>
          <w:tcPr>
            <w:tcW w:w="1790" w:type="dxa"/>
            <w:gridSpan w:val="12"/>
            <w:vAlign w:val="center"/>
          </w:tcPr>
          <w:p w14:paraId="0F0D756A"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 xml:space="preserve"> 2021 (</w:t>
            </w:r>
            <w:r w:rsidRPr="00AA19A8">
              <w:rPr>
                <w:rFonts w:ascii="Times New Roman" w:hAnsi="Times New Roman" w:cs="Times New Roman"/>
                <w:i/>
                <w:iCs/>
                <w:sz w:val="20"/>
                <w:szCs w:val="20"/>
                <w:lang w:val="sr-Cyrl-CS"/>
              </w:rPr>
              <w:t>UNDP</w:t>
            </w:r>
            <w:r w:rsidRPr="00AA19A8">
              <w:rPr>
                <w:rFonts w:ascii="Times New Roman" w:hAnsi="Times New Roman" w:cs="Times New Roman"/>
                <w:sz w:val="20"/>
                <w:szCs w:val="20"/>
                <w:lang w:val="sr-Cyrl-CS"/>
              </w:rPr>
              <w:t>)</w:t>
            </w:r>
          </w:p>
          <w:p w14:paraId="125E182F" w14:textId="77777777" w:rsidR="00F617BE" w:rsidRPr="00AA19A8" w:rsidRDefault="00F617BE" w:rsidP="00036EC6">
            <w:pPr>
              <w:jc w:val="center"/>
              <w:rPr>
                <w:rFonts w:ascii="Times New Roman" w:hAnsi="Times New Roman" w:cs="Times New Roman"/>
                <w:sz w:val="20"/>
                <w:szCs w:val="20"/>
                <w:lang w:val="sr-Cyrl-CS"/>
              </w:rPr>
            </w:pPr>
          </w:p>
        </w:tc>
        <w:tc>
          <w:tcPr>
            <w:tcW w:w="1856" w:type="dxa"/>
            <w:gridSpan w:val="9"/>
            <w:vAlign w:val="center"/>
          </w:tcPr>
          <w:p w14:paraId="3ED29126" w14:textId="77777777" w:rsidR="00F617BE" w:rsidRPr="00AA19A8" w:rsidRDefault="00F617BE" w:rsidP="00036EC6">
            <w:pPr>
              <w:jc w:val="center"/>
              <w:rPr>
                <w:rFonts w:ascii="Times New Roman" w:hAnsi="Times New Roman" w:cs="Times New Roman"/>
                <w:sz w:val="20"/>
                <w:szCs w:val="20"/>
                <w:lang w:val="sr-Cyrl-CS"/>
              </w:rPr>
            </w:pPr>
          </w:p>
        </w:tc>
        <w:tc>
          <w:tcPr>
            <w:tcW w:w="1463" w:type="dxa"/>
            <w:gridSpan w:val="17"/>
            <w:vAlign w:val="center"/>
          </w:tcPr>
          <w:p w14:paraId="2F1742FC"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49.500</w:t>
            </w:r>
          </w:p>
        </w:tc>
        <w:tc>
          <w:tcPr>
            <w:tcW w:w="1329" w:type="dxa"/>
            <w:gridSpan w:val="10"/>
            <w:vAlign w:val="center"/>
          </w:tcPr>
          <w:p w14:paraId="2A7191C5"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5.610</w:t>
            </w:r>
          </w:p>
        </w:tc>
        <w:tc>
          <w:tcPr>
            <w:tcW w:w="1569" w:type="dxa"/>
            <w:gridSpan w:val="9"/>
            <w:vAlign w:val="center"/>
          </w:tcPr>
          <w:p w14:paraId="61F1EC56"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9DDF2F3" w14:textId="77777777" w:rsidTr="006B65DC">
        <w:trPr>
          <w:cantSplit/>
          <w:trHeight w:val="1253"/>
        </w:trPr>
        <w:tc>
          <w:tcPr>
            <w:tcW w:w="2344" w:type="dxa"/>
            <w:vAlign w:val="center"/>
          </w:tcPr>
          <w:p w14:paraId="5BE8095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2.1.4 Унапређење стратешких компетенција за управљање људским ресурсима</w:t>
            </w:r>
          </w:p>
        </w:tc>
        <w:tc>
          <w:tcPr>
            <w:tcW w:w="1454" w:type="dxa"/>
            <w:gridSpan w:val="5"/>
            <w:vAlign w:val="center"/>
          </w:tcPr>
          <w:p w14:paraId="6FBAA2D8" w14:textId="57D88108"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w:t>
            </w:r>
            <w:r w:rsidR="00320DEC" w:rsidRPr="00AA19A8">
              <w:rPr>
                <w:rFonts w:ascii="Times New Roman" w:hAnsi="Times New Roman" w:cs="Times New Roman"/>
                <w:sz w:val="20"/>
                <w:szCs w:val="20"/>
                <w:lang w:val="sr-Cyrl-CS"/>
              </w:rPr>
              <w:t>2</w:t>
            </w:r>
            <w:r w:rsidRPr="00AA19A8">
              <w:rPr>
                <w:rFonts w:ascii="Times New Roman" w:hAnsi="Times New Roman" w:cs="Times New Roman"/>
                <w:sz w:val="20"/>
                <w:szCs w:val="20"/>
                <w:lang w:val="sr-Cyrl-CS"/>
              </w:rPr>
              <w:t xml:space="preserve"> 2027</w:t>
            </w:r>
          </w:p>
        </w:tc>
        <w:tc>
          <w:tcPr>
            <w:tcW w:w="1511" w:type="dxa"/>
            <w:gridSpan w:val="5"/>
            <w:vAlign w:val="center"/>
          </w:tcPr>
          <w:p w14:paraId="660635AC"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Пореска управа</w:t>
            </w:r>
          </w:p>
        </w:tc>
        <w:tc>
          <w:tcPr>
            <w:tcW w:w="2560" w:type="dxa"/>
            <w:gridSpan w:val="7"/>
            <w:vAlign w:val="center"/>
          </w:tcPr>
          <w:p w14:paraId="1745F568" w14:textId="77777777" w:rsidR="00F617BE" w:rsidRPr="00AA19A8" w:rsidRDefault="00F617BE" w:rsidP="00036EC6">
            <w:pPr>
              <w:jc w:val="center"/>
              <w:rPr>
                <w:rFonts w:ascii="Times New Roman" w:hAnsi="Times New Roman" w:cs="Times New Roman"/>
                <w:sz w:val="20"/>
                <w:szCs w:val="20"/>
                <w:lang w:val="sr-Cyrl-CS"/>
              </w:rPr>
            </w:pPr>
          </w:p>
        </w:tc>
        <w:tc>
          <w:tcPr>
            <w:tcW w:w="1790" w:type="dxa"/>
            <w:gridSpan w:val="12"/>
            <w:vAlign w:val="center"/>
          </w:tcPr>
          <w:p w14:paraId="71E45C2A"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1856" w:type="dxa"/>
            <w:gridSpan w:val="9"/>
            <w:vAlign w:val="center"/>
          </w:tcPr>
          <w:p w14:paraId="60B098BD"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463" w:type="dxa"/>
            <w:gridSpan w:val="17"/>
            <w:vAlign w:val="center"/>
          </w:tcPr>
          <w:p w14:paraId="71E070A3"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650*</w:t>
            </w:r>
          </w:p>
        </w:tc>
        <w:tc>
          <w:tcPr>
            <w:tcW w:w="1329" w:type="dxa"/>
            <w:gridSpan w:val="10"/>
            <w:vAlign w:val="center"/>
          </w:tcPr>
          <w:p w14:paraId="4A4DFF39"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569" w:type="dxa"/>
            <w:gridSpan w:val="9"/>
            <w:vAlign w:val="center"/>
          </w:tcPr>
          <w:p w14:paraId="2D44F7AA"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79673752" w14:textId="77777777" w:rsidTr="006B65DC">
        <w:trPr>
          <w:cantSplit/>
          <w:trHeight w:val="1701"/>
        </w:trPr>
        <w:tc>
          <w:tcPr>
            <w:tcW w:w="2344" w:type="dxa"/>
            <w:vAlign w:val="center"/>
          </w:tcPr>
          <w:p w14:paraId="62BE24F9"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2.1.5 Увођење прелиминарне пореске пријаве пореза на додату вредност кроз надоградњу система електронских фактура</w:t>
            </w:r>
          </w:p>
        </w:tc>
        <w:tc>
          <w:tcPr>
            <w:tcW w:w="1454" w:type="dxa"/>
            <w:gridSpan w:val="5"/>
            <w:vAlign w:val="center"/>
          </w:tcPr>
          <w:p w14:paraId="339D5659"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Q1 2027</w:t>
            </w:r>
          </w:p>
        </w:tc>
        <w:tc>
          <w:tcPr>
            <w:tcW w:w="1511" w:type="dxa"/>
            <w:gridSpan w:val="5"/>
            <w:vAlign w:val="center"/>
          </w:tcPr>
          <w:p w14:paraId="360671C5"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Сектор за дигитализацију у области финансија</w:t>
            </w:r>
          </w:p>
        </w:tc>
        <w:tc>
          <w:tcPr>
            <w:tcW w:w="2560" w:type="dxa"/>
            <w:gridSpan w:val="7"/>
            <w:vAlign w:val="center"/>
          </w:tcPr>
          <w:p w14:paraId="30475973"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Пореска управа</w:t>
            </w:r>
          </w:p>
        </w:tc>
        <w:tc>
          <w:tcPr>
            <w:tcW w:w="1790" w:type="dxa"/>
            <w:gridSpan w:val="12"/>
            <w:vAlign w:val="center"/>
          </w:tcPr>
          <w:p w14:paraId="3C3F642C" w14:textId="77777777" w:rsidR="00F617BE" w:rsidRPr="00AA19A8" w:rsidRDefault="00F617BE" w:rsidP="00036EC6">
            <w:pPr>
              <w:jc w:val="center"/>
              <w:rPr>
                <w:rFonts w:ascii="Times New Roman" w:hAnsi="Times New Roman" w:cs="Times New Roman"/>
                <w:sz w:val="20"/>
                <w:szCs w:val="20"/>
                <w:lang w:val="sr-Cyrl-CS"/>
              </w:rPr>
            </w:pPr>
          </w:p>
        </w:tc>
        <w:tc>
          <w:tcPr>
            <w:tcW w:w="1856" w:type="dxa"/>
            <w:gridSpan w:val="9"/>
            <w:vAlign w:val="center"/>
          </w:tcPr>
          <w:p w14:paraId="66F2CC31" w14:textId="77777777" w:rsidR="00F617BE" w:rsidRPr="00AA19A8" w:rsidRDefault="00F617BE" w:rsidP="00036EC6">
            <w:pPr>
              <w:jc w:val="center"/>
              <w:rPr>
                <w:rFonts w:ascii="Times New Roman" w:hAnsi="Times New Roman" w:cs="Times New Roman"/>
                <w:sz w:val="20"/>
                <w:szCs w:val="20"/>
                <w:lang w:val="sr-Cyrl-CS"/>
              </w:rPr>
            </w:pPr>
          </w:p>
        </w:tc>
        <w:tc>
          <w:tcPr>
            <w:tcW w:w="1463" w:type="dxa"/>
            <w:gridSpan w:val="17"/>
            <w:vAlign w:val="center"/>
          </w:tcPr>
          <w:p w14:paraId="0B905656"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c>
          <w:tcPr>
            <w:tcW w:w="1329" w:type="dxa"/>
            <w:gridSpan w:val="10"/>
            <w:vAlign w:val="center"/>
          </w:tcPr>
          <w:p w14:paraId="3B4CCF40"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c>
          <w:tcPr>
            <w:tcW w:w="1569" w:type="dxa"/>
            <w:gridSpan w:val="9"/>
            <w:vAlign w:val="center"/>
          </w:tcPr>
          <w:p w14:paraId="0CB791F6"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r>
      <w:tr w:rsidR="00D30238" w:rsidRPr="00AA19A8" w14:paraId="0DDC3691" w14:textId="77777777" w:rsidTr="006B65DC">
        <w:trPr>
          <w:cantSplit/>
          <w:trHeight w:val="1701"/>
        </w:trPr>
        <w:tc>
          <w:tcPr>
            <w:tcW w:w="2344" w:type="dxa"/>
            <w:vAlign w:val="center"/>
          </w:tcPr>
          <w:p w14:paraId="07C2446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2.1.6 Унапређење система електронских отпремница</w:t>
            </w:r>
          </w:p>
        </w:tc>
        <w:tc>
          <w:tcPr>
            <w:tcW w:w="1454" w:type="dxa"/>
            <w:gridSpan w:val="5"/>
            <w:vAlign w:val="center"/>
          </w:tcPr>
          <w:p w14:paraId="42C6970E"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11" w:type="dxa"/>
            <w:gridSpan w:val="5"/>
            <w:vAlign w:val="center"/>
          </w:tcPr>
          <w:p w14:paraId="579DCF0C"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Сектор за дигитализацију у области финансија</w:t>
            </w:r>
          </w:p>
        </w:tc>
        <w:tc>
          <w:tcPr>
            <w:tcW w:w="2560" w:type="dxa"/>
            <w:gridSpan w:val="7"/>
            <w:vAlign w:val="center"/>
          </w:tcPr>
          <w:p w14:paraId="5C1CECD4"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Органи надлежни за инспекцијски надзор</w:t>
            </w:r>
          </w:p>
        </w:tc>
        <w:tc>
          <w:tcPr>
            <w:tcW w:w="1790" w:type="dxa"/>
            <w:gridSpan w:val="12"/>
            <w:vAlign w:val="center"/>
          </w:tcPr>
          <w:p w14:paraId="5CB66950" w14:textId="77777777" w:rsidR="00F617BE" w:rsidRPr="00AA19A8" w:rsidRDefault="00F617BE" w:rsidP="00036EC6">
            <w:pPr>
              <w:jc w:val="center"/>
              <w:rPr>
                <w:rFonts w:ascii="Times New Roman" w:hAnsi="Times New Roman" w:cs="Times New Roman"/>
                <w:sz w:val="20"/>
                <w:szCs w:val="20"/>
                <w:lang w:val="sr-Cyrl-CS"/>
              </w:rPr>
            </w:pPr>
          </w:p>
        </w:tc>
        <w:tc>
          <w:tcPr>
            <w:tcW w:w="1856" w:type="dxa"/>
            <w:gridSpan w:val="9"/>
            <w:vAlign w:val="center"/>
          </w:tcPr>
          <w:p w14:paraId="5CF31C45" w14:textId="77777777" w:rsidR="00F617BE" w:rsidRPr="00AA19A8" w:rsidRDefault="00F617BE" w:rsidP="00036EC6">
            <w:pPr>
              <w:jc w:val="center"/>
              <w:rPr>
                <w:rFonts w:ascii="Times New Roman" w:hAnsi="Times New Roman" w:cs="Times New Roman"/>
                <w:sz w:val="20"/>
                <w:szCs w:val="20"/>
                <w:lang w:val="sr-Cyrl-CS"/>
              </w:rPr>
            </w:pPr>
          </w:p>
        </w:tc>
        <w:tc>
          <w:tcPr>
            <w:tcW w:w="1463" w:type="dxa"/>
            <w:gridSpan w:val="17"/>
            <w:vAlign w:val="center"/>
          </w:tcPr>
          <w:p w14:paraId="759066B8"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c>
          <w:tcPr>
            <w:tcW w:w="1329" w:type="dxa"/>
            <w:gridSpan w:val="10"/>
            <w:vAlign w:val="center"/>
          </w:tcPr>
          <w:p w14:paraId="3FC19103"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c>
          <w:tcPr>
            <w:tcW w:w="1569" w:type="dxa"/>
            <w:gridSpan w:val="9"/>
            <w:vAlign w:val="center"/>
          </w:tcPr>
          <w:p w14:paraId="7FE4F6C7"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r>
      <w:tr w:rsidR="00D30238" w:rsidRPr="00AA19A8" w14:paraId="09A2E56D" w14:textId="77777777" w:rsidTr="006B65DC">
        <w:trPr>
          <w:cantSplit/>
          <w:trHeight w:val="1701"/>
        </w:trPr>
        <w:tc>
          <w:tcPr>
            <w:tcW w:w="2344" w:type="dxa"/>
            <w:vAlign w:val="center"/>
          </w:tcPr>
          <w:p w14:paraId="54261F55" w14:textId="4206A233"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2.1.7 </w:t>
            </w:r>
            <w:r w:rsidR="004D4187" w:rsidRPr="00AA19A8">
              <w:rPr>
                <w:rFonts w:ascii="Times New Roman" w:hAnsi="Times New Roman" w:cs="Times New Roman"/>
                <w:sz w:val="20"/>
                <w:szCs w:val="20"/>
                <w:lang w:val="sr-Cyrl-CS"/>
              </w:rPr>
              <w:t>Даље унапређење система еАкциза</w:t>
            </w:r>
          </w:p>
        </w:tc>
        <w:tc>
          <w:tcPr>
            <w:tcW w:w="1454" w:type="dxa"/>
            <w:gridSpan w:val="5"/>
            <w:vAlign w:val="center"/>
          </w:tcPr>
          <w:p w14:paraId="558CE4BB"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Q1 2027</w:t>
            </w:r>
          </w:p>
        </w:tc>
        <w:tc>
          <w:tcPr>
            <w:tcW w:w="1511" w:type="dxa"/>
            <w:gridSpan w:val="5"/>
            <w:vAlign w:val="center"/>
          </w:tcPr>
          <w:p w14:paraId="192FC682"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Сектор за дигитализацију у области финансија</w:t>
            </w:r>
          </w:p>
        </w:tc>
        <w:tc>
          <w:tcPr>
            <w:tcW w:w="2560" w:type="dxa"/>
            <w:gridSpan w:val="7"/>
            <w:vAlign w:val="center"/>
          </w:tcPr>
          <w:p w14:paraId="58DF2445" w14:textId="77777777" w:rsidR="00F617BE" w:rsidRPr="00AA19A8" w:rsidRDefault="00F617BE" w:rsidP="00036EC6">
            <w:pPr>
              <w:jc w:val="center"/>
              <w:rPr>
                <w:rFonts w:ascii="Times New Roman" w:hAnsi="Times New Roman" w:cs="Times New Roman"/>
                <w:sz w:val="20"/>
                <w:szCs w:val="20"/>
                <w:lang w:val="sr-Cyrl-CS"/>
              </w:rPr>
            </w:pPr>
          </w:p>
        </w:tc>
        <w:tc>
          <w:tcPr>
            <w:tcW w:w="1790" w:type="dxa"/>
            <w:gridSpan w:val="12"/>
            <w:vAlign w:val="center"/>
          </w:tcPr>
          <w:p w14:paraId="037F4A01" w14:textId="77777777" w:rsidR="00F617BE" w:rsidRPr="00AA19A8" w:rsidRDefault="00F617BE" w:rsidP="00036EC6">
            <w:pPr>
              <w:jc w:val="center"/>
              <w:rPr>
                <w:rFonts w:ascii="Times New Roman" w:hAnsi="Times New Roman" w:cs="Times New Roman"/>
                <w:sz w:val="20"/>
                <w:szCs w:val="20"/>
                <w:lang w:val="sr-Cyrl-CS"/>
              </w:rPr>
            </w:pPr>
          </w:p>
        </w:tc>
        <w:tc>
          <w:tcPr>
            <w:tcW w:w="1856" w:type="dxa"/>
            <w:gridSpan w:val="9"/>
            <w:vAlign w:val="center"/>
          </w:tcPr>
          <w:p w14:paraId="4546C129" w14:textId="77777777" w:rsidR="00F617BE" w:rsidRPr="00AA19A8" w:rsidRDefault="00F617BE" w:rsidP="00036EC6">
            <w:pPr>
              <w:jc w:val="center"/>
              <w:rPr>
                <w:rFonts w:ascii="Times New Roman" w:hAnsi="Times New Roman" w:cs="Times New Roman"/>
                <w:sz w:val="20"/>
                <w:szCs w:val="20"/>
                <w:lang w:val="sr-Cyrl-CS"/>
              </w:rPr>
            </w:pPr>
          </w:p>
        </w:tc>
        <w:tc>
          <w:tcPr>
            <w:tcW w:w="1463" w:type="dxa"/>
            <w:gridSpan w:val="17"/>
            <w:vAlign w:val="center"/>
          </w:tcPr>
          <w:p w14:paraId="466D0F98"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c>
          <w:tcPr>
            <w:tcW w:w="1329" w:type="dxa"/>
            <w:gridSpan w:val="10"/>
            <w:vAlign w:val="center"/>
          </w:tcPr>
          <w:p w14:paraId="60FC21EB"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c>
          <w:tcPr>
            <w:tcW w:w="1569" w:type="dxa"/>
            <w:gridSpan w:val="9"/>
            <w:vAlign w:val="center"/>
          </w:tcPr>
          <w:p w14:paraId="43AE1D32"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r>
      <w:tr w:rsidR="00D30238" w:rsidRPr="00AA19A8" w14:paraId="49182D1F" w14:textId="77777777" w:rsidTr="006B65DC">
        <w:trPr>
          <w:cantSplit/>
          <w:trHeight w:val="3402"/>
        </w:trPr>
        <w:tc>
          <w:tcPr>
            <w:tcW w:w="2344" w:type="dxa"/>
            <w:vAlign w:val="center"/>
          </w:tcPr>
          <w:p w14:paraId="49484D6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2.1.8 Усклађивање одабраних пореских закона Републике Србије (ПДВ, Порез на доходак грађана, Порез на добит правних лица, Акцизе, Закон о пореском поступку и пореској администрацији) са правним тековинама ЕУ (Поглавље 16 – Опорезивање)</w:t>
            </w:r>
          </w:p>
        </w:tc>
        <w:tc>
          <w:tcPr>
            <w:tcW w:w="1454" w:type="dxa"/>
            <w:gridSpan w:val="5"/>
            <w:vAlign w:val="center"/>
          </w:tcPr>
          <w:p w14:paraId="75CE5B35" w14:textId="39A729C3"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w:t>
            </w:r>
            <w:r w:rsidR="004D635C" w:rsidRPr="00AA19A8">
              <w:rPr>
                <w:rFonts w:ascii="Times New Roman" w:hAnsi="Times New Roman" w:cs="Times New Roman"/>
                <w:sz w:val="20"/>
                <w:szCs w:val="20"/>
                <w:lang w:val="sr-Cyrl-CS"/>
              </w:rPr>
              <w:t>6</w:t>
            </w:r>
          </w:p>
        </w:tc>
        <w:tc>
          <w:tcPr>
            <w:tcW w:w="1511" w:type="dxa"/>
            <w:gridSpan w:val="5"/>
            <w:vAlign w:val="center"/>
          </w:tcPr>
          <w:p w14:paraId="088DE496"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Сектор за фискални систем</w:t>
            </w:r>
          </w:p>
        </w:tc>
        <w:tc>
          <w:tcPr>
            <w:tcW w:w="2560" w:type="dxa"/>
            <w:gridSpan w:val="7"/>
            <w:vAlign w:val="center"/>
          </w:tcPr>
          <w:p w14:paraId="46870A5C"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Пореска управа</w:t>
            </w:r>
          </w:p>
        </w:tc>
        <w:tc>
          <w:tcPr>
            <w:tcW w:w="1790" w:type="dxa"/>
            <w:gridSpan w:val="12"/>
            <w:vAlign w:val="center"/>
          </w:tcPr>
          <w:p w14:paraId="45A54A48"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 xml:space="preserve"> 2021 </w:t>
            </w:r>
            <w:r w:rsidRPr="00AA19A8">
              <w:rPr>
                <w:rFonts w:ascii="Times New Roman" w:hAnsi="Times New Roman" w:cs="Times New Roman"/>
                <w:i/>
                <w:iCs/>
                <w:sz w:val="20"/>
                <w:szCs w:val="20"/>
                <w:lang w:val="sr-Cyrl-CS"/>
              </w:rPr>
              <w:t>PFM FF</w:t>
            </w:r>
            <w:r w:rsidRPr="00AA19A8">
              <w:rPr>
                <w:rFonts w:ascii="Times New Roman" w:hAnsi="Times New Roman" w:cs="Times New Roman"/>
                <w:sz w:val="20"/>
                <w:szCs w:val="20"/>
                <w:lang w:val="sr-Cyrl-CS"/>
              </w:rPr>
              <w:t>/билатерална подршка Словачке</w:t>
            </w:r>
          </w:p>
        </w:tc>
        <w:tc>
          <w:tcPr>
            <w:tcW w:w="1856" w:type="dxa"/>
            <w:gridSpan w:val="9"/>
            <w:vAlign w:val="center"/>
          </w:tcPr>
          <w:p w14:paraId="711F8458" w14:textId="77777777" w:rsidR="00F617BE" w:rsidRPr="00AA19A8" w:rsidRDefault="00F617BE" w:rsidP="00036EC6">
            <w:pPr>
              <w:jc w:val="center"/>
              <w:rPr>
                <w:rFonts w:ascii="Times New Roman" w:hAnsi="Times New Roman" w:cs="Times New Roman"/>
                <w:sz w:val="20"/>
                <w:szCs w:val="20"/>
                <w:lang w:val="sr-Cyrl-CS"/>
              </w:rPr>
            </w:pPr>
          </w:p>
        </w:tc>
        <w:tc>
          <w:tcPr>
            <w:tcW w:w="2792" w:type="dxa"/>
            <w:gridSpan w:val="27"/>
            <w:vAlign w:val="center"/>
          </w:tcPr>
          <w:p w14:paraId="61251C27"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55.501,95 за обе године</w:t>
            </w:r>
          </w:p>
        </w:tc>
        <w:tc>
          <w:tcPr>
            <w:tcW w:w="1569" w:type="dxa"/>
            <w:gridSpan w:val="9"/>
            <w:vAlign w:val="center"/>
          </w:tcPr>
          <w:p w14:paraId="67B5EB7E" w14:textId="77777777" w:rsidR="00F617BE" w:rsidRPr="00AA19A8" w:rsidRDefault="00F617BE" w:rsidP="00036EC6">
            <w:pPr>
              <w:jc w:val="center"/>
              <w:rPr>
                <w:rFonts w:ascii="Times New Roman" w:hAnsi="Times New Roman" w:cs="Times New Roman"/>
                <w:sz w:val="20"/>
                <w:szCs w:val="20"/>
                <w:lang w:val="sr-Cyrl-CS"/>
              </w:rPr>
            </w:pPr>
          </w:p>
        </w:tc>
      </w:tr>
      <w:tr w:rsidR="00D30238" w:rsidRPr="00AA19A8" w14:paraId="01DEB13B" w14:textId="77777777" w:rsidTr="006B65DC">
        <w:trPr>
          <w:cantSplit/>
          <w:trHeight w:val="1701"/>
        </w:trPr>
        <w:tc>
          <w:tcPr>
            <w:tcW w:w="2344" w:type="dxa"/>
            <w:vAlign w:val="center"/>
          </w:tcPr>
          <w:p w14:paraId="3F87CAC4"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2.1.9 Израда пратећих подзаконских аката</w:t>
            </w:r>
          </w:p>
        </w:tc>
        <w:tc>
          <w:tcPr>
            <w:tcW w:w="1454" w:type="dxa"/>
            <w:gridSpan w:val="5"/>
            <w:vAlign w:val="center"/>
          </w:tcPr>
          <w:p w14:paraId="577A8623"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1278CAC1"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Сектор за фискални систем</w:t>
            </w:r>
          </w:p>
        </w:tc>
        <w:tc>
          <w:tcPr>
            <w:tcW w:w="2560" w:type="dxa"/>
            <w:gridSpan w:val="7"/>
            <w:vAlign w:val="center"/>
          </w:tcPr>
          <w:p w14:paraId="3F070004"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Пореска управа</w:t>
            </w:r>
          </w:p>
        </w:tc>
        <w:tc>
          <w:tcPr>
            <w:tcW w:w="1790" w:type="dxa"/>
            <w:gridSpan w:val="12"/>
            <w:vAlign w:val="center"/>
          </w:tcPr>
          <w:p w14:paraId="0A98723F"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 xml:space="preserve"> 2021 </w:t>
            </w:r>
            <w:r w:rsidRPr="00AA19A8">
              <w:rPr>
                <w:rFonts w:ascii="Times New Roman" w:hAnsi="Times New Roman" w:cs="Times New Roman"/>
                <w:i/>
                <w:iCs/>
                <w:sz w:val="20"/>
                <w:szCs w:val="20"/>
                <w:lang w:val="sr-Cyrl-CS"/>
              </w:rPr>
              <w:t>PFM FF</w:t>
            </w:r>
          </w:p>
        </w:tc>
        <w:tc>
          <w:tcPr>
            <w:tcW w:w="1856" w:type="dxa"/>
            <w:gridSpan w:val="9"/>
            <w:vAlign w:val="center"/>
          </w:tcPr>
          <w:p w14:paraId="156397BB" w14:textId="77777777" w:rsidR="00F617BE" w:rsidRPr="00AA19A8" w:rsidRDefault="00F617BE" w:rsidP="00036EC6">
            <w:pPr>
              <w:jc w:val="center"/>
              <w:rPr>
                <w:rFonts w:ascii="Times New Roman" w:hAnsi="Times New Roman" w:cs="Times New Roman"/>
                <w:sz w:val="20"/>
                <w:szCs w:val="20"/>
                <w:lang w:val="sr-Cyrl-CS"/>
              </w:rPr>
            </w:pPr>
          </w:p>
        </w:tc>
        <w:tc>
          <w:tcPr>
            <w:tcW w:w="4361" w:type="dxa"/>
            <w:gridSpan w:val="36"/>
            <w:vAlign w:val="center"/>
          </w:tcPr>
          <w:p w14:paraId="28C0A74B"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Укупно 37.800 за три године</w:t>
            </w:r>
          </w:p>
        </w:tc>
      </w:tr>
      <w:tr w:rsidR="00D30238" w:rsidRPr="00AA19A8" w14:paraId="039CF160" w14:textId="77777777" w:rsidTr="006B65DC">
        <w:trPr>
          <w:cantSplit/>
          <w:trHeight w:val="2268"/>
        </w:trPr>
        <w:tc>
          <w:tcPr>
            <w:tcW w:w="2344" w:type="dxa"/>
            <w:vAlign w:val="center"/>
          </w:tcPr>
          <w:p w14:paraId="5741D4C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2.1.10 Израда плана управљања променама и изградња капацитета пословне заједнице о практичној примени фискалних прописа</w:t>
            </w:r>
          </w:p>
        </w:tc>
        <w:tc>
          <w:tcPr>
            <w:tcW w:w="1454" w:type="dxa"/>
            <w:gridSpan w:val="5"/>
            <w:vAlign w:val="center"/>
          </w:tcPr>
          <w:p w14:paraId="138C1CC1"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11" w:type="dxa"/>
            <w:gridSpan w:val="5"/>
            <w:vAlign w:val="center"/>
          </w:tcPr>
          <w:p w14:paraId="0137CF6A"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Сектор за фискални систем</w:t>
            </w:r>
          </w:p>
        </w:tc>
        <w:tc>
          <w:tcPr>
            <w:tcW w:w="2560" w:type="dxa"/>
            <w:gridSpan w:val="7"/>
            <w:vAlign w:val="center"/>
          </w:tcPr>
          <w:p w14:paraId="551CCAEE"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Пореска управа</w:t>
            </w:r>
          </w:p>
        </w:tc>
        <w:tc>
          <w:tcPr>
            <w:tcW w:w="1790" w:type="dxa"/>
            <w:gridSpan w:val="12"/>
            <w:vAlign w:val="center"/>
          </w:tcPr>
          <w:p w14:paraId="4CA1F9DB"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 xml:space="preserve"> 2021 </w:t>
            </w:r>
            <w:r w:rsidRPr="00AA19A8">
              <w:rPr>
                <w:rFonts w:ascii="Times New Roman" w:hAnsi="Times New Roman" w:cs="Times New Roman"/>
                <w:i/>
                <w:iCs/>
                <w:sz w:val="20"/>
                <w:szCs w:val="20"/>
                <w:lang w:val="sr-Cyrl-CS"/>
              </w:rPr>
              <w:t>PFM FF</w:t>
            </w:r>
          </w:p>
        </w:tc>
        <w:tc>
          <w:tcPr>
            <w:tcW w:w="1856" w:type="dxa"/>
            <w:gridSpan w:val="9"/>
            <w:vAlign w:val="center"/>
          </w:tcPr>
          <w:p w14:paraId="7CFB335A" w14:textId="77777777" w:rsidR="00F617BE" w:rsidRPr="00AA19A8" w:rsidRDefault="00F617BE" w:rsidP="00036EC6">
            <w:pPr>
              <w:jc w:val="center"/>
              <w:rPr>
                <w:rFonts w:ascii="Times New Roman" w:hAnsi="Times New Roman" w:cs="Times New Roman"/>
                <w:sz w:val="20"/>
                <w:szCs w:val="20"/>
                <w:lang w:val="sr-Cyrl-CS"/>
              </w:rPr>
            </w:pPr>
          </w:p>
        </w:tc>
        <w:tc>
          <w:tcPr>
            <w:tcW w:w="4361" w:type="dxa"/>
            <w:gridSpan w:val="36"/>
            <w:vAlign w:val="center"/>
          </w:tcPr>
          <w:p w14:paraId="4BEDFA02" w14:textId="77777777" w:rsidR="00F617BE" w:rsidRPr="00AA19A8" w:rsidRDefault="00F617BE"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Укупно 9.468 за три године</w:t>
            </w:r>
          </w:p>
        </w:tc>
      </w:tr>
      <w:tr w:rsidR="00D30238" w:rsidRPr="00AA19A8" w14:paraId="43E280BE" w14:textId="77777777" w:rsidTr="006B65DC">
        <w:trPr>
          <w:cantSplit/>
          <w:trHeight w:val="2268"/>
        </w:trPr>
        <w:tc>
          <w:tcPr>
            <w:tcW w:w="2344" w:type="dxa"/>
            <w:vAlign w:val="center"/>
          </w:tcPr>
          <w:p w14:paraId="45933F4F" w14:textId="7D061909" w:rsidR="0062715C" w:rsidRPr="00AA19A8" w:rsidRDefault="0062715C"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2.1.11 Успостављање централне евиденције факторинга</w:t>
            </w:r>
          </w:p>
        </w:tc>
        <w:tc>
          <w:tcPr>
            <w:tcW w:w="1454" w:type="dxa"/>
            <w:gridSpan w:val="5"/>
            <w:vAlign w:val="center"/>
          </w:tcPr>
          <w:p w14:paraId="3CF0A2F9" w14:textId="68AC7591" w:rsidR="0062715C" w:rsidRPr="00AA19A8" w:rsidRDefault="0062715C"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Q2 2028</w:t>
            </w:r>
          </w:p>
        </w:tc>
        <w:tc>
          <w:tcPr>
            <w:tcW w:w="1511" w:type="dxa"/>
            <w:gridSpan w:val="5"/>
            <w:vAlign w:val="center"/>
          </w:tcPr>
          <w:p w14:paraId="76A90C29" w14:textId="146C316D" w:rsidR="0062715C" w:rsidRPr="00AA19A8" w:rsidRDefault="0062715C"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Сектор за дигитализацију у области финансија</w:t>
            </w:r>
          </w:p>
        </w:tc>
        <w:tc>
          <w:tcPr>
            <w:tcW w:w="2560" w:type="dxa"/>
            <w:gridSpan w:val="7"/>
            <w:vAlign w:val="center"/>
          </w:tcPr>
          <w:p w14:paraId="4E447BB4" w14:textId="77777777" w:rsidR="0062715C" w:rsidRPr="00AA19A8" w:rsidRDefault="0062715C" w:rsidP="00036EC6">
            <w:pPr>
              <w:jc w:val="center"/>
              <w:rPr>
                <w:rFonts w:ascii="Times New Roman" w:hAnsi="Times New Roman" w:cs="Times New Roman"/>
                <w:sz w:val="20"/>
                <w:szCs w:val="20"/>
                <w:lang w:val="sr-Cyrl-CS"/>
              </w:rPr>
            </w:pPr>
          </w:p>
        </w:tc>
        <w:tc>
          <w:tcPr>
            <w:tcW w:w="1790" w:type="dxa"/>
            <w:gridSpan w:val="12"/>
            <w:vAlign w:val="center"/>
          </w:tcPr>
          <w:p w14:paraId="344A7724" w14:textId="77777777" w:rsidR="0062715C" w:rsidRPr="00AA19A8" w:rsidRDefault="0062715C" w:rsidP="00036EC6">
            <w:pPr>
              <w:jc w:val="center"/>
              <w:rPr>
                <w:rFonts w:ascii="Times New Roman" w:hAnsi="Times New Roman" w:cs="Times New Roman"/>
                <w:i/>
                <w:iCs/>
                <w:sz w:val="20"/>
                <w:szCs w:val="20"/>
                <w:lang w:val="sr-Cyrl-CS"/>
              </w:rPr>
            </w:pPr>
          </w:p>
        </w:tc>
        <w:tc>
          <w:tcPr>
            <w:tcW w:w="1856" w:type="dxa"/>
            <w:gridSpan w:val="9"/>
            <w:vAlign w:val="center"/>
          </w:tcPr>
          <w:p w14:paraId="27C9763F" w14:textId="77777777" w:rsidR="0062715C" w:rsidRPr="00AA19A8" w:rsidRDefault="0062715C" w:rsidP="00036EC6">
            <w:pPr>
              <w:jc w:val="center"/>
              <w:rPr>
                <w:rFonts w:ascii="Times New Roman" w:hAnsi="Times New Roman" w:cs="Times New Roman"/>
                <w:sz w:val="20"/>
                <w:szCs w:val="20"/>
                <w:lang w:val="sr-Cyrl-CS"/>
              </w:rPr>
            </w:pPr>
          </w:p>
        </w:tc>
        <w:tc>
          <w:tcPr>
            <w:tcW w:w="4361" w:type="dxa"/>
            <w:gridSpan w:val="36"/>
            <w:vAlign w:val="center"/>
          </w:tcPr>
          <w:p w14:paraId="76CA2460" w14:textId="52AD3BF3" w:rsidR="0062715C" w:rsidRPr="00AA19A8" w:rsidRDefault="0062715C" w:rsidP="00036EC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Подаци нису доступни</w:t>
            </w:r>
          </w:p>
        </w:tc>
      </w:tr>
      <w:tr w:rsidR="00D30238" w:rsidRPr="00AA19A8" w14:paraId="7E5E0E37" w14:textId="77777777" w:rsidTr="00BA7E6D">
        <w:trPr>
          <w:cantSplit/>
          <w:trHeight w:val="804"/>
        </w:trPr>
        <w:tc>
          <w:tcPr>
            <w:tcW w:w="15876" w:type="dxa"/>
            <w:gridSpan w:val="75"/>
            <w:shd w:val="clear" w:color="auto" w:fill="ECECEC"/>
            <w:vAlign w:val="center"/>
          </w:tcPr>
          <w:p w14:paraId="36E4B0C4" w14:textId="77777777" w:rsidR="00F617BE" w:rsidRPr="00AA19A8" w:rsidRDefault="00F617BE" w:rsidP="00F617BE">
            <w:pPr>
              <w:rPr>
                <w:rFonts w:ascii="Times New Roman" w:hAnsi="Times New Roman" w:cs="Times New Roman"/>
                <w:b/>
                <w:bCs/>
                <w:i/>
                <w:iCs/>
                <w:sz w:val="20"/>
                <w:szCs w:val="20"/>
                <w:lang w:val="sr-Cyrl-CS"/>
              </w:rPr>
            </w:pPr>
            <w:bookmarkStart w:id="28" w:name="_Toc73613658"/>
            <w:r w:rsidRPr="00AA19A8">
              <w:rPr>
                <w:rFonts w:ascii="Times New Roman" w:hAnsi="Times New Roman" w:cs="Times New Roman"/>
                <w:b/>
                <w:bCs/>
                <w:i/>
                <w:iCs/>
                <w:sz w:val="20"/>
                <w:szCs w:val="20"/>
                <w:lang w:val="sr-Cyrl-CS"/>
              </w:rPr>
              <w:t>Мера 2.2: Смањење административног оптерећења и унапређење ефикасности пружања електронских услуга</w:t>
            </w:r>
            <w:bookmarkEnd w:id="28"/>
            <w:r w:rsidRPr="00AA19A8">
              <w:rPr>
                <w:rFonts w:ascii="Times New Roman" w:hAnsi="Times New Roman" w:cs="Times New Roman"/>
                <w:b/>
                <w:bCs/>
                <w:i/>
                <w:iCs/>
                <w:sz w:val="20"/>
                <w:szCs w:val="20"/>
                <w:lang w:val="sr-Cyrl-CS"/>
              </w:rPr>
              <w:t xml:space="preserve"> у надлежности Управе за дуван</w:t>
            </w:r>
          </w:p>
        </w:tc>
      </w:tr>
      <w:tr w:rsidR="00D30238" w:rsidRPr="00AA19A8" w14:paraId="17ACEF74" w14:textId="77777777" w:rsidTr="006B65DC">
        <w:trPr>
          <w:cantSplit/>
          <w:trHeight w:val="804"/>
        </w:trPr>
        <w:tc>
          <w:tcPr>
            <w:tcW w:w="2344" w:type="dxa"/>
            <w:shd w:val="clear" w:color="auto" w:fill="ECECEC"/>
            <w:vAlign w:val="center"/>
          </w:tcPr>
          <w:p w14:paraId="79544AF7"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2965" w:type="dxa"/>
            <w:gridSpan w:val="10"/>
            <w:shd w:val="clear" w:color="auto" w:fill="ECECEC"/>
            <w:vAlign w:val="center"/>
          </w:tcPr>
          <w:p w14:paraId="31CCD0A8" w14:textId="77777777" w:rsidR="00F617BE" w:rsidRPr="00AA19A8" w:rsidRDefault="00F617BE" w:rsidP="0082582D">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567" w:type="dxa"/>
            <w:gridSpan w:val="64"/>
            <w:shd w:val="clear" w:color="auto" w:fill="ECECEC"/>
            <w:vAlign w:val="center"/>
          </w:tcPr>
          <w:p w14:paraId="196D784D" w14:textId="77777777" w:rsidR="00F617BE" w:rsidRPr="00AA19A8" w:rsidRDefault="00F617BE" w:rsidP="0082582D">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35472FF7" w14:textId="77777777" w:rsidTr="006B65DC">
        <w:trPr>
          <w:cantSplit/>
          <w:trHeight w:val="804"/>
        </w:trPr>
        <w:tc>
          <w:tcPr>
            <w:tcW w:w="2344" w:type="dxa"/>
            <w:shd w:val="clear" w:color="auto" w:fill="ECECEC"/>
            <w:vAlign w:val="center"/>
          </w:tcPr>
          <w:p w14:paraId="606AE192"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w:t>
            </w:r>
          </w:p>
        </w:tc>
        <w:tc>
          <w:tcPr>
            <w:tcW w:w="2965" w:type="dxa"/>
            <w:gridSpan w:val="10"/>
            <w:shd w:val="clear" w:color="auto" w:fill="ECECEC"/>
            <w:vAlign w:val="center"/>
          </w:tcPr>
          <w:p w14:paraId="7F5C9339" w14:textId="77777777" w:rsidR="00F617BE" w:rsidRPr="00AA19A8" w:rsidRDefault="00F617BE" w:rsidP="0082582D">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2301-0010</w:t>
            </w:r>
          </w:p>
        </w:tc>
        <w:tc>
          <w:tcPr>
            <w:tcW w:w="3303" w:type="dxa"/>
            <w:gridSpan w:val="12"/>
            <w:shd w:val="clear" w:color="auto" w:fill="ECECEC"/>
            <w:vAlign w:val="center"/>
          </w:tcPr>
          <w:p w14:paraId="1D88F535" w14:textId="77777777" w:rsidR="00F617BE" w:rsidRPr="00AA19A8" w:rsidRDefault="00F617BE" w:rsidP="0082582D">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350</w:t>
            </w:r>
          </w:p>
        </w:tc>
        <w:tc>
          <w:tcPr>
            <w:tcW w:w="3362" w:type="dxa"/>
            <w:gridSpan w:val="20"/>
            <w:shd w:val="clear" w:color="auto" w:fill="ECECEC"/>
            <w:vAlign w:val="center"/>
          </w:tcPr>
          <w:p w14:paraId="2A33C3B4" w14:textId="77777777" w:rsidR="00F617BE" w:rsidRPr="00AA19A8" w:rsidRDefault="00F617BE" w:rsidP="0082582D">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w:t>
            </w:r>
          </w:p>
        </w:tc>
        <w:tc>
          <w:tcPr>
            <w:tcW w:w="3902" w:type="dxa"/>
            <w:gridSpan w:val="32"/>
            <w:shd w:val="clear" w:color="auto" w:fill="ECECEC"/>
            <w:vAlign w:val="center"/>
          </w:tcPr>
          <w:p w14:paraId="1EE794E1" w14:textId="77777777" w:rsidR="00F617BE" w:rsidRPr="00AA19A8" w:rsidRDefault="00F617BE" w:rsidP="0082582D">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w:t>
            </w:r>
          </w:p>
        </w:tc>
      </w:tr>
      <w:tr w:rsidR="00D30238" w:rsidRPr="00AA19A8" w14:paraId="545D5CF7" w14:textId="77777777" w:rsidTr="00BA7E6D">
        <w:trPr>
          <w:cantSplit/>
          <w:trHeight w:val="804"/>
        </w:trPr>
        <w:tc>
          <w:tcPr>
            <w:tcW w:w="15876" w:type="dxa"/>
            <w:gridSpan w:val="75"/>
            <w:shd w:val="clear" w:color="auto" w:fill="ECECEC"/>
            <w:vAlign w:val="center"/>
          </w:tcPr>
          <w:p w14:paraId="0707E15D" w14:textId="5C891E9E" w:rsidR="00F617BE" w:rsidRPr="00AA19A8" w:rsidRDefault="00F617BE" w:rsidP="00F617BE">
            <w:pPr>
              <w:rPr>
                <w:rFonts w:ascii="Times New Roman" w:hAnsi="Times New Roman" w:cs="Times New Roman"/>
                <w:b/>
                <w:bCs/>
                <w:i/>
                <w:iCs/>
                <w:sz w:val="20"/>
                <w:szCs w:val="20"/>
                <w:lang w:val="sr-Cyrl-CS"/>
              </w:rPr>
            </w:pPr>
            <w:bookmarkStart w:id="29" w:name="_Toc73613659"/>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w:t>
            </w:r>
            <w:r w:rsidR="006175B3" w:rsidRPr="00AA19A8">
              <w:rPr>
                <w:rFonts w:ascii="Times New Roman" w:hAnsi="Times New Roman" w:cs="Times New Roman"/>
                <w:b/>
                <w:bCs/>
                <w:i/>
                <w:iCs/>
                <w:sz w:val="20"/>
                <w:szCs w:val="20"/>
                <w:lang w:val="sr-Cyrl-CS"/>
              </w:rPr>
              <w:t xml:space="preserve"> </w:t>
            </w:r>
            <w:r w:rsidRPr="00AA19A8">
              <w:rPr>
                <w:rFonts w:ascii="Times New Roman" w:hAnsi="Times New Roman" w:cs="Times New Roman"/>
                <w:b/>
                <w:bCs/>
                <w:i/>
                <w:iCs/>
                <w:sz w:val="20"/>
                <w:szCs w:val="20"/>
                <w:lang w:val="sr-Cyrl-CS"/>
              </w:rPr>
              <w:t>-</w:t>
            </w:r>
            <w:r w:rsidR="006175B3" w:rsidRPr="00AA19A8">
              <w:rPr>
                <w:rFonts w:ascii="Times New Roman" w:hAnsi="Times New Roman" w:cs="Times New Roman"/>
                <w:b/>
                <w:bCs/>
                <w:i/>
                <w:iCs/>
                <w:sz w:val="20"/>
                <w:szCs w:val="20"/>
                <w:lang w:val="sr-Cyrl-CS"/>
              </w:rPr>
              <w:t xml:space="preserve"> </w:t>
            </w:r>
            <w:r w:rsidRPr="00AA19A8">
              <w:rPr>
                <w:rFonts w:ascii="Times New Roman" w:hAnsi="Times New Roman" w:cs="Times New Roman"/>
                <w:b/>
                <w:bCs/>
                <w:i/>
                <w:iCs/>
                <w:sz w:val="20"/>
                <w:szCs w:val="20"/>
                <w:lang w:val="sr-Cyrl-CS"/>
              </w:rPr>
              <w:t>Управа за дуван</w:t>
            </w:r>
            <w:bookmarkEnd w:id="29"/>
          </w:p>
        </w:tc>
      </w:tr>
      <w:tr w:rsidR="00D30238" w:rsidRPr="00AA19A8" w14:paraId="594FABFC" w14:textId="77777777" w:rsidTr="006B65DC">
        <w:trPr>
          <w:cantSplit/>
          <w:trHeight w:val="804"/>
        </w:trPr>
        <w:tc>
          <w:tcPr>
            <w:tcW w:w="7869" w:type="dxa"/>
            <w:gridSpan w:val="18"/>
            <w:shd w:val="clear" w:color="auto" w:fill="ECECEC"/>
            <w:vAlign w:val="center"/>
          </w:tcPr>
          <w:p w14:paraId="1CC441B4" w14:textId="1A006B70" w:rsidR="00F617BE" w:rsidRPr="00AA19A8" w:rsidRDefault="00F617BE" w:rsidP="00F617BE">
            <w:pPr>
              <w:rPr>
                <w:rFonts w:ascii="Times New Roman" w:hAnsi="Times New Roman" w:cs="Times New Roman"/>
                <w:b/>
                <w:bCs/>
                <w:i/>
                <w:iCs/>
                <w:sz w:val="20"/>
                <w:szCs w:val="20"/>
                <w:lang w:val="sr-Cyrl-CS"/>
              </w:rPr>
            </w:pPr>
            <w:bookmarkStart w:id="30" w:name="_Toc73613660"/>
            <w:r w:rsidRPr="00AA19A8">
              <w:rPr>
                <w:rFonts w:ascii="Times New Roman" w:hAnsi="Times New Roman" w:cs="Times New Roman"/>
                <w:b/>
                <w:bCs/>
                <w:i/>
                <w:iCs/>
                <w:sz w:val="20"/>
                <w:szCs w:val="20"/>
                <w:lang w:val="sr-Cyrl-CS"/>
              </w:rPr>
              <w:t>Период спровођења: 202</w:t>
            </w:r>
            <w:bookmarkEnd w:id="30"/>
            <w:r w:rsidRPr="00AA19A8">
              <w:rPr>
                <w:rFonts w:ascii="Times New Roman" w:hAnsi="Times New Roman" w:cs="Times New Roman"/>
                <w:b/>
                <w:bCs/>
                <w:i/>
                <w:iCs/>
                <w:sz w:val="20"/>
                <w:szCs w:val="20"/>
                <w:lang w:val="sr-Cyrl-CS"/>
              </w:rPr>
              <w:t>6-2030</w:t>
            </w:r>
            <w:r w:rsidR="00713D3C" w:rsidRPr="00AA19A8">
              <w:rPr>
                <w:rFonts w:ascii="Times New Roman" w:hAnsi="Times New Roman" w:cs="Times New Roman"/>
                <w:b/>
                <w:bCs/>
                <w:i/>
                <w:iCs/>
                <w:sz w:val="20"/>
                <w:szCs w:val="20"/>
                <w:lang w:val="sr-Cyrl-CS"/>
              </w:rPr>
              <w:t>.</w:t>
            </w:r>
          </w:p>
        </w:tc>
        <w:tc>
          <w:tcPr>
            <w:tcW w:w="8007" w:type="dxa"/>
            <w:gridSpan w:val="57"/>
            <w:shd w:val="clear" w:color="auto" w:fill="ECECEC"/>
            <w:vAlign w:val="center"/>
          </w:tcPr>
          <w:p w14:paraId="3019654B" w14:textId="77777777" w:rsidR="00F617BE" w:rsidRPr="00AA19A8" w:rsidRDefault="00F617BE" w:rsidP="00F617BE">
            <w:pPr>
              <w:rPr>
                <w:rFonts w:ascii="Times New Roman" w:hAnsi="Times New Roman" w:cs="Times New Roman"/>
                <w:b/>
                <w:bCs/>
                <w:i/>
                <w:iCs/>
                <w:sz w:val="20"/>
                <w:szCs w:val="20"/>
                <w:lang w:val="sr-Cyrl-CS"/>
              </w:rPr>
            </w:pPr>
            <w:bookmarkStart w:id="31" w:name="_Toc73613661"/>
            <w:r w:rsidRPr="00AA19A8">
              <w:rPr>
                <w:rFonts w:ascii="Times New Roman" w:hAnsi="Times New Roman" w:cs="Times New Roman"/>
                <w:b/>
                <w:bCs/>
                <w:i/>
                <w:iCs/>
                <w:sz w:val="20"/>
                <w:szCs w:val="20"/>
                <w:lang w:val="sr-Cyrl-CS"/>
              </w:rPr>
              <w:t>Тип мере: Информативно едукативна</w:t>
            </w:r>
            <w:bookmarkEnd w:id="31"/>
          </w:p>
        </w:tc>
      </w:tr>
      <w:tr w:rsidR="00D30238" w:rsidRPr="00AA19A8" w14:paraId="31599124" w14:textId="77777777" w:rsidTr="006B65DC">
        <w:trPr>
          <w:cantSplit/>
          <w:trHeight w:val="1253"/>
        </w:trPr>
        <w:tc>
          <w:tcPr>
            <w:tcW w:w="2344" w:type="dxa"/>
            <w:shd w:val="clear" w:color="auto" w:fill="ECECEC"/>
            <w:vAlign w:val="center"/>
          </w:tcPr>
          <w:p w14:paraId="6085D629" w14:textId="1E326148"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2965" w:type="dxa"/>
            <w:gridSpan w:val="10"/>
            <w:shd w:val="clear" w:color="auto" w:fill="ECECEC"/>
            <w:vAlign w:val="center"/>
          </w:tcPr>
          <w:p w14:paraId="0975C727"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560" w:type="dxa"/>
            <w:gridSpan w:val="7"/>
            <w:shd w:val="clear" w:color="auto" w:fill="ECECEC"/>
            <w:vAlign w:val="center"/>
          </w:tcPr>
          <w:p w14:paraId="0665D7FF"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322" w:type="dxa"/>
            <w:gridSpan w:val="14"/>
            <w:shd w:val="clear" w:color="auto" w:fill="ECECEC"/>
            <w:vAlign w:val="center"/>
          </w:tcPr>
          <w:p w14:paraId="0C1C074A"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276" w:type="dxa"/>
            <w:gridSpan w:val="16"/>
            <w:shd w:val="clear" w:color="auto" w:fill="ECECEC"/>
            <w:vAlign w:val="center"/>
          </w:tcPr>
          <w:p w14:paraId="2A505775"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60" w:type="dxa"/>
            <w:gridSpan w:val="11"/>
            <w:shd w:val="clear" w:color="auto" w:fill="ECECEC"/>
            <w:vAlign w:val="center"/>
          </w:tcPr>
          <w:p w14:paraId="6737F878"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74" w:type="dxa"/>
            <w:gridSpan w:val="10"/>
            <w:shd w:val="clear" w:color="auto" w:fill="ECECEC"/>
            <w:vAlign w:val="center"/>
          </w:tcPr>
          <w:p w14:paraId="6944130B"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275" w:type="dxa"/>
            <w:gridSpan w:val="6"/>
            <w:shd w:val="clear" w:color="auto" w:fill="ECECEC"/>
            <w:vAlign w:val="center"/>
          </w:tcPr>
          <w:p w14:paraId="739B8C12"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061D2C56" w14:textId="77777777" w:rsidTr="006B65DC">
        <w:trPr>
          <w:cantSplit/>
          <w:trHeight w:val="2268"/>
        </w:trPr>
        <w:tc>
          <w:tcPr>
            <w:tcW w:w="2344" w:type="dxa"/>
            <w:vAlign w:val="center"/>
          </w:tcPr>
          <w:p w14:paraId="5421DCA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Проценат привредних субјеката који  електронски подносе извештаје путем портала</w:t>
            </w:r>
          </w:p>
        </w:tc>
        <w:tc>
          <w:tcPr>
            <w:tcW w:w="2965" w:type="dxa"/>
            <w:gridSpan w:val="10"/>
            <w:vAlign w:val="center"/>
          </w:tcPr>
          <w:p w14:paraId="321A026D"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560" w:type="dxa"/>
            <w:gridSpan w:val="7"/>
            <w:vAlign w:val="center"/>
          </w:tcPr>
          <w:p w14:paraId="2ADBE5B1" w14:textId="17FA957C" w:rsidR="00F617BE" w:rsidRPr="00AA19A8" w:rsidRDefault="00F617BE" w:rsidP="00BB001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Портал за електр</w:t>
            </w:r>
            <w:r w:rsidR="00BB001A" w:rsidRPr="00AA19A8">
              <w:rPr>
                <w:rFonts w:ascii="Times New Roman" w:hAnsi="Times New Roman" w:cs="Times New Roman"/>
                <w:sz w:val="20"/>
                <w:szCs w:val="20"/>
              </w:rPr>
              <w:t>о</w:t>
            </w:r>
            <w:r w:rsidRPr="00AA19A8">
              <w:rPr>
                <w:rFonts w:ascii="Times New Roman" w:hAnsi="Times New Roman" w:cs="Times New Roman"/>
                <w:sz w:val="20"/>
                <w:szCs w:val="20"/>
                <w:lang w:val="sr-Cyrl-CS"/>
              </w:rPr>
              <w:t>нско подношење извештаја</w:t>
            </w:r>
          </w:p>
        </w:tc>
        <w:tc>
          <w:tcPr>
            <w:tcW w:w="2322" w:type="dxa"/>
            <w:gridSpan w:val="14"/>
            <w:vAlign w:val="center"/>
          </w:tcPr>
          <w:p w14:paraId="510785D3"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w:t>
            </w:r>
          </w:p>
        </w:tc>
        <w:tc>
          <w:tcPr>
            <w:tcW w:w="2276" w:type="dxa"/>
            <w:gridSpan w:val="16"/>
            <w:vAlign w:val="center"/>
          </w:tcPr>
          <w:p w14:paraId="28A5D748"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60" w:type="dxa"/>
            <w:gridSpan w:val="11"/>
            <w:vAlign w:val="center"/>
          </w:tcPr>
          <w:p w14:paraId="7D40A0A5"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70%</w:t>
            </w:r>
          </w:p>
        </w:tc>
        <w:tc>
          <w:tcPr>
            <w:tcW w:w="1074" w:type="dxa"/>
            <w:gridSpan w:val="10"/>
            <w:vAlign w:val="center"/>
          </w:tcPr>
          <w:p w14:paraId="335FE2B0"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275" w:type="dxa"/>
            <w:gridSpan w:val="6"/>
            <w:vAlign w:val="center"/>
          </w:tcPr>
          <w:p w14:paraId="00884073"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r>
      <w:tr w:rsidR="00D30238" w:rsidRPr="00AA19A8" w14:paraId="5B392B28" w14:textId="77777777" w:rsidTr="006B65DC">
        <w:trPr>
          <w:cantSplit/>
          <w:trHeight w:val="630"/>
        </w:trPr>
        <w:tc>
          <w:tcPr>
            <w:tcW w:w="2344" w:type="dxa"/>
            <w:vMerge w:val="restart"/>
            <w:shd w:val="clear" w:color="auto" w:fill="ECECEC"/>
            <w:vAlign w:val="center"/>
          </w:tcPr>
          <w:p w14:paraId="283A8755"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454" w:type="dxa"/>
            <w:gridSpan w:val="5"/>
            <w:vMerge w:val="restart"/>
            <w:shd w:val="clear" w:color="auto" w:fill="ECECEC"/>
            <w:vAlign w:val="center"/>
          </w:tcPr>
          <w:p w14:paraId="68668DAB"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11" w:type="dxa"/>
            <w:gridSpan w:val="5"/>
            <w:vMerge w:val="restart"/>
            <w:shd w:val="clear" w:color="auto" w:fill="ECECEC"/>
            <w:vAlign w:val="center"/>
          </w:tcPr>
          <w:p w14:paraId="4155C61B"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560" w:type="dxa"/>
            <w:gridSpan w:val="7"/>
            <w:vMerge w:val="restart"/>
            <w:shd w:val="clear" w:color="auto" w:fill="ECECEC"/>
            <w:vAlign w:val="center"/>
          </w:tcPr>
          <w:p w14:paraId="129DC809"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8007" w:type="dxa"/>
            <w:gridSpan w:val="57"/>
            <w:shd w:val="clear" w:color="auto" w:fill="ECECEC"/>
            <w:vAlign w:val="center"/>
          </w:tcPr>
          <w:p w14:paraId="4A0FCD06"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38B8F21F" w14:textId="77777777" w:rsidTr="006B65DC">
        <w:trPr>
          <w:cantSplit/>
          <w:trHeight w:val="1247"/>
        </w:trPr>
        <w:tc>
          <w:tcPr>
            <w:tcW w:w="2344" w:type="dxa"/>
            <w:vMerge/>
            <w:shd w:val="clear" w:color="auto" w:fill="ECECEC"/>
            <w:vAlign w:val="center"/>
          </w:tcPr>
          <w:p w14:paraId="3B397E6A" w14:textId="77777777" w:rsidR="00F617BE" w:rsidRPr="00AA19A8" w:rsidRDefault="00F617BE" w:rsidP="00F617BE">
            <w:pPr>
              <w:rPr>
                <w:rFonts w:ascii="Times New Roman" w:hAnsi="Times New Roman" w:cs="Times New Roman"/>
                <w:b/>
                <w:bCs/>
                <w:sz w:val="20"/>
                <w:szCs w:val="20"/>
                <w:lang w:val="sr-Cyrl-CS"/>
              </w:rPr>
            </w:pPr>
          </w:p>
        </w:tc>
        <w:tc>
          <w:tcPr>
            <w:tcW w:w="1454" w:type="dxa"/>
            <w:gridSpan w:val="5"/>
            <w:vMerge/>
            <w:shd w:val="clear" w:color="auto" w:fill="ECECEC"/>
            <w:vAlign w:val="center"/>
          </w:tcPr>
          <w:p w14:paraId="27B37D07" w14:textId="77777777" w:rsidR="00F617BE" w:rsidRPr="00AA19A8" w:rsidRDefault="00F617BE" w:rsidP="00886063">
            <w:pPr>
              <w:jc w:val="center"/>
              <w:rPr>
                <w:rFonts w:ascii="Times New Roman" w:hAnsi="Times New Roman" w:cs="Times New Roman"/>
                <w:b/>
                <w:bCs/>
                <w:sz w:val="20"/>
                <w:szCs w:val="20"/>
                <w:lang w:val="sr-Cyrl-CS"/>
              </w:rPr>
            </w:pPr>
          </w:p>
        </w:tc>
        <w:tc>
          <w:tcPr>
            <w:tcW w:w="1511" w:type="dxa"/>
            <w:gridSpan w:val="5"/>
            <w:vMerge/>
            <w:shd w:val="clear" w:color="auto" w:fill="ECECEC"/>
            <w:vAlign w:val="center"/>
          </w:tcPr>
          <w:p w14:paraId="2BD04B30" w14:textId="77777777" w:rsidR="00F617BE" w:rsidRPr="00AA19A8" w:rsidRDefault="00F617BE" w:rsidP="00886063">
            <w:pPr>
              <w:jc w:val="center"/>
              <w:rPr>
                <w:rFonts w:ascii="Times New Roman" w:hAnsi="Times New Roman" w:cs="Times New Roman"/>
                <w:b/>
                <w:bCs/>
                <w:sz w:val="20"/>
                <w:szCs w:val="20"/>
                <w:lang w:val="sr-Cyrl-CS"/>
              </w:rPr>
            </w:pPr>
          </w:p>
        </w:tc>
        <w:tc>
          <w:tcPr>
            <w:tcW w:w="2560" w:type="dxa"/>
            <w:gridSpan w:val="7"/>
            <w:vMerge/>
            <w:shd w:val="clear" w:color="auto" w:fill="ECECEC"/>
            <w:vAlign w:val="center"/>
          </w:tcPr>
          <w:p w14:paraId="70E13B83" w14:textId="77777777" w:rsidR="00F617BE" w:rsidRPr="00AA19A8" w:rsidRDefault="00F617BE" w:rsidP="00886063">
            <w:pPr>
              <w:jc w:val="center"/>
              <w:rPr>
                <w:rFonts w:ascii="Times New Roman" w:hAnsi="Times New Roman" w:cs="Times New Roman"/>
                <w:b/>
                <w:bCs/>
                <w:sz w:val="20"/>
                <w:szCs w:val="20"/>
                <w:lang w:val="sr-Cyrl-CS"/>
              </w:rPr>
            </w:pPr>
          </w:p>
        </w:tc>
        <w:tc>
          <w:tcPr>
            <w:tcW w:w="2322" w:type="dxa"/>
            <w:gridSpan w:val="14"/>
            <w:shd w:val="clear" w:color="auto" w:fill="ECECEC"/>
            <w:vAlign w:val="center"/>
          </w:tcPr>
          <w:p w14:paraId="0BB510F2"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276" w:type="dxa"/>
            <w:gridSpan w:val="16"/>
            <w:shd w:val="clear" w:color="auto" w:fill="ECECEC"/>
            <w:vAlign w:val="center"/>
          </w:tcPr>
          <w:p w14:paraId="3C57CD3C"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60" w:type="dxa"/>
            <w:gridSpan w:val="11"/>
            <w:shd w:val="clear" w:color="auto" w:fill="ECECEC"/>
            <w:vAlign w:val="center"/>
          </w:tcPr>
          <w:p w14:paraId="0F694EEA"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4" w:type="dxa"/>
            <w:gridSpan w:val="10"/>
            <w:shd w:val="clear" w:color="auto" w:fill="ECECEC"/>
            <w:vAlign w:val="center"/>
          </w:tcPr>
          <w:p w14:paraId="560531DC"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275" w:type="dxa"/>
            <w:gridSpan w:val="6"/>
            <w:shd w:val="clear" w:color="auto" w:fill="ECECEC"/>
            <w:vAlign w:val="center"/>
          </w:tcPr>
          <w:p w14:paraId="2056B05F" w14:textId="77777777" w:rsidR="00F617BE" w:rsidRPr="00AA19A8" w:rsidRDefault="00F617BE" w:rsidP="0088606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4D4276BD" w14:textId="77777777" w:rsidTr="006B65DC">
        <w:trPr>
          <w:cantSplit/>
          <w:trHeight w:val="1701"/>
        </w:trPr>
        <w:tc>
          <w:tcPr>
            <w:tcW w:w="2344" w:type="dxa"/>
            <w:vAlign w:val="center"/>
          </w:tcPr>
          <w:p w14:paraId="2A2D5F49"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2.2.1 Припрема,  објава и спровођење видео-обука и упутства за подршку привредним субјектима за коришћење портала</w:t>
            </w:r>
          </w:p>
        </w:tc>
        <w:tc>
          <w:tcPr>
            <w:tcW w:w="1454" w:type="dxa"/>
            <w:gridSpan w:val="5"/>
            <w:vAlign w:val="center"/>
          </w:tcPr>
          <w:p w14:paraId="29AD4D0F"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11" w:type="dxa"/>
            <w:gridSpan w:val="5"/>
            <w:vAlign w:val="center"/>
          </w:tcPr>
          <w:p w14:paraId="7872149C"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дуван</w:t>
            </w:r>
          </w:p>
        </w:tc>
        <w:tc>
          <w:tcPr>
            <w:tcW w:w="2560" w:type="dxa"/>
            <w:gridSpan w:val="7"/>
            <w:vAlign w:val="center"/>
          </w:tcPr>
          <w:p w14:paraId="4B8D8E8C" w14:textId="77777777" w:rsidR="00F617BE" w:rsidRPr="00AA19A8" w:rsidRDefault="00F617BE" w:rsidP="00886063">
            <w:pPr>
              <w:jc w:val="center"/>
              <w:rPr>
                <w:rFonts w:ascii="Times New Roman" w:hAnsi="Times New Roman" w:cs="Times New Roman"/>
                <w:sz w:val="20"/>
                <w:szCs w:val="20"/>
                <w:lang w:val="sr-Cyrl-CS"/>
              </w:rPr>
            </w:pPr>
          </w:p>
        </w:tc>
        <w:tc>
          <w:tcPr>
            <w:tcW w:w="2322" w:type="dxa"/>
            <w:gridSpan w:val="14"/>
            <w:vAlign w:val="center"/>
          </w:tcPr>
          <w:p w14:paraId="10A25DAA"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 2301-0010</w:t>
            </w:r>
          </w:p>
        </w:tc>
        <w:tc>
          <w:tcPr>
            <w:tcW w:w="2276" w:type="dxa"/>
            <w:gridSpan w:val="16"/>
            <w:vAlign w:val="center"/>
          </w:tcPr>
          <w:p w14:paraId="3FEFFD34" w14:textId="77777777" w:rsidR="00F617BE" w:rsidRPr="00AA19A8" w:rsidRDefault="00F617BE" w:rsidP="00886063">
            <w:pPr>
              <w:jc w:val="center"/>
              <w:rPr>
                <w:rFonts w:ascii="Times New Roman" w:hAnsi="Times New Roman" w:cs="Times New Roman"/>
                <w:sz w:val="20"/>
                <w:szCs w:val="20"/>
                <w:lang w:val="sr-Cyrl-CS"/>
              </w:rPr>
            </w:pPr>
          </w:p>
        </w:tc>
        <w:tc>
          <w:tcPr>
            <w:tcW w:w="1060" w:type="dxa"/>
            <w:gridSpan w:val="11"/>
            <w:vAlign w:val="center"/>
          </w:tcPr>
          <w:p w14:paraId="74D18170"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350</w:t>
            </w:r>
          </w:p>
        </w:tc>
        <w:tc>
          <w:tcPr>
            <w:tcW w:w="1074" w:type="dxa"/>
            <w:gridSpan w:val="10"/>
            <w:vAlign w:val="center"/>
          </w:tcPr>
          <w:p w14:paraId="245FA5D1"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04690DC8"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6930C039" w14:textId="77777777" w:rsidTr="006B65DC">
        <w:trPr>
          <w:cantSplit/>
          <w:trHeight w:val="1701"/>
        </w:trPr>
        <w:tc>
          <w:tcPr>
            <w:tcW w:w="2344" w:type="dxa"/>
            <w:vAlign w:val="center"/>
          </w:tcPr>
          <w:p w14:paraId="09D21CA3"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2.2.2 Унапређење ефикасности обраде извештаја поднетих путем портала</w:t>
            </w:r>
          </w:p>
        </w:tc>
        <w:tc>
          <w:tcPr>
            <w:tcW w:w="1454" w:type="dxa"/>
            <w:gridSpan w:val="5"/>
            <w:vAlign w:val="center"/>
          </w:tcPr>
          <w:p w14:paraId="5CA142E0"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11" w:type="dxa"/>
            <w:gridSpan w:val="5"/>
            <w:vAlign w:val="center"/>
          </w:tcPr>
          <w:p w14:paraId="318F64EA"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дуван</w:t>
            </w:r>
          </w:p>
        </w:tc>
        <w:tc>
          <w:tcPr>
            <w:tcW w:w="2560" w:type="dxa"/>
            <w:gridSpan w:val="7"/>
            <w:vAlign w:val="center"/>
          </w:tcPr>
          <w:p w14:paraId="651F412B" w14:textId="77777777" w:rsidR="00F617BE" w:rsidRPr="00AA19A8" w:rsidRDefault="00F617BE" w:rsidP="00886063">
            <w:pPr>
              <w:jc w:val="center"/>
              <w:rPr>
                <w:rFonts w:ascii="Times New Roman" w:hAnsi="Times New Roman" w:cs="Times New Roman"/>
                <w:sz w:val="20"/>
                <w:szCs w:val="20"/>
                <w:lang w:val="sr-Cyrl-CS"/>
              </w:rPr>
            </w:pPr>
          </w:p>
        </w:tc>
        <w:tc>
          <w:tcPr>
            <w:tcW w:w="2322" w:type="dxa"/>
            <w:gridSpan w:val="14"/>
            <w:vAlign w:val="center"/>
          </w:tcPr>
          <w:p w14:paraId="7B13F87E"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 Буџет РС/Редовна издвајања</w:t>
            </w:r>
          </w:p>
        </w:tc>
        <w:tc>
          <w:tcPr>
            <w:tcW w:w="2276" w:type="dxa"/>
            <w:gridSpan w:val="16"/>
            <w:vAlign w:val="center"/>
          </w:tcPr>
          <w:p w14:paraId="4830ECDD" w14:textId="77777777" w:rsidR="00F617BE" w:rsidRPr="00AA19A8" w:rsidRDefault="00F617BE" w:rsidP="00886063">
            <w:pPr>
              <w:jc w:val="center"/>
              <w:rPr>
                <w:rFonts w:ascii="Times New Roman" w:hAnsi="Times New Roman" w:cs="Times New Roman"/>
                <w:sz w:val="20"/>
                <w:szCs w:val="20"/>
                <w:lang w:val="sr-Cyrl-CS"/>
              </w:rPr>
            </w:pPr>
          </w:p>
        </w:tc>
        <w:tc>
          <w:tcPr>
            <w:tcW w:w="1060" w:type="dxa"/>
            <w:gridSpan w:val="11"/>
            <w:vAlign w:val="center"/>
          </w:tcPr>
          <w:p w14:paraId="17FBB420"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4" w:type="dxa"/>
            <w:gridSpan w:val="10"/>
            <w:vAlign w:val="center"/>
          </w:tcPr>
          <w:p w14:paraId="2E3A014C"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275" w:type="dxa"/>
            <w:gridSpan w:val="6"/>
            <w:vAlign w:val="center"/>
          </w:tcPr>
          <w:p w14:paraId="02509A01" w14:textId="77777777" w:rsidR="00F617BE" w:rsidRPr="00AA19A8" w:rsidRDefault="00F617BE" w:rsidP="0088606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77694DA1" w14:textId="77777777" w:rsidTr="00BA7E6D">
        <w:trPr>
          <w:cantSplit/>
          <w:trHeight w:val="804"/>
        </w:trPr>
        <w:tc>
          <w:tcPr>
            <w:tcW w:w="15876" w:type="dxa"/>
            <w:gridSpan w:val="75"/>
            <w:shd w:val="clear" w:color="auto" w:fill="ECECEC"/>
            <w:vAlign w:val="center"/>
          </w:tcPr>
          <w:p w14:paraId="0E4B3CD4"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Мера 2.3: Јачање административних капацитета Управе царина</w:t>
            </w:r>
          </w:p>
        </w:tc>
      </w:tr>
      <w:tr w:rsidR="00D30238" w:rsidRPr="00AA19A8" w14:paraId="3F3A8EBC" w14:textId="77777777" w:rsidTr="006B65DC">
        <w:trPr>
          <w:cantSplit/>
          <w:trHeight w:val="804"/>
        </w:trPr>
        <w:tc>
          <w:tcPr>
            <w:tcW w:w="2497" w:type="dxa"/>
            <w:gridSpan w:val="2"/>
            <w:shd w:val="clear" w:color="auto" w:fill="ECECEC"/>
            <w:vAlign w:val="center"/>
          </w:tcPr>
          <w:p w14:paraId="1DD417AC"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02" w:type="dxa"/>
            <w:gridSpan w:val="10"/>
            <w:shd w:val="clear" w:color="auto" w:fill="ECECEC"/>
            <w:vAlign w:val="center"/>
          </w:tcPr>
          <w:p w14:paraId="6C9CD076" w14:textId="77777777" w:rsidR="00F617BE" w:rsidRPr="00AA19A8" w:rsidRDefault="00F617BE" w:rsidP="005A450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77" w:type="dxa"/>
            <w:gridSpan w:val="63"/>
            <w:shd w:val="clear" w:color="auto" w:fill="ECECEC"/>
            <w:vAlign w:val="center"/>
          </w:tcPr>
          <w:p w14:paraId="56F63ACC" w14:textId="77777777" w:rsidR="00F617BE" w:rsidRPr="00AA19A8" w:rsidRDefault="00F617BE" w:rsidP="005A450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28D1CE1E" w14:textId="77777777" w:rsidTr="006B65DC">
        <w:trPr>
          <w:cantSplit/>
          <w:trHeight w:val="1134"/>
        </w:trPr>
        <w:tc>
          <w:tcPr>
            <w:tcW w:w="2497" w:type="dxa"/>
            <w:gridSpan w:val="2"/>
            <w:shd w:val="clear" w:color="auto" w:fill="ECECEC"/>
            <w:vAlign w:val="center"/>
          </w:tcPr>
          <w:p w14:paraId="448287FB"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lastRenderedPageBreak/>
              <w:t>Буџет РС, IPA (неалоцирана), IPA2020, IPA2021, IPA2026, донаторска средства</w:t>
            </w:r>
          </w:p>
        </w:tc>
        <w:tc>
          <w:tcPr>
            <w:tcW w:w="3102" w:type="dxa"/>
            <w:gridSpan w:val="10"/>
            <w:shd w:val="clear" w:color="auto" w:fill="ECECEC"/>
            <w:vAlign w:val="center"/>
          </w:tcPr>
          <w:p w14:paraId="5EA77F2C" w14:textId="77777777" w:rsidR="00F617BE" w:rsidRPr="00AA19A8" w:rsidRDefault="00F617BE" w:rsidP="005A450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7081</w:t>
            </w:r>
          </w:p>
          <w:p w14:paraId="5AC6B6C4" w14:textId="77777777" w:rsidR="00F617BE" w:rsidRPr="00AA19A8" w:rsidRDefault="00F617BE" w:rsidP="005A450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5013</w:t>
            </w:r>
          </w:p>
        </w:tc>
        <w:tc>
          <w:tcPr>
            <w:tcW w:w="3341" w:type="dxa"/>
            <w:gridSpan w:val="12"/>
            <w:shd w:val="clear" w:color="auto" w:fill="ECECEC"/>
            <w:vAlign w:val="center"/>
          </w:tcPr>
          <w:p w14:paraId="145E59BE" w14:textId="1F09F482" w:rsidR="00F617BE" w:rsidRPr="00AA19A8" w:rsidRDefault="00F617BE" w:rsidP="005A450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2026: </w:t>
            </w:r>
            <w:r w:rsidR="00474726" w:rsidRPr="00AA19A8">
              <w:rPr>
                <w:rFonts w:ascii="Times New Roman" w:hAnsi="Times New Roman" w:cs="Times New Roman"/>
                <w:b/>
                <w:bCs/>
                <w:i/>
                <w:iCs/>
                <w:sz w:val="20"/>
                <w:szCs w:val="20"/>
                <w:lang w:val="sr-Cyrl-CS"/>
              </w:rPr>
              <w:t>675.335,42</w:t>
            </w:r>
          </w:p>
        </w:tc>
        <w:tc>
          <w:tcPr>
            <w:tcW w:w="3365" w:type="dxa"/>
            <w:gridSpan w:val="21"/>
            <w:shd w:val="clear" w:color="auto" w:fill="ECECEC"/>
            <w:vAlign w:val="center"/>
          </w:tcPr>
          <w:p w14:paraId="02A58E04" w14:textId="77777777" w:rsidR="00F617BE" w:rsidRPr="00AA19A8" w:rsidRDefault="00F617BE" w:rsidP="005A450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548.453,72</w:t>
            </w:r>
          </w:p>
        </w:tc>
        <w:tc>
          <w:tcPr>
            <w:tcW w:w="3571" w:type="dxa"/>
            <w:gridSpan w:val="30"/>
            <w:shd w:val="clear" w:color="auto" w:fill="ECECEC"/>
            <w:vAlign w:val="center"/>
          </w:tcPr>
          <w:p w14:paraId="2445E794" w14:textId="77777777" w:rsidR="00F617BE" w:rsidRPr="00AA19A8" w:rsidRDefault="00F617BE" w:rsidP="005A4509">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w:t>
            </w:r>
          </w:p>
        </w:tc>
      </w:tr>
      <w:tr w:rsidR="00D30238" w:rsidRPr="00AA19A8" w14:paraId="26EC7F1E" w14:textId="77777777" w:rsidTr="00BA7E6D">
        <w:trPr>
          <w:cantSplit/>
          <w:trHeight w:val="804"/>
        </w:trPr>
        <w:tc>
          <w:tcPr>
            <w:tcW w:w="15876" w:type="dxa"/>
            <w:gridSpan w:val="75"/>
            <w:shd w:val="clear" w:color="auto" w:fill="ECECEC"/>
            <w:vAlign w:val="center"/>
          </w:tcPr>
          <w:p w14:paraId="13DD2BF8" w14:textId="188819F0"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w:t>
            </w:r>
            <w:r w:rsidR="006175B3" w:rsidRPr="00AA19A8">
              <w:rPr>
                <w:rFonts w:ascii="Times New Roman" w:hAnsi="Times New Roman" w:cs="Times New Roman"/>
                <w:b/>
                <w:bCs/>
                <w:i/>
                <w:iCs/>
                <w:sz w:val="20"/>
                <w:szCs w:val="20"/>
                <w:lang w:val="sr-Cyrl-CS"/>
              </w:rPr>
              <w:t xml:space="preserve"> </w:t>
            </w:r>
            <w:r w:rsidRPr="00AA19A8">
              <w:rPr>
                <w:rFonts w:ascii="Times New Roman" w:hAnsi="Times New Roman" w:cs="Times New Roman"/>
                <w:b/>
                <w:bCs/>
                <w:i/>
                <w:iCs/>
                <w:sz w:val="20"/>
                <w:szCs w:val="20"/>
                <w:lang w:val="sr-Cyrl-CS"/>
              </w:rPr>
              <w:t>- Управа царина</w:t>
            </w:r>
          </w:p>
        </w:tc>
      </w:tr>
      <w:tr w:rsidR="00D30238" w:rsidRPr="00AA19A8" w14:paraId="4E966158" w14:textId="77777777" w:rsidTr="006B65DC">
        <w:trPr>
          <w:cantSplit/>
          <w:trHeight w:val="804"/>
        </w:trPr>
        <w:tc>
          <w:tcPr>
            <w:tcW w:w="8234" w:type="dxa"/>
            <w:gridSpan w:val="19"/>
            <w:shd w:val="clear" w:color="auto" w:fill="ECECEC"/>
            <w:vAlign w:val="center"/>
          </w:tcPr>
          <w:p w14:paraId="59D57A50"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2026-2028</w:t>
            </w:r>
          </w:p>
        </w:tc>
        <w:tc>
          <w:tcPr>
            <w:tcW w:w="7642" w:type="dxa"/>
            <w:gridSpan w:val="56"/>
            <w:shd w:val="clear" w:color="auto" w:fill="ECECEC"/>
            <w:vAlign w:val="center"/>
          </w:tcPr>
          <w:p w14:paraId="6DC235C9"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Институционално управљачко организациона мера</w:t>
            </w:r>
          </w:p>
        </w:tc>
      </w:tr>
      <w:tr w:rsidR="00D30238" w:rsidRPr="00AA19A8" w14:paraId="5E0AB273" w14:textId="77777777" w:rsidTr="006B65DC">
        <w:trPr>
          <w:cantSplit/>
          <w:trHeight w:val="1253"/>
        </w:trPr>
        <w:tc>
          <w:tcPr>
            <w:tcW w:w="2497" w:type="dxa"/>
            <w:gridSpan w:val="2"/>
            <w:shd w:val="clear" w:color="auto" w:fill="ECECEC"/>
            <w:vAlign w:val="center"/>
          </w:tcPr>
          <w:p w14:paraId="7A215A96" w14:textId="37C80F1B"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3102" w:type="dxa"/>
            <w:gridSpan w:val="10"/>
            <w:shd w:val="clear" w:color="auto" w:fill="ECECEC"/>
            <w:vAlign w:val="center"/>
          </w:tcPr>
          <w:p w14:paraId="6C9D22BA" w14:textId="77777777" w:rsidR="00F617BE" w:rsidRPr="00AA19A8" w:rsidRDefault="00F617BE" w:rsidP="005A450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35" w:type="dxa"/>
            <w:gridSpan w:val="7"/>
            <w:shd w:val="clear" w:color="auto" w:fill="ECECEC"/>
            <w:vAlign w:val="center"/>
          </w:tcPr>
          <w:p w14:paraId="634A2BAF" w14:textId="77777777" w:rsidR="00F617BE" w:rsidRPr="00AA19A8" w:rsidRDefault="00F617BE" w:rsidP="005A450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2" w:type="dxa"/>
            <w:gridSpan w:val="14"/>
            <w:shd w:val="clear" w:color="auto" w:fill="ECECEC"/>
            <w:vAlign w:val="center"/>
          </w:tcPr>
          <w:p w14:paraId="2F7ACAFE" w14:textId="77777777" w:rsidR="00F617BE" w:rsidRPr="00AA19A8" w:rsidRDefault="00F617BE" w:rsidP="005A450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34" w:type="dxa"/>
            <w:gridSpan w:val="17"/>
            <w:shd w:val="clear" w:color="auto" w:fill="ECECEC"/>
            <w:vAlign w:val="center"/>
          </w:tcPr>
          <w:p w14:paraId="14CA33C4" w14:textId="77777777" w:rsidR="00F617BE" w:rsidRPr="00AA19A8" w:rsidRDefault="00F617BE" w:rsidP="005A450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0" w:type="dxa"/>
            <w:gridSpan w:val="10"/>
            <w:shd w:val="clear" w:color="auto" w:fill="ECECEC"/>
            <w:vAlign w:val="center"/>
          </w:tcPr>
          <w:p w14:paraId="2C30903D" w14:textId="77777777" w:rsidR="00F617BE" w:rsidRPr="00AA19A8" w:rsidRDefault="00F617BE" w:rsidP="005A450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88" w:type="dxa"/>
            <w:gridSpan w:val="10"/>
            <w:shd w:val="clear" w:color="auto" w:fill="ECECEC"/>
            <w:vAlign w:val="center"/>
          </w:tcPr>
          <w:p w14:paraId="5E1A4A2D" w14:textId="77777777" w:rsidR="00F617BE" w:rsidRPr="00AA19A8" w:rsidRDefault="00F617BE" w:rsidP="005A450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198" w:type="dxa"/>
            <w:gridSpan w:val="5"/>
            <w:shd w:val="clear" w:color="auto" w:fill="ECECEC"/>
            <w:vAlign w:val="center"/>
          </w:tcPr>
          <w:p w14:paraId="319C8E45" w14:textId="77777777" w:rsidR="00F617BE" w:rsidRPr="00AA19A8" w:rsidRDefault="00F617BE" w:rsidP="005A4509">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6C747789" w14:textId="77777777" w:rsidTr="006B65DC">
        <w:trPr>
          <w:cantSplit/>
          <w:trHeight w:val="1253"/>
        </w:trPr>
        <w:tc>
          <w:tcPr>
            <w:tcW w:w="2497" w:type="dxa"/>
            <w:gridSpan w:val="2"/>
            <w:vAlign w:val="center"/>
          </w:tcPr>
          <w:p w14:paraId="5B6CC74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оствaрене наплате царинских дажбина у односу на пројектовану буџетску процену.</w:t>
            </w:r>
          </w:p>
        </w:tc>
        <w:tc>
          <w:tcPr>
            <w:tcW w:w="3102" w:type="dxa"/>
            <w:gridSpan w:val="10"/>
            <w:vAlign w:val="center"/>
          </w:tcPr>
          <w:p w14:paraId="772514E0"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35" w:type="dxa"/>
            <w:gridSpan w:val="7"/>
            <w:vAlign w:val="center"/>
          </w:tcPr>
          <w:p w14:paraId="649ED6C6"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Закон о буџету</w:t>
            </w:r>
          </w:p>
        </w:tc>
        <w:tc>
          <w:tcPr>
            <w:tcW w:w="2152" w:type="dxa"/>
            <w:gridSpan w:val="14"/>
            <w:vAlign w:val="center"/>
          </w:tcPr>
          <w:p w14:paraId="3CA25E72"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Царина 101,64%</w:t>
            </w:r>
          </w:p>
        </w:tc>
        <w:tc>
          <w:tcPr>
            <w:tcW w:w="2134" w:type="dxa"/>
            <w:gridSpan w:val="17"/>
            <w:vAlign w:val="center"/>
          </w:tcPr>
          <w:p w14:paraId="3C0E0033"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70" w:type="dxa"/>
            <w:gridSpan w:val="10"/>
            <w:vAlign w:val="center"/>
          </w:tcPr>
          <w:p w14:paraId="002A74A1"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088" w:type="dxa"/>
            <w:gridSpan w:val="10"/>
            <w:vAlign w:val="center"/>
          </w:tcPr>
          <w:p w14:paraId="77C8FEA1"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198" w:type="dxa"/>
            <w:gridSpan w:val="5"/>
            <w:vAlign w:val="center"/>
          </w:tcPr>
          <w:p w14:paraId="74DD64E4"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r>
      <w:tr w:rsidR="00D30238" w:rsidRPr="00AA19A8" w14:paraId="219C38CE" w14:textId="77777777" w:rsidTr="006B65DC">
        <w:trPr>
          <w:cantSplit/>
          <w:trHeight w:val="1253"/>
        </w:trPr>
        <w:tc>
          <w:tcPr>
            <w:tcW w:w="2497" w:type="dxa"/>
            <w:gridSpan w:val="2"/>
            <w:vAlign w:val="center"/>
          </w:tcPr>
          <w:p w14:paraId="4B1AB496"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остварене наплате ПДВ-а из увоза у односу на пројектовану буџетску процену</w:t>
            </w:r>
          </w:p>
        </w:tc>
        <w:tc>
          <w:tcPr>
            <w:tcW w:w="3102" w:type="dxa"/>
            <w:gridSpan w:val="10"/>
            <w:vAlign w:val="center"/>
          </w:tcPr>
          <w:p w14:paraId="5A8EB508"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35" w:type="dxa"/>
            <w:gridSpan w:val="7"/>
            <w:vAlign w:val="center"/>
          </w:tcPr>
          <w:p w14:paraId="2FC3EC3E"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Закон о буџету</w:t>
            </w:r>
          </w:p>
        </w:tc>
        <w:tc>
          <w:tcPr>
            <w:tcW w:w="2152" w:type="dxa"/>
            <w:gridSpan w:val="14"/>
            <w:vAlign w:val="center"/>
          </w:tcPr>
          <w:p w14:paraId="0A4AD56D"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ПДВ 97,72%</w:t>
            </w:r>
          </w:p>
        </w:tc>
        <w:tc>
          <w:tcPr>
            <w:tcW w:w="2134" w:type="dxa"/>
            <w:gridSpan w:val="17"/>
            <w:vAlign w:val="center"/>
          </w:tcPr>
          <w:p w14:paraId="73EA7456"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70" w:type="dxa"/>
            <w:gridSpan w:val="10"/>
            <w:vAlign w:val="center"/>
          </w:tcPr>
          <w:p w14:paraId="047DFADC"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088" w:type="dxa"/>
            <w:gridSpan w:val="10"/>
            <w:vAlign w:val="center"/>
          </w:tcPr>
          <w:p w14:paraId="700D87E3"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c>
          <w:tcPr>
            <w:tcW w:w="1198" w:type="dxa"/>
            <w:gridSpan w:val="5"/>
            <w:vAlign w:val="center"/>
          </w:tcPr>
          <w:p w14:paraId="5222F19F"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w:t>
            </w:r>
          </w:p>
        </w:tc>
      </w:tr>
      <w:tr w:rsidR="00D30238" w:rsidRPr="00AA19A8" w14:paraId="5A1D90BD" w14:textId="77777777" w:rsidTr="006B65DC">
        <w:trPr>
          <w:cantSplit/>
          <w:trHeight w:val="624"/>
        </w:trPr>
        <w:tc>
          <w:tcPr>
            <w:tcW w:w="2497" w:type="dxa"/>
            <w:gridSpan w:val="2"/>
            <w:vMerge w:val="restart"/>
            <w:shd w:val="clear" w:color="auto" w:fill="ECECEC"/>
            <w:vAlign w:val="center"/>
          </w:tcPr>
          <w:p w14:paraId="013BFABA" w14:textId="77777777" w:rsidR="00F617BE" w:rsidRPr="00AA19A8" w:rsidRDefault="00F617BE" w:rsidP="00737F2C">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31" w:type="dxa"/>
            <w:gridSpan w:val="5"/>
            <w:vMerge w:val="restart"/>
            <w:shd w:val="clear" w:color="auto" w:fill="ECECEC"/>
            <w:vAlign w:val="center"/>
          </w:tcPr>
          <w:p w14:paraId="750E5469"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71" w:type="dxa"/>
            <w:gridSpan w:val="5"/>
            <w:vMerge w:val="restart"/>
            <w:shd w:val="clear" w:color="auto" w:fill="ECECEC"/>
            <w:vAlign w:val="center"/>
          </w:tcPr>
          <w:p w14:paraId="41C92BBE"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35" w:type="dxa"/>
            <w:gridSpan w:val="7"/>
            <w:vMerge w:val="restart"/>
            <w:shd w:val="clear" w:color="auto" w:fill="ECECEC"/>
            <w:vAlign w:val="center"/>
          </w:tcPr>
          <w:p w14:paraId="5D9FF71B"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642" w:type="dxa"/>
            <w:gridSpan w:val="56"/>
            <w:shd w:val="clear" w:color="auto" w:fill="ECECEC"/>
            <w:vAlign w:val="center"/>
          </w:tcPr>
          <w:p w14:paraId="5CD7B3E7"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0361DFE3" w14:textId="77777777" w:rsidTr="006B65DC">
        <w:trPr>
          <w:cantSplit/>
          <w:trHeight w:val="1253"/>
        </w:trPr>
        <w:tc>
          <w:tcPr>
            <w:tcW w:w="2497" w:type="dxa"/>
            <w:gridSpan w:val="2"/>
            <w:vMerge/>
            <w:shd w:val="clear" w:color="auto" w:fill="ECECEC"/>
            <w:vAlign w:val="center"/>
          </w:tcPr>
          <w:p w14:paraId="3B468B1C" w14:textId="77777777" w:rsidR="00F617BE" w:rsidRPr="00AA19A8" w:rsidRDefault="00F617BE" w:rsidP="00737F2C">
            <w:pPr>
              <w:jc w:val="center"/>
              <w:rPr>
                <w:rFonts w:ascii="Times New Roman" w:hAnsi="Times New Roman" w:cs="Times New Roman"/>
                <w:b/>
                <w:bCs/>
                <w:sz w:val="20"/>
                <w:szCs w:val="20"/>
                <w:lang w:val="sr-Cyrl-CS"/>
              </w:rPr>
            </w:pPr>
          </w:p>
        </w:tc>
        <w:tc>
          <w:tcPr>
            <w:tcW w:w="1531" w:type="dxa"/>
            <w:gridSpan w:val="5"/>
            <w:vMerge/>
            <w:shd w:val="clear" w:color="auto" w:fill="ECECEC"/>
            <w:vAlign w:val="center"/>
          </w:tcPr>
          <w:p w14:paraId="1C5392F5" w14:textId="77777777" w:rsidR="00F617BE" w:rsidRPr="00AA19A8" w:rsidRDefault="00F617BE" w:rsidP="00737F2C">
            <w:pPr>
              <w:jc w:val="center"/>
              <w:rPr>
                <w:rFonts w:ascii="Times New Roman" w:hAnsi="Times New Roman" w:cs="Times New Roman"/>
                <w:b/>
                <w:bCs/>
                <w:sz w:val="20"/>
                <w:szCs w:val="20"/>
                <w:lang w:val="sr-Cyrl-CS"/>
              </w:rPr>
            </w:pPr>
          </w:p>
        </w:tc>
        <w:tc>
          <w:tcPr>
            <w:tcW w:w="1571" w:type="dxa"/>
            <w:gridSpan w:val="5"/>
            <w:vMerge/>
            <w:shd w:val="clear" w:color="auto" w:fill="ECECEC"/>
            <w:vAlign w:val="center"/>
          </w:tcPr>
          <w:p w14:paraId="4D39760D" w14:textId="77777777" w:rsidR="00F617BE" w:rsidRPr="00AA19A8" w:rsidRDefault="00F617BE" w:rsidP="00737F2C">
            <w:pPr>
              <w:jc w:val="center"/>
              <w:rPr>
                <w:rFonts w:ascii="Times New Roman" w:hAnsi="Times New Roman" w:cs="Times New Roman"/>
                <w:b/>
                <w:bCs/>
                <w:sz w:val="20"/>
                <w:szCs w:val="20"/>
                <w:lang w:val="sr-Cyrl-CS"/>
              </w:rPr>
            </w:pPr>
          </w:p>
        </w:tc>
        <w:tc>
          <w:tcPr>
            <w:tcW w:w="2635" w:type="dxa"/>
            <w:gridSpan w:val="7"/>
            <w:vMerge/>
            <w:shd w:val="clear" w:color="auto" w:fill="ECECEC"/>
            <w:vAlign w:val="center"/>
          </w:tcPr>
          <w:p w14:paraId="3072C1A4" w14:textId="77777777" w:rsidR="00F617BE" w:rsidRPr="00AA19A8" w:rsidRDefault="00F617BE" w:rsidP="00737F2C">
            <w:pPr>
              <w:jc w:val="center"/>
              <w:rPr>
                <w:rFonts w:ascii="Times New Roman" w:hAnsi="Times New Roman" w:cs="Times New Roman"/>
                <w:b/>
                <w:bCs/>
                <w:sz w:val="20"/>
                <w:szCs w:val="20"/>
                <w:lang w:val="sr-Cyrl-CS"/>
              </w:rPr>
            </w:pPr>
          </w:p>
        </w:tc>
        <w:tc>
          <w:tcPr>
            <w:tcW w:w="1749" w:type="dxa"/>
            <w:gridSpan w:val="12"/>
            <w:shd w:val="clear" w:color="auto" w:fill="ECECEC"/>
            <w:vAlign w:val="center"/>
          </w:tcPr>
          <w:p w14:paraId="3D7B8027"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1747" w:type="dxa"/>
            <w:gridSpan w:val="9"/>
            <w:shd w:val="clear" w:color="auto" w:fill="ECECEC"/>
            <w:vAlign w:val="center"/>
          </w:tcPr>
          <w:p w14:paraId="45F02E43"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318" w:type="dxa"/>
            <w:gridSpan w:val="17"/>
            <w:shd w:val="clear" w:color="auto" w:fill="ECECEC"/>
            <w:vAlign w:val="center"/>
          </w:tcPr>
          <w:p w14:paraId="2A2B8EDE"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313" w:type="dxa"/>
            <w:gridSpan w:val="10"/>
            <w:shd w:val="clear" w:color="auto" w:fill="ECECEC"/>
            <w:vAlign w:val="center"/>
          </w:tcPr>
          <w:p w14:paraId="64149BE9"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515" w:type="dxa"/>
            <w:gridSpan w:val="8"/>
            <w:shd w:val="clear" w:color="auto" w:fill="ECECEC"/>
            <w:vAlign w:val="center"/>
          </w:tcPr>
          <w:p w14:paraId="05AE1B81" w14:textId="77777777" w:rsidR="00F617BE" w:rsidRPr="00AA19A8" w:rsidRDefault="00F617BE" w:rsidP="00737F2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24244D85" w14:textId="77777777" w:rsidTr="006B65DC">
        <w:trPr>
          <w:cantSplit/>
          <w:trHeight w:val="1253"/>
        </w:trPr>
        <w:tc>
          <w:tcPr>
            <w:tcW w:w="2497" w:type="dxa"/>
            <w:gridSpan w:val="2"/>
            <w:vAlign w:val="center"/>
          </w:tcPr>
          <w:p w14:paraId="5CD6A78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2.3.1 Надоградња апликације за транзитни поступак NCTS</w:t>
            </w:r>
          </w:p>
        </w:tc>
        <w:tc>
          <w:tcPr>
            <w:tcW w:w="1531" w:type="dxa"/>
            <w:gridSpan w:val="5"/>
            <w:vAlign w:val="center"/>
          </w:tcPr>
          <w:p w14:paraId="31E602B8"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71" w:type="dxa"/>
            <w:gridSpan w:val="5"/>
            <w:vAlign w:val="center"/>
          </w:tcPr>
          <w:p w14:paraId="60031F6A"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царина</w:t>
            </w:r>
          </w:p>
        </w:tc>
        <w:tc>
          <w:tcPr>
            <w:tcW w:w="2635" w:type="dxa"/>
            <w:gridSpan w:val="7"/>
            <w:vAlign w:val="center"/>
          </w:tcPr>
          <w:p w14:paraId="72D905CA"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749" w:type="dxa"/>
            <w:gridSpan w:val="12"/>
            <w:vAlign w:val="center"/>
          </w:tcPr>
          <w:p w14:paraId="0ABFFFE3" w14:textId="6E8A4CFC" w:rsidR="002A67CD" w:rsidRPr="00AA19A8" w:rsidRDefault="002A67CD"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 </w:t>
            </w:r>
            <w:r w:rsidR="00745597" w:rsidRPr="00AA19A8">
              <w:rPr>
                <w:rFonts w:ascii="Times New Roman" w:hAnsi="Times New Roman" w:cs="Times New Roman"/>
                <w:sz w:val="20"/>
                <w:szCs w:val="20"/>
                <w:lang w:val="sr-Cyrl-CS"/>
              </w:rPr>
              <w:t>Буџет – Износ од 36 милиона динара плаћен је у 2025. години, ПА 0002-Подршка информационом систему царинске службе</w:t>
            </w:r>
          </w:p>
        </w:tc>
        <w:tc>
          <w:tcPr>
            <w:tcW w:w="1747" w:type="dxa"/>
            <w:gridSpan w:val="9"/>
            <w:vAlign w:val="center"/>
          </w:tcPr>
          <w:p w14:paraId="02C8515B" w14:textId="77777777" w:rsidR="00F617BE" w:rsidRPr="00AA19A8" w:rsidRDefault="00F617BE" w:rsidP="00737F2C">
            <w:pPr>
              <w:jc w:val="center"/>
              <w:rPr>
                <w:rFonts w:ascii="Times New Roman" w:hAnsi="Times New Roman" w:cs="Times New Roman"/>
                <w:sz w:val="20"/>
                <w:szCs w:val="20"/>
                <w:lang w:val="sr-Cyrl-CS"/>
              </w:rPr>
            </w:pPr>
          </w:p>
        </w:tc>
        <w:tc>
          <w:tcPr>
            <w:tcW w:w="1318" w:type="dxa"/>
            <w:gridSpan w:val="17"/>
            <w:vAlign w:val="center"/>
          </w:tcPr>
          <w:p w14:paraId="59E5B1C6" w14:textId="47D8B5D7" w:rsidR="00F617BE" w:rsidRPr="00AA19A8" w:rsidRDefault="009D5367"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313" w:type="dxa"/>
            <w:gridSpan w:val="10"/>
            <w:vAlign w:val="center"/>
          </w:tcPr>
          <w:p w14:paraId="5BE1EF18"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515" w:type="dxa"/>
            <w:gridSpan w:val="8"/>
            <w:vAlign w:val="center"/>
          </w:tcPr>
          <w:p w14:paraId="059E475C"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6381F105" w14:textId="77777777" w:rsidTr="006B65DC">
        <w:trPr>
          <w:cantSplit/>
          <w:trHeight w:val="1877"/>
        </w:trPr>
        <w:tc>
          <w:tcPr>
            <w:tcW w:w="2497" w:type="dxa"/>
            <w:gridSpan w:val="2"/>
            <w:vAlign w:val="center"/>
          </w:tcPr>
          <w:p w14:paraId="1FBEAA8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2.3.2 Унапређење капацитета за ефектне накнадне контроле, утврђивање царинске вредности и преференцијалног порекла и сврставања робе</w:t>
            </w:r>
          </w:p>
        </w:tc>
        <w:tc>
          <w:tcPr>
            <w:tcW w:w="1531" w:type="dxa"/>
            <w:gridSpan w:val="5"/>
            <w:vAlign w:val="center"/>
          </w:tcPr>
          <w:p w14:paraId="70A0D442"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71" w:type="dxa"/>
            <w:gridSpan w:val="5"/>
            <w:vAlign w:val="center"/>
          </w:tcPr>
          <w:p w14:paraId="64FBD24C"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царина</w:t>
            </w:r>
          </w:p>
        </w:tc>
        <w:tc>
          <w:tcPr>
            <w:tcW w:w="2635" w:type="dxa"/>
            <w:gridSpan w:val="7"/>
            <w:vAlign w:val="center"/>
          </w:tcPr>
          <w:p w14:paraId="2BBFA439" w14:textId="77777777" w:rsidR="00F617BE" w:rsidRPr="00AA19A8" w:rsidRDefault="00F617BE" w:rsidP="00737F2C">
            <w:pPr>
              <w:jc w:val="center"/>
              <w:rPr>
                <w:rFonts w:ascii="Times New Roman" w:hAnsi="Times New Roman" w:cs="Times New Roman"/>
                <w:sz w:val="20"/>
                <w:szCs w:val="20"/>
                <w:lang w:val="sr-Cyrl-CS"/>
              </w:rPr>
            </w:pPr>
          </w:p>
        </w:tc>
        <w:tc>
          <w:tcPr>
            <w:tcW w:w="1749" w:type="dxa"/>
            <w:gridSpan w:val="12"/>
            <w:vAlign w:val="center"/>
          </w:tcPr>
          <w:p w14:paraId="720BE6C9"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 xml:space="preserve"> неалоцирана</w:t>
            </w:r>
          </w:p>
          <w:p w14:paraId="4DA1A32E" w14:textId="77777777" w:rsidR="00F617BE" w:rsidRPr="00AA19A8" w:rsidRDefault="00F617BE" w:rsidP="00737F2C">
            <w:pPr>
              <w:jc w:val="center"/>
              <w:rPr>
                <w:rFonts w:ascii="Times New Roman" w:hAnsi="Times New Roman" w:cs="Times New Roman"/>
                <w:sz w:val="20"/>
                <w:szCs w:val="20"/>
                <w:lang w:val="sr-Cyrl-CS"/>
              </w:rPr>
            </w:pPr>
          </w:p>
          <w:p w14:paraId="4CFE06C8"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1747" w:type="dxa"/>
            <w:gridSpan w:val="9"/>
            <w:vAlign w:val="center"/>
          </w:tcPr>
          <w:p w14:paraId="48571626" w14:textId="77777777" w:rsidR="00F617BE" w:rsidRPr="00AA19A8" w:rsidRDefault="00F617BE" w:rsidP="00737F2C">
            <w:pPr>
              <w:jc w:val="center"/>
              <w:rPr>
                <w:rFonts w:ascii="Times New Roman" w:hAnsi="Times New Roman" w:cs="Times New Roman"/>
                <w:sz w:val="20"/>
                <w:szCs w:val="20"/>
                <w:lang w:val="sr-Cyrl-CS"/>
              </w:rPr>
            </w:pPr>
          </w:p>
        </w:tc>
        <w:tc>
          <w:tcPr>
            <w:tcW w:w="1318" w:type="dxa"/>
            <w:gridSpan w:val="17"/>
            <w:vAlign w:val="center"/>
          </w:tcPr>
          <w:p w14:paraId="4FF9946F"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14.400</w:t>
            </w:r>
          </w:p>
        </w:tc>
        <w:tc>
          <w:tcPr>
            <w:tcW w:w="1313" w:type="dxa"/>
            <w:gridSpan w:val="10"/>
            <w:vAlign w:val="center"/>
          </w:tcPr>
          <w:p w14:paraId="34C03DFE"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105.600*</w:t>
            </w:r>
          </w:p>
        </w:tc>
        <w:tc>
          <w:tcPr>
            <w:tcW w:w="1515" w:type="dxa"/>
            <w:gridSpan w:val="8"/>
            <w:vAlign w:val="center"/>
          </w:tcPr>
          <w:p w14:paraId="4E1700AE"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790B363" w14:textId="77777777" w:rsidTr="006B65DC">
        <w:trPr>
          <w:cantSplit/>
          <w:trHeight w:val="1253"/>
        </w:trPr>
        <w:tc>
          <w:tcPr>
            <w:tcW w:w="2497" w:type="dxa"/>
            <w:gridSpan w:val="2"/>
            <w:vAlign w:val="center"/>
          </w:tcPr>
          <w:p w14:paraId="0B08368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2.3.3 Модернизација царинске лабораторије</w:t>
            </w:r>
          </w:p>
        </w:tc>
        <w:tc>
          <w:tcPr>
            <w:tcW w:w="1531" w:type="dxa"/>
            <w:gridSpan w:val="5"/>
            <w:vAlign w:val="center"/>
          </w:tcPr>
          <w:p w14:paraId="55213149"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71" w:type="dxa"/>
            <w:gridSpan w:val="5"/>
            <w:vAlign w:val="center"/>
          </w:tcPr>
          <w:p w14:paraId="756C9F99"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царина</w:t>
            </w:r>
          </w:p>
        </w:tc>
        <w:tc>
          <w:tcPr>
            <w:tcW w:w="2635" w:type="dxa"/>
            <w:gridSpan w:val="7"/>
            <w:vAlign w:val="center"/>
          </w:tcPr>
          <w:p w14:paraId="6333A7DE" w14:textId="77777777" w:rsidR="00F617BE" w:rsidRPr="00AA19A8" w:rsidRDefault="00F617BE" w:rsidP="00737F2C">
            <w:pPr>
              <w:jc w:val="center"/>
              <w:rPr>
                <w:rFonts w:ascii="Times New Roman" w:hAnsi="Times New Roman" w:cs="Times New Roman"/>
                <w:sz w:val="20"/>
                <w:szCs w:val="20"/>
                <w:lang w:val="sr-Cyrl-CS"/>
              </w:rPr>
            </w:pPr>
          </w:p>
        </w:tc>
        <w:tc>
          <w:tcPr>
            <w:tcW w:w="1749" w:type="dxa"/>
            <w:gridSpan w:val="12"/>
            <w:vAlign w:val="center"/>
          </w:tcPr>
          <w:p w14:paraId="4FBBD015"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2026</w:t>
            </w:r>
          </w:p>
        </w:tc>
        <w:tc>
          <w:tcPr>
            <w:tcW w:w="1747" w:type="dxa"/>
            <w:gridSpan w:val="9"/>
            <w:vAlign w:val="center"/>
          </w:tcPr>
          <w:p w14:paraId="732A86B3" w14:textId="77777777" w:rsidR="00F617BE" w:rsidRPr="00AA19A8" w:rsidRDefault="00F617BE" w:rsidP="00737F2C">
            <w:pPr>
              <w:jc w:val="center"/>
              <w:rPr>
                <w:rFonts w:ascii="Times New Roman" w:hAnsi="Times New Roman" w:cs="Times New Roman"/>
                <w:sz w:val="20"/>
                <w:szCs w:val="20"/>
                <w:lang w:val="sr-Cyrl-CS"/>
              </w:rPr>
            </w:pPr>
          </w:p>
        </w:tc>
        <w:tc>
          <w:tcPr>
            <w:tcW w:w="1318" w:type="dxa"/>
            <w:gridSpan w:val="17"/>
            <w:vAlign w:val="center"/>
          </w:tcPr>
          <w:p w14:paraId="417E6F66"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313" w:type="dxa"/>
            <w:gridSpan w:val="10"/>
            <w:vAlign w:val="center"/>
          </w:tcPr>
          <w:p w14:paraId="2A8464F6"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360.000</w:t>
            </w:r>
          </w:p>
        </w:tc>
        <w:tc>
          <w:tcPr>
            <w:tcW w:w="1515" w:type="dxa"/>
            <w:gridSpan w:val="8"/>
            <w:vAlign w:val="center"/>
          </w:tcPr>
          <w:p w14:paraId="34220118"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5E8A6F2E" w14:textId="77777777" w:rsidTr="006B65DC">
        <w:trPr>
          <w:cantSplit/>
          <w:trHeight w:val="1877"/>
        </w:trPr>
        <w:tc>
          <w:tcPr>
            <w:tcW w:w="2497" w:type="dxa"/>
            <w:gridSpan w:val="2"/>
            <w:vAlign w:val="center"/>
          </w:tcPr>
          <w:p w14:paraId="253EA34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2.3.4 Имплементација увозних и извозних аутоматизованих система (AIS-AES) и система управљања (CDS)</w:t>
            </w:r>
          </w:p>
        </w:tc>
        <w:tc>
          <w:tcPr>
            <w:tcW w:w="1531" w:type="dxa"/>
            <w:gridSpan w:val="5"/>
            <w:vAlign w:val="center"/>
          </w:tcPr>
          <w:p w14:paraId="6F099042"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71" w:type="dxa"/>
            <w:gridSpan w:val="5"/>
            <w:vAlign w:val="center"/>
          </w:tcPr>
          <w:p w14:paraId="5CF03527"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царина</w:t>
            </w:r>
          </w:p>
        </w:tc>
        <w:tc>
          <w:tcPr>
            <w:tcW w:w="2635" w:type="dxa"/>
            <w:gridSpan w:val="7"/>
            <w:vAlign w:val="center"/>
          </w:tcPr>
          <w:p w14:paraId="0633F8B5" w14:textId="77777777" w:rsidR="00F617BE" w:rsidRPr="00AA19A8" w:rsidRDefault="00F617BE" w:rsidP="00737F2C">
            <w:pPr>
              <w:jc w:val="center"/>
              <w:rPr>
                <w:rFonts w:ascii="Times New Roman" w:hAnsi="Times New Roman" w:cs="Times New Roman"/>
                <w:sz w:val="20"/>
                <w:szCs w:val="20"/>
                <w:lang w:val="sr-Cyrl-CS"/>
              </w:rPr>
            </w:pPr>
          </w:p>
        </w:tc>
        <w:tc>
          <w:tcPr>
            <w:tcW w:w="1749" w:type="dxa"/>
            <w:gridSpan w:val="12"/>
            <w:vAlign w:val="center"/>
          </w:tcPr>
          <w:p w14:paraId="12D8DB93"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2020</w:t>
            </w:r>
          </w:p>
        </w:tc>
        <w:tc>
          <w:tcPr>
            <w:tcW w:w="1747" w:type="dxa"/>
            <w:gridSpan w:val="9"/>
            <w:vAlign w:val="center"/>
          </w:tcPr>
          <w:p w14:paraId="246C4323"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7081</w:t>
            </w:r>
          </w:p>
        </w:tc>
        <w:tc>
          <w:tcPr>
            <w:tcW w:w="1318" w:type="dxa"/>
            <w:gridSpan w:val="17"/>
            <w:vAlign w:val="center"/>
          </w:tcPr>
          <w:p w14:paraId="68585A0C"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363.320</w:t>
            </w:r>
          </w:p>
        </w:tc>
        <w:tc>
          <w:tcPr>
            <w:tcW w:w="1313" w:type="dxa"/>
            <w:gridSpan w:val="10"/>
            <w:vAlign w:val="center"/>
          </w:tcPr>
          <w:p w14:paraId="20837160"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515" w:type="dxa"/>
            <w:gridSpan w:val="8"/>
            <w:vAlign w:val="center"/>
          </w:tcPr>
          <w:p w14:paraId="6DA142BE"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E43A1D8" w14:textId="77777777" w:rsidTr="006B65DC">
        <w:trPr>
          <w:cantSplit/>
          <w:trHeight w:val="1877"/>
        </w:trPr>
        <w:tc>
          <w:tcPr>
            <w:tcW w:w="2497" w:type="dxa"/>
            <w:gridSpan w:val="2"/>
            <w:vAlign w:val="center"/>
          </w:tcPr>
          <w:p w14:paraId="7FD810C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2.3.5 Развој система наплате буџетских прихода, праћења наплате и интеграција са аутоматизованим системима</w:t>
            </w:r>
          </w:p>
        </w:tc>
        <w:tc>
          <w:tcPr>
            <w:tcW w:w="1531" w:type="dxa"/>
            <w:gridSpan w:val="5"/>
            <w:vAlign w:val="center"/>
          </w:tcPr>
          <w:p w14:paraId="1F096131"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71" w:type="dxa"/>
            <w:gridSpan w:val="5"/>
            <w:vAlign w:val="center"/>
          </w:tcPr>
          <w:p w14:paraId="45E24AAD"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царина</w:t>
            </w:r>
          </w:p>
        </w:tc>
        <w:tc>
          <w:tcPr>
            <w:tcW w:w="2635" w:type="dxa"/>
            <w:gridSpan w:val="7"/>
            <w:vAlign w:val="center"/>
          </w:tcPr>
          <w:p w14:paraId="15579954" w14:textId="77777777" w:rsidR="00F617BE" w:rsidRPr="00AA19A8" w:rsidRDefault="00F617BE" w:rsidP="00737F2C">
            <w:pPr>
              <w:jc w:val="center"/>
              <w:rPr>
                <w:rFonts w:ascii="Times New Roman" w:hAnsi="Times New Roman" w:cs="Times New Roman"/>
                <w:sz w:val="20"/>
                <w:szCs w:val="20"/>
                <w:lang w:val="sr-Cyrl-CS"/>
              </w:rPr>
            </w:pPr>
          </w:p>
        </w:tc>
        <w:tc>
          <w:tcPr>
            <w:tcW w:w="1749" w:type="dxa"/>
            <w:gridSpan w:val="12"/>
            <w:vAlign w:val="center"/>
          </w:tcPr>
          <w:p w14:paraId="5CA1F41F" w14:textId="19FBE404"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tc>
        <w:tc>
          <w:tcPr>
            <w:tcW w:w="1747" w:type="dxa"/>
            <w:gridSpan w:val="9"/>
            <w:vAlign w:val="center"/>
          </w:tcPr>
          <w:p w14:paraId="4C1F237A" w14:textId="49ACA43C" w:rsidR="00F617BE" w:rsidRPr="00AA19A8" w:rsidRDefault="0020700A"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 ПА 0002</w:t>
            </w:r>
          </w:p>
        </w:tc>
        <w:tc>
          <w:tcPr>
            <w:tcW w:w="1318" w:type="dxa"/>
            <w:gridSpan w:val="17"/>
            <w:vAlign w:val="center"/>
          </w:tcPr>
          <w:p w14:paraId="61A0CD78"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72.000</w:t>
            </w:r>
          </w:p>
        </w:tc>
        <w:tc>
          <w:tcPr>
            <w:tcW w:w="1313" w:type="dxa"/>
            <w:gridSpan w:val="10"/>
            <w:vAlign w:val="center"/>
          </w:tcPr>
          <w:p w14:paraId="70F75FBD"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60.000</w:t>
            </w:r>
          </w:p>
        </w:tc>
        <w:tc>
          <w:tcPr>
            <w:tcW w:w="1515" w:type="dxa"/>
            <w:gridSpan w:val="8"/>
            <w:vAlign w:val="center"/>
          </w:tcPr>
          <w:p w14:paraId="5D20CC1F"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B613142" w14:textId="77777777" w:rsidTr="006B65DC">
        <w:trPr>
          <w:cantSplit/>
          <w:trHeight w:val="1253"/>
        </w:trPr>
        <w:tc>
          <w:tcPr>
            <w:tcW w:w="2497" w:type="dxa"/>
            <w:gridSpan w:val="2"/>
            <w:vAlign w:val="center"/>
          </w:tcPr>
          <w:p w14:paraId="13A4BA7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2.3.6 Имплементација софтвера за интегрисано управљање тарифом (ITMS)</w:t>
            </w:r>
          </w:p>
        </w:tc>
        <w:tc>
          <w:tcPr>
            <w:tcW w:w="1531" w:type="dxa"/>
            <w:gridSpan w:val="5"/>
            <w:vAlign w:val="center"/>
          </w:tcPr>
          <w:p w14:paraId="3192C073"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Q1 2027</w:t>
            </w:r>
          </w:p>
        </w:tc>
        <w:tc>
          <w:tcPr>
            <w:tcW w:w="1571" w:type="dxa"/>
            <w:gridSpan w:val="5"/>
            <w:vAlign w:val="center"/>
          </w:tcPr>
          <w:p w14:paraId="65EDC55B"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царина</w:t>
            </w:r>
          </w:p>
        </w:tc>
        <w:tc>
          <w:tcPr>
            <w:tcW w:w="2635" w:type="dxa"/>
            <w:gridSpan w:val="7"/>
            <w:vAlign w:val="center"/>
          </w:tcPr>
          <w:p w14:paraId="6DB91C22" w14:textId="77777777" w:rsidR="00F617BE" w:rsidRPr="00AA19A8" w:rsidRDefault="00F617BE" w:rsidP="00737F2C">
            <w:pPr>
              <w:jc w:val="center"/>
              <w:rPr>
                <w:rFonts w:ascii="Times New Roman" w:hAnsi="Times New Roman" w:cs="Times New Roman"/>
                <w:sz w:val="20"/>
                <w:szCs w:val="20"/>
                <w:lang w:val="sr-Cyrl-CS"/>
              </w:rPr>
            </w:pPr>
          </w:p>
        </w:tc>
        <w:tc>
          <w:tcPr>
            <w:tcW w:w="1749" w:type="dxa"/>
            <w:gridSpan w:val="12"/>
            <w:vAlign w:val="center"/>
          </w:tcPr>
          <w:p w14:paraId="717929A7"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2021</w:t>
            </w:r>
          </w:p>
        </w:tc>
        <w:tc>
          <w:tcPr>
            <w:tcW w:w="1747" w:type="dxa"/>
            <w:gridSpan w:val="9"/>
            <w:vAlign w:val="center"/>
          </w:tcPr>
          <w:p w14:paraId="503FDBAF" w14:textId="77777777" w:rsidR="00F617BE" w:rsidRPr="00AA19A8" w:rsidRDefault="00F617BE" w:rsidP="00737F2C">
            <w:pPr>
              <w:jc w:val="center"/>
              <w:rPr>
                <w:rFonts w:ascii="Times New Roman" w:hAnsi="Times New Roman" w:cs="Times New Roman"/>
                <w:sz w:val="20"/>
                <w:szCs w:val="20"/>
                <w:lang w:val="sr-Cyrl-CS"/>
              </w:rPr>
            </w:pPr>
          </w:p>
        </w:tc>
        <w:tc>
          <w:tcPr>
            <w:tcW w:w="1318" w:type="dxa"/>
            <w:gridSpan w:val="17"/>
            <w:vAlign w:val="center"/>
          </w:tcPr>
          <w:p w14:paraId="3CDBB7B2"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217.115,42</w:t>
            </w:r>
          </w:p>
        </w:tc>
        <w:tc>
          <w:tcPr>
            <w:tcW w:w="1313" w:type="dxa"/>
            <w:gridSpan w:val="10"/>
            <w:vAlign w:val="center"/>
          </w:tcPr>
          <w:p w14:paraId="5422E973"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22.853,72</w:t>
            </w:r>
          </w:p>
        </w:tc>
        <w:tc>
          <w:tcPr>
            <w:tcW w:w="1515" w:type="dxa"/>
            <w:gridSpan w:val="8"/>
            <w:vAlign w:val="center"/>
          </w:tcPr>
          <w:p w14:paraId="5A62CD0C"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53C91110" w14:textId="77777777" w:rsidTr="006B65DC">
        <w:trPr>
          <w:cantSplit/>
          <w:trHeight w:val="1701"/>
        </w:trPr>
        <w:tc>
          <w:tcPr>
            <w:tcW w:w="2497" w:type="dxa"/>
            <w:gridSpan w:val="2"/>
            <w:vAlign w:val="center"/>
          </w:tcPr>
          <w:p w14:paraId="7AAB7A07"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2.3.7 Набавка и имплементација складишта за чување царинских података (data warehouse)</w:t>
            </w:r>
          </w:p>
        </w:tc>
        <w:tc>
          <w:tcPr>
            <w:tcW w:w="1531" w:type="dxa"/>
            <w:gridSpan w:val="5"/>
            <w:vAlign w:val="center"/>
          </w:tcPr>
          <w:p w14:paraId="1F756292"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71" w:type="dxa"/>
            <w:gridSpan w:val="5"/>
            <w:vAlign w:val="center"/>
          </w:tcPr>
          <w:p w14:paraId="7553309C"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царина</w:t>
            </w:r>
          </w:p>
        </w:tc>
        <w:tc>
          <w:tcPr>
            <w:tcW w:w="2635" w:type="dxa"/>
            <w:gridSpan w:val="7"/>
            <w:vAlign w:val="center"/>
          </w:tcPr>
          <w:p w14:paraId="137CCC02" w14:textId="77777777" w:rsidR="00F617BE" w:rsidRPr="00AA19A8" w:rsidRDefault="00F617BE" w:rsidP="00737F2C">
            <w:pPr>
              <w:jc w:val="center"/>
              <w:rPr>
                <w:rFonts w:ascii="Times New Roman" w:hAnsi="Times New Roman" w:cs="Times New Roman"/>
                <w:sz w:val="20"/>
                <w:szCs w:val="20"/>
                <w:lang w:val="sr-Cyrl-CS"/>
              </w:rPr>
            </w:pPr>
          </w:p>
        </w:tc>
        <w:tc>
          <w:tcPr>
            <w:tcW w:w="1749" w:type="dxa"/>
            <w:gridSpan w:val="12"/>
            <w:vAlign w:val="center"/>
          </w:tcPr>
          <w:p w14:paraId="35AB1B9B"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2021</w:t>
            </w:r>
          </w:p>
        </w:tc>
        <w:tc>
          <w:tcPr>
            <w:tcW w:w="1747" w:type="dxa"/>
            <w:gridSpan w:val="9"/>
            <w:vAlign w:val="center"/>
          </w:tcPr>
          <w:p w14:paraId="004EC99A" w14:textId="77777777" w:rsidR="00F617BE" w:rsidRPr="00AA19A8" w:rsidRDefault="00F617BE" w:rsidP="00737F2C">
            <w:pPr>
              <w:jc w:val="center"/>
              <w:rPr>
                <w:rFonts w:ascii="Times New Roman" w:hAnsi="Times New Roman" w:cs="Times New Roman"/>
                <w:sz w:val="20"/>
                <w:szCs w:val="20"/>
                <w:lang w:val="sr-Cyrl-CS"/>
              </w:rPr>
            </w:pPr>
          </w:p>
        </w:tc>
        <w:tc>
          <w:tcPr>
            <w:tcW w:w="1318" w:type="dxa"/>
            <w:gridSpan w:val="17"/>
            <w:vAlign w:val="center"/>
          </w:tcPr>
          <w:p w14:paraId="6998C693"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8.500</w:t>
            </w:r>
          </w:p>
        </w:tc>
        <w:tc>
          <w:tcPr>
            <w:tcW w:w="1313" w:type="dxa"/>
            <w:gridSpan w:val="10"/>
            <w:vAlign w:val="center"/>
          </w:tcPr>
          <w:p w14:paraId="2506E6FF"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515" w:type="dxa"/>
            <w:gridSpan w:val="8"/>
            <w:vAlign w:val="center"/>
          </w:tcPr>
          <w:p w14:paraId="14D89497" w14:textId="77777777" w:rsidR="00F617BE" w:rsidRPr="00AA19A8" w:rsidRDefault="00F617BE" w:rsidP="00737F2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D6C4938" w14:textId="77777777" w:rsidTr="00BA7E6D">
        <w:trPr>
          <w:cantSplit/>
          <w:trHeight w:val="804"/>
        </w:trPr>
        <w:tc>
          <w:tcPr>
            <w:tcW w:w="15876" w:type="dxa"/>
            <w:gridSpan w:val="75"/>
            <w:shd w:val="clear" w:color="auto" w:fill="ECECEC"/>
            <w:vAlign w:val="center"/>
          </w:tcPr>
          <w:p w14:paraId="63A07318" w14:textId="77777777" w:rsidR="00F617BE" w:rsidRPr="00AA19A8" w:rsidRDefault="00F617BE" w:rsidP="00F617BE">
            <w:pPr>
              <w:rPr>
                <w:rFonts w:ascii="Times New Roman" w:hAnsi="Times New Roman" w:cs="Times New Roman"/>
                <w:b/>
                <w:bCs/>
                <w:i/>
                <w:iCs/>
                <w:sz w:val="20"/>
                <w:szCs w:val="20"/>
                <w:lang w:val="sr-Cyrl-CS"/>
              </w:rPr>
            </w:pPr>
            <w:bookmarkStart w:id="32" w:name="_Toc73613666"/>
            <w:r w:rsidRPr="00AA19A8">
              <w:rPr>
                <w:rFonts w:ascii="Times New Roman" w:hAnsi="Times New Roman" w:cs="Times New Roman"/>
                <w:b/>
                <w:bCs/>
                <w:i/>
                <w:iCs/>
                <w:sz w:val="20"/>
                <w:szCs w:val="20"/>
                <w:lang w:val="sr-Cyrl-CS"/>
              </w:rPr>
              <w:t>Мера 2.4: Ефикасно управљање јавним дугом</w:t>
            </w:r>
            <w:bookmarkEnd w:id="32"/>
          </w:p>
        </w:tc>
      </w:tr>
      <w:tr w:rsidR="00D30238" w:rsidRPr="00AA19A8" w14:paraId="7B87A990" w14:textId="77777777" w:rsidTr="006B65DC">
        <w:trPr>
          <w:cantSplit/>
          <w:trHeight w:val="804"/>
        </w:trPr>
        <w:tc>
          <w:tcPr>
            <w:tcW w:w="2497" w:type="dxa"/>
            <w:gridSpan w:val="2"/>
            <w:shd w:val="clear" w:color="auto" w:fill="ECECEC"/>
            <w:vAlign w:val="center"/>
          </w:tcPr>
          <w:p w14:paraId="5E41B997"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02" w:type="dxa"/>
            <w:gridSpan w:val="10"/>
            <w:shd w:val="clear" w:color="auto" w:fill="ECECEC"/>
            <w:vAlign w:val="center"/>
          </w:tcPr>
          <w:p w14:paraId="1A79C44D" w14:textId="77777777" w:rsidR="00F617BE" w:rsidRPr="00AA19A8" w:rsidRDefault="00F617BE" w:rsidP="00145F9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77" w:type="dxa"/>
            <w:gridSpan w:val="63"/>
            <w:shd w:val="clear" w:color="auto" w:fill="ECECEC"/>
            <w:vAlign w:val="center"/>
          </w:tcPr>
          <w:p w14:paraId="4C6C8DC5" w14:textId="77777777" w:rsidR="00F617BE" w:rsidRPr="00AA19A8" w:rsidRDefault="00F617BE" w:rsidP="00145F9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161E2525" w14:textId="77777777" w:rsidTr="006B65DC">
        <w:trPr>
          <w:cantSplit/>
          <w:trHeight w:val="804"/>
        </w:trPr>
        <w:tc>
          <w:tcPr>
            <w:tcW w:w="2497" w:type="dxa"/>
            <w:gridSpan w:val="2"/>
            <w:shd w:val="clear" w:color="auto" w:fill="ECECEC"/>
            <w:vAlign w:val="center"/>
          </w:tcPr>
          <w:p w14:paraId="1E80E1D7"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02" w:type="dxa"/>
            <w:gridSpan w:val="10"/>
            <w:shd w:val="clear" w:color="auto" w:fill="ECECEC"/>
            <w:vAlign w:val="center"/>
          </w:tcPr>
          <w:p w14:paraId="5164B791" w14:textId="77777777" w:rsidR="00F617BE" w:rsidRPr="00AA19A8" w:rsidRDefault="00F617BE" w:rsidP="00145F9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2201-0004</w:t>
            </w:r>
          </w:p>
        </w:tc>
        <w:tc>
          <w:tcPr>
            <w:tcW w:w="3341" w:type="dxa"/>
            <w:gridSpan w:val="12"/>
            <w:shd w:val="clear" w:color="auto" w:fill="ECECEC"/>
            <w:vAlign w:val="center"/>
          </w:tcPr>
          <w:p w14:paraId="1FE313F0" w14:textId="77777777" w:rsidR="00F617BE" w:rsidRPr="00AA19A8" w:rsidRDefault="00F617BE" w:rsidP="00145F9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w:t>
            </w:r>
          </w:p>
        </w:tc>
        <w:tc>
          <w:tcPr>
            <w:tcW w:w="3365" w:type="dxa"/>
            <w:gridSpan w:val="21"/>
            <w:shd w:val="clear" w:color="auto" w:fill="ECECEC"/>
            <w:vAlign w:val="center"/>
          </w:tcPr>
          <w:p w14:paraId="6580A4FE" w14:textId="77777777" w:rsidR="00F617BE" w:rsidRPr="00AA19A8" w:rsidRDefault="00F617BE" w:rsidP="00145F9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w:t>
            </w:r>
          </w:p>
        </w:tc>
        <w:tc>
          <w:tcPr>
            <w:tcW w:w="3571" w:type="dxa"/>
            <w:gridSpan w:val="30"/>
            <w:shd w:val="clear" w:color="auto" w:fill="ECECEC"/>
            <w:vAlign w:val="center"/>
          </w:tcPr>
          <w:p w14:paraId="13469711" w14:textId="77777777" w:rsidR="00F617BE" w:rsidRPr="00AA19A8" w:rsidRDefault="00F617BE" w:rsidP="00145F9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15.000</w:t>
            </w:r>
          </w:p>
        </w:tc>
      </w:tr>
      <w:tr w:rsidR="00D30238" w:rsidRPr="00AA19A8" w14:paraId="613FADB0" w14:textId="77777777" w:rsidTr="00BA7E6D">
        <w:trPr>
          <w:cantSplit/>
          <w:trHeight w:val="804"/>
        </w:trPr>
        <w:tc>
          <w:tcPr>
            <w:tcW w:w="15876" w:type="dxa"/>
            <w:gridSpan w:val="75"/>
            <w:shd w:val="clear" w:color="auto" w:fill="ECECEC"/>
            <w:vAlign w:val="center"/>
          </w:tcPr>
          <w:p w14:paraId="1D83B83D" w14:textId="77777777" w:rsidR="00F617BE" w:rsidRPr="00AA19A8" w:rsidRDefault="00F617BE" w:rsidP="00F617BE">
            <w:pPr>
              <w:rPr>
                <w:rFonts w:ascii="Times New Roman" w:hAnsi="Times New Roman" w:cs="Times New Roman"/>
                <w:b/>
                <w:bCs/>
                <w:i/>
                <w:iCs/>
                <w:sz w:val="20"/>
                <w:szCs w:val="20"/>
                <w:lang w:val="sr-Cyrl-CS"/>
              </w:rPr>
            </w:pPr>
            <w:bookmarkStart w:id="33" w:name="_Toc73613667"/>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Управа за јавни дуг</w:t>
            </w:r>
            <w:bookmarkEnd w:id="33"/>
          </w:p>
        </w:tc>
      </w:tr>
      <w:tr w:rsidR="00D30238" w:rsidRPr="00AA19A8" w14:paraId="0F3BDC84" w14:textId="77777777" w:rsidTr="006B65DC">
        <w:trPr>
          <w:cantSplit/>
          <w:trHeight w:val="804"/>
        </w:trPr>
        <w:tc>
          <w:tcPr>
            <w:tcW w:w="8234" w:type="dxa"/>
            <w:gridSpan w:val="19"/>
            <w:shd w:val="clear" w:color="auto" w:fill="ECECEC"/>
            <w:vAlign w:val="center"/>
          </w:tcPr>
          <w:p w14:paraId="62F7153F" w14:textId="1659846B" w:rsidR="00F617BE" w:rsidRPr="00AA19A8" w:rsidRDefault="00F617BE" w:rsidP="00F617BE">
            <w:pPr>
              <w:rPr>
                <w:rFonts w:ascii="Times New Roman" w:hAnsi="Times New Roman" w:cs="Times New Roman"/>
                <w:b/>
                <w:bCs/>
                <w:i/>
                <w:iCs/>
                <w:sz w:val="20"/>
                <w:szCs w:val="20"/>
                <w:lang w:val="sr-Cyrl-CS"/>
              </w:rPr>
            </w:pPr>
            <w:bookmarkStart w:id="34" w:name="_Toc73613668"/>
            <w:r w:rsidRPr="00AA19A8">
              <w:rPr>
                <w:rFonts w:ascii="Times New Roman" w:hAnsi="Times New Roman" w:cs="Times New Roman"/>
                <w:b/>
                <w:bCs/>
                <w:i/>
                <w:iCs/>
                <w:sz w:val="20"/>
                <w:szCs w:val="20"/>
                <w:lang w:val="sr-Cyrl-CS"/>
              </w:rPr>
              <w:t>Период спровођења: 2026-20</w:t>
            </w:r>
            <w:bookmarkEnd w:id="34"/>
            <w:r w:rsidRPr="00AA19A8">
              <w:rPr>
                <w:rFonts w:ascii="Times New Roman" w:hAnsi="Times New Roman" w:cs="Times New Roman"/>
                <w:b/>
                <w:bCs/>
                <w:i/>
                <w:iCs/>
                <w:sz w:val="20"/>
                <w:szCs w:val="20"/>
                <w:lang w:val="sr-Cyrl-CS"/>
              </w:rPr>
              <w:t>30</w:t>
            </w:r>
            <w:r w:rsidR="00713D3C" w:rsidRPr="00AA19A8">
              <w:rPr>
                <w:rFonts w:ascii="Times New Roman" w:hAnsi="Times New Roman" w:cs="Times New Roman"/>
                <w:b/>
                <w:bCs/>
                <w:i/>
                <w:iCs/>
                <w:sz w:val="20"/>
                <w:szCs w:val="20"/>
                <w:lang w:val="sr-Cyrl-CS"/>
              </w:rPr>
              <w:t>.</w:t>
            </w:r>
          </w:p>
        </w:tc>
        <w:tc>
          <w:tcPr>
            <w:tcW w:w="7642" w:type="dxa"/>
            <w:gridSpan w:val="56"/>
            <w:shd w:val="clear" w:color="auto" w:fill="ECECEC"/>
            <w:vAlign w:val="center"/>
          </w:tcPr>
          <w:p w14:paraId="3BF709B3" w14:textId="77777777" w:rsidR="00F617BE" w:rsidRPr="00AA19A8" w:rsidRDefault="00F617BE" w:rsidP="00F617BE">
            <w:pPr>
              <w:rPr>
                <w:rFonts w:ascii="Times New Roman" w:hAnsi="Times New Roman" w:cs="Times New Roman"/>
                <w:b/>
                <w:bCs/>
                <w:i/>
                <w:iCs/>
                <w:sz w:val="20"/>
                <w:szCs w:val="20"/>
                <w:lang w:val="sr-Cyrl-CS"/>
              </w:rPr>
            </w:pPr>
            <w:bookmarkStart w:id="35" w:name="_Toc73613669"/>
            <w:r w:rsidRPr="00AA19A8">
              <w:rPr>
                <w:rFonts w:ascii="Times New Roman" w:hAnsi="Times New Roman" w:cs="Times New Roman"/>
                <w:b/>
                <w:bCs/>
                <w:i/>
                <w:iCs/>
                <w:sz w:val="20"/>
                <w:szCs w:val="20"/>
                <w:lang w:val="sr-Cyrl-CS"/>
              </w:rPr>
              <w:t>Тип мере: Институционално управљачко организациона</w:t>
            </w:r>
            <w:bookmarkEnd w:id="35"/>
          </w:p>
        </w:tc>
      </w:tr>
      <w:tr w:rsidR="00D30238" w:rsidRPr="00AA19A8" w14:paraId="03569A96" w14:textId="77777777" w:rsidTr="006B65DC">
        <w:trPr>
          <w:cantSplit/>
          <w:trHeight w:val="1247"/>
        </w:trPr>
        <w:tc>
          <w:tcPr>
            <w:tcW w:w="2497" w:type="dxa"/>
            <w:gridSpan w:val="2"/>
            <w:shd w:val="clear" w:color="auto" w:fill="ECECEC"/>
            <w:vAlign w:val="center"/>
          </w:tcPr>
          <w:p w14:paraId="0687682F" w14:textId="23A9DBC1"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3102" w:type="dxa"/>
            <w:gridSpan w:val="10"/>
            <w:shd w:val="clear" w:color="auto" w:fill="ECECEC"/>
            <w:vAlign w:val="center"/>
          </w:tcPr>
          <w:p w14:paraId="13B47758"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35" w:type="dxa"/>
            <w:gridSpan w:val="7"/>
            <w:shd w:val="clear" w:color="auto" w:fill="ECECEC"/>
            <w:vAlign w:val="center"/>
          </w:tcPr>
          <w:p w14:paraId="0D531B27"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2" w:type="dxa"/>
            <w:gridSpan w:val="14"/>
            <w:shd w:val="clear" w:color="auto" w:fill="ECECEC"/>
            <w:vAlign w:val="center"/>
          </w:tcPr>
          <w:p w14:paraId="484552C7"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34" w:type="dxa"/>
            <w:gridSpan w:val="17"/>
            <w:shd w:val="clear" w:color="auto" w:fill="ECECEC"/>
            <w:vAlign w:val="center"/>
          </w:tcPr>
          <w:p w14:paraId="26856B32"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0" w:type="dxa"/>
            <w:gridSpan w:val="10"/>
            <w:shd w:val="clear" w:color="auto" w:fill="ECECEC"/>
            <w:vAlign w:val="center"/>
          </w:tcPr>
          <w:p w14:paraId="676E1AE7"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88" w:type="dxa"/>
            <w:gridSpan w:val="10"/>
            <w:shd w:val="clear" w:color="auto" w:fill="ECECEC"/>
            <w:vAlign w:val="center"/>
          </w:tcPr>
          <w:p w14:paraId="060B0389"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198" w:type="dxa"/>
            <w:gridSpan w:val="5"/>
            <w:shd w:val="clear" w:color="auto" w:fill="ECECEC"/>
            <w:vAlign w:val="center"/>
          </w:tcPr>
          <w:p w14:paraId="6F935CA8"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36C80D54" w14:textId="77777777" w:rsidTr="006B65DC">
        <w:trPr>
          <w:cantSplit/>
          <w:trHeight w:val="2835"/>
        </w:trPr>
        <w:tc>
          <w:tcPr>
            <w:tcW w:w="2497" w:type="dxa"/>
            <w:gridSpan w:val="2"/>
            <w:vAlign w:val="center"/>
          </w:tcPr>
          <w:p w14:paraId="2C75223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Учешће трошкова камата у БДП</w:t>
            </w:r>
          </w:p>
        </w:tc>
        <w:tc>
          <w:tcPr>
            <w:tcW w:w="3102" w:type="dxa"/>
            <w:gridSpan w:val="10"/>
            <w:vAlign w:val="center"/>
          </w:tcPr>
          <w:p w14:paraId="24AE7AE3" w14:textId="77777777" w:rsidR="00F617BE" w:rsidRPr="00AA19A8" w:rsidRDefault="00F617BE" w:rsidP="00145F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35" w:type="dxa"/>
            <w:gridSpan w:val="7"/>
            <w:vAlign w:val="center"/>
          </w:tcPr>
          <w:p w14:paraId="54AD2750" w14:textId="77777777" w:rsidR="00F617BE" w:rsidRPr="00AA19A8" w:rsidRDefault="00F617BE" w:rsidP="00145F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Годишњи извештај о раду Управе за јавни дуг</w:t>
            </w:r>
          </w:p>
        </w:tc>
        <w:tc>
          <w:tcPr>
            <w:tcW w:w="2152" w:type="dxa"/>
            <w:gridSpan w:val="14"/>
            <w:vAlign w:val="center"/>
          </w:tcPr>
          <w:p w14:paraId="11CA0188" w14:textId="77777777" w:rsidR="00F617BE" w:rsidRPr="00AA19A8" w:rsidRDefault="00F617BE" w:rsidP="00145F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w:t>
            </w:r>
          </w:p>
        </w:tc>
        <w:tc>
          <w:tcPr>
            <w:tcW w:w="2134" w:type="dxa"/>
            <w:gridSpan w:val="17"/>
            <w:vAlign w:val="center"/>
          </w:tcPr>
          <w:p w14:paraId="0DA96D3D" w14:textId="77777777" w:rsidR="00F617BE" w:rsidRPr="00AA19A8" w:rsidRDefault="00F617BE" w:rsidP="00145F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0" w:type="dxa"/>
            <w:gridSpan w:val="10"/>
            <w:vAlign w:val="center"/>
          </w:tcPr>
          <w:p w14:paraId="37D084CB" w14:textId="77777777" w:rsidR="00F617BE" w:rsidRPr="00AA19A8" w:rsidRDefault="00F617BE" w:rsidP="00145F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w:t>
            </w:r>
          </w:p>
        </w:tc>
        <w:tc>
          <w:tcPr>
            <w:tcW w:w="1088" w:type="dxa"/>
            <w:gridSpan w:val="10"/>
            <w:vAlign w:val="center"/>
          </w:tcPr>
          <w:p w14:paraId="55832C19" w14:textId="77777777" w:rsidR="00F617BE" w:rsidRPr="00AA19A8" w:rsidRDefault="00F617BE" w:rsidP="00145F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w:t>
            </w:r>
          </w:p>
        </w:tc>
        <w:tc>
          <w:tcPr>
            <w:tcW w:w="1198" w:type="dxa"/>
            <w:gridSpan w:val="5"/>
            <w:vAlign w:val="center"/>
          </w:tcPr>
          <w:p w14:paraId="243F9872" w14:textId="77777777" w:rsidR="00F617BE" w:rsidRPr="00AA19A8" w:rsidRDefault="00F617BE" w:rsidP="00145F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w:t>
            </w:r>
          </w:p>
        </w:tc>
      </w:tr>
      <w:tr w:rsidR="00D30238" w:rsidRPr="00AA19A8" w14:paraId="7BFCF826" w14:textId="77777777" w:rsidTr="006B65DC">
        <w:trPr>
          <w:cantSplit/>
          <w:trHeight w:val="624"/>
        </w:trPr>
        <w:tc>
          <w:tcPr>
            <w:tcW w:w="2497" w:type="dxa"/>
            <w:gridSpan w:val="2"/>
            <w:vMerge w:val="restart"/>
            <w:shd w:val="clear" w:color="auto" w:fill="ECECEC"/>
            <w:vAlign w:val="center"/>
          </w:tcPr>
          <w:p w14:paraId="33B42708"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31" w:type="dxa"/>
            <w:gridSpan w:val="5"/>
            <w:vMerge w:val="restart"/>
            <w:shd w:val="clear" w:color="auto" w:fill="ECECEC"/>
            <w:vAlign w:val="center"/>
          </w:tcPr>
          <w:p w14:paraId="214A3DBE"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71" w:type="dxa"/>
            <w:gridSpan w:val="5"/>
            <w:vMerge w:val="restart"/>
            <w:shd w:val="clear" w:color="auto" w:fill="ECECEC"/>
            <w:vAlign w:val="center"/>
          </w:tcPr>
          <w:p w14:paraId="382F61B7"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35" w:type="dxa"/>
            <w:gridSpan w:val="7"/>
            <w:vMerge w:val="restart"/>
            <w:shd w:val="clear" w:color="auto" w:fill="ECECEC"/>
            <w:vAlign w:val="center"/>
          </w:tcPr>
          <w:p w14:paraId="0CC46C18"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642" w:type="dxa"/>
            <w:gridSpan w:val="56"/>
            <w:shd w:val="clear" w:color="auto" w:fill="ECECEC"/>
            <w:vAlign w:val="center"/>
          </w:tcPr>
          <w:p w14:paraId="66739A8D"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5B9C471B" w14:textId="77777777" w:rsidTr="006B65DC">
        <w:trPr>
          <w:cantSplit/>
          <w:trHeight w:val="1247"/>
        </w:trPr>
        <w:tc>
          <w:tcPr>
            <w:tcW w:w="2497" w:type="dxa"/>
            <w:gridSpan w:val="2"/>
            <w:vMerge/>
            <w:shd w:val="clear" w:color="auto" w:fill="ECECEC"/>
            <w:vAlign w:val="center"/>
          </w:tcPr>
          <w:p w14:paraId="32C8BD58" w14:textId="77777777" w:rsidR="00F617BE" w:rsidRPr="00AA19A8" w:rsidRDefault="00F617BE" w:rsidP="00F617BE">
            <w:pPr>
              <w:rPr>
                <w:rFonts w:ascii="Times New Roman" w:hAnsi="Times New Roman" w:cs="Times New Roman"/>
                <w:sz w:val="20"/>
                <w:szCs w:val="20"/>
                <w:lang w:val="sr-Cyrl-CS"/>
              </w:rPr>
            </w:pPr>
          </w:p>
        </w:tc>
        <w:tc>
          <w:tcPr>
            <w:tcW w:w="1531" w:type="dxa"/>
            <w:gridSpan w:val="5"/>
            <w:vMerge/>
            <w:shd w:val="clear" w:color="auto" w:fill="ECECEC"/>
            <w:vAlign w:val="center"/>
          </w:tcPr>
          <w:p w14:paraId="5A14B667" w14:textId="77777777" w:rsidR="00F617BE" w:rsidRPr="00AA19A8" w:rsidRDefault="00F617BE" w:rsidP="00145F9A">
            <w:pPr>
              <w:jc w:val="center"/>
              <w:rPr>
                <w:rFonts w:ascii="Times New Roman" w:hAnsi="Times New Roman" w:cs="Times New Roman"/>
                <w:b/>
                <w:bCs/>
                <w:sz w:val="20"/>
                <w:szCs w:val="20"/>
                <w:lang w:val="sr-Cyrl-CS"/>
              </w:rPr>
            </w:pPr>
          </w:p>
        </w:tc>
        <w:tc>
          <w:tcPr>
            <w:tcW w:w="1571" w:type="dxa"/>
            <w:gridSpan w:val="5"/>
            <w:vMerge/>
            <w:shd w:val="clear" w:color="auto" w:fill="ECECEC"/>
            <w:vAlign w:val="center"/>
          </w:tcPr>
          <w:p w14:paraId="67A67AA9" w14:textId="77777777" w:rsidR="00F617BE" w:rsidRPr="00AA19A8" w:rsidRDefault="00F617BE" w:rsidP="00145F9A">
            <w:pPr>
              <w:jc w:val="center"/>
              <w:rPr>
                <w:rFonts w:ascii="Times New Roman" w:hAnsi="Times New Roman" w:cs="Times New Roman"/>
                <w:b/>
                <w:bCs/>
                <w:sz w:val="20"/>
                <w:szCs w:val="20"/>
                <w:lang w:val="sr-Cyrl-CS"/>
              </w:rPr>
            </w:pPr>
          </w:p>
        </w:tc>
        <w:tc>
          <w:tcPr>
            <w:tcW w:w="2635" w:type="dxa"/>
            <w:gridSpan w:val="7"/>
            <w:vMerge/>
            <w:shd w:val="clear" w:color="auto" w:fill="ECECEC"/>
            <w:vAlign w:val="center"/>
          </w:tcPr>
          <w:p w14:paraId="78BC9F26" w14:textId="77777777" w:rsidR="00F617BE" w:rsidRPr="00AA19A8" w:rsidRDefault="00F617BE" w:rsidP="00145F9A">
            <w:pPr>
              <w:jc w:val="center"/>
              <w:rPr>
                <w:rFonts w:ascii="Times New Roman" w:hAnsi="Times New Roman" w:cs="Times New Roman"/>
                <w:b/>
                <w:bCs/>
                <w:sz w:val="20"/>
                <w:szCs w:val="20"/>
                <w:lang w:val="sr-Cyrl-CS"/>
              </w:rPr>
            </w:pPr>
          </w:p>
        </w:tc>
        <w:tc>
          <w:tcPr>
            <w:tcW w:w="2152" w:type="dxa"/>
            <w:gridSpan w:val="14"/>
            <w:shd w:val="clear" w:color="auto" w:fill="ECECEC"/>
            <w:vAlign w:val="center"/>
          </w:tcPr>
          <w:p w14:paraId="77327B5F"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34" w:type="dxa"/>
            <w:gridSpan w:val="17"/>
            <w:shd w:val="clear" w:color="auto" w:fill="ECECEC"/>
            <w:vAlign w:val="center"/>
          </w:tcPr>
          <w:p w14:paraId="66B3F467"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0" w:type="dxa"/>
            <w:gridSpan w:val="10"/>
            <w:shd w:val="clear" w:color="auto" w:fill="ECECEC"/>
            <w:vAlign w:val="center"/>
          </w:tcPr>
          <w:p w14:paraId="20B40E3A"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88" w:type="dxa"/>
            <w:gridSpan w:val="10"/>
            <w:shd w:val="clear" w:color="auto" w:fill="ECECEC"/>
            <w:vAlign w:val="center"/>
          </w:tcPr>
          <w:p w14:paraId="369295BF"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198" w:type="dxa"/>
            <w:gridSpan w:val="5"/>
            <w:shd w:val="clear" w:color="auto" w:fill="ECECEC"/>
            <w:vAlign w:val="center"/>
          </w:tcPr>
          <w:p w14:paraId="30878F96" w14:textId="77777777" w:rsidR="00F617BE" w:rsidRPr="00AA19A8" w:rsidRDefault="00F617BE" w:rsidP="00145F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5D997A71" w14:textId="77777777" w:rsidTr="006B65DC">
        <w:trPr>
          <w:cantSplit/>
          <w:trHeight w:val="1871"/>
        </w:trPr>
        <w:tc>
          <w:tcPr>
            <w:tcW w:w="2497" w:type="dxa"/>
            <w:gridSpan w:val="2"/>
            <w:vAlign w:val="center"/>
          </w:tcPr>
          <w:p w14:paraId="1560B9F1"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2.4.1 Проширивање обухвата извештавања (јединица) развојем и применом Информационог система за подношење финансијских извештаја</w:t>
            </w:r>
          </w:p>
        </w:tc>
        <w:tc>
          <w:tcPr>
            <w:tcW w:w="1531" w:type="dxa"/>
            <w:gridSpan w:val="5"/>
            <w:vAlign w:val="center"/>
          </w:tcPr>
          <w:p w14:paraId="3ACA11F1"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71" w:type="dxa"/>
            <w:gridSpan w:val="5"/>
            <w:vAlign w:val="center"/>
          </w:tcPr>
          <w:p w14:paraId="751F17A6"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јавни дуг</w:t>
            </w:r>
          </w:p>
        </w:tc>
        <w:tc>
          <w:tcPr>
            <w:tcW w:w="2635" w:type="dxa"/>
            <w:gridSpan w:val="7"/>
            <w:vAlign w:val="center"/>
          </w:tcPr>
          <w:p w14:paraId="44DB37FC"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2" w:type="dxa"/>
            <w:gridSpan w:val="14"/>
            <w:vAlign w:val="center"/>
          </w:tcPr>
          <w:p w14:paraId="28FFA1FA"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Буџет/редовна издвајања</w:t>
            </w:r>
          </w:p>
        </w:tc>
        <w:tc>
          <w:tcPr>
            <w:tcW w:w="2134" w:type="dxa"/>
            <w:gridSpan w:val="17"/>
            <w:vAlign w:val="center"/>
          </w:tcPr>
          <w:p w14:paraId="71F5CF15"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2201</w:t>
            </w:r>
          </w:p>
        </w:tc>
        <w:tc>
          <w:tcPr>
            <w:tcW w:w="1070" w:type="dxa"/>
            <w:gridSpan w:val="10"/>
            <w:vAlign w:val="center"/>
          </w:tcPr>
          <w:p w14:paraId="7E163B9B"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8" w:type="dxa"/>
            <w:gridSpan w:val="10"/>
            <w:vAlign w:val="center"/>
          </w:tcPr>
          <w:p w14:paraId="35F9A790"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198" w:type="dxa"/>
            <w:gridSpan w:val="5"/>
            <w:vAlign w:val="center"/>
          </w:tcPr>
          <w:p w14:paraId="459E1BB3"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30A6B49" w14:textId="77777777" w:rsidTr="006B65DC">
        <w:trPr>
          <w:cantSplit/>
          <w:trHeight w:val="1247"/>
        </w:trPr>
        <w:tc>
          <w:tcPr>
            <w:tcW w:w="2497" w:type="dxa"/>
            <w:gridSpan w:val="2"/>
            <w:vAlign w:val="center"/>
          </w:tcPr>
          <w:p w14:paraId="63FB27C7"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2.4.2 Емитовање зелених/одрживих еврообвезница на међународном тржишту</w:t>
            </w:r>
          </w:p>
        </w:tc>
        <w:tc>
          <w:tcPr>
            <w:tcW w:w="1531" w:type="dxa"/>
            <w:gridSpan w:val="5"/>
            <w:vAlign w:val="center"/>
          </w:tcPr>
          <w:p w14:paraId="3531D842" w14:textId="3AD3C888"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w:t>
            </w:r>
            <w:r w:rsidR="00320DEC" w:rsidRPr="00AA19A8">
              <w:rPr>
                <w:rFonts w:ascii="Times New Roman" w:hAnsi="Times New Roman" w:cs="Times New Roman"/>
                <w:sz w:val="20"/>
                <w:szCs w:val="20"/>
                <w:lang w:val="sr-Cyrl-CS"/>
              </w:rPr>
              <w:t>2</w:t>
            </w:r>
            <w:r w:rsidRPr="00AA19A8">
              <w:rPr>
                <w:rFonts w:ascii="Times New Roman" w:hAnsi="Times New Roman" w:cs="Times New Roman"/>
                <w:sz w:val="20"/>
                <w:szCs w:val="20"/>
                <w:lang w:val="sr-Cyrl-CS"/>
              </w:rPr>
              <w:t xml:space="preserve"> 202</w:t>
            </w:r>
            <w:r w:rsidR="00320DEC" w:rsidRPr="00AA19A8">
              <w:rPr>
                <w:rFonts w:ascii="Times New Roman" w:hAnsi="Times New Roman" w:cs="Times New Roman"/>
                <w:sz w:val="20"/>
                <w:szCs w:val="20"/>
                <w:lang w:val="sr-Cyrl-CS"/>
              </w:rPr>
              <w:t>6</w:t>
            </w:r>
          </w:p>
        </w:tc>
        <w:tc>
          <w:tcPr>
            <w:tcW w:w="1571" w:type="dxa"/>
            <w:gridSpan w:val="5"/>
            <w:vAlign w:val="center"/>
          </w:tcPr>
          <w:p w14:paraId="54422315"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јавни дуг</w:t>
            </w:r>
          </w:p>
        </w:tc>
        <w:tc>
          <w:tcPr>
            <w:tcW w:w="2635" w:type="dxa"/>
            <w:gridSpan w:val="7"/>
            <w:vAlign w:val="center"/>
          </w:tcPr>
          <w:p w14:paraId="0848C4EF"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2" w:type="dxa"/>
            <w:gridSpan w:val="14"/>
            <w:vAlign w:val="center"/>
          </w:tcPr>
          <w:p w14:paraId="6AB7B24E"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br/>
              <w:t>Буџет РС* (Буџет је непознат и зависиће од обима емисије који још увек није утврђен)</w:t>
            </w:r>
          </w:p>
          <w:p w14:paraId="24403DFE" w14:textId="77777777" w:rsidR="00F617BE" w:rsidRPr="00AA19A8" w:rsidRDefault="00F617BE" w:rsidP="009C1F26">
            <w:pPr>
              <w:jc w:val="center"/>
              <w:rPr>
                <w:rFonts w:ascii="Times New Roman" w:hAnsi="Times New Roman" w:cs="Times New Roman"/>
                <w:sz w:val="20"/>
                <w:szCs w:val="20"/>
                <w:lang w:val="sr-Cyrl-CS"/>
              </w:rPr>
            </w:pPr>
          </w:p>
        </w:tc>
        <w:tc>
          <w:tcPr>
            <w:tcW w:w="2134" w:type="dxa"/>
            <w:gridSpan w:val="17"/>
            <w:vAlign w:val="center"/>
          </w:tcPr>
          <w:p w14:paraId="4F970314"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2201-0004</w:t>
            </w:r>
          </w:p>
        </w:tc>
        <w:tc>
          <w:tcPr>
            <w:tcW w:w="1070" w:type="dxa"/>
            <w:gridSpan w:val="10"/>
            <w:vAlign w:val="center"/>
          </w:tcPr>
          <w:p w14:paraId="6F5DECE1"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8" w:type="dxa"/>
            <w:gridSpan w:val="10"/>
            <w:vAlign w:val="center"/>
          </w:tcPr>
          <w:p w14:paraId="0155730C"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198" w:type="dxa"/>
            <w:gridSpan w:val="5"/>
            <w:vAlign w:val="center"/>
          </w:tcPr>
          <w:p w14:paraId="462B37D9"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3F0CD36" w14:textId="77777777" w:rsidTr="006B65DC">
        <w:trPr>
          <w:cantSplit/>
          <w:trHeight w:val="1871"/>
        </w:trPr>
        <w:tc>
          <w:tcPr>
            <w:tcW w:w="2497" w:type="dxa"/>
            <w:gridSpan w:val="2"/>
            <w:vAlign w:val="center"/>
          </w:tcPr>
          <w:p w14:paraId="41C27A3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2.4.3 Емитовање зелених/одрживих државних обвезница на домаћем тржишту</w:t>
            </w:r>
          </w:p>
        </w:tc>
        <w:tc>
          <w:tcPr>
            <w:tcW w:w="1531" w:type="dxa"/>
            <w:gridSpan w:val="5"/>
            <w:vAlign w:val="center"/>
          </w:tcPr>
          <w:p w14:paraId="5CD7F171"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71" w:type="dxa"/>
            <w:gridSpan w:val="5"/>
            <w:vAlign w:val="center"/>
          </w:tcPr>
          <w:p w14:paraId="63565BE2"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јавни дуг</w:t>
            </w:r>
          </w:p>
        </w:tc>
        <w:tc>
          <w:tcPr>
            <w:tcW w:w="2635" w:type="dxa"/>
            <w:gridSpan w:val="7"/>
            <w:vAlign w:val="center"/>
          </w:tcPr>
          <w:p w14:paraId="030FD328"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2" w:type="dxa"/>
            <w:gridSpan w:val="14"/>
            <w:vAlign w:val="center"/>
          </w:tcPr>
          <w:p w14:paraId="11246825"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 (Буџет је непознат и зависиће од обима емисије који још увек није утврђен)</w:t>
            </w:r>
          </w:p>
        </w:tc>
        <w:tc>
          <w:tcPr>
            <w:tcW w:w="2134" w:type="dxa"/>
            <w:gridSpan w:val="17"/>
            <w:vAlign w:val="center"/>
          </w:tcPr>
          <w:p w14:paraId="3CBC1947"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2201-0004</w:t>
            </w:r>
          </w:p>
        </w:tc>
        <w:tc>
          <w:tcPr>
            <w:tcW w:w="1070" w:type="dxa"/>
            <w:gridSpan w:val="10"/>
            <w:vAlign w:val="center"/>
          </w:tcPr>
          <w:p w14:paraId="17228E5D"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8" w:type="dxa"/>
            <w:gridSpan w:val="10"/>
            <w:vAlign w:val="center"/>
          </w:tcPr>
          <w:p w14:paraId="23BC49E6"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198" w:type="dxa"/>
            <w:gridSpan w:val="5"/>
            <w:vAlign w:val="center"/>
          </w:tcPr>
          <w:p w14:paraId="096BB44E"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6F426654" w14:textId="77777777" w:rsidTr="006B65DC">
        <w:trPr>
          <w:cantSplit/>
          <w:trHeight w:val="1871"/>
        </w:trPr>
        <w:tc>
          <w:tcPr>
            <w:tcW w:w="2497" w:type="dxa"/>
            <w:gridSpan w:val="2"/>
            <w:vAlign w:val="center"/>
          </w:tcPr>
          <w:p w14:paraId="47FD3EE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2.4.4 Унапређење извештавања применом алата пословне интелигенције у постојећем информационом систему (PDMS)</w:t>
            </w:r>
          </w:p>
        </w:tc>
        <w:tc>
          <w:tcPr>
            <w:tcW w:w="1531" w:type="dxa"/>
            <w:gridSpan w:val="5"/>
            <w:vAlign w:val="center"/>
          </w:tcPr>
          <w:p w14:paraId="5963C750"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71" w:type="dxa"/>
            <w:gridSpan w:val="5"/>
            <w:vAlign w:val="center"/>
          </w:tcPr>
          <w:p w14:paraId="63E23143"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јавни дуг</w:t>
            </w:r>
          </w:p>
        </w:tc>
        <w:tc>
          <w:tcPr>
            <w:tcW w:w="2635" w:type="dxa"/>
            <w:gridSpan w:val="7"/>
            <w:vAlign w:val="center"/>
          </w:tcPr>
          <w:p w14:paraId="7788B213"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2" w:type="dxa"/>
            <w:gridSpan w:val="14"/>
            <w:vAlign w:val="center"/>
          </w:tcPr>
          <w:p w14:paraId="522481D5"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34" w:type="dxa"/>
            <w:gridSpan w:val="17"/>
            <w:vAlign w:val="center"/>
          </w:tcPr>
          <w:p w14:paraId="5D9596D4" w14:textId="77777777" w:rsidR="00F617BE" w:rsidRPr="00AA19A8" w:rsidRDefault="00F617BE" w:rsidP="009C1F26">
            <w:pPr>
              <w:jc w:val="center"/>
              <w:rPr>
                <w:rFonts w:ascii="Times New Roman" w:hAnsi="Times New Roman" w:cs="Times New Roman"/>
                <w:sz w:val="20"/>
                <w:szCs w:val="20"/>
                <w:lang w:val="sr-Cyrl-CS"/>
              </w:rPr>
            </w:pPr>
          </w:p>
        </w:tc>
        <w:tc>
          <w:tcPr>
            <w:tcW w:w="1070" w:type="dxa"/>
            <w:gridSpan w:val="10"/>
            <w:vAlign w:val="center"/>
          </w:tcPr>
          <w:p w14:paraId="4EC823AC"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8" w:type="dxa"/>
            <w:gridSpan w:val="10"/>
            <w:vAlign w:val="center"/>
          </w:tcPr>
          <w:p w14:paraId="6F0D6376"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198" w:type="dxa"/>
            <w:gridSpan w:val="5"/>
            <w:vAlign w:val="center"/>
          </w:tcPr>
          <w:p w14:paraId="6FAD87DF" w14:textId="77777777" w:rsidR="00F617BE" w:rsidRPr="00AA19A8" w:rsidRDefault="00F617BE" w:rsidP="009C1F2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15.000*</w:t>
            </w:r>
          </w:p>
        </w:tc>
      </w:tr>
      <w:tr w:rsidR="00D30238" w:rsidRPr="00AA19A8" w14:paraId="3606282F" w14:textId="77777777" w:rsidTr="00BA7E6D">
        <w:trPr>
          <w:cantSplit/>
          <w:trHeight w:val="804"/>
        </w:trPr>
        <w:tc>
          <w:tcPr>
            <w:tcW w:w="15876" w:type="dxa"/>
            <w:gridSpan w:val="75"/>
            <w:shd w:val="clear" w:color="auto" w:fill="ECECEC"/>
            <w:vAlign w:val="center"/>
          </w:tcPr>
          <w:p w14:paraId="615C8925" w14:textId="77777777" w:rsidR="00F617BE" w:rsidRPr="00AA19A8" w:rsidRDefault="00F617BE" w:rsidP="00F617BE">
            <w:pPr>
              <w:rPr>
                <w:rFonts w:ascii="Times New Roman" w:hAnsi="Times New Roman" w:cs="Times New Roman"/>
                <w:b/>
                <w:bCs/>
                <w:i/>
                <w:iCs/>
                <w:sz w:val="20"/>
                <w:szCs w:val="20"/>
                <w:lang w:val="sr-Cyrl-CS"/>
              </w:rPr>
            </w:pPr>
            <w:bookmarkStart w:id="36" w:name="_Toc73613670"/>
            <w:r w:rsidRPr="00AA19A8">
              <w:rPr>
                <w:rFonts w:ascii="Times New Roman" w:hAnsi="Times New Roman" w:cs="Times New Roman"/>
                <w:b/>
                <w:bCs/>
                <w:i/>
                <w:iCs/>
                <w:sz w:val="20"/>
                <w:szCs w:val="20"/>
                <w:lang w:val="sr-Cyrl-CS"/>
              </w:rPr>
              <w:t>Мера 2.5: Јачање капацитета службеника за јавне набавке</w:t>
            </w:r>
            <w:bookmarkEnd w:id="36"/>
          </w:p>
        </w:tc>
      </w:tr>
      <w:tr w:rsidR="00D30238" w:rsidRPr="00AA19A8" w14:paraId="29C83D26" w14:textId="77777777" w:rsidTr="006B65DC">
        <w:trPr>
          <w:cantSplit/>
          <w:trHeight w:val="804"/>
        </w:trPr>
        <w:tc>
          <w:tcPr>
            <w:tcW w:w="2497" w:type="dxa"/>
            <w:gridSpan w:val="2"/>
            <w:shd w:val="clear" w:color="auto" w:fill="ECECEC"/>
            <w:vAlign w:val="center"/>
          </w:tcPr>
          <w:p w14:paraId="25406173"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02" w:type="dxa"/>
            <w:gridSpan w:val="10"/>
            <w:shd w:val="clear" w:color="auto" w:fill="ECECEC"/>
            <w:vAlign w:val="center"/>
          </w:tcPr>
          <w:p w14:paraId="31E75278" w14:textId="77777777" w:rsidR="00F617BE" w:rsidRPr="00AA19A8" w:rsidRDefault="00F617BE" w:rsidP="00DA1E2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77" w:type="dxa"/>
            <w:gridSpan w:val="63"/>
            <w:shd w:val="clear" w:color="auto" w:fill="ECECEC"/>
            <w:vAlign w:val="center"/>
          </w:tcPr>
          <w:p w14:paraId="12538955" w14:textId="77777777" w:rsidR="00F617BE" w:rsidRPr="00AA19A8" w:rsidRDefault="00F617BE" w:rsidP="00DA1E2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66E03AA1" w14:textId="77777777" w:rsidTr="006B65DC">
        <w:trPr>
          <w:cantSplit/>
          <w:trHeight w:val="804"/>
        </w:trPr>
        <w:tc>
          <w:tcPr>
            <w:tcW w:w="2497" w:type="dxa"/>
            <w:gridSpan w:val="2"/>
            <w:shd w:val="clear" w:color="auto" w:fill="ECECEC"/>
            <w:vAlign w:val="center"/>
          </w:tcPr>
          <w:p w14:paraId="01DEA849"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Донаторска средства</w:t>
            </w:r>
          </w:p>
        </w:tc>
        <w:tc>
          <w:tcPr>
            <w:tcW w:w="3102" w:type="dxa"/>
            <w:gridSpan w:val="10"/>
            <w:shd w:val="clear" w:color="auto" w:fill="ECECEC"/>
            <w:vAlign w:val="center"/>
          </w:tcPr>
          <w:p w14:paraId="55EAA4F3" w14:textId="77777777" w:rsidR="00F617BE" w:rsidRPr="00AA19A8" w:rsidRDefault="00F617BE" w:rsidP="00DA1E2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w:t>
            </w:r>
          </w:p>
        </w:tc>
        <w:tc>
          <w:tcPr>
            <w:tcW w:w="3341" w:type="dxa"/>
            <w:gridSpan w:val="12"/>
            <w:shd w:val="clear" w:color="auto" w:fill="ECECEC"/>
            <w:vAlign w:val="center"/>
          </w:tcPr>
          <w:p w14:paraId="25C6F378" w14:textId="77777777" w:rsidR="00F617BE" w:rsidRPr="00AA19A8" w:rsidRDefault="00F617BE" w:rsidP="00DA1E2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3.120</w:t>
            </w:r>
          </w:p>
        </w:tc>
        <w:tc>
          <w:tcPr>
            <w:tcW w:w="3365" w:type="dxa"/>
            <w:gridSpan w:val="21"/>
            <w:shd w:val="clear" w:color="auto" w:fill="ECECEC"/>
            <w:vAlign w:val="center"/>
          </w:tcPr>
          <w:p w14:paraId="5C77105E" w14:textId="77777777" w:rsidR="00F617BE" w:rsidRPr="00AA19A8" w:rsidRDefault="00F617BE" w:rsidP="00DA1E2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3.120</w:t>
            </w:r>
          </w:p>
        </w:tc>
        <w:tc>
          <w:tcPr>
            <w:tcW w:w="3571" w:type="dxa"/>
            <w:gridSpan w:val="30"/>
            <w:shd w:val="clear" w:color="auto" w:fill="ECECEC"/>
            <w:vAlign w:val="center"/>
          </w:tcPr>
          <w:p w14:paraId="5EBBD4D1" w14:textId="77777777" w:rsidR="00F617BE" w:rsidRPr="00AA19A8" w:rsidRDefault="00F617BE" w:rsidP="00DA1E2A">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3.120</w:t>
            </w:r>
          </w:p>
        </w:tc>
      </w:tr>
      <w:tr w:rsidR="00D30238" w:rsidRPr="00AA19A8" w14:paraId="0C3BBBEA" w14:textId="77777777" w:rsidTr="00BA7E6D">
        <w:trPr>
          <w:cantSplit/>
          <w:trHeight w:val="804"/>
        </w:trPr>
        <w:tc>
          <w:tcPr>
            <w:tcW w:w="15876" w:type="dxa"/>
            <w:gridSpan w:val="75"/>
            <w:shd w:val="clear" w:color="auto" w:fill="ECECEC"/>
            <w:vAlign w:val="center"/>
          </w:tcPr>
          <w:p w14:paraId="4336111F" w14:textId="77777777" w:rsidR="00F617BE" w:rsidRPr="00AA19A8" w:rsidRDefault="00F617BE" w:rsidP="00F617BE">
            <w:pPr>
              <w:rPr>
                <w:rFonts w:ascii="Times New Roman" w:hAnsi="Times New Roman" w:cs="Times New Roman"/>
                <w:b/>
                <w:bCs/>
                <w:i/>
                <w:iCs/>
                <w:sz w:val="20"/>
                <w:szCs w:val="20"/>
                <w:lang w:val="sr-Cyrl-CS"/>
              </w:rPr>
            </w:pPr>
            <w:bookmarkStart w:id="37" w:name="_Toc73613671"/>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Канцеларија за јавне набавке</w:t>
            </w:r>
            <w:bookmarkEnd w:id="37"/>
          </w:p>
        </w:tc>
      </w:tr>
      <w:tr w:rsidR="00D30238" w:rsidRPr="00AA19A8" w14:paraId="7B2002E3" w14:textId="77777777" w:rsidTr="006B65DC">
        <w:trPr>
          <w:cantSplit/>
          <w:trHeight w:val="804"/>
        </w:trPr>
        <w:tc>
          <w:tcPr>
            <w:tcW w:w="8234" w:type="dxa"/>
            <w:gridSpan w:val="19"/>
            <w:shd w:val="clear" w:color="auto" w:fill="ECECEC"/>
            <w:vAlign w:val="center"/>
          </w:tcPr>
          <w:p w14:paraId="6AA4B7D4" w14:textId="0C2B4B3F" w:rsidR="00F617BE" w:rsidRPr="00AA19A8" w:rsidRDefault="00F617BE" w:rsidP="00F617BE">
            <w:pPr>
              <w:rPr>
                <w:rFonts w:ascii="Times New Roman" w:hAnsi="Times New Roman" w:cs="Times New Roman"/>
                <w:b/>
                <w:bCs/>
                <w:i/>
                <w:iCs/>
                <w:sz w:val="20"/>
                <w:szCs w:val="20"/>
                <w:lang w:val="sr-Cyrl-CS"/>
              </w:rPr>
            </w:pPr>
            <w:bookmarkStart w:id="38" w:name="_Toc73613672"/>
            <w:r w:rsidRPr="00AA19A8">
              <w:rPr>
                <w:rFonts w:ascii="Times New Roman" w:hAnsi="Times New Roman" w:cs="Times New Roman"/>
                <w:b/>
                <w:bCs/>
                <w:i/>
                <w:iCs/>
                <w:sz w:val="20"/>
                <w:szCs w:val="20"/>
                <w:lang w:val="sr-Cyrl-CS"/>
              </w:rPr>
              <w:t>Период спровођења: 2026-20</w:t>
            </w:r>
            <w:bookmarkEnd w:id="38"/>
            <w:r w:rsidRPr="00AA19A8">
              <w:rPr>
                <w:rFonts w:ascii="Times New Roman" w:hAnsi="Times New Roman" w:cs="Times New Roman"/>
                <w:b/>
                <w:bCs/>
                <w:i/>
                <w:iCs/>
                <w:sz w:val="20"/>
                <w:szCs w:val="20"/>
                <w:lang w:val="sr-Cyrl-CS"/>
              </w:rPr>
              <w:t>30</w:t>
            </w:r>
            <w:r w:rsidR="00713D3C" w:rsidRPr="00AA19A8">
              <w:rPr>
                <w:rFonts w:ascii="Times New Roman" w:hAnsi="Times New Roman" w:cs="Times New Roman"/>
                <w:b/>
                <w:bCs/>
                <w:i/>
                <w:iCs/>
                <w:sz w:val="20"/>
                <w:szCs w:val="20"/>
                <w:lang w:val="sr-Cyrl-CS"/>
              </w:rPr>
              <w:t>.</w:t>
            </w:r>
          </w:p>
        </w:tc>
        <w:tc>
          <w:tcPr>
            <w:tcW w:w="7642" w:type="dxa"/>
            <w:gridSpan w:val="56"/>
            <w:shd w:val="clear" w:color="auto" w:fill="ECECEC"/>
            <w:vAlign w:val="center"/>
          </w:tcPr>
          <w:p w14:paraId="4C2D2638" w14:textId="77777777" w:rsidR="00F617BE" w:rsidRPr="00AA19A8" w:rsidRDefault="00F617BE" w:rsidP="00F617BE">
            <w:pPr>
              <w:rPr>
                <w:rFonts w:ascii="Times New Roman" w:hAnsi="Times New Roman" w:cs="Times New Roman"/>
                <w:b/>
                <w:bCs/>
                <w:i/>
                <w:iCs/>
                <w:sz w:val="20"/>
                <w:szCs w:val="20"/>
                <w:lang w:val="sr-Cyrl-CS"/>
              </w:rPr>
            </w:pPr>
            <w:bookmarkStart w:id="39" w:name="_Toc73613673"/>
            <w:r w:rsidRPr="00AA19A8">
              <w:rPr>
                <w:rFonts w:ascii="Times New Roman" w:hAnsi="Times New Roman" w:cs="Times New Roman"/>
                <w:b/>
                <w:bCs/>
                <w:i/>
                <w:iCs/>
                <w:sz w:val="20"/>
                <w:szCs w:val="20"/>
                <w:lang w:val="sr-Cyrl-CS"/>
              </w:rPr>
              <w:t>Тип мере: Институционално управљачко организациона</w:t>
            </w:r>
            <w:bookmarkEnd w:id="39"/>
          </w:p>
        </w:tc>
      </w:tr>
      <w:tr w:rsidR="00D30238" w:rsidRPr="00AA19A8" w14:paraId="329135C3" w14:textId="77777777" w:rsidTr="006B65DC">
        <w:trPr>
          <w:cantSplit/>
          <w:trHeight w:val="1253"/>
        </w:trPr>
        <w:tc>
          <w:tcPr>
            <w:tcW w:w="2497" w:type="dxa"/>
            <w:gridSpan w:val="2"/>
            <w:shd w:val="clear" w:color="auto" w:fill="ECECEC"/>
            <w:vAlign w:val="center"/>
          </w:tcPr>
          <w:p w14:paraId="161BC8C9" w14:textId="73E51D25"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3102" w:type="dxa"/>
            <w:gridSpan w:val="10"/>
            <w:shd w:val="clear" w:color="auto" w:fill="ECECEC"/>
            <w:vAlign w:val="center"/>
          </w:tcPr>
          <w:p w14:paraId="42F2867C"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35" w:type="dxa"/>
            <w:gridSpan w:val="7"/>
            <w:shd w:val="clear" w:color="auto" w:fill="ECECEC"/>
            <w:vAlign w:val="center"/>
          </w:tcPr>
          <w:p w14:paraId="6D1E171D"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2" w:type="dxa"/>
            <w:gridSpan w:val="14"/>
            <w:shd w:val="clear" w:color="auto" w:fill="ECECEC"/>
            <w:vAlign w:val="center"/>
          </w:tcPr>
          <w:p w14:paraId="3669AC18"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34" w:type="dxa"/>
            <w:gridSpan w:val="17"/>
            <w:shd w:val="clear" w:color="auto" w:fill="ECECEC"/>
            <w:vAlign w:val="center"/>
          </w:tcPr>
          <w:p w14:paraId="0EFBF89A"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0" w:type="dxa"/>
            <w:gridSpan w:val="10"/>
            <w:shd w:val="clear" w:color="auto" w:fill="ECECEC"/>
            <w:vAlign w:val="center"/>
          </w:tcPr>
          <w:p w14:paraId="737CE44A"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088" w:type="dxa"/>
            <w:gridSpan w:val="10"/>
            <w:shd w:val="clear" w:color="auto" w:fill="ECECEC"/>
            <w:vAlign w:val="center"/>
          </w:tcPr>
          <w:p w14:paraId="194EDB81"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1198" w:type="dxa"/>
            <w:gridSpan w:val="5"/>
            <w:shd w:val="clear" w:color="auto" w:fill="ECECEC"/>
            <w:vAlign w:val="center"/>
          </w:tcPr>
          <w:p w14:paraId="014797A5"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3FB31A8F" w14:textId="77777777" w:rsidTr="006B65DC">
        <w:trPr>
          <w:cantSplit/>
          <w:trHeight w:val="1253"/>
        </w:trPr>
        <w:tc>
          <w:tcPr>
            <w:tcW w:w="2497" w:type="dxa"/>
            <w:gridSpan w:val="2"/>
            <w:vAlign w:val="center"/>
          </w:tcPr>
          <w:p w14:paraId="07C842C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Број сертификованих службеника за јавне набавке</w:t>
            </w:r>
          </w:p>
        </w:tc>
        <w:tc>
          <w:tcPr>
            <w:tcW w:w="3102" w:type="dxa"/>
            <w:gridSpan w:val="10"/>
            <w:vAlign w:val="center"/>
          </w:tcPr>
          <w:p w14:paraId="28B5749D"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w:t>
            </w:r>
          </w:p>
        </w:tc>
        <w:tc>
          <w:tcPr>
            <w:tcW w:w="2635" w:type="dxa"/>
            <w:gridSpan w:val="7"/>
            <w:vAlign w:val="center"/>
          </w:tcPr>
          <w:p w14:paraId="54477759"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Годишњи извештај о јавним набавкама</w:t>
            </w:r>
          </w:p>
        </w:tc>
        <w:tc>
          <w:tcPr>
            <w:tcW w:w="2152" w:type="dxa"/>
            <w:gridSpan w:val="14"/>
            <w:vAlign w:val="center"/>
          </w:tcPr>
          <w:p w14:paraId="54BA7E64"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5790</w:t>
            </w:r>
          </w:p>
        </w:tc>
        <w:tc>
          <w:tcPr>
            <w:tcW w:w="2134" w:type="dxa"/>
            <w:gridSpan w:val="17"/>
            <w:vAlign w:val="center"/>
          </w:tcPr>
          <w:p w14:paraId="118F9773"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0" w:type="dxa"/>
            <w:gridSpan w:val="10"/>
            <w:vAlign w:val="center"/>
          </w:tcPr>
          <w:p w14:paraId="4CB1D771"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5850</w:t>
            </w:r>
          </w:p>
        </w:tc>
        <w:tc>
          <w:tcPr>
            <w:tcW w:w="1088" w:type="dxa"/>
            <w:gridSpan w:val="10"/>
            <w:vAlign w:val="center"/>
          </w:tcPr>
          <w:p w14:paraId="5DA2DA86"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5950</w:t>
            </w:r>
          </w:p>
        </w:tc>
        <w:tc>
          <w:tcPr>
            <w:tcW w:w="1198" w:type="dxa"/>
            <w:gridSpan w:val="5"/>
            <w:vAlign w:val="center"/>
          </w:tcPr>
          <w:p w14:paraId="4BA623AA"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6100</w:t>
            </w:r>
          </w:p>
        </w:tc>
      </w:tr>
      <w:tr w:rsidR="00D30238" w:rsidRPr="00AA19A8" w14:paraId="32AC4216" w14:textId="77777777" w:rsidTr="006B65DC">
        <w:trPr>
          <w:cantSplit/>
          <w:trHeight w:val="630"/>
        </w:trPr>
        <w:tc>
          <w:tcPr>
            <w:tcW w:w="2497" w:type="dxa"/>
            <w:gridSpan w:val="2"/>
            <w:vMerge w:val="restart"/>
            <w:shd w:val="clear" w:color="auto" w:fill="ECECEC"/>
            <w:vAlign w:val="center"/>
          </w:tcPr>
          <w:p w14:paraId="550EA5B5"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31" w:type="dxa"/>
            <w:gridSpan w:val="5"/>
            <w:vMerge w:val="restart"/>
            <w:shd w:val="clear" w:color="auto" w:fill="ECECEC"/>
            <w:vAlign w:val="center"/>
          </w:tcPr>
          <w:p w14:paraId="2DF7EEB7"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71" w:type="dxa"/>
            <w:gridSpan w:val="5"/>
            <w:vMerge w:val="restart"/>
            <w:shd w:val="clear" w:color="auto" w:fill="ECECEC"/>
            <w:vAlign w:val="center"/>
          </w:tcPr>
          <w:p w14:paraId="1B8DB3C8"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35" w:type="dxa"/>
            <w:gridSpan w:val="7"/>
            <w:vMerge w:val="restart"/>
            <w:shd w:val="clear" w:color="auto" w:fill="ECECEC"/>
            <w:vAlign w:val="center"/>
          </w:tcPr>
          <w:p w14:paraId="2636B635"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642" w:type="dxa"/>
            <w:gridSpan w:val="56"/>
            <w:shd w:val="clear" w:color="auto" w:fill="ECECEC"/>
            <w:vAlign w:val="center"/>
          </w:tcPr>
          <w:p w14:paraId="1BF8CBB9"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64994773" w14:textId="77777777" w:rsidTr="006B65DC">
        <w:trPr>
          <w:cantSplit/>
          <w:trHeight w:val="1253"/>
        </w:trPr>
        <w:tc>
          <w:tcPr>
            <w:tcW w:w="2497" w:type="dxa"/>
            <w:gridSpan w:val="2"/>
            <w:vMerge/>
            <w:shd w:val="clear" w:color="auto" w:fill="ECECEC"/>
            <w:vAlign w:val="center"/>
          </w:tcPr>
          <w:p w14:paraId="15702395" w14:textId="77777777" w:rsidR="00F617BE" w:rsidRPr="00AA19A8" w:rsidRDefault="00F617BE" w:rsidP="00F617BE">
            <w:pPr>
              <w:rPr>
                <w:rFonts w:ascii="Times New Roman" w:hAnsi="Times New Roman" w:cs="Times New Roman"/>
                <w:b/>
                <w:bCs/>
                <w:sz w:val="20"/>
                <w:szCs w:val="20"/>
                <w:lang w:val="sr-Cyrl-CS"/>
              </w:rPr>
            </w:pPr>
          </w:p>
        </w:tc>
        <w:tc>
          <w:tcPr>
            <w:tcW w:w="1531" w:type="dxa"/>
            <w:gridSpan w:val="5"/>
            <w:vMerge/>
            <w:shd w:val="clear" w:color="auto" w:fill="ECECEC"/>
            <w:vAlign w:val="center"/>
          </w:tcPr>
          <w:p w14:paraId="0A11B997" w14:textId="77777777" w:rsidR="00F617BE" w:rsidRPr="00AA19A8" w:rsidRDefault="00F617BE" w:rsidP="00DA1E2A">
            <w:pPr>
              <w:jc w:val="center"/>
              <w:rPr>
                <w:rFonts w:ascii="Times New Roman" w:hAnsi="Times New Roman" w:cs="Times New Roman"/>
                <w:b/>
                <w:bCs/>
                <w:sz w:val="20"/>
                <w:szCs w:val="20"/>
                <w:lang w:val="sr-Cyrl-CS"/>
              </w:rPr>
            </w:pPr>
          </w:p>
        </w:tc>
        <w:tc>
          <w:tcPr>
            <w:tcW w:w="1571" w:type="dxa"/>
            <w:gridSpan w:val="5"/>
            <w:vMerge/>
            <w:shd w:val="clear" w:color="auto" w:fill="ECECEC"/>
            <w:vAlign w:val="center"/>
          </w:tcPr>
          <w:p w14:paraId="65097AA5" w14:textId="77777777" w:rsidR="00F617BE" w:rsidRPr="00AA19A8" w:rsidRDefault="00F617BE" w:rsidP="00DA1E2A">
            <w:pPr>
              <w:jc w:val="center"/>
              <w:rPr>
                <w:rFonts w:ascii="Times New Roman" w:hAnsi="Times New Roman" w:cs="Times New Roman"/>
                <w:b/>
                <w:bCs/>
                <w:sz w:val="20"/>
                <w:szCs w:val="20"/>
                <w:lang w:val="sr-Cyrl-CS"/>
              </w:rPr>
            </w:pPr>
          </w:p>
        </w:tc>
        <w:tc>
          <w:tcPr>
            <w:tcW w:w="2635" w:type="dxa"/>
            <w:gridSpan w:val="7"/>
            <w:vMerge/>
            <w:shd w:val="clear" w:color="auto" w:fill="ECECEC"/>
            <w:vAlign w:val="center"/>
          </w:tcPr>
          <w:p w14:paraId="37B2ECE6" w14:textId="77777777" w:rsidR="00F617BE" w:rsidRPr="00AA19A8" w:rsidRDefault="00F617BE" w:rsidP="00DA1E2A">
            <w:pPr>
              <w:jc w:val="center"/>
              <w:rPr>
                <w:rFonts w:ascii="Times New Roman" w:hAnsi="Times New Roman" w:cs="Times New Roman"/>
                <w:b/>
                <w:bCs/>
                <w:sz w:val="20"/>
                <w:szCs w:val="20"/>
                <w:lang w:val="sr-Cyrl-CS"/>
              </w:rPr>
            </w:pPr>
          </w:p>
        </w:tc>
        <w:tc>
          <w:tcPr>
            <w:tcW w:w="2152" w:type="dxa"/>
            <w:gridSpan w:val="14"/>
            <w:shd w:val="clear" w:color="auto" w:fill="ECECEC"/>
            <w:vAlign w:val="center"/>
          </w:tcPr>
          <w:p w14:paraId="66370F0A"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34" w:type="dxa"/>
            <w:gridSpan w:val="17"/>
            <w:shd w:val="clear" w:color="auto" w:fill="ECECEC"/>
            <w:vAlign w:val="center"/>
          </w:tcPr>
          <w:p w14:paraId="6948EA84"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0" w:type="dxa"/>
            <w:gridSpan w:val="10"/>
            <w:shd w:val="clear" w:color="auto" w:fill="ECECEC"/>
            <w:vAlign w:val="center"/>
          </w:tcPr>
          <w:p w14:paraId="2D59BBC5"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88" w:type="dxa"/>
            <w:gridSpan w:val="10"/>
            <w:shd w:val="clear" w:color="auto" w:fill="ECECEC"/>
            <w:vAlign w:val="center"/>
          </w:tcPr>
          <w:p w14:paraId="66854B08"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198" w:type="dxa"/>
            <w:gridSpan w:val="5"/>
            <w:shd w:val="clear" w:color="auto" w:fill="ECECEC"/>
            <w:vAlign w:val="center"/>
          </w:tcPr>
          <w:p w14:paraId="229C6346" w14:textId="77777777" w:rsidR="00F617BE" w:rsidRPr="00AA19A8" w:rsidRDefault="00F617BE" w:rsidP="00DA1E2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64B4EBBA" w14:textId="77777777" w:rsidTr="006B65DC">
        <w:trPr>
          <w:cantSplit/>
          <w:trHeight w:val="1253"/>
        </w:trPr>
        <w:tc>
          <w:tcPr>
            <w:tcW w:w="2497" w:type="dxa"/>
            <w:gridSpan w:val="2"/>
            <w:vAlign w:val="center"/>
          </w:tcPr>
          <w:p w14:paraId="6756EA81"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2.5.1 Обуке за припрему за полагање испита за службенике за јавне набавке</w:t>
            </w:r>
          </w:p>
        </w:tc>
        <w:tc>
          <w:tcPr>
            <w:tcW w:w="1531" w:type="dxa"/>
            <w:gridSpan w:val="5"/>
            <w:vAlign w:val="center"/>
          </w:tcPr>
          <w:p w14:paraId="0C6F4E01"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 континуирано</w:t>
            </w:r>
          </w:p>
        </w:tc>
        <w:tc>
          <w:tcPr>
            <w:tcW w:w="1571" w:type="dxa"/>
            <w:gridSpan w:val="5"/>
            <w:vAlign w:val="center"/>
          </w:tcPr>
          <w:p w14:paraId="2510287F" w14:textId="777777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Канцеларија за јавне набавке</w:t>
            </w:r>
          </w:p>
        </w:tc>
        <w:tc>
          <w:tcPr>
            <w:tcW w:w="2635" w:type="dxa"/>
            <w:gridSpan w:val="7"/>
            <w:vAlign w:val="center"/>
          </w:tcPr>
          <w:p w14:paraId="77EE6973" w14:textId="37E51F7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ЕУ/</w:t>
            </w:r>
            <w:r w:rsidR="00D43D50" w:rsidRPr="00AA19A8">
              <w:rPr>
                <w:rFonts w:ascii="Times New Roman" w:hAnsi="Times New Roman" w:cs="Times New Roman"/>
                <w:i/>
                <w:iCs/>
                <w:sz w:val="20"/>
                <w:szCs w:val="20"/>
                <w:lang w:val="sr-Cyrl-CS"/>
              </w:rPr>
              <w:t>UNDP</w:t>
            </w:r>
          </w:p>
        </w:tc>
        <w:tc>
          <w:tcPr>
            <w:tcW w:w="2152" w:type="dxa"/>
            <w:gridSpan w:val="14"/>
            <w:vAlign w:val="center"/>
          </w:tcPr>
          <w:p w14:paraId="10504E67" w14:textId="314B85DB"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r w:rsidR="007D442A">
              <w:rPr>
                <w:rFonts w:ascii="Times New Roman" w:hAnsi="Times New Roman" w:cs="Times New Roman"/>
                <w:sz w:val="20"/>
                <w:szCs w:val="20"/>
                <w:lang w:val="sr-Cyrl-CS"/>
              </w:rPr>
              <w:t>*</w:t>
            </w:r>
          </w:p>
        </w:tc>
        <w:tc>
          <w:tcPr>
            <w:tcW w:w="2134" w:type="dxa"/>
            <w:gridSpan w:val="17"/>
            <w:vAlign w:val="center"/>
          </w:tcPr>
          <w:p w14:paraId="73DC6F00" w14:textId="77777777" w:rsidR="00F617BE" w:rsidRPr="00AA19A8" w:rsidRDefault="00F617BE" w:rsidP="00DA1E2A">
            <w:pPr>
              <w:jc w:val="center"/>
              <w:rPr>
                <w:rFonts w:ascii="Times New Roman" w:hAnsi="Times New Roman" w:cs="Times New Roman"/>
                <w:sz w:val="20"/>
                <w:szCs w:val="20"/>
                <w:lang w:val="sr-Cyrl-CS"/>
              </w:rPr>
            </w:pPr>
          </w:p>
        </w:tc>
        <w:tc>
          <w:tcPr>
            <w:tcW w:w="1070" w:type="dxa"/>
            <w:gridSpan w:val="10"/>
            <w:vAlign w:val="center"/>
          </w:tcPr>
          <w:p w14:paraId="6A9B4BEF" w14:textId="02187387"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960*</w:t>
            </w:r>
          </w:p>
        </w:tc>
        <w:tc>
          <w:tcPr>
            <w:tcW w:w="1088" w:type="dxa"/>
            <w:gridSpan w:val="10"/>
            <w:vAlign w:val="center"/>
          </w:tcPr>
          <w:p w14:paraId="62BCF041" w14:textId="7F14B0B8"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960*</w:t>
            </w:r>
          </w:p>
        </w:tc>
        <w:tc>
          <w:tcPr>
            <w:tcW w:w="1198" w:type="dxa"/>
            <w:gridSpan w:val="5"/>
            <w:vAlign w:val="center"/>
          </w:tcPr>
          <w:p w14:paraId="0559E50E" w14:textId="57CC8944" w:rsidR="00F617BE" w:rsidRPr="00AA19A8" w:rsidRDefault="00F617BE" w:rsidP="00DA1E2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960*</w:t>
            </w:r>
          </w:p>
        </w:tc>
      </w:tr>
      <w:tr w:rsidR="00D30238" w:rsidRPr="00AA19A8" w14:paraId="544F2D4F" w14:textId="77777777" w:rsidTr="006B65DC">
        <w:trPr>
          <w:cantSplit/>
          <w:trHeight w:val="1701"/>
        </w:trPr>
        <w:tc>
          <w:tcPr>
            <w:tcW w:w="2497" w:type="dxa"/>
            <w:gridSpan w:val="2"/>
            <w:vAlign w:val="center"/>
          </w:tcPr>
          <w:p w14:paraId="0BC42DC4"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2.5.2 Израда практичних алата за службенике за јавне набавке за примену Закона о јавним набавкама и коришћење Портала јавних набавки</w:t>
            </w:r>
          </w:p>
        </w:tc>
        <w:tc>
          <w:tcPr>
            <w:tcW w:w="1531" w:type="dxa"/>
            <w:gridSpan w:val="5"/>
            <w:vAlign w:val="center"/>
          </w:tcPr>
          <w:p w14:paraId="001C80F6"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 континуирано</w:t>
            </w:r>
          </w:p>
        </w:tc>
        <w:tc>
          <w:tcPr>
            <w:tcW w:w="1571" w:type="dxa"/>
            <w:gridSpan w:val="5"/>
            <w:vAlign w:val="center"/>
          </w:tcPr>
          <w:p w14:paraId="608C1F27"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Канцеларија за јавне набавке</w:t>
            </w:r>
          </w:p>
        </w:tc>
        <w:tc>
          <w:tcPr>
            <w:tcW w:w="2635" w:type="dxa"/>
            <w:gridSpan w:val="7"/>
            <w:vAlign w:val="center"/>
          </w:tcPr>
          <w:p w14:paraId="7A940770"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НАЛЕД</w:t>
            </w:r>
          </w:p>
          <w:p w14:paraId="1BEE4DF9" w14:textId="2C3FCD82"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ЕУ/</w:t>
            </w:r>
            <w:r w:rsidR="00D43D50" w:rsidRPr="00AA19A8">
              <w:rPr>
                <w:rFonts w:ascii="Times New Roman" w:hAnsi="Times New Roman" w:cs="Times New Roman"/>
                <w:i/>
                <w:iCs/>
                <w:sz w:val="20"/>
                <w:szCs w:val="20"/>
                <w:lang w:val="sr-Cyrl-CS"/>
              </w:rPr>
              <w:t>UNDP</w:t>
            </w:r>
          </w:p>
        </w:tc>
        <w:tc>
          <w:tcPr>
            <w:tcW w:w="2152" w:type="dxa"/>
            <w:gridSpan w:val="14"/>
            <w:vAlign w:val="center"/>
          </w:tcPr>
          <w:p w14:paraId="20320DB8" w14:textId="70E559FE"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r w:rsidR="007D442A">
              <w:rPr>
                <w:rFonts w:ascii="Times New Roman" w:hAnsi="Times New Roman" w:cs="Times New Roman"/>
                <w:sz w:val="20"/>
                <w:szCs w:val="20"/>
                <w:lang w:val="sr-Cyrl-CS"/>
              </w:rPr>
              <w:t>*</w:t>
            </w:r>
          </w:p>
        </w:tc>
        <w:tc>
          <w:tcPr>
            <w:tcW w:w="2134" w:type="dxa"/>
            <w:gridSpan w:val="17"/>
            <w:vAlign w:val="center"/>
          </w:tcPr>
          <w:p w14:paraId="3B451187" w14:textId="77777777" w:rsidR="00F617BE" w:rsidRPr="00AA19A8" w:rsidRDefault="00F617BE" w:rsidP="000F7B01">
            <w:pPr>
              <w:jc w:val="center"/>
              <w:rPr>
                <w:rFonts w:ascii="Times New Roman" w:hAnsi="Times New Roman" w:cs="Times New Roman"/>
                <w:sz w:val="20"/>
                <w:szCs w:val="20"/>
                <w:lang w:val="sr-Cyrl-CS"/>
              </w:rPr>
            </w:pPr>
          </w:p>
        </w:tc>
        <w:tc>
          <w:tcPr>
            <w:tcW w:w="1070" w:type="dxa"/>
            <w:gridSpan w:val="10"/>
            <w:vAlign w:val="center"/>
          </w:tcPr>
          <w:p w14:paraId="63BE3F08"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1.200*</w:t>
            </w:r>
          </w:p>
        </w:tc>
        <w:tc>
          <w:tcPr>
            <w:tcW w:w="1088" w:type="dxa"/>
            <w:gridSpan w:val="10"/>
            <w:vAlign w:val="center"/>
          </w:tcPr>
          <w:p w14:paraId="148511B1"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1.200*</w:t>
            </w:r>
          </w:p>
        </w:tc>
        <w:tc>
          <w:tcPr>
            <w:tcW w:w="1198" w:type="dxa"/>
            <w:gridSpan w:val="5"/>
            <w:vAlign w:val="center"/>
          </w:tcPr>
          <w:p w14:paraId="50046979"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1.200*</w:t>
            </w:r>
          </w:p>
        </w:tc>
      </w:tr>
      <w:tr w:rsidR="00D30238" w:rsidRPr="00AA19A8" w14:paraId="6CD87288" w14:textId="77777777" w:rsidTr="006B65DC">
        <w:trPr>
          <w:cantSplit/>
          <w:trHeight w:val="1701"/>
        </w:trPr>
        <w:tc>
          <w:tcPr>
            <w:tcW w:w="2497" w:type="dxa"/>
            <w:gridSpan w:val="2"/>
            <w:vAlign w:val="center"/>
          </w:tcPr>
          <w:p w14:paraId="7C8A0E2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2.5.3 Обуке и радионице за службенике за јавне набавке на тему планирања и истраживања тржишта</w:t>
            </w:r>
          </w:p>
        </w:tc>
        <w:tc>
          <w:tcPr>
            <w:tcW w:w="1531" w:type="dxa"/>
            <w:gridSpan w:val="5"/>
            <w:vAlign w:val="center"/>
          </w:tcPr>
          <w:p w14:paraId="574EFCC9"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 континуирано</w:t>
            </w:r>
          </w:p>
        </w:tc>
        <w:tc>
          <w:tcPr>
            <w:tcW w:w="1571" w:type="dxa"/>
            <w:gridSpan w:val="5"/>
            <w:vAlign w:val="center"/>
          </w:tcPr>
          <w:p w14:paraId="0C449173"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Канцеларија за јавне набавке</w:t>
            </w:r>
          </w:p>
        </w:tc>
        <w:tc>
          <w:tcPr>
            <w:tcW w:w="2635" w:type="dxa"/>
            <w:gridSpan w:val="7"/>
            <w:vAlign w:val="center"/>
          </w:tcPr>
          <w:p w14:paraId="3D8CA7DE" w14:textId="0DC634E3"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ЕУ/</w:t>
            </w:r>
            <w:r w:rsidR="00D43D50" w:rsidRPr="00AA19A8">
              <w:rPr>
                <w:rFonts w:ascii="Times New Roman" w:hAnsi="Times New Roman" w:cs="Times New Roman"/>
                <w:i/>
                <w:iCs/>
                <w:sz w:val="20"/>
                <w:szCs w:val="20"/>
                <w:lang w:val="sr-Cyrl-CS"/>
              </w:rPr>
              <w:t>UNDP</w:t>
            </w:r>
          </w:p>
        </w:tc>
        <w:tc>
          <w:tcPr>
            <w:tcW w:w="2152" w:type="dxa"/>
            <w:gridSpan w:val="14"/>
            <w:vAlign w:val="center"/>
          </w:tcPr>
          <w:p w14:paraId="5810C73D" w14:textId="6ECB2B61"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r w:rsidR="007D442A">
              <w:rPr>
                <w:rFonts w:ascii="Times New Roman" w:hAnsi="Times New Roman" w:cs="Times New Roman"/>
                <w:sz w:val="20"/>
                <w:szCs w:val="20"/>
                <w:lang w:val="sr-Cyrl-CS"/>
              </w:rPr>
              <w:t>*</w:t>
            </w:r>
          </w:p>
        </w:tc>
        <w:tc>
          <w:tcPr>
            <w:tcW w:w="2134" w:type="dxa"/>
            <w:gridSpan w:val="17"/>
            <w:vAlign w:val="center"/>
          </w:tcPr>
          <w:p w14:paraId="16B855F7" w14:textId="77777777" w:rsidR="00F617BE" w:rsidRPr="00AA19A8" w:rsidRDefault="00F617BE" w:rsidP="000F7B01">
            <w:pPr>
              <w:jc w:val="center"/>
              <w:rPr>
                <w:rFonts w:ascii="Times New Roman" w:hAnsi="Times New Roman" w:cs="Times New Roman"/>
                <w:sz w:val="20"/>
                <w:szCs w:val="20"/>
                <w:lang w:val="sr-Cyrl-CS"/>
              </w:rPr>
            </w:pPr>
          </w:p>
        </w:tc>
        <w:tc>
          <w:tcPr>
            <w:tcW w:w="1070" w:type="dxa"/>
            <w:gridSpan w:val="10"/>
            <w:vAlign w:val="center"/>
          </w:tcPr>
          <w:p w14:paraId="38C6A04D"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480*</w:t>
            </w:r>
          </w:p>
        </w:tc>
        <w:tc>
          <w:tcPr>
            <w:tcW w:w="1088" w:type="dxa"/>
            <w:gridSpan w:val="10"/>
            <w:vAlign w:val="center"/>
          </w:tcPr>
          <w:p w14:paraId="37006CF6"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480*</w:t>
            </w:r>
          </w:p>
        </w:tc>
        <w:tc>
          <w:tcPr>
            <w:tcW w:w="1198" w:type="dxa"/>
            <w:gridSpan w:val="5"/>
            <w:vAlign w:val="center"/>
          </w:tcPr>
          <w:p w14:paraId="2660DBAE"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480*</w:t>
            </w:r>
          </w:p>
        </w:tc>
      </w:tr>
      <w:tr w:rsidR="00D30238" w:rsidRPr="00AA19A8" w14:paraId="4BCC3DD1" w14:textId="77777777" w:rsidTr="006B65DC">
        <w:trPr>
          <w:cantSplit/>
          <w:trHeight w:val="1701"/>
        </w:trPr>
        <w:tc>
          <w:tcPr>
            <w:tcW w:w="2497" w:type="dxa"/>
            <w:gridSpan w:val="2"/>
            <w:vAlign w:val="center"/>
          </w:tcPr>
          <w:p w14:paraId="46AEC0D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 xml:space="preserve">2.5.4 Спровођење годишњих обука и радионица за службенике за јавне набавке на тему спречавања сукоба интереса и корупције </w:t>
            </w:r>
          </w:p>
        </w:tc>
        <w:tc>
          <w:tcPr>
            <w:tcW w:w="1531" w:type="dxa"/>
            <w:gridSpan w:val="5"/>
            <w:vAlign w:val="center"/>
          </w:tcPr>
          <w:p w14:paraId="3928040B" w14:textId="5640FA21"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71" w:type="dxa"/>
            <w:gridSpan w:val="5"/>
            <w:vAlign w:val="center"/>
          </w:tcPr>
          <w:p w14:paraId="4F2FE5F9"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Канцеларија за јавне набавке</w:t>
            </w:r>
          </w:p>
        </w:tc>
        <w:tc>
          <w:tcPr>
            <w:tcW w:w="2635" w:type="dxa"/>
            <w:gridSpan w:val="7"/>
            <w:vAlign w:val="center"/>
          </w:tcPr>
          <w:p w14:paraId="7B966256" w14:textId="5A76084F"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ЕУ/</w:t>
            </w:r>
            <w:r w:rsidR="00D43D50" w:rsidRPr="00AA19A8">
              <w:rPr>
                <w:rFonts w:ascii="Times New Roman" w:hAnsi="Times New Roman" w:cs="Times New Roman"/>
                <w:i/>
                <w:iCs/>
                <w:sz w:val="20"/>
                <w:szCs w:val="20"/>
                <w:lang w:val="sr-Cyrl-CS"/>
              </w:rPr>
              <w:t>UNDP</w:t>
            </w:r>
          </w:p>
        </w:tc>
        <w:tc>
          <w:tcPr>
            <w:tcW w:w="2152" w:type="dxa"/>
            <w:gridSpan w:val="14"/>
            <w:vAlign w:val="center"/>
          </w:tcPr>
          <w:p w14:paraId="53477820" w14:textId="17C1968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r w:rsidR="007D442A">
              <w:rPr>
                <w:rFonts w:ascii="Times New Roman" w:hAnsi="Times New Roman" w:cs="Times New Roman"/>
                <w:sz w:val="20"/>
                <w:szCs w:val="20"/>
                <w:lang w:val="sr-Cyrl-CS"/>
              </w:rPr>
              <w:t>*</w:t>
            </w:r>
          </w:p>
          <w:p w14:paraId="77D83944" w14:textId="77777777" w:rsidR="00F617BE" w:rsidRPr="00AA19A8" w:rsidRDefault="00F617BE" w:rsidP="000F7B01">
            <w:pPr>
              <w:jc w:val="center"/>
              <w:rPr>
                <w:rFonts w:ascii="Times New Roman" w:hAnsi="Times New Roman" w:cs="Times New Roman"/>
                <w:sz w:val="20"/>
                <w:szCs w:val="20"/>
                <w:lang w:val="sr-Cyrl-CS"/>
              </w:rPr>
            </w:pPr>
          </w:p>
        </w:tc>
        <w:tc>
          <w:tcPr>
            <w:tcW w:w="2134" w:type="dxa"/>
            <w:gridSpan w:val="17"/>
            <w:vAlign w:val="center"/>
          </w:tcPr>
          <w:p w14:paraId="3D19D725" w14:textId="77777777" w:rsidR="00F617BE" w:rsidRPr="00AA19A8" w:rsidRDefault="00F617BE" w:rsidP="000F7B01">
            <w:pPr>
              <w:jc w:val="center"/>
              <w:rPr>
                <w:rFonts w:ascii="Times New Roman" w:hAnsi="Times New Roman" w:cs="Times New Roman"/>
                <w:sz w:val="20"/>
                <w:szCs w:val="20"/>
                <w:lang w:val="sr-Cyrl-CS"/>
              </w:rPr>
            </w:pPr>
          </w:p>
        </w:tc>
        <w:tc>
          <w:tcPr>
            <w:tcW w:w="1070" w:type="dxa"/>
            <w:gridSpan w:val="10"/>
            <w:vAlign w:val="center"/>
          </w:tcPr>
          <w:p w14:paraId="235F8095"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480*</w:t>
            </w:r>
          </w:p>
        </w:tc>
        <w:tc>
          <w:tcPr>
            <w:tcW w:w="1088" w:type="dxa"/>
            <w:gridSpan w:val="10"/>
            <w:vAlign w:val="center"/>
          </w:tcPr>
          <w:p w14:paraId="21D49B50"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480*</w:t>
            </w:r>
          </w:p>
        </w:tc>
        <w:tc>
          <w:tcPr>
            <w:tcW w:w="1198" w:type="dxa"/>
            <w:gridSpan w:val="5"/>
            <w:vAlign w:val="center"/>
          </w:tcPr>
          <w:p w14:paraId="745714F7" w14:textId="77777777" w:rsidR="00F617BE" w:rsidRPr="00AA19A8" w:rsidRDefault="00F617BE" w:rsidP="000F7B0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480*</w:t>
            </w:r>
          </w:p>
        </w:tc>
      </w:tr>
      <w:tr w:rsidR="00D30238" w:rsidRPr="00AA19A8" w14:paraId="5983A349" w14:textId="77777777" w:rsidTr="00BA7E6D">
        <w:trPr>
          <w:cantSplit/>
          <w:trHeight w:val="805"/>
        </w:trPr>
        <w:tc>
          <w:tcPr>
            <w:tcW w:w="15876" w:type="dxa"/>
            <w:gridSpan w:val="75"/>
            <w:shd w:val="clear" w:color="auto" w:fill="DEEAF6"/>
            <w:vAlign w:val="center"/>
          </w:tcPr>
          <w:p w14:paraId="756C5EF4" w14:textId="77777777" w:rsidR="00F617BE" w:rsidRPr="00AA19A8" w:rsidRDefault="00F617BE" w:rsidP="00F617BE">
            <w:pPr>
              <w:rPr>
                <w:rFonts w:ascii="Times New Roman" w:hAnsi="Times New Roman" w:cs="Times New Roman"/>
                <w:b/>
                <w:bCs/>
                <w:sz w:val="20"/>
                <w:szCs w:val="20"/>
                <w:lang w:val="sr-Cyrl-CS"/>
              </w:rPr>
            </w:pPr>
            <w:bookmarkStart w:id="40" w:name="_Toc73613674"/>
            <w:r w:rsidRPr="00AA19A8">
              <w:rPr>
                <w:rFonts w:ascii="Times New Roman" w:hAnsi="Times New Roman" w:cs="Times New Roman"/>
                <w:b/>
                <w:bCs/>
                <w:sz w:val="20"/>
                <w:szCs w:val="20"/>
                <w:lang w:val="sr-Cyrl-CS"/>
              </w:rPr>
              <w:t>ПОСЕБНИ ЦИЉ III:  УНАПРЕЂЕЊЕ БУЏЕТСКЕ ДИСЦИПЛИНЕ И ТРАНСПАРЕНТНИЈЕ КОРИШЋЕЊЕ ЈАВНИХ СРЕДСТАВА</w:t>
            </w:r>
            <w:bookmarkEnd w:id="40"/>
          </w:p>
        </w:tc>
      </w:tr>
      <w:tr w:rsidR="00D30238" w:rsidRPr="00AA19A8" w14:paraId="52357FDC" w14:textId="77777777" w:rsidTr="006B65DC">
        <w:trPr>
          <w:cantSplit/>
          <w:trHeight w:val="1253"/>
        </w:trPr>
        <w:tc>
          <w:tcPr>
            <w:tcW w:w="2516" w:type="dxa"/>
            <w:gridSpan w:val="3"/>
            <w:shd w:val="clear" w:color="auto" w:fill="ECECEC"/>
            <w:vAlign w:val="center"/>
          </w:tcPr>
          <w:p w14:paraId="2A1C100C" w14:textId="55D8BB13"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sidR="00DD263D">
              <w:rPr>
                <w:rFonts w:ascii="Times New Roman" w:hAnsi="Times New Roman" w:cs="Times New Roman"/>
                <w:b/>
                <w:bCs/>
                <w:sz w:val="20"/>
                <w:szCs w:val="20"/>
                <w:lang w:val="sr-Cyrl-CS"/>
              </w:rPr>
              <w:t>посебног</w:t>
            </w:r>
            <w:r w:rsidRPr="00AA19A8">
              <w:rPr>
                <w:rFonts w:ascii="Times New Roman" w:hAnsi="Times New Roman" w:cs="Times New Roman"/>
                <w:b/>
                <w:bCs/>
                <w:sz w:val="20"/>
                <w:szCs w:val="20"/>
                <w:lang w:val="sr-Cyrl-CS"/>
              </w:rPr>
              <w:t xml:space="preserve"> циља (показатељ </w:t>
            </w:r>
            <w:r w:rsidR="00DD263D">
              <w:rPr>
                <w:rFonts w:ascii="Times New Roman" w:hAnsi="Times New Roman" w:cs="Times New Roman"/>
                <w:b/>
                <w:bCs/>
                <w:sz w:val="20"/>
                <w:szCs w:val="20"/>
                <w:lang w:val="sr-Cyrl-CS"/>
              </w:rPr>
              <w:t>исхода</w:t>
            </w:r>
            <w:r w:rsidRPr="00AA19A8">
              <w:rPr>
                <w:rFonts w:ascii="Times New Roman" w:hAnsi="Times New Roman" w:cs="Times New Roman"/>
                <w:b/>
                <w:bCs/>
                <w:sz w:val="20"/>
                <w:szCs w:val="20"/>
                <w:lang w:val="sr-Cyrl-CS"/>
              </w:rPr>
              <w:t>)</w:t>
            </w:r>
          </w:p>
        </w:tc>
        <w:tc>
          <w:tcPr>
            <w:tcW w:w="3111" w:type="dxa"/>
            <w:gridSpan w:val="10"/>
            <w:shd w:val="clear" w:color="auto" w:fill="ECECEC"/>
            <w:vAlign w:val="center"/>
          </w:tcPr>
          <w:p w14:paraId="11A05EC0" w14:textId="77777777" w:rsidR="00F617BE" w:rsidRPr="00AA19A8" w:rsidRDefault="00F617BE" w:rsidP="000F7B0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1579" w:type="dxa"/>
            <w:gridSpan w:val="4"/>
            <w:shd w:val="clear" w:color="auto" w:fill="ECECEC"/>
            <w:vAlign w:val="center"/>
          </w:tcPr>
          <w:p w14:paraId="505F9CAD" w14:textId="77777777" w:rsidR="00F617BE" w:rsidRPr="00AA19A8" w:rsidRDefault="00F617BE" w:rsidP="000F7B0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23" w:type="dxa"/>
            <w:gridSpan w:val="12"/>
            <w:shd w:val="clear" w:color="auto" w:fill="ECECEC"/>
            <w:vAlign w:val="center"/>
          </w:tcPr>
          <w:p w14:paraId="7F0A8A23" w14:textId="77777777" w:rsidR="00F617BE" w:rsidRPr="00AA19A8" w:rsidRDefault="00F617BE" w:rsidP="000F7B0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1080" w:type="dxa"/>
            <w:gridSpan w:val="5"/>
            <w:shd w:val="clear" w:color="auto" w:fill="ECECEC"/>
            <w:vAlign w:val="center"/>
          </w:tcPr>
          <w:p w14:paraId="52625321" w14:textId="77777777" w:rsidR="00F617BE" w:rsidRPr="00AA19A8" w:rsidRDefault="00F617BE" w:rsidP="000F7B0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596" w:type="dxa"/>
            <w:gridSpan w:val="10"/>
            <w:shd w:val="clear" w:color="auto" w:fill="ECECEC"/>
            <w:vAlign w:val="center"/>
          </w:tcPr>
          <w:p w14:paraId="211C00EB" w14:textId="77777777" w:rsidR="00F617BE" w:rsidRPr="00AA19A8" w:rsidRDefault="00F617BE" w:rsidP="000F7B0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2026</w:t>
            </w:r>
          </w:p>
        </w:tc>
        <w:tc>
          <w:tcPr>
            <w:tcW w:w="1637" w:type="dxa"/>
            <w:gridSpan w:val="17"/>
            <w:shd w:val="clear" w:color="auto" w:fill="ECECEC"/>
            <w:vAlign w:val="center"/>
          </w:tcPr>
          <w:p w14:paraId="4A5BE860" w14:textId="77777777" w:rsidR="00F617BE" w:rsidRPr="00AA19A8" w:rsidRDefault="00F617BE" w:rsidP="000F7B0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2027</w:t>
            </w:r>
          </w:p>
        </w:tc>
        <w:tc>
          <w:tcPr>
            <w:tcW w:w="2234" w:type="dxa"/>
            <w:gridSpan w:val="14"/>
            <w:shd w:val="clear" w:color="auto" w:fill="ECECEC"/>
            <w:vAlign w:val="center"/>
          </w:tcPr>
          <w:p w14:paraId="42EE7CC6" w14:textId="77777777" w:rsidR="00F617BE" w:rsidRPr="00AA19A8" w:rsidRDefault="00F617BE" w:rsidP="000F7B0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7939104F" w14:textId="77777777" w:rsidTr="006B65DC">
        <w:trPr>
          <w:cantSplit/>
          <w:trHeight w:val="2835"/>
        </w:trPr>
        <w:tc>
          <w:tcPr>
            <w:tcW w:w="2516" w:type="dxa"/>
            <w:gridSpan w:val="3"/>
            <w:vAlign w:val="center"/>
          </w:tcPr>
          <w:p w14:paraId="6977032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Ниво припремљености у оквиру преговарачког поглавља 22</w:t>
            </w:r>
          </w:p>
        </w:tc>
        <w:tc>
          <w:tcPr>
            <w:tcW w:w="3111" w:type="dxa"/>
            <w:gridSpan w:val="10"/>
            <w:vAlign w:val="center"/>
          </w:tcPr>
          <w:p w14:paraId="15C095AF" w14:textId="77777777" w:rsidR="00F617BE" w:rsidRPr="00AA19A8" w:rsidRDefault="00F617BE" w:rsidP="00625A7F">
            <w:pPr>
              <w:pStyle w:val="ListParagraph"/>
              <w:numPr>
                <w:ilvl w:val="0"/>
                <w:numId w:val="41"/>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Рана фаза припремљености</w:t>
            </w:r>
          </w:p>
          <w:p w14:paraId="183B1BFD" w14:textId="77777777" w:rsidR="00F617BE" w:rsidRPr="00AA19A8" w:rsidRDefault="00F617BE" w:rsidP="00625A7F">
            <w:pPr>
              <w:pStyle w:val="ListParagraph"/>
              <w:numPr>
                <w:ilvl w:val="0"/>
                <w:numId w:val="41"/>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Известан ниво припремљености</w:t>
            </w:r>
          </w:p>
          <w:p w14:paraId="2EAD8257" w14:textId="77777777" w:rsidR="00F617BE" w:rsidRPr="00AA19A8" w:rsidRDefault="00F617BE" w:rsidP="00625A7F">
            <w:pPr>
              <w:pStyle w:val="ListParagraph"/>
              <w:numPr>
                <w:ilvl w:val="0"/>
                <w:numId w:val="41"/>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Умерен ниво припремљености</w:t>
            </w:r>
          </w:p>
          <w:p w14:paraId="516E1DBE" w14:textId="77777777" w:rsidR="00F617BE" w:rsidRPr="00AA19A8" w:rsidRDefault="00F617BE" w:rsidP="00625A7F">
            <w:pPr>
              <w:pStyle w:val="ListParagraph"/>
              <w:numPr>
                <w:ilvl w:val="0"/>
                <w:numId w:val="41"/>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Добар ниво припремљености</w:t>
            </w:r>
          </w:p>
          <w:p w14:paraId="0877EF93" w14:textId="77777777" w:rsidR="00F617BE" w:rsidRPr="00AA19A8" w:rsidRDefault="00F617BE" w:rsidP="00625A7F">
            <w:pPr>
              <w:pStyle w:val="ListParagraph"/>
              <w:numPr>
                <w:ilvl w:val="0"/>
                <w:numId w:val="41"/>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Напредан ниво припремљености</w:t>
            </w:r>
          </w:p>
        </w:tc>
        <w:tc>
          <w:tcPr>
            <w:tcW w:w="1579" w:type="dxa"/>
            <w:gridSpan w:val="4"/>
            <w:vAlign w:val="center"/>
          </w:tcPr>
          <w:p w14:paraId="7C2E7CF1" w14:textId="1EC6DCE5" w:rsidR="00F617BE" w:rsidRPr="00AA19A8" w:rsidRDefault="00F617BE" w:rsidP="000678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Годишњи извештај</w:t>
            </w:r>
          </w:p>
        </w:tc>
        <w:tc>
          <w:tcPr>
            <w:tcW w:w="2123" w:type="dxa"/>
            <w:gridSpan w:val="12"/>
            <w:vAlign w:val="center"/>
          </w:tcPr>
          <w:p w14:paraId="1E7C1FA4" w14:textId="77777777" w:rsidR="00F617BE" w:rsidRPr="00AA19A8" w:rsidRDefault="00F617BE" w:rsidP="000678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Умерена припремљеност</w:t>
            </w:r>
          </w:p>
        </w:tc>
        <w:tc>
          <w:tcPr>
            <w:tcW w:w="1080" w:type="dxa"/>
            <w:gridSpan w:val="5"/>
            <w:vAlign w:val="center"/>
          </w:tcPr>
          <w:p w14:paraId="1AD6943F" w14:textId="77777777" w:rsidR="00F617BE" w:rsidRPr="00AA19A8" w:rsidRDefault="00F617BE" w:rsidP="000678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596" w:type="dxa"/>
            <w:gridSpan w:val="10"/>
            <w:vAlign w:val="center"/>
          </w:tcPr>
          <w:p w14:paraId="3501FB2C" w14:textId="77777777" w:rsidR="00F617BE" w:rsidRPr="00AA19A8" w:rsidRDefault="00F617BE" w:rsidP="000678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Умерена припремљеност</w:t>
            </w:r>
          </w:p>
        </w:tc>
        <w:tc>
          <w:tcPr>
            <w:tcW w:w="1637" w:type="dxa"/>
            <w:gridSpan w:val="17"/>
            <w:vAlign w:val="center"/>
          </w:tcPr>
          <w:p w14:paraId="280D88FF" w14:textId="77777777" w:rsidR="00F617BE" w:rsidRPr="00AA19A8" w:rsidRDefault="00F617BE" w:rsidP="000678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Умерена припремљеност</w:t>
            </w:r>
          </w:p>
        </w:tc>
        <w:tc>
          <w:tcPr>
            <w:tcW w:w="2234" w:type="dxa"/>
            <w:gridSpan w:val="14"/>
            <w:vAlign w:val="center"/>
          </w:tcPr>
          <w:p w14:paraId="2A4D7974" w14:textId="77777777" w:rsidR="00F617BE" w:rsidRPr="00AA19A8" w:rsidRDefault="00F617BE" w:rsidP="000678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Добар ниво припремљености</w:t>
            </w:r>
          </w:p>
        </w:tc>
      </w:tr>
      <w:tr w:rsidR="00D30238" w:rsidRPr="00AA19A8" w14:paraId="5F3DF8C4" w14:textId="77777777" w:rsidTr="00BA7E6D">
        <w:trPr>
          <w:cantSplit/>
          <w:trHeight w:val="804"/>
        </w:trPr>
        <w:tc>
          <w:tcPr>
            <w:tcW w:w="15876" w:type="dxa"/>
            <w:gridSpan w:val="75"/>
            <w:shd w:val="clear" w:color="auto" w:fill="ECECEC"/>
            <w:vAlign w:val="center"/>
          </w:tcPr>
          <w:p w14:paraId="1D33973E" w14:textId="0E573D7B" w:rsidR="00F617BE" w:rsidRPr="00AA19A8" w:rsidRDefault="00F617BE" w:rsidP="00F617BE">
            <w:pPr>
              <w:rPr>
                <w:rFonts w:ascii="Times New Roman" w:hAnsi="Times New Roman" w:cs="Times New Roman"/>
                <w:b/>
                <w:bCs/>
                <w:i/>
                <w:iCs/>
                <w:sz w:val="20"/>
                <w:szCs w:val="20"/>
                <w:lang w:val="sr-Cyrl-CS"/>
              </w:rPr>
            </w:pPr>
            <w:bookmarkStart w:id="41" w:name="_Toc73613675"/>
            <w:r w:rsidRPr="00AA19A8">
              <w:rPr>
                <w:rFonts w:ascii="Times New Roman" w:hAnsi="Times New Roman" w:cs="Times New Roman"/>
                <w:b/>
                <w:bCs/>
                <w:i/>
                <w:iCs/>
                <w:sz w:val="20"/>
                <w:szCs w:val="20"/>
                <w:lang w:val="sr-Cyrl-CS"/>
              </w:rPr>
              <w:t>Мера 3.1: Проширење обухвата ревизије и развој нове ревизор</w:t>
            </w:r>
            <w:r w:rsidR="004F1556" w:rsidRPr="00AA19A8">
              <w:rPr>
                <w:rFonts w:ascii="Times New Roman" w:hAnsi="Times New Roman" w:cs="Times New Roman"/>
                <w:b/>
                <w:bCs/>
                <w:i/>
                <w:iCs/>
                <w:sz w:val="20"/>
                <w:szCs w:val="20"/>
                <w:lang w:val="sr-Cyrl-CS"/>
              </w:rPr>
              <w:t>с</w:t>
            </w:r>
            <w:r w:rsidRPr="00AA19A8">
              <w:rPr>
                <w:rFonts w:ascii="Times New Roman" w:hAnsi="Times New Roman" w:cs="Times New Roman"/>
                <w:b/>
                <w:bCs/>
                <w:i/>
                <w:iCs/>
                <w:sz w:val="20"/>
                <w:szCs w:val="20"/>
                <w:lang w:val="sr-Cyrl-CS"/>
              </w:rPr>
              <w:t>ке методологије</w:t>
            </w:r>
            <w:bookmarkEnd w:id="41"/>
            <w:r w:rsidRPr="00AA19A8">
              <w:rPr>
                <w:rFonts w:ascii="Times New Roman" w:hAnsi="Times New Roman" w:cs="Times New Roman"/>
                <w:b/>
                <w:bCs/>
                <w:i/>
                <w:iCs/>
                <w:sz w:val="20"/>
                <w:szCs w:val="20"/>
                <w:lang w:val="sr-Cyrl-CS"/>
              </w:rPr>
              <w:t xml:space="preserve"> у надлежности Канцеларије за ревизију система управљања средствима ЕУ</w:t>
            </w:r>
          </w:p>
        </w:tc>
      </w:tr>
      <w:tr w:rsidR="00D30238" w:rsidRPr="00AA19A8" w14:paraId="5E862C27" w14:textId="77777777" w:rsidTr="006B65DC">
        <w:trPr>
          <w:cantSplit/>
          <w:trHeight w:val="804"/>
        </w:trPr>
        <w:tc>
          <w:tcPr>
            <w:tcW w:w="2516" w:type="dxa"/>
            <w:gridSpan w:val="3"/>
            <w:shd w:val="clear" w:color="auto" w:fill="ECECEC"/>
            <w:vAlign w:val="center"/>
          </w:tcPr>
          <w:p w14:paraId="677D6FD6"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42" w:type="dxa"/>
            <w:gridSpan w:val="11"/>
            <w:shd w:val="clear" w:color="auto" w:fill="ECECEC"/>
            <w:vAlign w:val="center"/>
          </w:tcPr>
          <w:p w14:paraId="52384F84" w14:textId="77777777" w:rsidR="00F617BE" w:rsidRPr="00AA19A8" w:rsidRDefault="00F617BE" w:rsidP="0085350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18" w:type="dxa"/>
            <w:gridSpan w:val="61"/>
            <w:shd w:val="clear" w:color="auto" w:fill="ECECEC"/>
            <w:vAlign w:val="center"/>
          </w:tcPr>
          <w:p w14:paraId="554F4E92" w14:textId="77777777" w:rsidR="00F617BE" w:rsidRPr="00AA19A8" w:rsidRDefault="00F617BE" w:rsidP="0085350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6707B670" w14:textId="77777777" w:rsidTr="006B65DC">
        <w:trPr>
          <w:cantSplit/>
          <w:trHeight w:val="804"/>
        </w:trPr>
        <w:tc>
          <w:tcPr>
            <w:tcW w:w="2516" w:type="dxa"/>
            <w:gridSpan w:val="3"/>
            <w:shd w:val="clear" w:color="auto" w:fill="ECECEC"/>
            <w:vAlign w:val="center"/>
          </w:tcPr>
          <w:p w14:paraId="5C58AA56"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42" w:type="dxa"/>
            <w:gridSpan w:val="11"/>
            <w:shd w:val="clear" w:color="auto" w:fill="ECECEC"/>
            <w:vAlign w:val="center"/>
          </w:tcPr>
          <w:p w14:paraId="508B7ABC" w14:textId="77777777" w:rsidR="00F617BE" w:rsidRPr="00AA19A8" w:rsidRDefault="00F617BE" w:rsidP="0085350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2301-0001</w:t>
            </w:r>
          </w:p>
        </w:tc>
        <w:tc>
          <w:tcPr>
            <w:tcW w:w="3376" w:type="dxa"/>
            <w:gridSpan w:val="11"/>
            <w:shd w:val="clear" w:color="auto" w:fill="ECECEC"/>
            <w:vAlign w:val="center"/>
          </w:tcPr>
          <w:p w14:paraId="11F061CE" w14:textId="77777777" w:rsidR="00F617BE" w:rsidRPr="00AA19A8" w:rsidRDefault="00F617BE" w:rsidP="0085350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12.920</w:t>
            </w:r>
          </w:p>
        </w:tc>
        <w:tc>
          <w:tcPr>
            <w:tcW w:w="3379" w:type="dxa"/>
            <w:gridSpan w:val="21"/>
            <w:shd w:val="clear" w:color="auto" w:fill="ECECEC"/>
            <w:vAlign w:val="center"/>
          </w:tcPr>
          <w:p w14:paraId="4DE4D7B4" w14:textId="77777777" w:rsidR="00F617BE" w:rsidRPr="00AA19A8" w:rsidRDefault="00F617BE" w:rsidP="0085350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8.000</w:t>
            </w:r>
          </w:p>
        </w:tc>
        <w:tc>
          <w:tcPr>
            <w:tcW w:w="3463" w:type="dxa"/>
            <w:gridSpan w:val="29"/>
            <w:shd w:val="clear" w:color="auto" w:fill="ECECEC"/>
            <w:vAlign w:val="center"/>
          </w:tcPr>
          <w:p w14:paraId="5F33F340" w14:textId="77777777" w:rsidR="00F617BE" w:rsidRPr="00AA19A8" w:rsidRDefault="00F617BE" w:rsidP="0085350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8.000</w:t>
            </w:r>
          </w:p>
        </w:tc>
      </w:tr>
      <w:tr w:rsidR="00D30238" w:rsidRPr="00AA19A8" w14:paraId="3FE8F857" w14:textId="77777777" w:rsidTr="00BA7E6D">
        <w:trPr>
          <w:cantSplit/>
          <w:trHeight w:val="804"/>
        </w:trPr>
        <w:tc>
          <w:tcPr>
            <w:tcW w:w="15876" w:type="dxa"/>
            <w:gridSpan w:val="75"/>
            <w:shd w:val="clear" w:color="auto" w:fill="ECECEC"/>
            <w:vAlign w:val="center"/>
          </w:tcPr>
          <w:p w14:paraId="2DEEDEE0"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lastRenderedPageBreak/>
              <w:t>Институција одговорна за спровођење (координацију спровођења) мере: Канцеларија за ревизију система управљања средствима ЕУ</w:t>
            </w:r>
          </w:p>
        </w:tc>
      </w:tr>
      <w:tr w:rsidR="00D30238" w:rsidRPr="00AA19A8" w14:paraId="288A865C" w14:textId="77777777" w:rsidTr="006B65DC">
        <w:trPr>
          <w:cantSplit/>
          <w:trHeight w:val="804"/>
        </w:trPr>
        <w:tc>
          <w:tcPr>
            <w:tcW w:w="8296" w:type="dxa"/>
            <w:gridSpan w:val="20"/>
            <w:shd w:val="clear" w:color="auto" w:fill="ECECEC"/>
            <w:vAlign w:val="center"/>
          </w:tcPr>
          <w:p w14:paraId="678BE796"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2026-2028</w:t>
            </w:r>
          </w:p>
        </w:tc>
        <w:tc>
          <w:tcPr>
            <w:tcW w:w="7580" w:type="dxa"/>
            <w:gridSpan w:val="55"/>
            <w:shd w:val="clear" w:color="auto" w:fill="ECECEC"/>
            <w:vAlign w:val="center"/>
          </w:tcPr>
          <w:p w14:paraId="7D40585B"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Тип мере: </w:t>
            </w:r>
          </w:p>
        </w:tc>
      </w:tr>
      <w:tr w:rsidR="00D30238" w:rsidRPr="00AA19A8" w14:paraId="0F25CE40" w14:textId="77777777" w:rsidTr="006B65DC">
        <w:trPr>
          <w:cantSplit/>
          <w:trHeight w:val="1253"/>
        </w:trPr>
        <w:tc>
          <w:tcPr>
            <w:tcW w:w="2525" w:type="dxa"/>
            <w:gridSpan w:val="4"/>
            <w:shd w:val="clear" w:color="auto" w:fill="ECECEC"/>
            <w:vAlign w:val="center"/>
          </w:tcPr>
          <w:p w14:paraId="65512F17" w14:textId="35BEA273" w:rsidR="00F617BE" w:rsidRPr="00AA19A8" w:rsidRDefault="00DD263D"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Pr>
                <w:rFonts w:ascii="Times New Roman" w:hAnsi="Times New Roman" w:cs="Times New Roman"/>
                <w:b/>
                <w:bCs/>
                <w:sz w:val="20"/>
                <w:szCs w:val="20"/>
                <w:lang w:val="sr-Cyrl-CS"/>
              </w:rPr>
              <w:t>мере</w:t>
            </w:r>
            <w:r w:rsidRPr="00AA19A8">
              <w:rPr>
                <w:rFonts w:ascii="Times New Roman" w:hAnsi="Times New Roman" w:cs="Times New Roman"/>
                <w:b/>
                <w:bCs/>
                <w:sz w:val="20"/>
                <w:szCs w:val="20"/>
                <w:lang w:val="sr-Cyrl-CS"/>
              </w:rPr>
              <w:t xml:space="preserve"> (показатељ </w:t>
            </w:r>
            <w:r>
              <w:rPr>
                <w:rFonts w:ascii="Times New Roman" w:hAnsi="Times New Roman" w:cs="Times New Roman"/>
                <w:b/>
                <w:bCs/>
                <w:sz w:val="20"/>
                <w:szCs w:val="20"/>
                <w:lang w:val="sr-Cyrl-CS"/>
              </w:rPr>
              <w:t>резултата</w:t>
            </w:r>
            <w:r w:rsidRPr="00AA19A8">
              <w:rPr>
                <w:rFonts w:ascii="Times New Roman" w:hAnsi="Times New Roman" w:cs="Times New Roman"/>
                <w:b/>
                <w:bCs/>
                <w:sz w:val="20"/>
                <w:szCs w:val="20"/>
                <w:lang w:val="sr-Cyrl-CS"/>
              </w:rPr>
              <w:t>)</w:t>
            </w:r>
          </w:p>
        </w:tc>
        <w:tc>
          <w:tcPr>
            <w:tcW w:w="3133" w:type="dxa"/>
            <w:gridSpan w:val="10"/>
            <w:shd w:val="clear" w:color="auto" w:fill="ECECEC"/>
            <w:vAlign w:val="center"/>
          </w:tcPr>
          <w:p w14:paraId="768883FB"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38" w:type="dxa"/>
            <w:gridSpan w:val="6"/>
            <w:shd w:val="clear" w:color="auto" w:fill="ECECEC"/>
            <w:vAlign w:val="center"/>
          </w:tcPr>
          <w:p w14:paraId="6E3C3356"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5" w:type="dxa"/>
            <w:gridSpan w:val="15"/>
            <w:shd w:val="clear" w:color="auto" w:fill="ECECEC"/>
            <w:vAlign w:val="center"/>
          </w:tcPr>
          <w:p w14:paraId="168A4D86" w14:textId="45712602"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31" w:type="dxa"/>
            <w:gridSpan w:val="16"/>
            <w:shd w:val="clear" w:color="auto" w:fill="ECECEC"/>
            <w:vAlign w:val="center"/>
          </w:tcPr>
          <w:p w14:paraId="52CCDB14"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0" w:type="dxa"/>
            <w:gridSpan w:val="10"/>
            <w:shd w:val="clear" w:color="auto" w:fill="ECECEC"/>
            <w:vAlign w:val="center"/>
          </w:tcPr>
          <w:p w14:paraId="17FD8076"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Циљaна вредност</w:t>
            </w:r>
          </w:p>
          <w:p w14:paraId="7335DB72"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137" w:type="dxa"/>
            <w:gridSpan w:val="10"/>
            <w:shd w:val="clear" w:color="auto" w:fill="ECECEC"/>
            <w:vAlign w:val="center"/>
          </w:tcPr>
          <w:p w14:paraId="7430A789"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Циљaна вредност 2027</w:t>
            </w:r>
          </w:p>
        </w:tc>
        <w:tc>
          <w:tcPr>
            <w:tcW w:w="1097" w:type="dxa"/>
            <w:gridSpan w:val="4"/>
            <w:shd w:val="clear" w:color="auto" w:fill="ECECEC"/>
            <w:vAlign w:val="center"/>
          </w:tcPr>
          <w:p w14:paraId="09982E2E"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Циљaна вредност</w:t>
            </w:r>
          </w:p>
          <w:p w14:paraId="2E30547B"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420700E9" w14:textId="77777777" w:rsidTr="006B65DC">
        <w:trPr>
          <w:cantSplit/>
          <w:trHeight w:val="1253"/>
        </w:trPr>
        <w:tc>
          <w:tcPr>
            <w:tcW w:w="2525" w:type="dxa"/>
            <w:gridSpan w:val="4"/>
            <w:vAlign w:val="center"/>
          </w:tcPr>
          <w:p w14:paraId="38661F61"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 развијених методолошких оквира за ревизију</w:t>
            </w:r>
          </w:p>
        </w:tc>
        <w:tc>
          <w:tcPr>
            <w:tcW w:w="3133" w:type="dxa"/>
            <w:gridSpan w:val="10"/>
            <w:vAlign w:val="center"/>
          </w:tcPr>
          <w:p w14:paraId="40CE9392"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w:t>
            </w:r>
          </w:p>
        </w:tc>
        <w:tc>
          <w:tcPr>
            <w:tcW w:w="2638" w:type="dxa"/>
            <w:gridSpan w:val="6"/>
            <w:vAlign w:val="center"/>
          </w:tcPr>
          <w:p w14:paraId="50001EE1"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Одлука о усвајању</w:t>
            </w:r>
          </w:p>
        </w:tc>
        <w:tc>
          <w:tcPr>
            <w:tcW w:w="2145" w:type="dxa"/>
            <w:gridSpan w:val="15"/>
            <w:vAlign w:val="center"/>
          </w:tcPr>
          <w:p w14:paraId="2FAD8B96"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0</w:t>
            </w:r>
          </w:p>
        </w:tc>
        <w:tc>
          <w:tcPr>
            <w:tcW w:w="2131" w:type="dxa"/>
            <w:gridSpan w:val="16"/>
            <w:vAlign w:val="center"/>
          </w:tcPr>
          <w:p w14:paraId="2FD0B7E9"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0" w:type="dxa"/>
            <w:gridSpan w:val="10"/>
            <w:vAlign w:val="center"/>
          </w:tcPr>
          <w:p w14:paraId="752C24E2"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w:t>
            </w:r>
          </w:p>
        </w:tc>
        <w:tc>
          <w:tcPr>
            <w:tcW w:w="1137" w:type="dxa"/>
            <w:gridSpan w:val="10"/>
            <w:vAlign w:val="center"/>
          </w:tcPr>
          <w:p w14:paraId="398FD7A1"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5E501A1F"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2F021460" w14:textId="77777777" w:rsidTr="006B65DC">
        <w:trPr>
          <w:cantSplit/>
          <w:trHeight w:val="624"/>
        </w:trPr>
        <w:tc>
          <w:tcPr>
            <w:tcW w:w="2525" w:type="dxa"/>
            <w:gridSpan w:val="4"/>
            <w:vMerge w:val="restart"/>
            <w:shd w:val="clear" w:color="auto" w:fill="ECECEC"/>
            <w:vAlign w:val="center"/>
          </w:tcPr>
          <w:p w14:paraId="21BAC8D5"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53" w:type="dxa"/>
            <w:gridSpan w:val="4"/>
            <w:vMerge w:val="restart"/>
            <w:shd w:val="clear" w:color="auto" w:fill="ECECEC"/>
            <w:vAlign w:val="center"/>
          </w:tcPr>
          <w:p w14:paraId="15B75339"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0" w:type="dxa"/>
            <w:gridSpan w:val="6"/>
            <w:vMerge w:val="restart"/>
            <w:shd w:val="clear" w:color="auto" w:fill="ECECEC"/>
            <w:vAlign w:val="center"/>
          </w:tcPr>
          <w:p w14:paraId="35005BE5"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38" w:type="dxa"/>
            <w:gridSpan w:val="6"/>
            <w:vMerge w:val="restart"/>
            <w:shd w:val="clear" w:color="auto" w:fill="ECECEC"/>
            <w:vAlign w:val="center"/>
          </w:tcPr>
          <w:p w14:paraId="69D21DC8"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80" w:type="dxa"/>
            <w:gridSpan w:val="55"/>
            <w:shd w:val="clear" w:color="auto" w:fill="ECECEC"/>
            <w:vAlign w:val="center"/>
          </w:tcPr>
          <w:p w14:paraId="3CCD6756"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506893AE" w14:textId="77777777" w:rsidTr="006B65DC">
        <w:trPr>
          <w:cantSplit/>
          <w:trHeight w:val="1253"/>
        </w:trPr>
        <w:tc>
          <w:tcPr>
            <w:tcW w:w="2525" w:type="dxa"/>
            <w:gridSpan w:val="4"/>
            <w:vMerge/>
            <w:shd w:val="clear" w:color="auto" w:fill="ECECEC"/>
            <w:vAlign w:val="center"/>
          </w:tcPr>
          <w:p w14:paraId="7DD4814F" w14:textId="77777777" w:rsidR="00F617BE" w:rsidRPr="00AA19A8" w:rsidRDefault="00F617BE" w:rsidP="00F617BE">
            <w:pPr>
              <w:rPr>
                <w:rFonts w:ascii="Times New Roman" w:hAnsi="Times New Roman" w:cs="Times New Roman"/>
                <w:b/>
                <w:bCs/>
                <w:sz w:val="20"/>
                <w:szCs w:val="20"/>
                <w:lang w:val="sr-Cyrl-CS"/>
              </w:rPr>
            </w:pPr>
          </w:p>
        </w:tc>
        <w:tc>
          <w:tcPr>
            <w:tcW w:w="1553" w:type="dxa"/>
            <w:gridSpan w:val="4"/>
            <w:vMerge/>
            <w:shd w:val="clear" w:color="auto" w:fill="ECECEC"/>
            <w:vAlign w:val="center"/>
          </w:tcPr>
          <w:p w14:paraId="5C71BD1E" w14:textId="77777777" w:rsidR="00F617BE" w:rsidRPr="00AA19A8" w:rsidRDefault="00F617BE" w:rsidP="00152C57">
            <w:pPr>
              <w:jc w:val="center"/>
              <w:rPr>
                <w:rFonts w:ascii="Times New Roman" w:hAnsi="Times New Roman" w:cs="Times New Roman"/>
                <w:b/>
                <w:bCs/>
                <w:sz w:val="20"/>
                <w:szCs w:val="20"/>
                <w:lang w:val="sr-Cyrl-CS"/>
              </w:rPr>
            </w:pPr>
          </w:p>
        </w:tc>
        <w:tc>
          <w:tcPr>
            <w:tcW w:w="1580" w:type="dxa"/>
            <w:gridSpan w:val="6"/>
            <w:vMerge/>
            <w:shd w:val="clear" w:color="auto" w:fill="ECECEC"/>
            <w:vAlign w:val="center"/>
          </w:tcPr>
          <w:p w14:paraId="127106D6" w14:textId="77777777" w:rsidR="00F617BE" w:rsidRPr="00AA19A8" w:rsidRDefault="00F617BE" w:rsidP="00152C57">
            <w:pPr>
              <w:jc w:val="center"/>
              <w:rPr>
                <w:rFonts w:ascii="Times New Roman" w:hAnsi="Times New Roman" w:cs="Times New Roman"/>
                <w:b/>
                <w:bCs/>
                <w:sz w:val="20"/>
                <w:szCs w:val="20"/>
                <w:lang w:val="sr-Cyrl-CS"/>
              </w:rPr>
            </w:pPr>
          </w:p>
        </w:tc>
        <w:tc>
          <w:tcPr>
            <w:tcW w:w="2638" w:type="dxa"/>
            <w:gridSpan w:val="6"/>
            <w:vMerge/>
            <w:shd w:val="clear" w:color="auto" w:fill="ECECEC"/>
            <w:vAlign w:val="center"/>
          </w:tcPr>
          <w:p w14:paraId="151FF88A" w14:textId="77777777" w:rsidR="00F617BE" w:rsidRPr="00AA19A8" w:rsidRDefault="00F617BE" w:rsidP="00152C57">
            <w:pPr>
              <w:jc w:val="center"/>
              <w:rPr>
                <w:rFonts w:ascii="Times New Roman" w:hAnsi="Times New Roman" w:cs="Times New Roman"/>
                <w:b/>
                <w:bCs/>
                <w:sz w:val="20"/>
                <w:szCs w:val="20"/>
                <w:lang w:val="sr-Cyrl-CS"/>
              </w:rPr>
            </w:pPr>
          </w:p>
        </w:tc>
        <w:tc>
          <w:tcPr>
            <w:tcW w:w="2145" w:type="dxa"/>
            <w:gridSpan w:val="15"/>
            <w:shd w:val="clear" w:color="auto" w:fill="ECECEC"/>
            <w:vAlign w:val="center"/>
          </w:tcPr>
          <w:p w14:paraId="068E93D6"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71" w:type="dxa"/>
            <w:gridSpan w:val="17"/>
            <w:shd w:val="clear" w:color="auto" w:fill="ECECEC"/>
            <w:vAlign w:val="center"/>
          </w:tcPr>
          <w:p w14:paraId="26CA3A15"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2" w:type="dxa"/>
            <w:gridSpan w:val="10"/>
            <w:shd w:val="clear" w:color="auto" w:fill="ECECEC"/>
            <w:vAlign w:val="center"/>
          </w:tcPr>
          <w:p w14:paraId="3722FA17"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95" w:type="dxa"/>
            <w:gridSpan w:val="9"/>
            <w:shd w:val="clear" w:color="auto" w:fill="ECECEC"/>
            <w:vAlign w:val="center"/>
          </w:tcPr>
          <w:p w14:paraId="53E1229D"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7EF9CE34"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0DCFE996" w14:textId="77777777" w:rsidTr="006B65DC">
        <w:trPr>
          <w:cantSplit/>
          <w:trHeight w:val="1701"/>
        </w:trPr>
        <w:tc>
          <w:tcPr>
            <w:tcW w:w="2525" w:type="dxa"/>
            <w:gridSpan w:val="4"/>
            <w:vAlign w:val="center"/>
          </w:tcPr>
          <w:p w14:paraId="56F65E8A"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3.1.1 Попуњавање групе за интерну ревизију Генералног секретаријата и служби Владе запошљавањем интерних ревизора</w:t>
            </w:r>
          </w:p>
        </w:tc>
        <w:tc>
          <w:tcPr>
            <w:tcW w:w="1553" w:type="dxa"/>
            <w:gridSpan w:val="4"/>
            <w:vAlign w:val="center"/>
          </w:tcPr>
          <w:p w14:paraId="4495B64A" w14:textId="19F5554E"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w:t>
            </w:r>
            <w:r w:rsidR="00320DEC" w:rsidRPr="00AA19A8">
              <w:rPr>
                <w:rFonts w:ascii="Times New Roman" w:hAnsi="Times New Roman" w:cs="Times New Roman"/>
                <w:sz w:val="20"/>
                <w:szCs w:val="20"/>
                <w:lang w:val="sr-Cyrl-CS"/>
              </w:rPr>
              <w:t>7</w:t>
            </w:r>
          </w:p>
        </w:tc>
        <w:tc>
          <w:tcPr>
            <w:tcW w:w="1580" w:type="dxa"/>
            <w:gridSpan w:val="6"/>
            <w:vAlign w:val="center"/>
          </w:tcPr>
          <w:p w14:paraId="3E7F0CC6"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Канцелaрија за ревизију система управљања средствима ЕУ</w:t>
            </w:r>
          </w:p>
        </w:tc>
        <w:tc>
          <w:tcPr>
            <w:tcW w:w="2638" w:type="dxa"/>
            <w:gridSpan w:val="6"/>
            <w:vAlign w:val="center"/>
          </w:tcPr>
          <w:p w14:paraId="2B19E43E"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Служба за управљање кадровима</w:t>
            </w:r>
          </w:p>
        </w:tc>
        <w:tc>
          <w:tcPr>
            <w:tcW w:w="2145" w:type="dxa"/>
            <w:gridSpan w:val="15"/>
            <w:vAlign w:val="center"/>
          </w:tcPr>
          <w:p w14:paraId="1B55EFF9"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tc>
        <w:tc>
          <w:tcPr>
            <w:tcW w:w="2171" w:type="dxa"/>
            <w:gridSpan w:val="17"/>
            <w:vAlign w:val="center"/>
          </w:tcPr>
          <w:p w14:paraId="4AE3E7F1"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2301-0001</w:t>
            </w:r>
          </w:p>
        </w:tc>
        <w:tc>
          <w:tcPr>
            <w:tcW w:w="1072" w:type="dxa"/>
            <w:gridSpan w:val="10"/>
            <w:vAlign w:val="center"/>
          </w:tcPr>
          <w:p w14:paraId="2445E324"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8.000</w:t>
            </w:r>
          </w:p>
        </w:tc>
        <w:tc>
          <w:tcPr>
            <w:tcW w:w="1095" w:type="dxa"/>
            <w:gridSpan w:val="9"/>
            <w:vAlign w:val="center"/>
          </w:tcPr>
          <w:p w14:paraId="2827A6B5"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8.000</w:t>
            </w:r>
          </w:p>
        </w:tc>
        <w:tc>
          <w:tcPr>
            <w:tcW w:w="1097" w:type="dxa"/>
            <w:gridSpan w:val="4"/>
            <w:vAlign w:val="center"/>
          </w:tcPr>
          <w:p w14:paraId="1433444D"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8.000</w:t>
            </w:r>
          </w:p>
        </w:tc>
      </w:tr>
      <w:tr w:rsidR="00D30238" w:rsidRPr="00AA19A8" w14:paraId="6656115C" w14:textId="77777777" w:rsidTr="006B65DC">
        <w:trPr>
          <w:cantSplit/>
          <w:trHeight w:val="1253"/>
        </w:trPr>
        <w:tc>
          <w:tcPr>
            <w:tcW w:w="2525" w:type="dxa"/>
            <w:gridSpan w:val="4"/>
            <w:vAlign w:val="center"/>
          </w:tcPr>
          <w:p w14:paraId="7C40C806" w14:textId="2B72A7CE"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 xml:space="preserve">3.1.2  Развој методолошког оквира за ревизију </w:t>
            </w:r>
            <w:r w:rsidR="00F406D9" w:rsidRPr="00AA19A8">
              <w:rPr>
                <w:rFonts w:ascii="Times New Roman" w:hAnsi="Times New Roman" w:cs="Times New Roman"/>
                <w:i/>
                <w:iCs/>
                <w:sz w:val="20"/>
                <w:szCs w:val="20"/>
                <w:lang w:val="sr-Cyrl-CS"/>
              </w:rPr>
              <w:t>IPARD</w:t>
            </w:r>
            <w:r w:rsidRPr="00AA19A8">
              <w:rPr>
                <w:rFonts w:ascii="Times New Roman" w:hAnsi="Times New Roman" w:cs="Times New Roman"/>
                <w:sz w:val="20"/>
                <w:szCs w:val="20"/>
                <w:lang w:val="sr-Cyrl-CS"/>
              </w:rPr>
              <w:t xml:space="preserve"> III (мере 4 и </w:t>
            </w:r>
            <w:r w:rsidR="003E7DB4" w:rsidRPr="00AA19A8">
              <w:rPr>
                <w:rFonts w:ascii="Times New Roman" w:hAnsi="Times New Roman" w:cs="Times New Roman"/>
                <w:sz w:val="20"/>
                <w:szCs w:val="20"/>
                <w:lang w:val="sr-Cyrl-CS"/>
              </w:rPr>
              <w:t>6</w:t>
            </w:r>
            <w:r w:rsidRPr="00AA19A8">
              <w:rPr>
                <w:rFonts w:ascii="Times New Roman" w:hAnsi="Times New Roman" w:cs="Times New Roman"/>
                <w:sz w:val="20"/>
                <w:szCs w:val="20"/>
                <w:lang w:val="sr-Cyrl-CS"/>
              </w:rPr>
              <w:t>) у складу са захтевима ЕУ</w:t>
            </w:r>
          </w:p>
        </w:tc>
        <w:tc>
          <w:tcPr>
            <w:tcW w:w="1553" w:type="dxa"/>
            <w:gridSpan w:val="4"/>
            <w:vAlign w:val="center"/>
          </w:tcPr>
          <w:p w14:paraId="5C4698A5"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80" w:type="dxa"/>
            <w:gridSpan w:val="6"/>
            <w:vAlign w:val="center"/>
          </w:tcPr>
          <w:p w14:paraId="1B5AE58F"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Канцелaрија за ревизију система управљања средствима ЕУ</w:t>
            </w:r>
          </w:p>
        </w:tc>
        <w:tc>
          <w:tcPr>
            <w:tcW w:w="2638" w:type="dxa"/>
            <w:gridSpan w:val="6"/>
            <w:vAlign w:val="center"/>
          </w:tcPr>
          <w:p w14:paraId="09255CD8" w14:textId="77777777" w:rsidR="00F617BE" w:rsidRPr="00AA19A8" w:rsidRDefault="00F617BE" w:rsidP="00152C57">
            <w:pPr>
              <w:jc w:val="center"/>
              <w:rPr>
                <w:rFonts w:ascii="Times New Roman" w:hAnsi="Times New Roman" w:cs="Times New Roman"/>
                <w:sz w:val="20"/>
                <w:szCs w:val="20"/>
                <w:lang w:val="sr-Cyrl-CS"/>
              </w:rPr>
            </w:pPr>
          </w:p>
        </w:tc>
        <w:tc>
          <w:tcPr>
            <w:tcW w:w="2145" w:type="dxa"/>
            <w:gridSpan w:val="15"/>
            <w:vAlign w:val="center"/>
          </w:tcPr>
          <w:p w14:paraId="79677F4A"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Донаторска средства - </w:t>
            </w:r>
            <w:r w:rsidRPr="00AA19A8">
              <w:rPr>
                <w:rFonts w:ascii="Times New Roman" w:hAnsi="Times New Roman" w:cs="Times New Roman"/>
                <w:i/>
                <w:iCs/>
                <w:sz w:val="20"/>
                <w:szCs w:val="20"/>
                <w:lang w:val="sr-Cyrl-CS"/>
              </w:rPr>
              <w:t>TAIEX</w:t>
            </w:r>
            <w:r w:rsidRPr="00AA19A8">
              <w:rPr>
                <w:rFonts w:ascii="Times New Roman" w:hAnsi="Times New Roman" w:cs="Times New Roman"/>
                <w:sz w:val="20"/>
                <w:szCs w:val="20"/>
                <w:lang w:val="sr-Cyrl-CS"/>
              </w:rPr>
              <w:footnoteReference w:id="2"/>
            </w:r>
          </w:p>
        </w:tc>
        <w:tc>
          <w:tcPr>
            <w:tcW w:w="2171" w:type="dxa"/>
            <w:gridSpan w:val="17"/>
            <w:vAlign w:val="center"/>
          </w:tcPr>
          <w:p w14:paraId="128B3C43" w14:textId="77777777" w:rsidR="00F617BE" w:rsidRPr="00AA19A8" w:rsidRDefault="00F617BE" w:rsidP="00152C57">
            <w:pPr>
              <w:jc w:val="center"/>
              <w:rPr>
                <w:rFonts w:ascii="Times New Roman" w:hAnsi="Times New Roman" w:cs="Times New Roman"/>
                <w:sz w:val="20"/>
                <w:szCs w:val="20"/>
                <w:lang w:val="sr-Cyrl-CS"/>
              </w:rPr>
            </w:pPr>
          </w:p>
        </w:tc>
        <w:tc>
          <w:tcPr>
            <w:tcW w:w="1072" w:type="dxa"/>
            <w:gridSpan w:val="10"/>
            <w:vAlign w:val="center"/>
          </w:tcPr>
          <w:p w14:paraId="02938BEB"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5" w:type="dxa"/>
            <w:gridSpan w:val="9"/>
            <w:vAlign w:val="center"/>
          </w:tcPr>
          <w:p w14:paraId="716B64F9"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400DA3EA"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FD28A5D" w14:textId="77777777" w:rsidTr="006B65DC">
        <w:trPr>
          <w:cantSplit/>
          <w:trHeight w:val="1253"/>
        </w:trPr>
        <w:tc>
          <w:tcPr>
            <w:tcW w:w="2525" w:type="dxa"/>
            <w:gridSpan w:val="4"/>
            <w:vAlign w:val="center"/>
          </w:tcPr>
          <w:p w14:paraId="0EE4EFF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3.1.3  Развој методолошког оквира за ревизију Инструмента за реформе и раст</w:t>
            </w:r>
          </w:p>
        </w:tc>
        <w:tc>
          <w:tcPr>
            <w:tcW w:w="1553" w:type="dxa"/>
            <w:gridSpan w:val="4"/>
            <w:vAlign w:val="center"/>
          </w:tcPr>
          <w:p w14:paraId="7FD6554E"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80" w:type="dxa"/>
            <w:gridSpan w:val="6"/>
            <w:vAlign w:val="center"/>
          </w:tcPr>
          <w:p w14:paraId="5C93803A"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Канцелaрија за ревизију система управљања средствима ЕУ</w:t>
            </w:r>
          </w:p>
        </w:tc>
        <w:tc>
          <w:tcPr>
            <w:tcW w:w="2638" w:type="dxa"/>
            <w:gridSpan w:val="6"/>
            <w:vAlign w:val="center"/>
          </w:tcPr>
          <w:p w14:paraId="21AB2AAE" w14:textId="77777777" w:rsidR="00F617BE" w:rsidRPr="00AA19A8" w:rsidRDefault="00F617BE" w:rsidP="00152C57">
            <w:pPr>
              <w:jc w:val="center"/>
              <w:rPr>
                <w:rFonts w:ascii="Times New Roman" w:hAnsi="Times New Roman" w:cs="Times New Roman"/>
                <w:sz w:val="20"/>
                <w:szCs w:val="20"/>
                <w:lang w:val="sr-Cyrl-CS"/>
              </w:rPr>
            </w:pPr>
          </w:p>
        </w:tc>
        <w:tc>
          <w:tcPr>
            <w:tcW w:w="2145" w:type="dxa"/>
            <w:gridSpan w:val="15"/>
            <w:vAlign w:val="center"/>
          </w:tcPr>
          <w:p w14:paraId="3E91277C"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71" w:type="dxa"/>
            <w:gridSpan w:val="17"/>
            <w:vAlign w:val="center"/>
          </w:tcPr>
          <w:p w14:paraId="61A48474" w14:textId="77777777" w:rsidR="00F617BE" w:rsidRPr="00AA19A8" w:rsidRDefault="00F617BE" w:rsidP="00152C57">
            <w:pPr>
              <w:jc w:val="center"/>
              <w:rPr>
                <w:rFonts w:ascii="Times New Roman" w:hAnsi="Times New Roman" w:cs="Times New Roman"/>
                <w:sz w:val="20"/>
                <w:szCs w:val="20"/>
                <w:lang w:val="sr-Cyrl-CS"/>
              </w:rPr>
            </w:pPr>
          </w:p>
        </w:tc>
        <w:tc>
          <w:tcPr>
            <w:tcW w:w="1072" w:type="dxa"/>
            <w:gridSpan w:val="10"/>
            <w:vAlign w:val="center"/>
          </w:tcPr>
          <w:p w14:paraId="7F7A501F"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2.520</w:t>
            </w:r>
          </w:p>
        </w:tc>
        <w:tc>
          <w:tcPr>
            <w:tcW w:w="1095" w:type="dxa"/>
            <w:gridSpan w:val="9"/>
            <w:vAlign w:val="center"/>
          </w:tcPr>
          <w:p w14:paraId="1260AA61"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2174FB1F"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501289A5" w14:textId="77777777" w:rsidTr="006B65DC">
        <w:trPr>
          <w:cantSplit/>
          <w:trHeight w:val="1701"/>
        </w:trPr>
        <w:tc>
          <w:tcPr>
            <w:tcW w:w="2525" w:type="dxa"/>
            <w:gridSpan w:val="4"/>
            <w:vAlign w:val="center"/>
          </w:tcPr>
          <w:p w14:paraId="6B12CAC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3.1.4 Развој капацитета за контролу и ревизију инструмента за реформу и раст кроз циљане обуке</w:t>
            </w:r>
          </w:p>
        </w:tc>
        <w:tc>
          <w:tcPr>
            <w:tcW w:w="1553" w:type="dxa"/>
            <w:gridSpan w:val="4"/>
            <w:vAlign w:val="center"/>
          </w:tcPr>
          <w:p w14:paraId="4AFB2371"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80" w:type="dxa"/>
            <w:gridSpan w:val="6"/>
            <w:vAlign w:val="center"/>
          </w:tcPr>
          <w:p w14:paraId="1F8B8164"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Канцеларија за ревизију система управљања средствима ЕУ, МФ, МЕИ, ДРИ.</w:t>
            </w:r>
          </w:p>
        </w:tc>
        <w:tc>
          <w:tcPr>
            <w:tcW w:w="2638" w:type="dxa"/>
            <w:gridSpan w:val="6"/>
            <w:vAlign w:val="center"/>
          </w:tcPr>
          <w:p w14:paraId="45EF9CEA" w14:textId="77777777" w:rsidR="00F617BE" w:rsidRPr="00AA19A8" w:rsidRDefault="00F617BE" w:rsidP="00152C57">
            <w:pPr>
              <w:jc w:val="center"/>
              <w:rPr>
                <w:rFonts w:ascii="Times New Roman" w:hAnsi="Times New Roman" w:cs="Times New Roman"/>
                <w:sz w:val="20"/>
                <w:szCs w:val="20"/>
                <w:lang w:val="sr-Cyrl-CS"/>
              </w:rPr>
            </w:pPr>
          </w:p>
        </w:tc>
        <w:tc>
          <w:tcPr>
            <w:tcW w:w="2145" w:type="dxa"/>
            <w:gridSpan w:val="15"/>
            <w:vAlign w:val="center"/>
          </w:tcPr>
          <w:p w14:paraId="146390B5"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71" w:type="dxa"/>
            <w:gridSpan w:val="17"/>
            <w:vAlign w:val="center"/>
          </w:tcPr>
          <w:p w14:paraId="4AB31F1C" w14:textId="77777777" w:rsidR="00F617BE" w:rsidRPr="00AA19A8" w:rsidRDefault="00F617BE" w:rsidP="00152C57">
            <w:pPr>
              <w:jc w:val="center"/>
              <w:rPr>
                <w:rFonts w:ascii="Times New Roman" w:hAnsi="Times New Roman" w:cs="Times New Roman"/>
                <w:sz w:val="20"/>
                <w:szCs w:val="20"/>
                <w:lang w:val="sr-Cyrl-CS"/>
              </w:rPr>
            </w:pPr>
          </w:p>
        </w:tc>
        <w:tc>
          <w:tcPr>
            <w:tcW w:w="1072" w:type="dxa"/>
            <w:gridSpan w:val="10"/>
            <w:vAlign w:val="center"/>
          </w:tcPr>
          <w:p w14:paraId="54BD4738"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2.400</w:t>
            </w:r>
          </w:p>
        </w:tc>
        <w:tc>
          <w:tcPr>
            <w:tcW w:w="1095" w:type="dxa"/>
            <w:gridSpan w:val="9"/>
            <w:vAlign w:val="center"/>
          </w:tcPr>
          <w:p w14:paraId="7C620535"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576EC899" w14:textId="77777777" w:rsidR="00F617BE" w:rsidRPr="00AA19A8" w:rsidRDefault="00F617BE" w:rsidP="00152C5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52698A67" w14:textId="77777777" w:rsidTr="00BA7E6D">
        <w:trPr>
          <w:cantSplit/>
          <w:trHeight w:val="805"/>
        </w:trPr>
        <w:tc>
          <w:tcPr>
            <w:tcW w:w="15876" w:type="dxa"/>
            <w:gridSpan w:val="75"/>
            <w:shd w:val="clear" w:color="auto" w:fill="ECECEC"/>
            <w:vAlign w:val="center"/>
          </w:tcPr>
          <w:p w14:paraId="723766A4" w14:textId="24577A32" w:rsidR="00F617BE" w:rsidRPr="00AA19A8" w:rsidRDefault="00F617BE" w:rsidP="00F617BE">
            <w:pPr>
              <w:rPr>
                <w:rFonts w:ascii="Times New Roman" w:hAnsi="Times New Roman" w:cs="Times New Roman"/>
                <w:b/>
                <w:bCs/>
                <w:i/>
                <w:iCs/>
                <w:sz w:val="20"/>
                <w:szCs w:val="20"/>
                <w:lang w:val="sr-Cyrl-CS"/>
              </w:rPr>
            </w:pPr>
            <w:bookmarkStart w:id="42" w:name="_Toc73613686"/>
            <w:r w:rsidRPr="00AA19A8">
              <w:rPr>
                <w:rFonts w:ascii="Times New Roman" w:hAnsi="Times New Roman" w:cs="Times New Roman"/>
                <w:b/>
                <w:bCs/>
                <w:i/>
                <w:iCs/>
                <w:sz w:val="20"/>
                <w:szCs w:val="20"/>
                <w:lang w:val="sr-Cyrl-CS"/>
              </w:rPr>
              <w:t>Me</w:t>
            </w:r>
            <w:r w:rsidR="00152C57" w:rsidRPr="00AA19A8">
              <w:rPr>
                <w:rFonts w:ascii="Times New Roman" w:hAnsi="Times New Roman" w:cs="Times New Roman"/>
                <w:b/>
                <w:bCs/>
                <w:i/>
                <w:iCs/>
                <w:sz w:val="20"/>
                <w:szCs w:val="20"/>
                <w:lang w:val="sr-Cyrl-CS"/>
              </w:rPr>
              <w:t>р</w:t>
            </w:r>
            <w:r w:rsidRPr="00AA19A8">
              <w:rPr>
                <w:rFonts w:ascii="Times New Roman" w:hAnsi="Times New Roman" w:cs="Times New Roman"/>
                <w:b/>
                <w:bCs/>
                <w:i/>
                <w:iCs/>
                <w:sz w:val="20"/>
                <w:szCs w:val="20"/>
                <w:lang w:val="sr-Cyrl-CS"/>
              </w:rPr>
              <w:t>a 3.2: Јачање система за ефикасније и делотворније управљање средствима ЕУ</w:t>
            </w:r>
            <w:bookmarkEnd w:id="42"/>
            <w:r w:rsidRPr="00AA19A8">
              <w:rPr>
                <w:rFonts w:ascii="Times New Roman" w:hAnsi="Times New Roman" w:cs="Times New Roman"/>
                <w:b/>
                <w:bCs/>
                <w:i/>
                <w:iCs/>
                <w:sz w:val="20"/>
                <w:szCs w:val="20"/>
                <w:lang w:val="sr-Cyrl-CS"/>
              </w:rPr>
              <w:t xml:space="preserve"> и оснаживање капацитета надлежних институција у области заштите финансијских интереса ЕУ</w:t>
            </w:r>
          </w:p>
        </w:tc>
      </w:tr>
      <w:tr w:rsidR="00D30238" w:rsidRPr="00AA19A8" w14:paraId="34EEB00E" w14:textId="77777777" w:rsidTr="006B65DC">
        <w:trPr>
          <w:cantSplit/>
          <w:trHeight w:val="804"/>
        </w:trPr>
        <w:tc>
          <w:tcPr>
            <w:tcW w:w="2525" w:type="dxa"/>
            <w:gridSpan w:val="4"/>
            <w:shd w:val="clear" w:color="auto" w:fill="ECECEC"/>
            <w:vAlign w:val="center"/>
          </w:tcPr>
          <w:p w14:paraId="35EF6FC1"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49" w:type="dxa"/>
            <w:gridSpan w:val="11"/>
            <w:shd w:val="clear" w:color="auto" w:fill="ECECEC"/>
            <w:vAlign w:val="center"/>
          </w:tcPr>
          <w:p w14:paraId="3D9F0CE4" w14:textId="77777777" w:rsidR="00F617BE" w:rsidRPr="00AA19A8" w:rsidRDefault="00F617BE" w:rsidP="00152C5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02" w:type="dxa"/>
            <w:gridSpan w:val="60"/>
            <w:shd w:val="clear" w:color="auto" w:fill="ECECEC"/>
            <w:vAlign w:val="center"/>
          </w:tcPr>
          <w:p w14:paraId="19BE4F23" w14:textId="77777777" w:rsidR="00F617BE" w:rsidRPr="00AA19A8" w:rsidRDefault="00F617BE" w:rsidP="00152C5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4BE1AB25" w14:textId="77777777" w:rsidTr="006B65DC">
        <w:trPr>
          <w:cantSplit/>
          <w:trHeight w:val="804"/>
        </w:trPr>
        <w:tc>
          <w:tcPr>
            <w:tcW w:w="2525" w:type="dxa"/>
            <w:gridSpan w:val="4"/>
            <w:shd w:val="clear" w:color="auto" w:fill="ECECEC"/>
            <w:vAlign w:val="center"/>
          </w:tcPr>
          <w:p w14:paraId="43E4E7B8"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49" w:type="dxa"/>
            <w:gridSpan w:val="11"/>
            <w:shd w:val="clear" w:color="auto" w:fill="ECECEC"/>
            <w:vAlign w:val="center"/>
          </w:tcPr>
          <w:p w14:paraId="3F9A677E" w14:textId="77777777" w:rsidR="00F617BE" w:rsidRPr="00AA19A8" w:rsidRDefault="00F617BE" w:rsidP="00152C5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0615-0001</w:t>
            </w:r>
          </w:p>
          <w:p w14:paraId="21812AF6" w14:textId="77777777" w:rsidR="00F617BE" w:rsidRPr="00AA19A8" w:rsidRDefault="00F617BE" w:rsidP="00152C5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2301-0014</w:t>
            </w:r>
          </w:p>
        </w:tc>
        <w:tc>
          <w:tcPr>
            <w:tcW w:w="3381" w:type="dxa"/>
            <w:gridSpan w:val="11"/>
            <w:shd w:val="clear" w:color="auto" w:fill="ECECEC"/>
            <w:vAlign w:val="center"/>
          </w:tcPr>
          <w:p w14:paraId="7359DF34" w14:textId="77777777" w:rsidR="00F617BE" w:rsidRPr="00AA19A8" w:rsidRDefault="00F617BE" w:rsidP="00152C5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10.122,48</w:t>
            </w:r>
          </w:p>
        </w:tc>
        <w:tc>
          <w:tcPr>
            <w:tcW w:w="3383" w:type="dxa"/>
            <w:gridSpan w:val="21"/>
            <w:shd w:val="clear" w:color="auto" w:fill="ECECEC"/>
            <w:vAlign w:val="center"/>
          </w:tcPr>
          <w:p w14:paraId="59D4C4CD" w14:textId="77777777" w:rsidR="00F617BE" w:rsidRPr="00AA19A8" w:rsidRDefault="00F617BE" w:rsidP="00152C5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26.244,97</w:t>
            </w:r>
          </w:p>
        </w:tc>
        <w:tc>
          <w:tcPr>
            <w:tcW w:w="3438" w:type="dxa"/>
            <w:gridSpan w:val="28"/>
            <w:shd w:val="clear" w:color="auto" w:fill="ECECEC"/>
            <w:vAlign w:val="center"/>
          </w:tcPr>
          <w:p w14:paraId="528ED080" w14:textId="77777777" w:rsidR="00F617BE" w:rsidRPr="00AA19A8" w:rsidRDefault="00F617BE" w:rsidP="00152C57">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20.244,97</w:t>
            </w:r>
          </w:p>
        </w:tc>
      </w:tr>
      <w:tr w:rsidR="00D30238" w:rsidRPr="00AA19A8" w14:paraId="726036BC" w14:textId="77777777" w:rsidTr="00BA7E6D">
        <w:trPr>
          <w:cantSplit/>
          <w:trHeight w:val="804"/>
        </w:trPr>
        <w:tc>
          <w:tcPr>
            <w:tcW w:w="15876" w:type="dxa"/>
            <w:gridSpan w:val="75"/>
            <w:shd w:val="clear" w:color="auto" w:fill="ECECEC"/>
            <w:vAlign w:val="center"/>
          </w:tcPr>
          <w:p w14:paraId="2B6F92D1" w14:textId="77777777" w:rsidR="00F617BE" w:rsidRPr="00AA19A8" w:rsidRDefault="00F617BE" w:rsidP="00F617BE">
            <w:pPr>
              <w:rPr>
                <w:rFonts w:ascii="Times New Roman" w:hAnsi="Times New Roman" w:cs="Times New Roman"/>
                <w:b/>
                <w:bCs/>
                <w:i/>
                <w:iCs/>
                <w:sz w:val="20"/>
                <w:szCs w:val="20"/>
                <w:lang w:val="sr-Cyrl-CS"/>
              </w:rPr>
            </w:pPr>
            <w:bookmarkStart w:id="43" w:name="_Toc73613687"/>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Сектор за управљање средствима ЕУ</w:t>
            </w:r>
            <w:bookmarkEnd w:id="43"/>
          </w:p>
        </w:tc>
      </w:tr>
      <w:tr w:rsidR="00D30238" w:rsidRPr="00AA19A8" w14:paraId="677E5B02" w14:textId="77777777" w:rsidTr="00474726">
        <w:trPr>
          <w:cantSplit/>
          <w:trHeight w:val="804"/>
        </w:trPr>
        <w:tc>
          <w:tcPr>
            <w:tcW w:w="8320" w:type="dxa"/>
            <w:gridSpan w:val="21"/>
            <w:shd w:val="clear" w:color="auto" w:fill="ECECEC"/>
            <w:vAlign w:val="center"/>
          </w:tcPr>
          <w:p w14:paraId="7020D031" w14:textId="2F0E9DCB" w:rsidR="00F617BE" w:rsidRPr="00AA19A8" w:rsidRDefault="00F617BE" w:rsidP="00F617BE">
            <w:pPr>
              <w:rPr>
                <w:rFonts w:ascii="Times New Roman" w:hAnsi="Times New Roman" w:cs="Times New Roman"/>
                <w:b/>
                <w:bCs/>
                <w:i/>
                <w:iCs/>
                <w:sz w:val="20"/>
                <w:szCs w:val="20"/>
                <w:lang w:val="sr-Cyrl-CS"/>
              </w:rPr>
            </w:pPr>
            <w:bookmarkStart w:id="44" w:name="_Toc73613688"/>
            <w:r w:rsidRPr="00AA19A8">
              <w:rPr>
                <w:rFonts w:ascii="Times New Roman" w:hAnsi="Times New Roman" w:cs="Times New Roman"/>
                <w:b/>
                <w:bCs/>
                <w:i/>
                <w:iCs/>
                <w:sz w:val="20"/>
                <w:szCs w:val="20"/>
                <w:lang w:val="sr-Cyrl-CS"/>
              </w:rPr>
              <w:t>Период спровођења: 2026-20</w:t>
            </w:r>
            <w:bookmarkEnd w:id="44"/>
            <w:r w:rsidRPr="00AA19A8">
              <w:rPr>
                <w:rFonts w:ascii="Times New Roman" w:hAnsi="Times New Roman" w:cs="Times New Roman"/>
                <w:b/>
                <w:bCs/>
                <w:i/>
                <w:iCs/>
                <w:sz w:val="20"/>
                <w:szCs w:val="20"/>
                <w:lang w:val="sr-Cyrl-CS"/>
              </w:rPr>
              <w:t>30</w:t>
            </w:r>
            <w:r w:rsidR="00713D3C" w:rsidRPr="00AA19A8">
              <w:rPr>
                <w:rFonts w:ascii="Times New Roman" w:hAnsi="Times New Roman" w:cs="Times New Roman"/>
                <w:b/>
                <w:bCs/>
                <w:i/>
                <w:iCs/>
                <w:sz w:val="20"/>
                <w:szCs w:val="20"/>
                <w:lang w:val="sr-Cyrl-CS"/>
              </w:rPr>
              <w:t>.</w:t>
            </w:r>
          </w:p>
        </w:tc>
        <w:tc>
          <w:tcPr>
            <w:tcW w:w="7556" w:type="dxa"/>
            <w:gridSpan w:val="54"/>
            <w:shd w:val="clear" w:color="auto" w:fill="ECECEC"/>
            <w:vAlign w:val="center"/>
          </w:tcPr>
          <w:p w14:paraId="35DFD86B" w14:textId="77777777" w:rsidR="00F617BE" w:rsidRPr="00AA19A8" w:rsidRDefault="00F617BE" w:rsidP="00F617BE">
            <w:pPr>
              <w:rPr>
                <w:rFonts w:ascii="Times New Roman" w:hAnsi="Times New Roman" w:cs="Times New Roman"/>
                <w:b/>
                <w:bCs/>
                <w:i/>
                <w:iCs/>
                <w:sz w:val="20"/>
                <w:szCs w:val="20"/>
                <w:lang w:val="sr-Cyrl-CS"/>
              </w:rPr>
            </w:pPr>
            <w:bookmarkStart w:id="45" w:name="_Toc73613689"/>
            <w:r w:rsidRPr="00AA19A8">
              <w:rPr>
                <w:rFonts w:ascii="Times New Roman" w:hAnsi="Times New Roman" w:cs="Times New Roman"/>
                <w:b/>
                <w:bCs/>
                <w:i/>
                <w:iCs/>
                <w:sz w:val="20"/>
                <w:szCs w:val="20"/>
                <w:lang w:val="sr-Cyrl-CS"/>
              </w:rPr>
              <w:t>Тип мере: Институционално управљачко организациона</w:t>
            </w:r>
            <w:bookmarkEnd w:id="45"/>
          </w:p>
        </w:tc>
      </w:tr>
      <w:tr w:rsidR="00D30238" w:rsidRPr="00AA19A8" w14:paraId="1D7E526F" w14:textId="77777777" w:rsidTr="00474726">
        <w:trPr>
          <w:cantSplit/>
          <w:trHeight w:val="1253"/>
        </w:trPr>
        <w:tc>
          <w:tcPr>
            <w:tcW w:w="2525" w:type="dxa"/>
            <w:gridSpan w:val="4"/>
            <w:shd w:val="clear" w:color="auto" w:fill="ECECEC"/>
            <w:vAlign w:val="center"/>
          </w:tcPr>
          <w:p w14:paraId="75764945"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lastRenderedPageBreak/>
              <w:t>Показатељ(и)  на нивоу мере (показатељ резултата)</w:t>
            </w:r>
          </w:p>
        </w:tc>
        <w:tc>
          <w:tcPr>
            <w:tcW w:w="3149" w:type="dxa"/>
            <w:gridSpan w:val="11"/>
            <w:shd w:val="clear" w:color="auto" w:fill="ECECEC"/>
            <w:vAlign w:val="center"/>
          </w:tcPr>
          <w:p w14:paraId="55E5CB55"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6" w:type="dxa"/>
            <w:gridSpan w:val="6"/>
            <w:shd w:val="clear" w:color="auto" w:fill="ECECEC"/>
            <w:vAlign w:val="center"/>
          </w:tcPr>
          <w:p w14:paraId="6BB6720A"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3" w:type="dxa"/>
            <w:gridSpan w:val="15"/>
            <w:shd w:val="clear" w:color="auto" w:fill="ECECEC"/>
            <w:vAlign w:val="center"/>
          </w:tcPr>
          <w:p w14:paraId="5141D4A1"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39" w:type="dxa"/>
            <w:gridSpan w:val="16"/>
            <w:shd w:val="clear" w:color="auto" w:fill="ECECEC"/>
            <w:vAlign w:val="center"/>
          </w:tcPr>
          <w:p w14:paraId="65870D03"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2" w:type="dxa"/>
            <w:gridSpan w:val="10"/>
            <w:shd w:val="clear" w:color="auto" w:fill="ECECEC"/>
            <w:vAlign w:val="center"/>
          </w:tcPr>
          <w:p w14:paraId="090B14D8"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95" w:type="dxa"/>
            <w:gridSpan w:val="9"/>
            <w:shd w:val="clear" w:color="auto" w:fill="ECECEC"/>
            <w:vAlign w:val="center"/>
          </w:tcPr>
          <w:p w14:paraId="092B5367"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5E2B3AFB"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3B82A19A" w14:textId="77777777" w:rsidR="00F617BE" w:rsidRPr="00AA19A8" w:rsidRDefault="00F617BE" w:rsidP="00152C57">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0A7CE659" w14:textId="77777777" w:rsidTr="00474726">
        <w:trPr>
          <w:cantSplit/>
          <w:trHeight w:val="2268"/>
        </w:trPr>
        <w:tc>
          <w:tcPr>
            <w:tcW w:w="2525" w:type="dxa"/>
            <w:gridSpan w:val="4"/>
            <w:vAlign w:val="center"/>
          </w:tcPr>
          <w:p w14:paraId="122D3CBA"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потврђених неправилности које су уочене приликом спровођења теренских и административних контрола у односу на укупан број потврђених случајева неправилности</w:t>
            </w:r>
          </w:p>
        </w:tc>
        <w:tc>
          <w:tcPr>
            <w:tcW w:w="3149" w:type="dxa"/>
            <w:gridSpan w:val="11"/>
            <w:vAlign w:val="center"/>
          </w:tcPr>
          <w:p w14:paraId="6C7F5B39"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46" w:type="dxa"/>
            <w:gridSpan w:val="6"/>
            <w:vAlign w:val="center"/>
          </w:tcPr>
          <w:p w14:paraId="6CDB87A0"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AFIS-IMS систем за извештавање</w:t>
            </w:r>
          </w:p>
          <w:p w14:paraId="3CEEF0F3"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Годишњи извештаји о спровођењу </w:t>
            </w:r>
            <w:r w:rsidRPr="00AA19A8">
              <w:rPr>
                <w:rFonts w:ascii="Times New Roman" w:hAnsi="Times New Roman" w:cs="Times New Roman"/>
                <w:i/>
                <w:iCs/>
                <w:sz w:val="20"/>
                <w:szCs w:val="20"/>
                <w:lang w:val="sr-Cyrl-CS"/>
              </w:rPr>
              <w:t>IPA</w:t>
            </w:r>
            <w:r w:rsidRPr="00AA19A8">
              <w:rPr>
                <w:rFonts w:ascii="Times New Roman" w:hAnsi="Times New Roman" w:cs="Times New Roman"/>
                <w:sz w:val="20"/>
                <w:szCs w:val="20"/>
                <w:lang w:val="sr-Cyrl-CS"/>
              </w:rPr>
              <w:t xml:space="preserve"> програма</w:t>
            </w:r>
          </w:p>
        </w:tc>
        <w:tc>
          <w:tcPr>
            <w:tcW w:w="2153" w:type="dxa"/>
            <w:gridSpan w:val="15"/>
            <w:vAlign w:val="center"/>
          </w:tcPr>
          <w:p w14:paraId="359E5C71"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w:t>
            </w:r>
          </w:p>
        </w:tc>
        <w:tc>
          <w:tcPr>
            <w:tcW w:w="2139" w:type="dxa"/>
            <w:gridSpan w:val="16"/>
            <w:vAlign w:val="center"/>
          </w:tcPr>
          <w:p w14:paraId="174D1D71"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2" w:type="dxa"/>
            <w:gridSpan w:val="10"/>
            <w:vAlign w:val="center"/>
          </w:tcPr>
          <w:p w14:paraId="046F28FC"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w:t>
            </w:r>
          </w:p>
        </w:tc>
        <w:tc>
          <w:tcPr>
            <w:tcW w:w="1095" w:type="dxa"/>
            <w:gridSpan w:val="9"/>
            <w:vAlign w:val="center"/>
          </w:tcPr>
          <w:p w14:paraId="3783F01D"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w:t>
            </w:r>
          </w:p>
        </w:tc>
        <w:tc>
          <w:tcPr>
            <w:tcW w:w="1097" w:type="dxa"/>
            <w:gridSpan w:val="4"/>
            <w:vAlign w:val="center"/>
          </w:tcPr>
          <w:p w14:paraId="5B9F5496"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w:t>
            </w:r>
          </w:p>
        </w:tc>
      </w:tr>
      <w:tr w:rsidR="00D30238" w:rsidRPr="00AA19A8" w14:paraId="2A1A9582" w14:textId="77777777" w:rsidTr="00474726">
        <w:trPr>
          <w:cantSplit/>
          <w:trHeight w:val="624"/>
        </w:trPr>
        <w:tc>
          <w:tcPr>
            <w:tcW w:w="2525" w:type="dxa"/>
            <w:gridSpan w:val="4"/>
            <w:vMerge w:val="restart"/>
            <w:shd w:val="clear" w:color="auto" w:fill="ECECEC"/>
            <w:vAlign w:val="center"/>
          </w:tcPr>
          <w:p w14:paraId="749D8E5D"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63" w:type="dxa"/>
            <w:gridSpan w:val="5"/>
            <w:vMerge w:val="restart"/>
            <w:shd w:val="clear" w:color="auto" w:fill="ECECEC"/>
            <w:vAlign w:val="center"/>
          </w:tcPr>
          <w:p w14:paraId="5B6B822A"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6" w:type="dxa"/>
            <w:gridSpan w:val="6"/>
            <w:vMerge w:val="restart"/>
            <w:shd w:val="clear" w:color="auto" w:fill="ECECEC"/>
            <w:vAlign w:val="center"/>
          </w:tcPr>
          <w:p w14:paraId="466D732D"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6" w:type="dxa"/>
            <w:gridSpan w:val="6"/>
            <w:vMerge w:val="restart"/>
            <w:shd w:val="clear" w:color="auto" w:fill="ECECEC"/>
            <w:vAlign w:val="center"/>
          </w:tcPr>
          <w:p w14:paraId="6FE87118"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56" w:type="dxa"/>
            <w:gridSpan w:val="54"/>
            <w:shd w:val="clear" w:color="auto" w:fill="ECECEC"/>
            <w:vAlign w:val="center"/>
          </w:tcPr>
          <w:p w14:paraId="43478733"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63EFFB99" w14:textId="77777777" w:rsidTr="00474726">
        <w:trPr>
          <w:cantSplit/>
          <w:trHeight w:val="1134"/>
        </w:trPr>
        <w:tc>
          <w:tcPr>
            <w:tcW w:w="2525" w:type="dxa"/>
            <w:gridSpan w:val="4"/>
            <w:vMerge/>
            <w:shd w:val="clear" w:color="auto" w:fill="ECECEC"/>
            <w:vAlign w:val="center"/>
          </w:tcPr>
          <w:p w14:paraId="58E657DE" w14:textId="77777777" w:rsidR="00F617BE" w:rsidRPr="00AA19A8" w:rsidRDefault="00F617BE" w:rsidP="00F617BE">
            <w:pPr>
              <w:rPr>
                <w:rFonts w:ascii="Times New Roman" w:hAnsi="Times New Roman" w:cs="Times New Roman"/>
                <w:b/>
                <w:bCs/>
                <w:sz w:val="20"/>
                <w:szCs w:val="20"/>
                <w:lang w:val="sr-Cyrl-CS"/>
              </w:rPr>
            </w:pPr>
          </w:p>
        </w:tc>
        <w:tc>
          <w:tcPr>
            <w:tcW w:w="1563" w:type="dxa"/>
            <w:gridSpan w:val="5"/>
            <w:vMerge/>
            <w:shd w:val="clear" w:color="auto" w:fill="ECECEC"/>
            <w:vAlign w:val="center"/>
          </w:tcPr>
          <w:p w14:paraId="17C5CFF8" w14:textId="77777777" w:rsidR="00F617BE" w:rsidRPr="00AA19A8" w:rsidRDefault="00F617BE" w:rsidP="00C77222">
            <w:pPr>
              <w:jc w:val="center"/>
              <w:rPr>
                <w:rFonts w:ascii="Times New Roman" w:hAnsi="Times New Roman" w:cs="Times New Roman"/>
                <w:b/>
                <w:bCs/>
                <w:sz w:val="20"/>
                <w:szCs w:val="20"/>
                <w:lang w:val="sr-Cyrl-CS"/>
              </w:rPr>
            </w:pPr>
          </w:p>
        </w:tc>
        <w:tc>
          <w:tcPr>
            <w:tcW w:w="1586" w:type="dxa"/>
            <w:gridSpan w:val="6"/>
            <w:vMerge/>
            <w:shd w:val="clear" w:color="auto" w:fill="ECECEC"/>
            <w:vAlign w:val="center"/>
          </w:tcPr>
          <w:p w14:paraId="1AC81B49" w14:textId="77777777" w:rsidR="00F617BE" w:rsidRPr="00AA19A8" w:rsidRDefault="00F617BE" w:rsidP="00C77222">
            <w:pPr>
              <w:jc w:val="center"/>
              <w:rPr>
                <w:rFonts w:ascii="Times New Roman" w:hAnsi="Times New Roman" w:cs="Times New Roman"/>
                <w:b/>
                <w:bCs/>
                <w:sz w:val="20"/>
                <w:szCs w:val="20"/>
                <w:lang w:val="sr-Cyrl-CS"/>
              </w:rPr>
            </w:pPr>
          </w:p>
        </w:tc>
        <w:tc>
          <w:tcPr>
            <w:tcW w:w="2646" w:type="dxa"/>
            <w:gridSpan w:val="6"/>
            <w:vMerge/>
            <w:shd w:val="clear" w:color="auto" w:fill="ECECEC"/>
            <w:vAlign w:val="center"/>
          </w:tcPr>
          <w:p w14:paraId="09CB9039" w14:textId="77777777" w:rsidR="00F617BE" w:rsidRPr="00AA19A8" w:rsidRDefault="00F617BE" w:rsidP="00C77222">
            <w:pPr>
              <w:jc w:val="center"/>
              <w:rPr>
                <w:rFonts w:ascii="Times New Roman" w:hAnsi="Times New Roman" w:cs="Times New Roman"/>
                <w:b/>
                <w:bCs/>
                <w:sz w:val="20"/>
                <w:szCs w:val="20"/>
                <w:lang w:val="sr-Cyrl-CS"/>
              </w:rPr>
            </w:pPr>
          </w:p>
        </w:tc>
        <w:tc>
          <w:tcPr>
            <w:tcW w:w="2153" w:type="dxa"/>
            <w:gridSpan w:val="15"/>
            <w:shd w:val="clear" w:color="auto" w:fill="ECECEC"/>
            <w:vAlign w:val="center"/>
          </w:tcPr>
          <w:p w14:paraId="61687FDF"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48" w:type="dxa"/>
            <w:gridSpan w:val="17"/>
            <w:shd w:val="clear" w:color="auto" w:fill="ECECEC"/>
            <w:vAlign w:val="center"/>
          </w:tcPr>
          <w:p w14:paraId="00FE6B74"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8" w:type="dxa"/>
            <w:gridSpan w:val="10"/>
            <w:shd w:val="clear" w:color="auto" w:fill="ECECEC"/>
            <w:vAlign w:val="center"/>
          </w:tcPr>
          <w:p w14:paraId="3B6CE1A9"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80" w:type="dxa"/>
            <w:gridSpan w:val="8"/>
            <w:shd w:val="clear" w:color="auto" w:fill="ECECEC"/>
            <w:vAlign w:val="center"/>
          </w:tcPr>
          <w:p w14:paraId="5B19E3CA"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0B44A80F" w14:textId="77777777" w:rsidR="00F617BE" w:rsidRPr="00AA19A8" w:rsidRDefault="00F617BE" w:rsidP="00C77222">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6EFB4ABC" w14:textId="77777777" w:rsidTr="00474726">
        <w:trPr>
          <w:cantSplit/>
          <w:trHeight w:val="2268"/>
        </w:trPr>
        <w:tc>
          <w:tcPr>
            <w:tcW w:w="2525" w:type="dxa"/>
            <w:gridSpan w:val="4"/>
            <w:vAlign w:val="center"/>
          </w:tcPr>
          <w:p w14:paraId="0894069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3.2.1 Координација израде плана за спровођење континуираних стручних обука везаних за управљање и надзор у оквиру система за индиректно управљање средствима инструмента за претприступну помоћ ЕУ. </w:t>
            </w:r>
          </w:p>
        </w:tc>
        <w:tc>
          <w:tcPr>
            <w:tcW w:w="1563" w:type="dxa"/>
            <w:gridSpan w:val="5"/>
            <w:vAlign w:val="center"/>
          </w:tcPr>
          <w:p w14:paraId="31CE42F9"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6" w:type="dxa"/>
            <w:gridSpan w:val="6"/>
            <w:vAlign w:val="center"/>
          </w:tcPr>
          <w:p w14:paraId="50EC1C0E"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p w14:paraId="0CFD1783"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Сектор за управљање средствима ЕУ</w:t>
            </w:r>
          </w:p>
        </w:tc>
        <w:tc>
          <w:tcPr>
            <w:tcW w:w="2646" w:type="dxa"/>
            <w:gridSpan w:val="6"/>
            <w:vAlign w:val="center"/>
          </w:tcPr>
          <w:p w14:paraId="647BA892"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НАЈУ</w:t>
            </w:r>
          </w:p>
        </w:tc>
        <w:tc>
          <w:tcPr>
            <w:tcW w:w="2153" w:type="dxa"/>
            <w:gridSpan w:val="15"/>
            <w:vAlign w:val="center"/>
          </w:tcPr>
          <w:p w14:paraId="76FEDAC7"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48" w:type="dxa"/>
            <w:gridSpan w:val="17"/>
            <w:vAlign w:val="center"/>
          </w:tcPr>
          <w:p w14:paraId="2A1BFA28"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0615-0001</w:t>
            </w:r>
          </w:p>
        </w:tc>
        <w:tc>
          <w:tcPr>
            <w:tcW w:w="1078" w:type="dxa"/>
            <w:gridSpan w:val="10"/>
            <w:vAlign w:val="center"/>
          </w:tcPr>
          <w:p w14:paraId="0E589FBC"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78F4A28B"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5C0CB7FD"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0EBDA32" w14:textId="77777777" w:rsidTr="00474726">
        <w:trPr>
          <w:cantSplit/>
          <w:trHeight w:val="2268"/>
        </w:trPr>
        <w:tc>
          <w:tcPr>
            <w:tcW w:w="2525" w:type="dxa"/>
            <w:gridSpan w:val="4"/>
            <w:vAlign w:val="center"/>
          </w:tcPr>
          <w:p w14:paraId="396F08B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 xml:space="preserve">3.2.2 Осигуравање одговарајућег броја државних службеника и унапређење капацитета свих учесника у процесу управљања средствима Европске уније. </w:t>
            </w:r>
          </w:p>
        </w:tc>
        <w:tc>
          <w:tcPr>
            <w:tcW w:w="1563" w:type="dxa"/>
            <w:gridSpan w:val="5"/>
            <w:vAlign w:val="center"/>
          </w:tcPr>
          <w:p w14:paraId="73AEC047"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6" w:type="dxa"/>
            <w:gridSpan w:val="6"/>
            <w:vAlign w:val="center"/>
          </w:tcPr>
          <w:p w14:paraId="1213558A"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p w14:paraId="0AC5386C"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Сектор за управљање средствима ЕУ</w:t>
            </w:r>
          </w:p>
        </w:tc>
        <w:tc>
          <w:tcPr>
            <w:tcW w:w="2646" w:type="dxa"/>
            <w:gridSpan w:val="6"/>
            <w:vAlign w:val="center"/>
          </w:tcPr>
          <w:p w14:paraId="4B123DEF" w14:textId="77777777" w:rsidR="00F617BE" w:rsidRPr="00AA19A8" w:rsidRDefault="00F617BE" w:rsidP="00C77222">
            <w:pPr>
              <w:jc w:val="center"/>
              <w:rPr>
                <w:rFonts w:ascii="Times New Roman" w:hAnsi="Times New Roman" w:cs="Times New Roman"/>
                <w:sz w:val="20"/>
                <w:szCs w:val="20"/>
                <w:lang w:val="sr-Cyrl-CS"/>
              </w:rPr>
            </w:pPr>
          </w:p>
          <w:p w14:paraId="15DEC43B"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СУК</w:t>
            </w:r>
          </w:p>
          <w:p w14:paraId="1E1ACD13" w14:textId="77777777" w:rsidR="00F617BE" w:rsidRPr="00AA19A8" w:rsidRDefault="00F617BE" w:rsidP="00C77222">
            <w:pPr>
              <w:jc w:val="center"/>
              <w:rPr>
                <w:rFonts w:ascii="Times New Roman" w:hAnsi="Times New Roman" w:cs="Times New Roman"/>
                <w:sz w:val="20"/>
                <w:szCs w:val="20"/>
                <w:lang w:val="sr-Cyrl-CS"/>
              </w:rPr>
            </w:pPr>
          </w:p>
        </w:tc>
        <w:tc>
          <w:tcPr>
            <w:tcW w:w="2153" w:type="dxa"/>
            <w:gridSpan w:val="15"/>
            <w:vAlign w:val="center"/>
          </w:tcPr>
          <w:p w14:paraId="053A09E1"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tc>
        <w:tc>
          <w:tcPr>
            <w:tcW w:w="2148" w:type="dxa"/>
            <w:gridSpan w:val="17"/>
            <w:vAlign w:val="center"/>
          </w:tcPr>
          <w:p w14:paraId="1E99A427"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2301-0014</w:t>
            </w:r>
          </w:p>
        </w:tc>
        <w:tc>
          <w:tcPr>
            <w:tcW w:w="1078" w:type="dxa"/>
            <w:gridSpan w:val="10"/>
            <w:vAlign w:val="center"/>
          </w:tcPr>
          <w:p w14:paraId="073B347A"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10.122,48</w:t>
            </w:r>
          </w:p>
        </w:tc>
        <w:tc>
          <w:tcPr>
            <w:tcW w:w="1080" w:type="dxa"/>
            <w:gridSpan w:val="8"/>
            <w:vAlign w:val="center"/>
          </w:tcPr>
          <w:p w14:paraId="0558EAAA"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20.244,97</w:t>
            </w:r>
          </w:p>
        </w:tc>
        <w:tc>
          <w:tcPr>
            <w:tcW w:w="1097" w:type="dxa"/>
            <w:gridSpan w:val="4"/>
            <w:vAlign w:val="center"/>
          </w:tcPr>
          <w:p w14:paraId="3F2F3408"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20.244,97</w:t>
            </w:r>
          </w:p>
        </w:tc>
      </w:tr>
      <w:tr w:rsidR="00D30238" w:rsidRPr="00AA19A8" w14:paraId="5692DA26" w14:textId="77777777" w:rsidTr="00474726">
        <w:trPr>
          <w:cantSplit/>
          <w:trHeight w:val="2835"/>
        </w:trPr>
        <w:tc>
          <w:tcPr>
            <w:tcW w:w="2525" w:type="dxa"/>
            <w:gridSpan w:val="4"/>
            <w:vAlign w:val="center"/>
          </w:tcPr>
          <w:p w14:paraId="431E67F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3.2.3 Допуна и измена релевантних националних прописа у вези са коришћењем Смерница за примену финансијских корекција и усвајање  Смерница за примену финансијских корекција у вези са коришћењем ЕУ средстава</w:t>
            </w:r>
          </w:p>
        </w:tc>
        <w:tc>
          <w:tcPr>
            <w:tcW w:w="1563" w:type="dxa"/>
            <w:gridSpan w:val="5"/>
            <w:vAlign w:val="center"/>
          </w:tcPr>
          <w:p w14:paraId="008814C1" w14:textId="6D34D82D"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w:t>
            </w:r>
            <w:r w:rsidR="00320DEC" w:rsidRPr="00AA19A8">
              <w:rPr>
                <w:rFonts w:ascii="Times New Roman" w:hAnsi="Times New Roman" w:cs="Times New Roman"/>
                <w:sz w:val="20"/>
                <w:szCs w:val="20"/>
                <w:lang w:val="sr-Cyrl-CS"/>
              </w:rPr>
              <w:t>2</w:t>
            </w:r>
            <w:r w:rsidRPr="00AA19A8">
              <w:rPr>
                <w:rFonts w:ascii="Times New Roman" w:hAnsi="Times New Roman" w:cs="Times New Roman"/>
                <w:sz w:val="20"/>
                <w:szCs w:val="20"/>
                <w:lang w:val="sr-Cyrl-CS"/>
              </w:rPr>
              <w:t xml:space="preserve"> 202</w:t>
            </w:r>
            <w:r w:rsidR="00320DEC" w:rsidRPr="00AA19A8">
              <w:rPr>
                <w:rFonts w:ascii="Times New Roman" w:hAnsi="Times New Roman" w:cs="Times New Roman"/>
                <w:sz w:val="20"/>
                <w:szCs w:val="20"/>
                <w:lang w:val="sr-Cyrl-CS"/>
              </w:rPr>
              <w:t>7</w:t>
            </w:r>
          </w:p>
        </w:tc>
        <w:tc>
          <w:tcPr>
            <w:tcW w:w="1586" w:type="dxa"/>
            <w:gridSpan w:val="6"/>
            <w:vAlign w:val="center"/>
          </w:tcPr>
          <w:p w14:paraId="7F90DA4B"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p w14:paraId="73137990"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Сектор за управљање средствима ЕУ</w:t>
            </w:r>
          </w:p>
        </w:tc>
        <w:tc>
          <w:tcPr>
            <w:tcW w:w="2646" w:type="dxa"/>
            <w:gridSpan w:val="6"/>
            <w:vAlign w:val="center"/>
          </w:tcPr>
          <w:p w14:paraId="4D2B7A87" w14:textId="77777777" w:rsidR="00F617BE" w:rsidRPr="00AA19A8" w:rsidRDefault="00F617BE" w:rsidP="00C77222">
            <w:pPr>
              <w:jc w:val="center"/>
              <w:rPr>
                <w:rFonts w:ascii="Times New Roman" w:hAnsi="Times New Roman" w:cs="Times New Roman"/>
                <w:sz w:val="20"/>
                <w:szCs w:val="20"/>
                <w:lang w:val="sr-Cyrl-CS"/>
              </w:rPr>
            </w:pPr>
          </w:p>
        </w:tc>
        <w:tc>
          <w:tcPr>
            <w:tcW w:w="2153" w:type="dxa"/>
            <w:gridSpan w:val="15"/>
            <w:vAlign w:val="center"/>
          </w:tcPr>
          <w:p w14:paraId="18087891"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48" w:type="dxa"/>
            <w:gridSpan w:val="17"/>
            <w:vAlign w:val="center"/>
          </w:tcPr>
          <w:p w14:paraId="18061F41"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2301-0014</w:t>
            </w:r>
          </w:p>
        </w:tc>
        <w:tc>
          <w:tcPr>
            <w:tcW w:w="1078" w:type="dxa"/>
            <w:gridSpan w:val="10"/>
            <w:vAlign w:val="center"/>
          </w:tcPr>
          <w:p w14:paraId="3DE9CC84"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4D57BDDE"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3A1BC64A"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619BA81F" w14:textId="77777777" w:rsidTr="00474726">
        <w:trPr>
          <w:cantSplit/>
          <w:trHeight w:val="2268"/>
        </w:trPr>
        <w:tc>
          <w:tcPr>
            <w:tcW w:w="2525" w:type="dxa"/>
            <w:gridSpan w:val="4"/>
            <w:vAlign w:val="center"/>
          </w:tcPr>
          <w:p w14:paraId="5AC7D8C4" w14:textId="5B67A681"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3.2.4 Израдa и усвајање Стратешког плана 2028 – 2030</w:t>
            </w:r>
            <w:r w:rsidR="00713D3C" w:rsidRPr="00AA19A8">
              <w:rPr>
                <w:rFonts w:ascii="Times New Roman" w:hAnsi="Times New Roman" w:cs="Times New Roman"/>
                <w:sz w:val="20"/>
                <w:szCs w:val="20"/>
                <w:lang w:val="sr-Cyrl-CS"/>
              </w:rPr>
              <w:t>.</w:t>
            </w:r>
            <w:r w:rsidRPr="00AA19A8">
              <w:rPr>
                <w:rFonts w:ascii="Times New Roman" w:hAnsi="Times New Roman" w:cs="Times New Roman"/>
                <w:sz w:val="20"/>
                <w:szCs w:val="20"/>
                <w:lang w:val="sr-Cyrl-CS"/>
              </w:rPr>
              <w:t xml:space="preserve"> ради унапређења рада националних институција релевантних за област заштите финансијских интереса ЕУ</w:t>
            </w:r>
          </w:p>
        </w:tc>
        <w:tc>
          <w:tcPr>
            <w:tcW w:w="1563" w:type="dxa"/>
            <w:gridSpan w:val="5"/>
            <w:vAlign w:val="center"/>
          </w:tcPr>
          <w:p w14:paraId="3FD3C5CC"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86" w:type="dxa"/>
            <w:gridSpan w:val="6"/>
            <w:vAlign w:val="center"/>
          </w:tcPr>
          <w:p w14:paraId="3A5800D8" w14:textId="4303C6CA"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 </w:t>
            </w:r>
            <w:r w:rsidR="00D53FD7" w:rsidRPr="00AA19A8">
              <w:rPr>
                <w:rFonts w:ascii="Times New Roman" w:hAnsi="Times New Roman" w:cs="Times New Roman"/>
                <w:i/>
                <w:iCs/>
                <w:sz w:val="20"/>
                <w:szCs w:val="20"/>
                <w:lang w:val="sr-Cyrl-CS"/>
              </w:rPr>
              <w:t>AFCOS</w:t>
            </w:r>
          </w:p>
        </w:tc>
        <w:tc>
          <w:tcPr>
            <w:tcW w:w="2646" w:type="dxa"/>
            <w:gridSpan w:val="6"/>
            <w:vAlign w:val="center"/>
          </w:tcPr>
          <w:p w14:paraId="5D254139" w14:textId="512084F2" w:rsidR="00F617BE" w:rsidRPr="00AA19A8" w:rsidRDefault="00D53FD7" w:rsidP="00C77222">
            <w:pPr>
              <w:jc w:val="center"/>
              <w:rPr>
                <w:rFonts w:ascii="Times New Roman" w:hAnsi="Times New Roman" w:cs="Times New Roman"/>
                <w:sz w:val="20"/>
                <w:szCs w:val="20"/>
                <w:lang w:val="sr-Cyrl-CS"/>
              </w:rPr>
            </w:pPr>
            <w:r w:rsidRPr="00AA19A8">
              <w:rPr>
                <w:rFonts w:ascii="Times New Roman" w:hAnsi="Times New Roman" w:cs="Times New Roman"/>
                <w:i/>
                <w:iCs/>
                <w:sz w:val="20"/>
                <w:szCs w:val="20"/>
                <w:lang w:val="sr-Cyrl-CS"/>
              </w:rPr>
              <w:t>AFCOS</w:t>
            </w:r>
            <w:r w:rsidR="00F617BE" w:rsidRPr="00AA19A8">
              <w:rPr>
                <w:rFonts w:ascii="Times New Roman" w:hAnsi="Times New Roman" w:cs="Times New Roman"/>
                <w:sz w:val="20"/>
                <w:szCs w:val="20"/>
                <w:lang w:val="sr-Cyrl-CS"/>
              </w:rPr>
              <w:t xml:space="preserve"> Мрежа</w:t>
            </w:r>
          </w:p>
        </w:tc>
        <w:tc>
          <w:tcPr>
            <w:tcW w:w="2153" w:type="dxa"/>
            <w:gridSpan w:val="15"/>
            <w:vAlign w:val="center"/>
          </w:tcPr>
          <w:p w14:paraId="1A3564DD" w14:textId="77777777" w:rsidR="006175B3"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Буџет РС/редовна издвајања </w:t>
            </w:r>
          </w:p>
          <w:p w14:paraId="794410FA" w14:textId="3857C535"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48" w:type="dxa"/>
            <w:gridSpan w:val="17"/>
            <w:vAlign w:val="center"/>
          </w:tcPr>
          <w:p w14:paraId="434C4EE4" w14:textId="77777777" w:rsidR="00F617BE" w:rsidRPr="00AA19A8" w:rsidRDefault="00F617BE" w:rsidP="00C77222">
            <w:pPr>
              <w:jc w:val="center"/>
              <w:rPr>
                <w:rFonts w:ascii="Times New Roman" w:hAnsi="Times New Roman" w:cs="Times New Roman"/>
                <w:sz w:val="20"/>
                <w:szCs w:val="20"/>
                <w:lang w:val="sr-Cyrl-CS"/>
              </w:rPr>
            </w:pPr>
          </w:p>
          <w:p w14:paraId="617B5545" w14:textId="77777777" w:rsidR="00F617BE" w:rsidRPr="00AA19A8" w:rsidRDefault="00F617BE" w:rsidP="00C77222">
            <w:pPr>
              <w:jc w:val="center"/>
              <w:rPr>
                <w:rFonts w:ascii="Times New Roman" w:hAnsi="Times New Roman" w:cs="Times New Roman"/>
                <w:sz w:val="20"/>
                <w:szCs w:val="20"/>
                <w:lang w:val="sr-Cyrl-CS"/>
              </w:rPr>
            </w:pPr>
          </w:p>
        </w:tc>
        <w:tc>
          <w:tcPr>
            <w:tcW w:w="1078" w:type="dxa"/>
            <w:gridSpan w:val="10"/>
            <w:vAlign w:val="center"/>
          </w:tcPr>
          <w:p w14:paraId="53832D1B" w14:textId="77777777" w:rsidR="00F617BE" w:rsidRPr="00AA19A8" w:rsidRDefault="00F617BE" w:rsidP="00C77222">
            <w:pPr>
              <w:jc w:val="center"/>
              <w:rPr>
                <w:rFonts w:ascii="Times New Roman" w:hAnsi="Times New Roman" w:cs="Times New Roman"/>
                <w:sz w:val="20"/>
                <w:szCs w:val="20"/>
                <w:lang w:val="sr-Cyrl-CS"/>
              </w:rPr>
            </w:pPr>
          </w:p>
          <w:p w14:paraId="6A663401"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6DE60A57"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1.000*</w:t>
            </w:r>
          </w:p>
        </w:tc>
        <w:tc>
          <w:tcPr>
            <w:tcW w:w="1097" w:type="dxa"/>
            <w:gridSpan w:val="4"/>
            <w:vAlign w:val="center"/>
          </w:tcPr>
          <w:p w14:paraId="2D278EBD"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61CFBDC8" w14:textId="77777777" w:rsidTr="00474726">
        <w:trPr>
          <w:cantSplit/>
          <w:trHeight w:val="2268"/>
        </w:trPr>
        <w:tc>
          <w:tcPr>
            <w:tcW w:w="2525" w:type="dxa"/>
            <w:gridSpan w:val="4"/>
            <w:vAlign w:val="center"/>
          </w:tcPr>
          <w:p w14:paraId="2B8DA7B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3.2.5 Одржавање регионалне конференције / семинара ради размене искустава у борби против превара</w:t>
            </w:r>
          </w:p>
        </w:tc>
        <w:tc>
          <w:tcPr>
            <w:tcW w:w="1563" w:type="dxa"/>
            <w:gridSpan w:val="5"/>
            <w:vAlign w:val="center"/>
          </w:tcPr>
          <w:p w14:paraId="746729DC"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86" w:type="dxa"/>
            <w:gridSpan w:val="6"/>
            <w:vAlign w:val="center"/>
          </w:tcPr>
          <w:p w14:paraId="34BDC0BA" w14:textId="2ABAB041"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Министарство финансија - </w:t>
            </w:r>
            <w:r w:rsidR="00D53FD7" w:rsidRPr="00AA19A8">
              <w:rPr>
                <w:rFonts w:ascii="Times New Roman" w:hAnsi="Times New Roman" w:cs="Times New Roman"/>
                <w:i/>
                <w:iCs/>
                <w:sz w:val="20"/>
                <w:szCs w:val="20"/>
                <w:lang w:val="sr-Cyrl-CS"/>
              </w:rPr>
              <w:t>AFCOS</w:t>
            </w:r>
          </w:p>
        </w:tc>
        <w:tc>
          <w:tcPr>
            <w:tcW w:w="2646" w:type="dxa"/>
            <w:gridSpan w:val="6"/>
            <w:vAlign w:val="center"/>
          </w:tcPr>
          <w:p w14:paraId="6E97774F" w14:textId="6FCA7581"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Европска канцеларија за борбу против превара (</w:t>
            </w:r>
            <w:r w:rsidR="00D53FD7" w:rsidRPr="00AA19A8">
              <w:rPr>
                <w:rFonts w:ascii="Times New Roman" w:hAnsi="Times New Roman" w:cs="Times New Roman"/>
                <w:sz w:val="20"/>
                <w:szCs w:val="20"/>
                <w:lang w:val="sr-Cyrl-CS"/>
              </w:rPr>
              <w:t>OLAF</w:t>
            </w:r>
            <w:r w:rsidRPr="00AA19A8">
              <w:rPr>
                <w:rFonts w:ascii="Times New Roman" w:hAnsi="Times New Roman" w:cs="Times New Roman"/>
                <w:sz w:val="20"/>
                <w:szCs w:val="20"/>
                <w:lang w:val="sr-Cyrl-CS"/>
              </w:rPr>
              <w:t>)</w:t>
            </w:r>
          </w:p>
        </w:tc>
        <w:tc>
          <w:tcPr>
            <w:tcW w:w="2153" w:type="dxa"/>
            <w:gridSpan w:val="15"/>
            <w:vAlign w:val="center"/>
          </w:tcPr>
          <w:p w14:paraId="62CDF8EC" w14:textId="77777777" w:rsidR="006175B3"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Буџет РС/редовна издвајања </w:t>
            </w:r>
          </w:p>
          <w:p w14:paraId="43C90670" w14:textId="0D6B2743"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48" w:type="dxa"/>
            <w:gridSpan w:val="17"/>
            <w:vAlign w:val="center"/>
          </w:tcPr>
          <w:p w14:paraId="1208D088" w14:textId="77777777" w:rsidR="00F617BE" w:rsidRPr="00AA19A8" w:rsidRDefault="00F617BE" w:rsidP="00C77222">
            <w:pPr>
              <w:jc w:val="center"/>
              <w:rPr>
                <w:rFonts w:ascii="Times New Roman" w:hAnsi="Times New Roman" w:cs="Times New Roman"/>
                <w:sz w:val="20"/>
                <w:szCs w:val="20"/>
                <w:lang w:val="sr-Cyrl-CS"/>
              </w:rPr>
            </w:pPr>
          </w:p>
        </w:tc>
        <w:tc>
          <w:tcPr>
            <w:tcW w:w="1078" w:type="dxa"/>
            <w:gridSpan w:val="10"/>
            <w:vAlign w:val="center"/>
          </w:tcPr>
          <w:p w14:paraId="77349CB6"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386CF1DF" w14:textId="44CF7B09"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5.000</w:t>
            </w:r>
            <w:r w:rsidR="008A32F6" w:rsidRPr="00AA19A8">
              <w:rPr>
                <w:rFonts w:ascii="Times New Roman" w:hAnsi="Times New Roman" w:cs="Times New Roman"/>
                <w:sz w:val="20"/>
                <w:szCs w:val="20"/>
                <w:lang w:val="sr-Cyrl-CS"/>
              </w:rPr>
              <w:t>*</w:t>
            </w:r>
          </w:p>
        </w:tc>
        <w:tc>
          <w:tcPr>
            <w:tcW w:w="1097" w:type="dxa"/>
            <w:gridSpan w:val="4"/>
            <w:vAlign w:val="center"/>
          </w:tcPr>
          <w:p w14:paraId="4687C650" w14:textId="77777777" w:rsidR="00F617BE" w:rsidRPr="00AA19A8" w:rsidRDefault="00F617BE" w:rsidP="00C77222">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58C65A3" w14:textId="77777777" w:rsidTr="00BA7E6D">
        <w:trPr>
          <w:cantSplit/>
          <w:trHeight w:val="805"/>
        </w:trPr>
        <w:tc>
          <w:tcPr>
            <w:tcW w:w="15876" w:type="dxa"/>
            <w:gridSpan w:val="75"/>
            <w:shd w:val="clear" w:color="auto" w:fill="ECECEC"/>
            <w:vAlign w:val="center"/>
          </w:tcPr>
          <w:p w14:paraId="79B08FDF" w14:textId="77777777" w:rsidR="00F617BE" w:rsidRPr="00AA19A8" w:rsidRDefault="00F617BE" w:rsidP="00F617BE">
            <w:pPr>
              <w:rPr>
                <w:rFonts w:ascii="Times New Roman" w:hAnsi="Times New Roman" w:cs="Times New Roman"/>
                <w:b/>
                <w:bCs/>
                <w:i/>
                <w:iCs/>
                <w:sz w:val="20"/>
                <w:szCs w:val="20"/>
                <w:lang w:val="sr-Cyrl-CS"/>
              </w:rPr>
            </w:pPr>
            <w:bookmarkStart w:id="46" w:name="_Toc73613690"/>
            <w:r w:rsidRPr="00AA19A8">
              <w:rPr>
                <w:rFonts w:ascii="Times New Roman" w:hAnsi="Times New Roman" w:cs="Times New Roman"/>
                <w:b/>
                <w:bCs/>
                <w:i/>
                <w:iCs/>
                <w:sz w:val="20"/>
                <w:szCs w:val="20"/>
                <w:lang w:val="sr-Cyrl-CS"/>
              </w:rPr>
              <w:t xml:space="preserve">Мера 3.3: </w:t>
            </w:r>
            <w:bookmarkEnd w:id="46"/>
            <w:r w:rsidRPr="00AA19A8">
              <w:rPr>
                <w:rFonts w:ascii="Times New Roman" w:hAnsi="Times New Roman" w:cs="Times New Roman"/>
                <w:b/>
                <w:bCs/>
                <w:i/>
                <w:iCs/>
                <w:sz w:val="20"/>
                <w:szCs w:val="20"/>
                <w:lang w:val="sr-Cyrl-CS"/>
              </w:rPr>
              <w:t>Повећање ефикасности и делотворности инспекцијског надзора</w:t>
            </w:r>
          </w:p>
        </w:tc>
      </w:tr>
      <w:tr w:rsidR="00D30238" w:rsidRPr="00AA19A8" w14:paraId="43070447" w14:textId="77777777" w:rsidTr="006B65DC">
        <w:trPr>
          <w:cantSplit/>
          <w:trHeight w:val="804"/>
        </w:trPr>
        <w:tc>
          <w:tcPr>
            <w:tcW w:w="2537" w:type="dxa"/>
            <w:gridSpan w:val="5"/>
            <w:shd w:val="clear" w:color="auto" w:fill="ECECEC"/>
            <w:vAlign w:val="center"/>
          </w:tcPr>
          <w:p w14:paraId="7623C8FF"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37" w:type="dxa"/>
            <w:gridSpan w:val="10"/>
            <w:shd w:val="clear" w:color="auto" w:fill="ECECEC"/>
            <w:vAlign w:val="center"/>
          </w:tcPr>
          <w:p w14:paraId="55E2D3F9" w14:textId="77777777" w:rsidR="00F617BE" w:rsidRPr="00AA19A8" w:rsidRDefault="00F617BE" w:rsidP="0085683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02" w:type="dxa"/>
            <w:gridSpan w:val="60"/>
            <w:shd w:val="clear" w:color="auto" w:fill="ECECEC"/>
            <w:vAlign w:val="center"/>
          </w:tcPr>
          <w:p w14:paraId="79EAE2AD" w14:textId="77777777" w:rsidR="00F617BE" w:rsidRPr="00AA19A8" w:rsidRDefault="00F617BE" w:rsidP="0085683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406968C3" w14:textId="77777777" w:rsidTr="006B65DC">
        <w:trPr>
          <w:cantSplit/>
          <w:trHeight w:val="804"/>
        </w:trPr>
        <w:tc>
          <w:tcPr>
            <w:tcW w:w="2525" w:type="dxa"/>
            <w:gridSpan w:val="4"/>
            <w:shd w:val="clear" w:color="auto" w:fill="ECECEC"/>
            <w:vAlign w:val="center"/>
          </w:tcPr>
          <w:p w14:paraId="7F3BF453"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49" w:type="dxa"/>
            <w:gridSpan w:val="11"/>
            <w:shd w:val="clear" w:color="auto" w:fill="ECECEC"/>
            <w:vAlign w:val="center"/>
          </w:tcPr>
          <w:p w14:paraId="3A1920DE" w14:textId="77777777" w:rsidR="00F617BE" w:rsidRPr="00AA19A8" w:rsidRDefault="00F617BE" w:rsidP="0085683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2301-0004</w:t>
            </w:r>
          </w:p>
        </w:tc>
        <w:tc>
          <w:tcPr>
            <w:tcW w:w="3381" w:type="dxa"/>
            <w:gridSpan w:val="11"/>
            <w:shd w:val="clear" w:color="auto" w:fill="ECECEC"/>
            <w:vAlign w:val="center"/>
          </w:tcPr>
          <w:p w14:paraId="710EC348" w14:textId="77777777" w:rsidR="00F617BE" w:rsidRPr="00AA19A8" w:rsidRDefault="00F617BE" w:rsidP="0085683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w:t>
            </w:r>
          </w:p>
        </w:tc>
        <w:tc>
          <w:tcPr>
            <w:tcW w:w="3383" w:type="dxa"/>
            <w:gridSpan w:val="21"/>
            <w:shd w:val="clear" w:color="auto" w:fill="ECECEC"/>
            <w:vAlign w:val="center"/>
          </w:tcPr>
          <w:p w14:paraId="5E668ACE" w14:textId="77777777" w:rsidR="00F617BE" w:rsidRPr="00AA19A8" w:rsidRDefault="00F617BE" w:rsidP="0085683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2.250</w:t>
            </w:r>
          </w:p>
        </w:tc>
        <w:tc>
          <w:tcPr>
            <w:tcW w:w="3438" w:type="dxa"/>
            <w:gridSpan w:val="28"/>
            <w:shd w:val="clear" w:color="auto" w:fill="ECECEC"/>
            <w:vAlign w:val="center"/>
          </w:tcPr>
          <w:p w14:paraId="1EE7DF2C" w14:textId="77777777" w:rsidR="00F617BE" w:rsidRPr="00AA19A8" w:rsidRDefault="00F617BE" w:rsidP="0085683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2.250</w:t>
            </w:r>
          </w:p>
        </w:tc>
      </w:tr>
      <w:tr w:rsidR="00D30238" w:rsidRPr="00AA19A8" w14:paraId="32057525" w14:textId="77777777" w:rsidTr="00BA7E6D">
        <w:trPr>
          <w:cantSplit/>
          <w:trHeight w:val="804"/>
        </w:trPr>
        <w:tc>
          <w:tcPr>
            <w:tcW w:w="15876" w:type="dxa"/>
            <w:gridSpan w:val="75"/>
            <w:shd w:val="clear" w:color="auto" w:fill="ECECEC"/>
            <w:vAlign w:val="center"/>
          </w:tcPr>
          <w:p w14:paraId="26E4C926" w14:textId="77777777" w:rsidR="00F617BE" w:rsidRPr="00AA19A8" w:rsidRDefault="00F617BE" w:rsidP="00F617BE">
            <w:pPr>
              <w:rPr>
                <w:rFonts w:ascii="Times New Roman" w:hAnsi="Times New Roman" w:cs="Times New Roman"/>
                <w:b/>
                <w:bCs/>
                <w:i/>
                <w:iCs/>
                <w:sz w:val="20"/>
                <w:szCs w:val="20"/>
                <w:lang w:val="sr-Cyrl-CS"/>
              </w:rPr>
            </w:pPr>
            <w:bookmarkStart w:id="47" w:name="_Toc73613691"/>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Сектор за буџетску инспекцију</w:t>
            </w:r>
            <w:bookmarkEnd w:id="47"/>
          </w:p>
        </w:tc>
      </w:tr>
      <w:tr w:rsidR="00D30238" w:rsidRPr="00AA19A8" w14:paraId="62E1FC68" w14:textId="77777777" w:rsidTr="006B65DC">
        <w:trPr>
          <w:cantSplit/>
          <w:trHeight w:val="804"/>
        </w:trPr>
        <w:tc>
          <w:tcPr>
            <w:tcW w:w="8320" w:type="dxa"/>
            <w:gridSpan w:val="21"/>
            <w:shd w:val="clear" w:color="auto" w:fill="ECECEC"/>
            <w:vAlign w:val="center"/>
          </w:tcPr>
          <w:p w14:paraId="166BEB14" w14:textId="23A5971D"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2026-2030</w:t>
            </w:r>
            <w:r w:rsidR="00713D3C" w:rsidRPr="00AA19A8">
              <w:rPr>
                <w:rFonts w:ascii="Times New Roman" w:hAnsi="Times New Roman" w:cs="Times New Roman"/>
                <w:b/>
                <w:bCs/>
                <w:i/>
                <w:iCs/>
                <w:sz w:val="20"/>
                <w:szCs w:val="20"/>
                <w:lang w:val="sr-Cyrl-CS"/>
              </w:rPr>
              <w:t>.</w:t>
            </w:r>
          </w:p>
        </w:tc>
        <w:tc>
          <w:tcPr>
            <w:tcW w:w="7556" w:type="dxa"/>
            <w:gridSpan w:val="54"/>
            <w:shd w:val="clear" w:color="auto" w:fill="ECECEC"/>
            <w:vAlign w:val="center"/>
          </w:tcPr>
          <w:p w14:paraId="4526218D"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Институционално управљачко организациона</w:t>
            </w:r>
          </w:p>
        </w:tc>
      </w:tr>
      <w:tr w:rsidR="00D30238" w:rsidRPr="00AA19A8" w14:paraId="767E1DFF" w14:textId="77777777" w:rsidTr="006B65DC">
        <w:trPr>
          <w:cantSplit/>
          <w:trHeight w:val="1253"/>
        </w:trPr>
        <w:tc>
          <w:tcPr>
            <w:tcW w:w="2525" w:type="dxa"/>
            <w:gridSpan w:val="4"/>
            <w:shd w:val="clear" w:color="auto" w:fill="ECECEC"/>
            <w:vAlign w:val="center"/>
          </w:tcPr>
          <w:p w14:paraId="129D07FD"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3149" w:type="dxa"/>
            <w:gridSpan w:val="11"/>
            <w:shd w:val="clear" w:color="auto" w:fill="ECECEC"/>
            <w:vAlign w:val="center"/>
          </w:tcPr>
          <w:p w14:paraId="2D481F19"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6" w:type="dxa"/>
            <w:gridSpan w:val="6"/>
            <w:shd w:val="clear" w:color="auto" w:fill="ECECEC"/>
            <w:vAlign w:val="center"/>
          </w:tcPr>
          <w:p w14:paraId="42DDBFAC"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3" w:type="dxa"/>
            <w:gridSpan w:val="15"/>
            <w:shd w:val="clear" w:color="auto" w:fill="ECECEC"/>
            <w:vAlign w:val="center"/>
          </w:tcPr>
          <w:p w14:paraId="500F0F29"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48" w:type="dxa"/>
            <w:gridSpan w:val="17"/>
            <w:shd w:val="clear" w:color="auto" w:fill="ECECEC"/>
            <w:vAlign w:val="center"/>
          </w:tcPr>
          <w:p w14:paraId="6CC58463"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7074CAC4"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4B93A455"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7A1436B4"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748391D2"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783D8373" w14:textId="77777777" w:rsidTr="006B65DC">
        <w:trPr>
          <w:cantSplit/>
          <w:trHeight w:val="2268"/>
        </w:trPr>
        <w:tc>
          <w:tcPr>
            <w:tcW w:w="2525" w:type="dxa"/>
            <w:gridSpan w:val="4"/>
            <w:vAlign w:val="center"/>
          </w:tcPr>
          <w:p w14:paraId="5F51B174"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Проценат извршених надзора по представкама које су обухваћене планом надзора у текућој години у односу на  број примљених представки у надлежности буџетске инспекције у претходној години</w:t>
            </w:r>
          </w:p>
        </w:tc>
        <w:tc>
          <w:tcPr>
            <w:tcW w:w="3149" w:type="dxa"/>
            <w:gridSpan w:val="11"/>
            <w:vAlign w:val="center"/>
          </w:tcPr>
          <w:p w14:paraId="5C1185AE" w14:textId="77777777" w:rsidR="00F617BE" w:rsidRPr="00AA19A8" w:rsidRDefault="00F617BE" w:rsidP="0085683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46" w:type="dxa"/>
            <w:gridSpan w:val="6"/>
            <w:vAlign w:val="center"/>
          </w:tcPr>
          <w:p w14:paraId="27425C8C" w14:textId="77777777" w:rsidR="00F617BE" w:rsidRPr="00AA19A8" w:rsidRDefault="00F617BE" w:rsidP="0085683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Годишњи извештај о раду буџетске инспекције</w:t>
            </w:r>
          </w:p>
          <w:p w14:paraId="37E535C2" w14:textId="77777777" w:rsidR="00F617BE" w:rsidRPr="00AA19A8" w:rsidRDefault="00F617BE" w:rsidP="00856838">
            <w:pPr>
              <w:jc w:val="center"/>
              <w:rPr>
                <w:rFonts w:ascii="Times New Roman" w:hAnsi="Times New Roman" w:cs="Times New Roman"/>
                <w:sz w:val="20"/>
                <w:szCs w:val="20"/>
                <w:lang w:val="sr-Cyrl-CS"/>
              </w:rPr>
            </w:pPr>
          </w:p>
        </w:tc>
        <w:tc>
          <w:tcPr>
            <w:tcW w:w="2153" w:type="dxa"/>
            <w:gridSpan w:val="15"/>
            <w:vAlign w:val="center"/>
          </w:tcPr>
          <w:p w14:paraId="6F4C3794" w14:textId="77777777" w:rsidR="00F617BE" w:rsidRPr="00AA19A8" w:rsidRDefault="00F617BE" w:rsidP="0085683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47%</w:t>
            </w:r>
          </w:p>
        </w:tc>
        <w:tc>
          <w:tcPr>
            <w:tcW w:w="2148" w:type="dxa"/>
            <w:gridSpan w:val="17"/>
            <w:vAlign w:val="center"/>
          </w:tcPr>
          <w:p w14:paraId="59FD1C61" w14:textId="77777777" w:rsidR="00F617BE" w:rsidRPr="00AA19A8" w:rsidRDefault="00F617BE" w:rsidP="0085683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78" w:type="dxa"/>
            <w:gridSpan w:val="10"/>
            <w:vAlign w:val="center"/>
          </w:tcPr>
          <w:p w14:paraId="5E369991" w14:textId="77777777" w:rsidR="00F617BE" w:rsidRPr="00AA19A8" w:rsidRDefault="00F617BE" w:rsidP="0085683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48%</w:t>
            </w:r>
          </w:p>
        </w:tc>
        <w:tc>
          <w:tcPr>
            <w:tcW w:w="1080" w:type="dxa"/>
            <w:gridSpan w:val="8"/>
            <w:vAlign w:val="center"/>
          </w:tcPr>
          <w:p w14:paraId="6FAE31D4" w14:textId="77777777" w:rsidR="00F617BE" w:rsidRPr="00AA19A8" w:rsidRDefault="00F617BE" w:rsidP="0085683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50%</w:t>
            </w:r>
          </w:p>
        </w:tc>
        <w:tc>
          <w:tcPr>
            <w:tcW w:w="1097" w:type="dxa"/>
            <w:gridSpan w:val="4"/>
            <w:vAlign w:val="center"/>
          </w:tcPr>
          <w:p w14:paraId="08BA9046" w14:textId="77777777" w:rsidR="00F617BE" w:rsidRPr="00AA19A8" w:rsidRDefault="00F617BE" w:rsidP="0085683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52%</w:t>
            </w:r>
          </w:p>
        </w:tc>
      </w:tr>
      <w:tr w:rsidR="00D30238" w:rsidRPr="00AA19A8" w14:paraId="18DEC092" w14:textId="77777777" w:rsidTr="006B65DC">
        <w:trPr>
          <w:cantSplit/>
          <w:trHeight w:val="624"/>
        </w:trPr>
        <w:tc>
          <w:tcPr>
            <w:tcW w:w="2525" w:type="dxa"/>
            <w:gridSpan w:val="4"/>
            <w:vMerge w:val="restart"/>
            <w:shd w:val="clear" w:color="auto" w:fill="ECECEC"/>
            <w:vAlign w:val="center"/>
          </w:tcPr>
          <w:p w14:paraId="6AE8D18E"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63" w:type="dxa"/>
            <w:gridSpan w:val="5"/>
            <w:vMerge w:val="restart"/>
            <w:shd w:val="clear" w:color="auto" w:fill="ECECEC"/>
            <w:vAlign w:val="center"/>
          </w:tcPr>
          <w:p w14:paraId="00BC1B51"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6" w:type="dxa"/>
            <w:gridSpan w:val="6"/>
            <w:vMerge w:val="restart"/>
            <w:shd w:val="clear" w:color="auto" w:fill="ECECEC"/>
            <w:vAlign w:val="center"/>
          </w:tcPr>
          <w:p w14:paraId="4B70A71A"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6" w:type="dxa"/>
            <w:gridSpan w:val="6"/>
            <w:vMerge w:val="restart"/>
            <w:shd w:val="clear" w:color="auto" w:fill="ECECEC"/>
            <w:vAlign w:val="center"/>
          </w:tcPr>
          <w:p w14:paraId="3BC75E86"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56" w:type="dxa"/>
            <w:gridSpan w:val="54"/>
            <w:shd w:val="clear" w:color="auto" w:fill="ECECEC"/>
            <w:vAlign w:val="center"/>
          </w:tcPr>
          <w:p w14:paraId="6A8203F5"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38659341" w14:textId="77777777" w:rsidTr="006B65DC">
        <w:trPr>
          <w:cantSplit/>
          <w:trHeight w:val="1134"/>
        </w:trPr>
        <w:tc>
          <w:tcPr>
            <w:tcW w:w="2525" w:type="dxa"/>
            <w:gridSpan w:val="4"/>
            <w:vMerge/>
            <w:shd w:val="clear" w:color="auto" w:fill="ECECEC"/>
            <w:vAlign w:val="center"/>
          </w:tcPr>
          <w:p w14:paraId="348E7077" w14:textId="77777777" w:rsidR="00F617BE" w:rsidRPr="00AA19A8" w:rsidRDefault="00F617BE" w:rsidP="00F617BE">
            <w:pPr>
              <w:rPr>
                <w:rFonts w:ascii="Times New Roman" w:hAnsi="Times New Roman" w:cs="Times New Roman"/>
                <w:b/>
                <w:bCs/>
                <w:sz w:val="20"/>
                <w:szCs w:val="20"/>
                <w:lang w:val="sr-Cyrl-CS"/>
              </w:rPr>
            </w:pPr>
          </w:p>
        </w:tc>
        <w:tc>
          <w:tcPr>
            <w:tcW w:w="1563" w:type="dxa"/>
            <w:gridSpan w:val="5"/>
            <w:vMerge/>
            <w:shd w:val="clear" w:color="auto" w:fill="ECECEC"/>
            <w:vAlign w:val="center"/>
          </w:tcPr>
          <w:p w14:paraId="577D4D63" w14:textId="77777777" w:rsidR="00F617BE" w:rsidRPr="00AA19A8" w:rsidRDefault="00F617BE" w:rsidP="00856838">
            <w:pPr>
              <w:jc w:val="center"/>
              <w:rPr>
                <w:rFonts w:ascii="Times New Roman" w:hAnsi="Times New Roman" w:cs="Times New Roman"/>
                <w:b/>
                <w:bCs/>
                <w:sz w:val="20"/>
                <w:szCs w:val="20"/>
                <w:lang w:val="sr-Cyrl-CS"/>
              </w:rPr>
            </w:pPr>
          </w:p>
        </w:tc>
        <w:tc>
          <w:tcPr>
            <w:tcW w:w="1586" w:type="dxa"/>
            <w:gridSpan w:val="6"/>
            <w:vMerge/>
            <w:shd w:val="clear" w:color="auto" w:fill="ECECEC"/>
            <w:vAlign w:val="center"/>
          </w:tcPr>
          <w:p w14:paraId="7D0EA5BA" w14:textId="77777777" w:rsidR="00F617BE" w:rsidRPr="00AA19A8" w:rsidRDefault="00F617BE" w:rsidP="00856838">
            <w:pPr>
              <w:jc w:val="center"/>
              <w:rPr>
                <w:rFonts w:ascii="Times New Roman" w:hAnsi="Times New Roman" w:cs="Times New Roman"/>
                <w:b/>
                <w:bCs/>
                <w:sz w:val="20"/>
                <w:szCs w:val="20"/>
                <w:lang w:val="sr-Cyrl-CS"/>
              </w:rPr>
            </w:pPr>
          </w:p>
        </w:tc>
        <w:tc>
          <w:tcPr>
            <w:tcW w:w="2646" w:type="dxa"/>
            <w:gridSpan w:val="6"/>
            <w:vMerge/>
            <w:shd w:val="clear" w:color="auto" w:fill="ECECEC"/>
            <w:vAlign w:val="center"/>
          </w:tcPr>
          <w:p w14:paraId="35F8DDD0" w14:textId="77777777" w:rsidR="00F617BE" w:rsidRPr="00AA19A8" w:rsidRDefault="00F617BE" w:rsidP="00856838">
            <w:pPr>
              <w:jc w:val="center"/>
              <w:rPr>
                <w:rFonts w:ascii="Times New Roman" w:hAnsi="Times New Roman" w:cs="Times New Roman"/>
                <w:b/>
                <w:bCs/>
                <w:sz w:val="20"/>
                <w:szCs w:val="20"/>
                <w:lang w:val="sr-Cyrl-CS"/>
              </w:rPr>
            </w:pPr>
          </w:p>
        </w:tc>
        <w:tc>
          <w:tcPr>
            <w:tcW w:w="2153" w:type="dxa"/>
            <w:gridSpan w:val="15"/>
            <w:shd w:val="clear" w:color="auto" w:fill="ECECEC"/>
            <w:vAlign w:val="center"/>
          </w:tcPr>
          <w:p w14:paraId="2762372D"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48" w:type="dxa"/>
            <w:gridSpan w:val="17"/>
            <w:shd w:val="clear" w:color="auto" w:fill="ECECEC"/>
            <w:vAlign w:val="center"/>
          </w:tcPr>
          <w:p w14:paraId="7DEB7F2D"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8" w:type="dxa"/>
            <w:gridSpan w:val="10"/>
            <w:shd w:val="clear" w:color="auto" w:fill="ECECEC"/>
            <w:vAlign w:val="center"/>
          </w:tcPr>
          <w:p w14:paraId="4E7AECA4"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80" w:type="dxa"/>
            <w:gridSpan w:val="8"/>
            <w:shd w:val="clear" w:color="auto" w:fill="ECECEC"/>
            <w:vAlign w:val="center"/>
          </w:tcPr>
          <w:p w14:paraId="5CD51CD4"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76BFD544" w14:textId="77777777" w:rsidR="00F617BE" w:rsidRPr="00AA19A8" w:rsidRDefault="00F617BE" w:rsidP="0085683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315C7582" w14:textId="77777777" w:rsidTr="006B65DC">
        <w:trPr>
          <w:cantSplit/>
          <w:trHeight w:val="1871"/>
        </w:trPr>
        <w:tc>
          <w:tcPr>
            <w:tcW w:w="2525" w:type="dxa"/>
            <w:gridSpan w:val="4"/>
            <w:vAlign w:val="center"/>
          </w:tcPr>
          <w:p w14:paraId="2BCF00B4"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3.3.1 Доношење Водича кроз планирање и надзор буџетске инспекције (Стандарди рада буџетске инспекције)</w:t>
            </w:r>
          </w:p>
        </w:tc>
        <w:tc>
          <w:tcPr>
            <w:tcW w:w="1563" w:type="dxa"/>
            <w:gridSpan w:val="5"/>
            <w:vAlign w:val="center"/>
          </w:tcPr>
          <w:p w14:paraId="3F5AB5EF" w14:textId="7451D5E4"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w:t>
            </w:r>
            <w:r w:rsidR="00320DEC" w:rsidRPr="00AA19A8">
              <w:rPr>
                <w:rFonts w:ascii="Times New Roman" w:hAnsi="Times New Roman" w:cs="Times New Roman"/>
                <w:sz w:val="20"/>
                <w:szCs w:val="20"/>
                <w:lang w:val="sr-Cyrl-CS"/>
              </w:rPr>
              <w:t>4</w:t>
            </w:r>
            <w:r w:rsidRPr="00AA19A8">
              <w:rPr>
                <w:rFonts w:ascii="Times New Roman" w:hAnsi="Times New Roman" w:cs="Times New Roman"/>
                <w:sz w:val="20"/>
                <w:szCs w:val="20"/>
                <w:lang w:val="sr-Cyrl-CS"/>
              </w:rPr>
              <w:t xml:space="preserve"> 2026</w:t>
            </w:r>
          </w:p>
        </w:tc>
        <w:tc>
          <w:tcPr>
            <w:tcW w:w="1586" w:type="dxa"/>
            <w:gridSpan w:val="6"/>
            <w:vAlign w:val="center"/>
          </w:tcPr>
          <w:p w14:paraId="160262AD"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финансија-Сектор за буџетску инспекцију</w:t>
            </w:r>
          </w:p>
        </w:tc>
        <w:tc>
          <w:tcPr>
            <w:tcW w:w="2646" w:type="dxa"/>
            <w:gridSpan w:val="6"/>
            <w:vAlign w:val="center"/>
          </w:tcPr>
          <w:p w14:paraId="749039F2"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3" w:type="dxa"/>
            <w:gridSpan w:val="15"/>
            <w:vAlign w:val="center"/>
          </w:tcPr>
          <w:p w14:paraId="5C0BF478" w14:textId="77777777" w:rsidR="00F617BE" w:rsidRPr="00AA19A8" w:rsidRDefault="00F617BE" w:rsidP="004B5854">
            <w:pPr>
              <w:jc w:val="center"/>
              <w:rPr>
                <w:rFonts w:ascii="Times New Roman" w:hAnsi="Times New Roman" w:cs="Times New Roman"/>
                <w:sz w:val="20"/>
                <w:szCs w:val="20"/>
                <w:lang w:val="sr-Cyrl-CS"/>
              </w:rPr>
            </w:pPr>
          </w:p>
          <w:p w14:paraId="51AE8DAA"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Директна донаторска подршка (GIZ) - (Пројекат Реформа јавних финансиja – финансирање Агенде 2030)</w:t>
            </w:r>
          </w:p>
        </w:tc>
        <w:tc>
          <w:tcPr>
            <w:tcW w:w="2148" w:type="dxa"/>
            <w:gridSpan w:val="17"/>
            <w:vAlign w:val="center"/>
          </w:tcPr>
          <w:p w14:paraId="307D8614" w14:textId="77777777" w:rsidR="00F617BE" w:rsidRPr="00AA19A8" w:rsidRDefault="00F617BE" w:rsidP="004B5854">
            <w:pPr>
              <w:jc w:val="center"/>
              <w:rPr>
                <w:rFonts w:ascii="Times New Roman" w:hAnsi="Times New Roman" w:cs="Times New Roman"/>
                <w:sz w:val="20"/>
                <w:szCs w:val="20"/>
                <w:lang w:val="sr-Cyrl-CS"/>
              </w:rPr>
            </w:pPr>
          </w:p>
        </w:tc>
        <w:tc>
          <w:tcPr>
            <w:tcW w:w="1078" w:type="dxa"/>
            <w:gridSpan w:val="10"/>
            <w:vAlign w:val="center"/>
          </w:tcPr>
          <w:p w14:paraId="5A8D8681"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026DE985"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4DA440F2"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2890DA3" w14:textId="77777777" w:rsidTr="006B65DC">
        <w:trPr>
          <w:cantSplit/>
          <w:trHeight w:val="1871"/>
        </w:trPr>
        <w:tc>
          <w:tcPr>
            <w:tcW w:w="2525" w:type="dxa"/>
            <w:gridSpan w:val="4"/>
            <w:vAlign w:val="center"/>
          </w:tcPr>
          <w:p w14:paraId="4314D4C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3.3.2 Професионално усавршавање буџетских инспектора и других запослених у буџетској инспекцији континуираном едукацијом</w:t>
            </w:r>
          </w:p>
        </w:tc>
        <w:tc>
          <w:tcPr>
            <w:tcW w:w="1563" w:type="dxa"/>
            <w:gridSpan w:val="5"/>
            <w:vAlign w:val="center"/>
          </w:tcPr>
          <w:p w14:paraId="11343E0D"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6" w:type="dxa"/>
            <w:gridSpan w:val="6"/>
            <w:vAlign w:val="center"/>
          </w:tcPr>
          <w:p w14:paraId="1C3D2515"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финансија-Сектор за буџетску инспекцију</w:t>
            </w:r>
          </w:p>
        </w:tc>
        <w:tc>
          <w:tcPr>
            <w:tcW w:w="2646" w:type="dxa"/>
            <w:gridSpan w:val="6"/>
            <w:vAlign w:val="center"/>
          </w:tcPr>
          <w:p w14:paraId="70C45E7C"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3" w:type="dxa"/>
            <w:gridSpan w:val="15"/>
            <w:vAlign w:val="center"/>
          </w:tcPr>
          <w:p w14:paraId="38699C4E"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48" w:type="dxa"/>
            <w:gridSpan w:val="17"/>
            <w:vAlign w:val="center"/>
          </w:tcPr>
          <w:p w14:paraId="469E2D7C"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2301-0004</w:t>
            </w:r>
          </w:p>
        </w:tc>
        <w:tc>
          <w:tcPr>
            <w:tcW w:w="1078" w:type="dxa"/>
            <w:gridSpan w:val="10"/>
            <w:vAlign w:val="center"/>
          </w:tcPr>
          <w:p w14:paraId="3D43BD06"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6AB753E3"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161A1AF6"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D76EDB6" w14:textId="77777777" w:rsidTr="006B65DC">
        <w:trPr>
          <w:cantSplit/>
          <w:trHeight w:val="1701"/>
        </w:trPr>
        <w:tc>
          <w:tcPr>
            <w:tcW w:w="2525" w:type="dxa"/>
            <w:gridSpan w:val="4"/>
            <w:vAlign w:val="center"/>
          </w:tcPr>
          <w:p w14:paraId="5EDCD784"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3.3.3 Обезбеђивање потребног броја запослених - 66</w:t>
            </w:r>
          </w:p>
        </w:tc>
        <w:tc>
          <w:tcPr>
            <w:tcW w:w="1563" w:type="dxa"/>
            <w:gridSpan w:val="5"/>
            <w:vAlign w:val="center"/>
          </w:tcPr>
          <w:p w14:paraId="5944D0B9"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6" w:type="dxa"/>
            <w:gridSpan w:val="6"/>
            <w:vAlign w:val="center"/>
          </w:tcPr>
          <w:p w14:paraId="40083E05"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финансија-Сектор за буџетску инспекцију</w:t>
            </w:r>
          </w:p>
        </w:tc>
        <w:tc>
          <w:tcPr>
            <w:tcW w:w="2646" w:type="dxa"/>
            <w:gridSpan w:val="6"/>
            <w:vAlign w:val="center"/>
          </w:tcPr>
          <w:p w14:paraId="1740267A"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3" w:type="dxa"/>
            <w:gridSpan w:val="15"/>
            <w:vAlign w:val="center"/>
          </w:tcPr>
          <w:p w14:paraId="1310D5F0"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tc>
        <w:tc>
          <w:tcPr>
            <w:tcW w:w="2148" w:type="dxa"/>
            <w:gridSpan w:val="17"/>
            <w:vAlign w:val="center"/>
          </w:tcPr>
          <w:p w14:paraId="07EC13D6"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2301-0004</w:t>
            </w:r>
          </w:p>
        </w:tc>
        <w:tc>
          <w:tcPr>
            <w:tcW w:w="1078" w:type="dxa"/>
            <w:gridSpan w:val="10"/>
            <w:vAlign w:val="center"/>
          </w:tcPr>
          <w:p w14:paraId="06C19C56"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4C974D6F"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2.250</w:t>
            </w:r>
          </w:p>
        </w:tc>
        <w:tc>
          <w:tcPr>
            <w:tcW w:w="1097" w:type="dxa"/>
            <w:gridSpan w:val="4"/>
            <w:vAlign w:val="center"/>
          </w:tcPr>
          <w:p w14:paraId="63826C05" w14:textId="77777777" w:rsidR="00F617BE" w:rsidRPr="00AA19A8" w:rsidRDefault="00F617BE" w:rsidP="004B585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2.250</w:t>
            </w:r>
          </w:p>
        </w:tc>
      </w:tr>
      <w:tr w:rsidR="00D30238" w:rsidRPr="00AA19A8" w14:paraId="2A821CAF" w14:textId="77777777" w:rsidTr="00BA7E6D">
        <w:trPr>
          <w:cantSplit/>
          <w:trHeight w:val="804"/>
        </w:trPr>
        <w:tc>
          <w:tcPr>
            <w:tcW w:w="15876" w:type="dxa"/>
            <w:gridSpan w:val="75"/>
            <w:shd w:val="clear" w:color="auto" w:fill="DEEAF6"/>
            <w:vAlign w:val="center"/>
          </w:tcPr>
          <w:p w14:paraId="768A1630" w14:textId="77777777" w:rsidR="00F617BE" w:rsidRPr="00AA19A8" w:rsidRDefault="00F617BE" w:rsidP="00F617BE">
            <w:pPr>
              <w:rPr>
                <w:rFonts w:ascii="Times New Roman" w:hAnsi="Times New Roman" w:cs="Times New Roman"/>
                <w:b/>
                <w:bCs/>
                <w:sz w:val="20"/>
                <w:szCs w:val="20"/>
                <w:lang w:val="sr-Cyrl-CS"/>
              </w:rPr>
            </w:pPr>
            <w:bookmarkStart w:id="48" w:name="_Toc69726992"/>
            <w:r w:rsidRPr="00AA19A8">
              <w:rPr>
                <w:rFonts w:ascii="Times New Roman" w:hAnsi="Times New Roman" w:cs="Times New Roman"/>
                <w:b/>
                <w:bCs/>
                <w:sz w:val="20"/>
                <w:szCs w:val="20"/>
                <w:lang w:val="sr-Cyrl-CS"/>
              </w:rPr>
              <w:lastRenderedPageBreak/>
              <w:t>ПОСЕБНИ ЦИЉ IV:  УНАПРЕЂЕЊЕ ПРИМЕНЕ СИСТЕМА ИНТЕРНЕ ФИНАНСИЈСКЕ КОНТРОЛЕ У ЈАВНОМ СЕКТОРУ</w:t>
            </w:r>
            <w:bookmarkEnd w:id="48"/>
          </w:p>
        </w:tc>
      </w:tr>
      <w:tr w:rsidR="00D30238" w:rsidRPr="00AA19A8" w14:paraId="5CE08D63" w14:textId="77777777" w:rsidTr="006B65DC">
        <w:trPr>
          <w:cantSplit/>
          <w:trHeight w:val="1253"/>
        </w:trPr>
        <w:tc>
          <w:tcPr>
            <w:tcW w:w="2525" w:type="dxa"/>
            <w:gridSpan w:val="4"/>
            <w:shd w:val="clear" w:color="auto" w:fill="ECECEC"/>
            <w:vAlign w:val="center"/>
          </w:tcPr>
          <w:p w14:paraId="5C93391E" w14:textId="0E7CEA72" w:rsidR="00F617BE" w:rsidRPr="00AA19A8" w:rsidRDefault="00F617BE" w:rsidP="007D747D">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sidR="00DD263D">
              <w:rPr>
                <w:rFonts w:ascii="Times New Roman" w:hAnsi="Times New Roman" w:cs="Times New Roman"/>
                <w:b/>
                <w:bCs/>
                <w:sz w:val="20"/>
                <w:szCs w:val="20"/>
                <w:lang w:val="sr-Cyrl-CS"/>
              </w:rPr>
              <w:t>посебног циља</w:t>
            </w:r>
            <w:r w:rsidRPr="00AA19A8">
              <w:rPr>
                <w:rFonts w:ascii="Times New Roman" w:hAnsi="Times New Roman" w:cs="Times New Roman"/>
                <w:b/>
                <w:bCs/>
                <w:sz w:val="20"/>
                <w:szCs w:val="20"/>
                <w:lang w:val="sr-Cyrl-CS"/>
              </w:rPr>
              <w:t xml:space="preserve"> (показатељ </w:t>
            </w:r>
            <w:r w:rsidR="00DD263D">
              <w:rPr>
                <w:rFonts w:ascii="Times New Roman" w:hAnsi="Times New Roman" w:cs="Times New Roman"/>
                <w:b/>
                <w:bCs/>
                <w:sz w:val="20"/>
                <w:szCs w:val="20"/>
                <w:lang w:val="sr-Cyrl-CS"/>
              </w:rPr>
              <w:t>исхода</w:t>
            </w:r>
            <w:r w:rsidRPr="00AA19A8">
              <w:rPr>
                <w:rFonts w:ascii="Times New Roman" w:hAnsi="Times New Roman" w:cs="Times New Roman"/>
                <w:b/>
                <w:bCs/>
                <w:sz w:val="20"/>
                <w:szCs w:val="20"/>
                <w:lang w:val="sr-Cyrl-CS"/>
              </w:rPr>
              <w:t>)</w:t>
            </w:r>
          </w:p>
        </w:tc>
        <w:tc>
          <w:tcPr>
            <w:tcW w:w="3149" w:type="dxa"/>
            <w:gridSpan w:val="11"/>
            <w:shd w:val="clear" w:color="auto" w:fill="ECECEC"/>
            <w:vAlign w:val="center"/>
          </w:tcPr>
          <w:p w14:paraId="1703220C"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6" w:type="dxa"/>
            <w:gridSpan w:val="6"/>
            <w:shd w:val="clear" w:color="auto" w:fill="ECECEC"/>
            <w:vAlign w:val="center"/>
          </w:tcPr>
          <w:p w14:paraId="6E3DDA48"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3" w:type="dxa"/>
            <w:gridSpan w:val="15"/>
            <w:shd w:val="clear" w:color="auto" w:fill="ECECEC"/>
            <w:vAlign w:val="center"/>
          </w:tcPr>
          <w:p w14:paraId="55EBF7A3"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48" w:type="dxa"/>
            <w:gridSpan w:val="17"/>
            <w:shd w:val="clear" w:color="auto" w:fill="ECECEC"/>
            <w:vAlign w:val="center"/>
          </w:tcPr>
          <w:p w14:paraId="58880F3D"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76BD8DFE"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60FD4C9F"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707159A2"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47888EF1" w14:textId="77777777" w:rsidR="00F617BE" w:rsidRPr="00AA19A8" w:rsidRDefault="00F617BE" w:rsidP="007D747D">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788F5AE3" w14:textId="77777777" w:rsidTr="006B65DC">
        <w:trPr>
          <w:cantSplit/>
          <w:trHeight w:val="1871"/>
        </w:trPr>
        <w:tc>
          <w:tcPr>
            <w:tcW w:w="2525" w:type="dxa"/>
            <w:gridSpan w:val="4"/>
            <w:vAlign w:val="center"/>
          </w:tcPr>
          <w:p w14:paraId="2D9D070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Идентификован напредак који се односи на ИФКЈ у оквиру ЕК извештаја о напретку Републике Србије за одређену годину</w:t>
            </w:r>
          </w:p>
        </w:tc>
        <w:tc>
          <w:tcPr>
            <w:tcW w:w="3149" w:type="dxa"/>
            <w:gridSpan w:val="11"/>
            <w:vAlign w:val="center"/>
          </w:tcPr>
          <w:p w14:paraId="7C226463" w14:textId="670346DE" w:rsidR="00F617BE" w:rsidRPr="00AA19A8" w:rsidRDefault="00F617BE" w:rsidP="000551C8">
            <w:pPr>
              <w:pStyle w:val="ListParagraph"/>
              <w:numPr>
                <w:ilvl w:val="0"/>
                <w:numId w:val="43"/>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Рана фаза припремљености</w:t>
            </w:r>
          </w:p>
          <w:p w14:paraId="4E721E8D" w14:textId="1BB723E9" w:rsidR="00F617BE" w:rsidRPr="00AA19A8" w:rsidRDefault="00F617BE" w:rsidP="000551C8">
            <w:pPr>
              <w:pStyle w:val="ListParagraph"/>
              <w:numPr>
                <w:ilvl w:val="0"/>
                <w:numId w:val="43"/>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Известан ниво припремљености</w:t>
            </w:r>
          </w:p>
          <w:p w14:paraId="0B0AF958" w14:textId="011A3C96" w:rsidR="00F617BE" w:rsidRPr="00AA19A8" w:rsidRDefault="00F617BE" w:rsidP="000551C8">
            <w:pPr>
              <w:pStyle w:val="ListParagraph"/>
              <w:numPr>
                <w:ilvl w:val="0"/>
                <w:numId w:val="43"/>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Умерена припремљеност</w:t>
            </w:r>
          </w:p>
          <w:p w14:paraId="7E979001" w14:textId="77777777" w:rsidR="000551C8" w:rsidRPr="00AA19A8" w:rsidRDefault="00F617BE" w:rsidP="000551C8">
            <w:pPr>
              <w:pStyle w:val="ListParagraph"/>
              <w:numPr>
                <w:ilvl w:val="0"/>
                <w:numId w:val="43"/>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Добар ниво припремљености</w:t>
            </w:r>
          </w:p>
          <w:p w14:paraId="55961703" w14:textId="19918492" w:rsidR="00F617BE" w:rsidRPr="00AA19A8" w:rsidRDefault="00F617BE" w:rsidP="000551C8">
            <w:pPr>
              <w:pStyle w:val="ListParagraph"/>
              <w:numPr>
                <w:ilvl w:val="0"/>
                <w:numId w:val="43"/>
              </w:numPr>
              <w:ind w:left="417"/>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Напредан ниво припремљености</w:t>
            </w:r>
          </w:p>
        </w:tc>
        <w:tc>
          <w:tcPr>
            <w:tcW w:w="2646" w:type="dxa"/>
            <w:gridSpan w:val="6"/>
            <w:vAlign w:val="center"/>
          </w:tcPr>
          <w:p w14:paraId="79FDA29B" w14:textId="77777777" w:rsidR="00F617BE" w:rsidRPr="00AA19A8" w:rsidRDefault="00F617BE" w:rsidP="006F09D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ЕК извештај о Србији за одређену годину (поглавље 32)</w:t>
            </w:r>
          </w:p>
        </w:tc>
        <w:tc>
          <w:tcPr>
            <w:tcW w:w="2153" w:type="dxa"/>
            <w:gridSpan w:val="15"/>
            <w:vAlign w:val="center"/>
          </w:tcPr>
          <w:p w14:paraId="12541051" w14:textId="5F7A9A01" w:rsidR="00F617BE" w:rsidRPr="00AA19A8" w:rsidRDefault="00F617BE" w:rsidP="004F155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Умерена припремљеност</w:t>
            </w:r>
          </w:p>
        </w:tc>
        <w:tc>
          <w:tcPr>
            <w:tcW w:w="2148" w:type="dxa"/>
            <w:gridSpan w:val="17"/>
            <w:vAlign w:val="center"/>
          </w:tcPr>
          <w:p w14:paraId="3E02BE94" w14:textId="77777777" w:rsidR="00F617BE" w:rsidRPr="00AA19A8" w:rsidRDefault="00F617BE" w:rsidP="006F09DE">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0A5614BA" w14:textId="6CD31687" w:rsidR="00F617BE" w:rsidRPr="00AA19A8" w:rsidRDefault="00F617BE" w:rsidP="004F155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Умерена припремљеност</w:t>
            </w:r>
          </w:p>
        </w:tc>
        <w:tc>
          <w:tcPr>
            <w:tcW w:w="1080" w:type="dxa"/>
            <w:gridSpan w:val="8"/>
            <w:vAlign w:val="center"/>
          </w:tcPr>
          <w:p w14:paraId="2365D8B2" w14:textId="38102316" w:rsidR="00F617BE" w:rsidRPr="00AA19A8" w:rsidRDefault="00F617BE" w:rsidP="004F155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Добар ниво припремљености</w:t>
            </w:r>
          </w:p>
        </w:tc>
        <w:tc>
          <w:tcPr>
            <w:tcW w:w="1097" w:type="dxa"/>
            <w:gridSpan w:val="4"/>
            <w:vAlign w:val="center"/>
          </w:tcPr>
          <w:p w14:paraId="1536F630" w14:textId="110B7A14" w:rsidR="00F617BE" w:rsidRPr="00AA19A8" w:rsidRDefault="00F617BE" w:rsidP="004F155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Добар ниво припремљености</w:t>
            </w:r>
          </w:p>
        </w:tc>
      </w:tr>
      <w:tr w:rsidR="00D30238" w:rsidRPr="00AA19A8" w14:paraId="195135C4" w14:textId="77777777" w:rsidTr="00BA7E6D">
        <w:trPr>
          <w:cantSplit/>
          <w:trHeight w:val="804"/>
        </w:trPr>
        <w:tc>
          <w:tcPr>
            <w:tcW w:w="15876" w:type="dxa"/>
            <w:gridSpan w:val="75"/>
            <w:shd w:val="clear" w:color="auto" w:fill="ECECEC"/>
            <w:vAlign w:val="center"/>
          </w:tcPr>
          <w:p w14:paraId="2E9EB34C"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Мера 4.1: Унапређење система ФУК-а у институцијама јавног сектора</w:t>
            </w:r>
          </w:p>
        </w:tc>
      </w:tr>
      <w:tr w:rsidR="00D30238" w:rsidRPr="00AA19A8" w14:paraId="7AF29142" w14:textId="77777777" w:rsidTr="006B65DC">
        <w:trPr>
          <w:cantSplit/>
          <w:trHeight w:val="804"/>
        </w:trPr>
        <w:tc>
          <w:tcPr>
            <w:tcW w:w="2525" w:type="dxa"/>
            <w:gridSpan w:val="4"/>
            <w:shd w:val="clear" w:color="auto" w:fill="ECECEC"/>
            <w:vAlign w:val="center"/>
          </w:tcPr>
          <w:p w14:paraId="5B885ACC"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49" w:type="dxa"/>
            <w:gridSpan w:val="11"/>
            <w:shd w:val="clear" w:color="auto" w:fill="ECECEC"/>
            <w:vAlign w:val="center"/>
          </w:tcPr>
          <w:p w14:paraId="19101F99" w14:textId="77777777" w:rsidR="00F617BE" w:rsidRPr="00AA19A8" w:rsidRDefault="00F617BE" w:rsidP="005770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02" w:type="dxa"/>
            <w:gridSpan w:val="60"/>
            <w:shd w:val="clear" w:color="auto" w:fill="ECECEC"/>
            <w:vAlign w:val="center"/>
          </w:tcPr>
          <w:p w14:paraId="1A99021B" w14:textId="77777777" w:rsidR="00F617BE" w:rsidRPr="00AA19A8" w:rsidRDefault="00F617BE" w:rsidP="005770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462B108A" w14:textId="77777777" w:rsidTr="006B65DC">
        <w:trPr>
          <w:cantSplit/>
          <w:trHeight w:val="804"/>
        </w:trPr>
        <w:tc>
          <w:tcPr>
            <w:tcW w:w="2525" w:type="dxa"/>
            <w:gridSpan w:val="4"/>
            <w:shd w:val="clear" w:color="auto" w:fill="ECECEC"/>
            <w:vAlign w:val="center"/>
          </w:tcPr>
          <w:p w14:paraId="46BB8DCF"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49" w:type="dxa"/>
            <w:gridSpan w:val="11"/>
            <w:shd w:val="clear" w:color="auto" w:fill="ECECEC"/>
            <w:vAlign w:val="center"/>
          </w:tcPr>
          <w:p w14:paraId="243C095B" w14:textId="77777777" w:rsidR="00F617BE" w:rsidRPr="00AA19A8" w:rsidRDefault="00F617BE" w:rsidP="005770CC">
            <w:pPr>
              <w:jc w:val="center"/>
              <w:rPr>
                <w:rFonts w:ascii="Times New Roman" w:hAnsi="Times New Roman" w:cs="Times New Roman"/>
                <w:b/>
                <w:bCs/>
                <w:i/>
                <w:iCs/>
                <w:sz w:val="20"/>
                <w:szCs w:val="20"/>
                <w:lang w:val="sr-Cyrl-CS"/>
              </w:rPr>
            </w:pPr>
          </w:p>
        </w:tc>
        <w:tc>
          <w:tcPr>
            <w:tcW w:w="3381" w:type="dxa"/>
            <w:gridSpan w:val="11"/>
            <w:shd w:val="clear" w:color="auto" w:fill="ECECEC"/>
            <w:vAlign w:val="center"/>
          </w:tcPr>
          <w:p w14:paraId="2E3FA2A7" w14:textId="77777777" w:rsidR="00F617BE" w:rsidRPr="00AA19A8" w:rsidRDefault="00F617BE" w:rsidP="005770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2.800</w:t>
            </w:r>
          </w:p>
        </w:tc>
        <w:tc>
          <w:tcPr>
            <w:tcW w:w="3383" w:type="dxa"/>
            <w:gridSpan w:val="21"/>
            <w:shd w:val="clear" w:color="auto" w:fill="ECECEC"/>
            <w:vAlign w:val="center"/>
          </w:tcPr>
          <w:p w14:paraId="5A4FBC27" w14:textId="77777777" w:rsidR="00F617BE" w:rsidRPr="00AA19A8" w:rsidRDefault="00F617BE" w:rsidP="005770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900</w:t>
            </w:r>
          </w:p>
        </w:tc>
        <w:tc>
          <w:tcPr>
            <w:tcW w:w="3438" w:type="dxa"/>
            <w:gridSpan w:val="28"/>
            <w:shd w:val="clear" w:color="auto" w:fill="ECECEC"/>
            <w:vAlign w:val="center"/>
          </w:tcPr>
          <w:p w14:paraId="3FF21C0E" w14:textId="77777777" w:rsidR="00F617BE" w:rsidRPr="00AA19A8" w:rsidRDefault="00F617BE" w:rsidP="005770CC">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600</w:t>
            </w:r>
          </w:p>
        </w:tc>
      </w:tr>
      <w:tr w:rsidR="00D30238" w:rsidRPr="00AA19A8" w14:paraId="428862F3" w14:textId="77777777" w:rsidTr="00BA7E6D">
        <w:trPr>
          <w:cantSplit/>
          <w:trHeight w:val="804"/>
        </w:trPr>
        <w:tc>
          <w:tcPr>
            <w:tcW w:w="15876" w:type="dxa"/>
            <w:gridSpan w:val="75"/>
            <w:shd w:val="clear" w:color="auto" w:fill="ECECEC"/>
            <w:vAlign w:val="center"/>
          </w:tcPr>
          <w:p w14:paraId="7D265499"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Сектор- Централна јединица за хармонизацију</w:t>
            </w:r>
          </w:p>
        </w:tc>
      </w:tr>
      <w:tr w:rsidR="00D30238" w:rsidRPr="00AA19A8" w14:paraId="51A7DE45" w14:textId="77777777" w:rsidTr="006B65DC">
        <w:trPr>
          <w:cantSplit/>
          <w:trHeight w:val="805"/>
        </w:trPr>
        <w:tc>
          <w:tcPr>
            <w:tcW w:w="8320" w:type="dxa"/>
            <w:gridSpan w:val="21"/>
            <w:shd w:val="clear" w:color="auto" w:fill="ECECEC"/>
            <w:vAlign w:val="center"/>
          </w:tcPr>
          <w:p w14:paraId="0548D760" w14:textId="4A3E0458"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2026-2030</w:t>
            </w:r>
            <w:r w:rsidR="00713D3C" w:rsidRPr="00AA19A8">
              <w:rPr>
                <w:rFonts w:ascii="Times New Roman" w:hAnsi="Times New Roman" w:cs="Times New Roman"/>
                <w:b/>
                <w:bCs/>
                <w:i/>
                <w:iCs/>
                <w:sz w:val="20"/>
                <w:szCs w:val="20"/>
                <w:lang w:val="sr-Cyrl-CS"/>
              </w:rPr>
              <w:t>.</w:t>
            </w:r>
          </w:p>
        </w:tc>
        <w:tc>
          <w:tcPr>
            <w:tcW w:w="7556" w:type="dxa"/>
            <w:gridSpan w:val="54"/>
            <w:shd w:val="clear" w:color="auto" w:fill="ECECEC"/>
            <w:vAlign w:val="center"/>
          </w:tcPr>
          <w:p w14:paraId="567B4235"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Институционално управљачко организациона</w:t>
            </w:r>
          </w:p>
        </w:tc>
      </w:tr>
      <w:tr w:rsidR="00D30238" w:rsidRPr="00AA19A8" w14:paraId="496F6A7B" w14:textId="77777777" w:rsidTr="006B65DC">
        <w:trPr>
          <w:cantSplit/>
          <w:trHeight w:val="1253"/>
        </w:trPr>
        <w:tc>
          <w:tcPr>
            <w:tcW w:w="2516" w:type="dxa"/>
            <w:gridSpan w:val="3"/>
            <w:shd w:val="clear" w:color="auto" w:fill="ECECEC"/>
            <w:vAlign w:val="center"/>
          </w:tcPr>
          <w:p w14:paraId="3006CFF0"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3142" w:type="dxa"/>
            <w:gridSpan w:val="11"/>
            <w:shd w:val="clear" w:color="auto" w:fill="ECECEC"/>
            <w:vAlign w:val="center"/>
          </w:tcPr>
          <w:p w14:paraId="1063FFFC"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62" w:type="dxa"/>
            <w:gridSpan w:val="7"/>
            <w:shd w:val="clear" w:color="auto" w:fill="ECECEC"/>
            <w:vAlign w:val="center"/>
          </w:tcPr>
          <w:p w14:paraId="67601932"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3" w:type="dxa"/>
            <w:gridSpan w:val="15"/>
            <w:shd w:val="clear" w:color="auto" w:fill="ECECEC"/>
            <w:vAlign w:val="center"/>
          </w:tcPr>
          <w:p w14:paraId="6CB38B46"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48" w:type="dxa"/>
            <w:gridSpan w:val="17"/>
            <w:shd w:val="clear" w:color="auto" w:fill="ECECEC"/>
            <w:vAlign w:val="center"/>
          </w:tcPr>
          <w:p w14:paraId="3EF2DCCA"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060CFBA4"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3B1E7647"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1AAC685F"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632CD189" w14:textId="77777777" w:rsidR="00F617BE" w:rsidRPr="00AA19A8" w:rsidRDefault="00F617BE" w:rsidP="005770CC">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4D3D77B3" w14:textId="77777777" w:rsidTr="006B65DC">
        <w:trPr>
          <w:cantSplit/>
          <w:trHeight w:val="1253"/>
        </w:trPr>
        <w:tc>
          <w:tcPr>
            <w:tcW w:w="2516" w:type="dxa"/>
            <w:gridSpan w:val="3"/>
            <w:vAlign w:val="center"/>
          </w:tcPr>
          <w:p w14:paraId="5254D83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Проценат приоритетних КЈС који достављају извештај о стању система ФУК</w:t>
            </w:r>
          </w:p>
        </w:tc>
        <w:tc>
          <w:tcPr>
            <w:tcW w:w="3142" w:type="dxa"/>
            <w:gridSpan w:val="11"/>
            <w:vAlign w:val="center"/>
          </w:tcPr>
          <w:p w14:paraId="1BF850B0" w14:textId="77777777" w:rsidR="00F617BE" w:rsidRPr="00AA19A8" w:rsidRDefault="00F617BE" w:rsidP="005770C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62" w:type="dxa"/>
            <w:gridSpan w:val="7"/>
            <w:vAlign w:val="center"/>
          </w:tcPr>
          <w:p w14:paraId="203C3014" w14:textId="77777777" w:rsidR="00F617BE" w:rsidRPr="00AA19A8" w:rsidRDefault="00F617BE" w:rsidP="005770C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Консолидовани годишњи извештај</w:t>
            </w:r>
          </w:p>
        </w:tc>
        <w:tc>
          <w:tcPr>
            <w:tcW w:w="2153" w:type="dxa"/>
            <w:gridSpan w:val="15"/>
            <w:vAlign w:val="center"/>
          </w:tcPr>
          <w:p w14:paraId="400D3553" w14:textId="77777777" w:rsidR="00F617BE" w:rsidRPr="00AA19A8" w:rsidRDefault="00F617BE" w:rsidP="005770C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86,78%</w:t>
            </w:r>
          </w:p>
        </w:tc>
        <w:tc>
          <w:tcPr>
            <w:tcW w:w="2148" w:type="dxa"/>
            <w:gridSpan w:val="17"/>
            <w:vAlign w:val="center"/>
          </w:tcPr>
          <w:p w14:paraId="55C3849F" w14:textId="77777777" w:rsidR="00F617BE" w:rsidRPr="00AA19A8" w:rsidRDefault="00F617BE" w:rsidP="005770C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78" w:type="dxa"/>
            <w:gridSpan w:val="10"/>
            <w:vAlign w:val="center"/>
          </w:tcPr>
          <w:p w14:paraId="48C3AEF0" w14:textId="77777777" w:rsidR="00F617BE" w:rsidRPr="00AA19A8" w:rsidRDefault="00F617BE" w:rsidP="005770C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90%</w:t>
            </w:r>
          </w:p>
        </w:tc>
        <w:tc>
          <w:tcPr>
            <w:tcW w:w="1080" w:type="dxa"/>
            <w:gridSpan w:val="8"/>
            <w:vAlign w:val="center"/>
          </w:tcPr>
          <w:p w14:paraId="161B0B9A" w14:textId="77777777" w:rsidR="00F617BE" w:rsidRPr="00AA19A8" w:rsidRDefault="00F617BE" w:rsidP="005770C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92%</w:t>
            </w:r>
          </w:p>
        </w:tc>
        <w:tc>
          <w:tcPr>
            <w:tcW w:w="1097" w:type="dxa"/>
            <w:gridSpan w:val="4"/>
            <w:vAlign w:val="center"/>
          </w:tcPr>
          <w:p w14:paraId="2698C154" w14:textId="77777777" w:rsidR="00F617BE" w:rsidRPr="00AA19A8" w:rsidRDefault="00F617BE" w:rsidP="005770CC">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95%</w:t>
            </w:r>
          </w:p>
        </w:tc>
      </w:tr>
      <w:tr w:rsidR="00D30238" w:rsidRPr="00AA19A8" w14:paraId="5D633B74" w14:textId="77777777" w:rsidTr="006B65DC">
        <w:trPr>
          <w:cantSplit/>
          <w:trHeight w:val="1253"/>
        </w:trPr>
        <w:tc>
          <w:tcPr>
            <w:tcW w:w="2516" w:type="dxa"/>
            <w:gridSpan w:val="3"/>
            <w:vAlign w:val="center"/>
          </w:tcPr>
          <w:p w14:paraId="4A25F31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приоритетних КЈС који су сачинили регистар ризика</w:t>
            </w:r>
          </w:p>
        </w:tc>
        <w:tc>
          <w:tcPr>
            <w:tcW w:w="3142" w:type="dxa"/>
            <w:gridSpan w:val="11"/>
            <w:vAlign w:val="center"/>
          </w:tcPr>
          <w:p w14:paraId="2CEC2DEC"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62" w:type="dxa"/>
            <w:gridSpan w:val="7"/>
            <w:vAlign w:val="center"/>
          </w:tcPr>
          <w:p w14:paraId="7BAA8BC6"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Консолидовани годишњи извештај</w:t>
            </w:r>
          </w:p>
        </w:tc>
        <w:tc>
          <w:tcPr>
            <w:tcW w:w="2153" w:type="dxa"/>
            <w:gridSpan w:val="15"/>
            <w:vAlign w:val="center"/>
          </w:tcPr>
          <w:p w14:paraId="58C1315A"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72,19%</w:t>
            </w:r>
          </w:p>
        </w:tc>
        <w:tc>
          <w:tcPr>
            <w:tcW w:w="2148" w:type="dxa"/>
            <w:gridSpan w:val="17"/>
            <w:vAlign w:val="center"/>
          </w:tcPr>
          <w:p w14:paraId="068F1E71"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78" w:type="dxa"/>
            <w:gridSpan w:val="10"/>
            <w:vAlign w:val="center"/>
          </w:tcPr>
          <w:p w14:paraId="3B8F993C"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77%</w:t>
            </w:r>
          </w:p>
        </w:tc>
        <w:tc>
          <w:tcPr>
            <w:tcW w:w="1080" w:type="dxa"/>
            <w:gridSpan w:val="8"/>
            <w:vAlign w:val="center"/>
          </w:tcPr>
          <w:p w14:paraId="0EF677E1"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82%</w:t>
            </w:r>
          </w:p>
        </w:tc>
        <w:tc>
          <w:tcPr>
            <w:tcW w:w="1097" w:type="dxa"/>
            <w:gridSpan w:val="4"/>
            <w:vAlign w:val="center"/>
          </w:tcPr>
          <w:p w14:paraId="2061A77D"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87%</w:t>
            </w:r>
          </w:p>
        </w:tc>
      </w:tr>
      <w:tr w:rsidR="00D30238" w:rsidRPr="00AA19A8" w14:paraId="0AC8449D" w14:textId="77777777" w:rsidTr="006B65DC">
        <w:trPr>
          <w:cantSplit/>
          <w:trHeight w:val="630"/>
        </w:trPr>
        <w:tc>
          <w:tcPr>
            <w:tcW w:w="2516" w:type="dxa"/>
            <w:gridSpan w:val="3"/>
            <w:vMerge w:val="restart"/>
            <w:shd w:val="clear" w:color="auto" w:fill="ECECEC"/>
            <w:vAlign w:val="center"/>
          </w:tcPr>
          <w:p w14:paraId="42ECB133"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62" w:type="dxa"/>
            <w:gridSpan w:val="5"/>
            <w:vMerge w:val="restart"/>
            <w:shd w:val="clear" w:color="auto" w:fill="ECECEC"/>
            <w:vAlign w:val="center"/>
          </w:tcPr>
          <w:p w14:paraId="0D56C620"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0" w:type="dxa"/>
            <w:gridSpan w:val="6"/>
            <w:vMerge w:val="restart"/>
            <w:shd w:val="clear" w:color="auto" w:fill="ECECEC"/>
            <w:vAlign w:val="center"/>
          </w:tcPr>
          <w:p w14:paraId="54FB6FDF"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62" w:type="dxa"/>
            <w:gridSpan w:val="7"/>
            <w:vMerge w:val="restart"/>
            <w:shd w:val="clear" w:color="auto" w:fill="ECECEC"/>
            <w:vAlign w:val="center"/>
          </w:tcPr>
          <w:p w14:paraId="4CFFAB55"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56" w:type="dxa"/>
            <w:gridSpan w:val="54"/>
            <w:shd w:val="clear" w:color="auto" w:fill="ECECEC"/>
            <w:vAlign w:val="center"/>
          </w:tcPr>
          <w:p w14:paraId="075CB63F"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29085271" w14:textId="77777777" w:rsidTr="006B65DC">
        <w:trPr>
          <w:cantSplit/>
          <w:trHeight w:val="1134"/>
        </w:trPr>
        <w:tc>
          <w:tcPr>
            <w:tcW w:w="2516" w:type="dxa"/>
            <w:gridSpan w:val="3"/>
            <w:vMerge/>
            <w:shd w:val="clear" w:color="auto" w:fill="ECECEC"/>
            <w:vAlign w:val="center"/>
          </w:tcPr>
          <w:p w14:paraId="3FFCF794" w14:textId="77777777" w:rsidR="00F617BE" w:rsidRPr="00AA19A8" w:rsidRDefault="00F617BE" w:rsidP="00F617BE">
            <w:pPr>
              <w:rPr>
                <w:rFonts w:ascii="Times New Roman" w:hAnsi="Times New Roman" w:cs="Times New Roman"/>
                <w:b/>
                <w:bCs/>
                <w:sz w:val="20"/>
                <w:szCs w:val="20"/>
                <w:lang w:val="sr-Cyrl-CS"/>
              </w:rPr>
            </w:pPr>
          </w:p>
        </w:tc>
        <w:tc>
          <w:tcPr>
            <w:tcW w:w="1562" w:type="dxa"/>
            <w:gridSpan w:val="5"/>
            <w:vMerge/>
            <w:shd w:val="clear" w:color="auto" w:fill="ECECEC"/>
            <w:vAlign w:val="center"/>
          </w:tcPr>
          <w:p w14:paraId="66B2B99C" w14:textId="77777777" w:rsidR="00F617BE" w:rsidRPr="00AA19A8" w:rsidRDefault="00F617BE" w:rsidP="00531B81">
            <w:pPr>
              <w:jc w:val="center"/>
              <w:rPr>
                <w:rFonts w:ascii="Times New Roman" w:hAnsi="Times New Roman" w:cs="Times New Roman"/>
                <w:b/>
                <w:bCs/>
                <w:sz w:val="20"/>
                <w:szCs w:val="20"/>
                <w:lang w:val="sr-Cyrl-CS"/>
              </w:rPr>
            </w:pPr>
          </w:p>
        </w:tc>
        <w:tc>
          <w:tcPr>
            <w:tcW w:w="1580" w:type="dxa"/>
            <w:gridSpan w:val="6"/>
            <w:vMerge/>
            <w:shd w:val="clear" w:color="auto" w:fill="ECECEC"/>
            <w:vAlign w:val="center"/>
          </w:tcPr>
          <w:p w14:paraId="7187957F" w14:textId="77777777" w:rsidR="00F617BE" w:rsidRPr="00AA19A8" w:rsidRDefault="00F617BE" w:rsidP="00531B81">
            <w:pPr>
              <w:jc w:val="center"/>
              <w:rPr>
                <w:rFonts w:ascii="Times New Roman" w:hAnsi="Times New Roman" w:cs="Times New Roman"/>
                <w:b/>
                <w:bCs/>
                <w:sz w:val="20"/>
                <w:szCs w:val="20"/>
                <w:lang w:val="sr-Cyrl-CS"/>
              </w:rPr>
            </w:pPr>
          </w:p>
        </w:tc>
        <w:tc>
          <w:tcPr>
            <w:tcW w:w="2662" w:type="dxa"/>
            <w:gridSpan w:val="7"/>
            <w:vMerge/>
            <w:shd w:val="clear" w:color="auto" w:fill="ECECEC"/>
            <w:vAlign w:val="center"/>
          </w:tcPr>
          <w:p w14:paraId="797F24B1" w14:textId="77777777" w:rsidR="00F617BE" w:rsidRPr="00AA19A8" w:rsidRDefault="00F617BE" w:rsidP="00531B81">
            <w:pPr>
              <w:jc w:val="center"/>
              <w:rPr>
                <w:rFonts w:ascii="Times New Roman" w:hAnsi="Times New Roman" w:cs="Times New Roman"/>
                <w:b/>
                <w:bCs/>
                <w:sz w:val="20"/>
                <w:szCs w:val="20"/>
                <w:lang w:val="sr-Cyrl-CS"/>
              </w:rPr>
            </w:pPr>
          </w:p>
        </w:tc>
        <w:tc>
          <w:tcPr>
            <w:tcW w:w="2153" w:type="dxa"/>
            <w:gridSpan w:val="15"/>
            <w:shd w:val="clear" w:color="auto" w:fill="ECECEC"/>
            <w:vAlign w:val="center"/>
          </w:tcPr>
          <w:p w14:paraId="1DAF885F"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48" w:type="dxa"/>
            <w:gridSpan w:val="17"/>
            <w:shd w:val="clear" w:color="auto" w:fill="ECECEC"/>
            <w:vAlign w:val="center"/>
          </w:tcPr>
          <w:p w14:paraId="720F77E7"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8" w:type="dxa"/>
            <w:gridSpan w:val="10"/>
            <w:shd w:val="clear" w:color="auto" w:fill="ECECEC"/>
            <w:vAlign w:val="center"/>
          </w:tcPr>
          <w:p w14:paraId="5677DF7D"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80" w:type="dxa"/>
            <w:gridSpan w:val="8"/>
            <w:shd w:val="clear" w:color="auto" w:fill="ECECEC"/>
            <w:vAlign w:val="center"/>
          </w:tcPr>
          <w:p w14:paraId="4FC5A0F1"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6BBC11EB"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0A25BD1F" w14:textId="77777777" w:rsidTr="006B65DC">
        <w:trPr>
          <w:cantSplit/>
          <w:trHeight w:val="1134"/>
        </w:trPr>
        <w:tc>
          <w:tcPr>
            <w:tcW w:w="2516" w:type="dxa"/>
            <w:gridSpan w:val="3"/>
            <w:vAlign w:val="center"/>
          </w:tcPr>
          <w:p w14:paraId="3F4F8C7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4.1.1 Унапређење примене управљања ризицима кроз подршку КЈС</w:t>
            </w:r>
          </w:p>
        </w:tc>
        <w:tc>
          <w:tcPr>
            <w:tcW w:w="1562" w:type="dxa"/>
            <w:gridSpan w:val="5"/>
            <w:vAlign w:val="center"/>
          </w:tcPr>
          <w:p w14:paraId="69CBD19F"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80" w:type="dxa"/>
            <w:gridSpan w:val="6"/>
            <w:vAlign w:val="center"/>
          </w:tcPr>
          <w:p w14:paraId="4B35A34B"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ЦЈХ</w:t>
            </w:r>
          </w:p>
        </w:tc>
        <w:tc>
          <w:tcPr>
            <w:tcW w:w="2662" w:type="dxa"/>
            <w:gridSpan w:val="7"/>
            <w:vAlign w:val="center"/>
          </w:tcPr>
          <w:p w14:paraId="63C6489D" w14:textId="77777777" w:rsidR="00F617BE" w:rsidRPr="00AA19A8" w:rsidRDefault="00F617BE" w:rsidP="00531B81">
            <w:pPr>
              <w:jc w:val="center"/>
              <w:rPr>
                <w:rFonts w:ascii="Times New Roman" w:hAnsi="Times New Roman" w:cs="Times New Roman"/>
                <w:sz w:val="20"/>
                <w:szCs w:val="20"/>
                <w:lang w:val="sr-Cyrl-CS"/>
              </w:rPr>
            </w:pPr>
          </w:p>
        </w:tc>
        <w:tc>
          <w:tcPr>
            <w:tcW w:w="2153" w:type="dxa"/>
            <w:gridSpan w:val="15"/>
            <w:vAlign w:val="center"/>
          </w:tcPr>
          <w:p w14:paraId="48DC9D1B"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48" w:type="dxa"/>
            <w:gridSpan w:val="17"/>
            <w:vAlign w:val="center"/>
          </w:tcPr>
          <w:p w14:paraId="5283E821" w14:textId="77777777" w:rsidR="00F617BE" w:rsidRPr="00AA19A8" w:rsidRDefault="00F617BE" w:rsidP="00531B81">
            <w:pPr>
              <w:jc w:val="center"/>
              <w:rPr>
                <w:rFonts w:ascii="Times New Roman" w:hAnsi="Times New Roman" w:cs="Times New Roman"/>
                <w:sz w:val="20"/>
                <w:szCs w:val="20"/>
                <w:lang w:val="sr-Cyrl-CS"/>
              </w:rPr>
            </w:pPr>
          </w:p>
        </w:tc>
        <w:tc>
          <w:tcPr>
            <w:tcW w:w="1078" w:type="dxa"/>
            <w:gridSpan w:val="10"/>
            <w:vAlign w:val="center"/>
          </w:tcPr>
          <w:p w14:paraId="296D133B"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1.800</w:t>
            </w:r>
          </w:p>
        </w:tc>
        <w:tc>
          <w:tcPr>
            <w:tcW w:w="1080" w:type="dxa"/>
            <w:gridSpan w:val="8"/>
            <w:vAlign w:val="center"/>
          </w:tcPr>
          <w:p w14:paraId="58877EB9"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61155333"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1A21A5D" w14:textId="77777777" w:rsidTr="006B65DC">
        <w:trPr>
          <w:cantSplit/>
          <w:trHeight w:val="1134"/>
        </w:trPr>
        <w:tc>
          <w:tcPr>
            <w:tcW w:w="2516" w:type="dxa"/>
            <w:gridSpan w:val="3"/>
            <w:vAlign w:val="center"/>
          </w:tcPr>
          <w:p w14:paraId="64D50FD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4.1.2 Унапређење упитника за годишње извештавање о ФУК за приоритетну групу КЈС </w:t>
            </w:r>
          </w:p>
        </w:tc>
        <w:tc>
          <w:tcPr>
            <w:tcW w:w="1562" w:type="dxa"/>
            <w:gridSpan w:val="5"/>
            <w:vAlign w:val="center"/>
          </w:tcPr>
          <w:p w14:paraId="5CCCE904"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80" w:type="dxa"/>
            <w:gridSpan w:val="6"/>
            <w:vAlign w:val="center"/>
          </w:tcPr>
          <w:p w14:paraId="3C1436B7"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ЦЈХ</w:t>
            </w:r>
          </w:p>
        </w:tc>
        <w:tc>
          <w:tcPr>
            <w:tcW w:w="2662" w:type="dxa"/>
            <w:gridSpan w:val="7"/>
            <w:vAlign w:val="center"/>
          </w:tcPr>
          <w:p w14:paraId="6E83D269"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2153" w:type="dxa"/>
            <w:gridSpan w:val="15"/>
            <w:vAlign w:val="center"/>
          </w:tcPr>
          <w:p w14:paraId="522BEE5E"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48" w:type="dxa"/>
            <w:gridSpan w:val="17"/>
            <w:vAlign w:val="center"/>
          </w:tcPr>
          <w:p w14:paraId="7A647F76" w14:textId="77777777" w:rsidR="00F617BE" w:rsidRPr="00AA19A8" w:rsidRDefault="00F617BE" w:rsidP="00531B81">
            <w:pPr>
              <w:jc w:val="center"/>
              <w:rPr>
                <w:rFonts w:ascii="Times New Roman" w:hAnsi="Times New Roman" w:cs="Times New Roman"/>
                <w:sz w:val="20"/>
                <w:szCs w:val="20"/>
                <w:lang w:val="sr-Cyrl-CS"/>
              </w:rPr>
            </w:pPr>
          </w:p>
        </w:tc>
        <w:tc>
          <w:tcPr>
            <w:tcW w:w="1078" w:type="dxa"/>
            <w:gridSpan w:val="10"/>
            <w:vAlign w:val="center"/>
          </w:tcPr>
          <w:p w14:paraId="7C7AC09C"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0C3C0C7F"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97" w:type="dxa"/>
            <w:gridSpan w:val="4"/>
            <w:vAlign w:val="center"/>
          </w:tcPr>
          <w:p w14:paraId="76B8264C"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2F73874" w14:textId="77777777" w:rsidTr="006B65DC">
        <w:trPr>
          <w:cantSplit/>
          <w:trHeight w:val="1134"/>
        </w:trPr>
        <w:tc>
          <w:tcPr>
            <w:tcW w:w="2516" w:type="dxa"/>
            <w:gridSpan w:val="3"/>
            <w:vAlign w:val="center"/>
          </w:tcPr>
          <w:p w14:paraId="12DA12D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4.1.3 Израда модела интерног акта – модел за управљање неправилностима</w:t>
            </w:r>
          </w:p>
        </w:tc>
        <w:tc>
          <w:tcPr>
            <w:tcW w:w="1562" w:type="dxa"/>
            <w:gridSpan w:val="5"/>
            <w:vAlign w:val="center"/>
          </w:tcPr>
          <w:p w14:paraId="53128126"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80" w:type="dxa"/>
            <w:gridSpan w:val="6"/>
            <w:vAlign w:val="center"/>
          </w:tcPr>
          <w:p w14:paraId="07F178FB"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ЦЈХ</w:t>
            </w:r>
          </w:p>
        </w:tc>
        <w:tc>
          <w:tcPr>
            <w:tcW w:w="2662" w:type="dxa"/>
            <w:gridSpan w:val="7"/>
            <w:vAlign w:val="center"/>
          </w:tcPr>
          <w:p w14:paraId="55BAF76B" w14:textId="239906C6"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МДУЛС и АСК, МФ  - </w:t>
            </w:r>
            <w:r w:rsidR="00D53FD7" w:rsidRPr="00AA19A8">
              <w:rPr>
                <w:rFonts w:ascii="Times New Roman" w:hAnsi="Times New Roman" w:cs="Times New Roman"/>
                <w:i/>
                <w:iCs/>
                <w:sz w:val="20"/>
                <w:szCs w:val="20"/>
                <w:lang w:val="sr-Cyrl-CS"/>
              </w:rPr>
              <w:t>AFCOS</w:t>
            </w:r>
          </w:p>
        </w:tc>
        <w:tc>
          <w:tcPr>
            <w:tcW w:w="2153" w:type="dxa"/>
            <w:gridSpan w:val="15"/>
            <w:vAlign w:val="center"/>
          </w:tcPr>
          <w:p w14:paraId="00B2B398"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48" w:type="dxa"/>
            <w:gridSpan w:val="17"/>
            <w:vAlign w:val="center"/>
          </w:tcPr>
          <w:p w14:paraId="62A07B06" w14:textId="77777777" w:rsidR="00F617BE" w:rsidRPr="00AA19A8" w:rsidRDefault="00F617BE" w:rsidP="00531B81">
            <w:pPr>
              <w:jc w:val="center"/>
              <w:rPr>
                <w:rFonts w:ascii="Times New Roman" w:hAnsi="Times New Roman" w:cs="Times New Roman"/>
                <w:sz w:val="20"/>
                <w:szCs w:val="20"/>
                <w:lang w:val="sr-Cyrl-CS"/>
              </w:rPr>
            </w:pPr>
          </w:p>
        </w:tc>
        <w:tc>
          <w:tcPr>
            <w:tcW w:w="1078" w:type="dxa"/>
            <w:gridSpan w:val="10"/>
            <w:vAlign w:val="center"/>
          </w:tcPr>
          <w:p w14:paraId="419C86D9"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2CEE06D4" w14:textId="354DB9A2"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300</w:t>
            </w:r>
          </w:p>
        </w:tc>
        <w:tc>
          <w:tcPr>
            <w:tcW w:w="1097" w:type="dxa"/>
            <w:gridSpan w:val="4"/>
            <w:vAlign w:val="center"/>
          </w:tcPr>
          <w:p w14:paraId="4288BE3E"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2DE639C4" w14:textId="77777777" w:rsidTr="006B65DC">
        <w:trPr>
          <w:cantSplit/>
          <w:trHeight w:val="1134"/>
        </w:trPr>
        <w:tc>
          <w:tcPr>
            <w:tcW w:w="2516" w:type="dxa"/>
            <w:gridSpan w:val="3"/>
            <w:vAlign w:val="center"/>
          </w:tcPr>
          <w:p w14:paraId="313D6B2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4.1.4 Промоција ФУК – примена добре праксе код КЈС</w:t>
            </w:r>
          </w:p>
        </w:tc>
        <w:tc>
          <w:tcPr>
            <w:tcW w:w="1562" w:type="dxa"/>
            <w:gridSpan w:val="5"/>
            <w:vAlign w:val="center"/>
          </w:tcPr>
          <w:p w14:paraId="1C443C57"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0" w:type="dxa"/>
            <w:gridSpan w:val="6"/>
            <w:vAlign w:val="center"/>
          </w:tcPr>
          <w:p w14:paraId="00CB9D8A"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ЦЈХ</w:t>
            </w:r>
          </w:p>
        </w:tc>
        <w:tc>
          <w:tcPr>
            <w:tcW w:w="2662" w:type="dxa"/>
            <w:gridSpan w:val="7"/>
            <w:vAlign w:val="center"/>
          </w:tcPr>
          <w:p w14:paraId="1E6778FF"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ОДУ</w:t>
            </w:r>
          </w:p>
        </w:tc>
        <w:tc>
          <w:tcPr>
            <w:tcW w:w="2153" w:type="dxa"/>
            <w:gridSpan w:val="15"/>
            <w:vAlign w:val="center"/>
          </w:tcPr>
          <w:p w14:paraId="02999B85"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48" w:type="dxa"/>
            <w:gridSpan w:val="17"/>
            <w:vAlign w:val="center"/>
          </w:tcPr>
          <w:p w14:paraId="59EFE3DE" w14:textId="77777777" w:rsidR="00F617BE" w:rsidRPr="00AA19A8" w:rsidRDefault="00F617BE" w:rsidP="00531B81">
            <w:pPr>
              <w:jc w:val="center"/>
              <w:rPr>
                <w:rFonts w:ascii="Times New Roman" w:hAnsi="Times New Roman" w:cs="Times New Roman"/>
                <w:sz w:val="20"/>
                <w:szCs w:val="20"/>
                <w:lang w:val="sr-Cyrl-CS"/>
              </w:rPr>
            </w:pPr>
          </w:p>
        </w:tc>
        <w:tc>
          <w:tcPr>
            <w:tcW w:w="1078" w:type="dxa"/>
            <w:gridSpan w:val="10"/>
            <w:vAlign w:val="center"/>
          </w:tcPr>
          <w:p w14:paraId="630593BA"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1.000</w:t>
            </w:r>
          </w:p>
        </w:tc>
        <w:tc>
          <w:tcPr>
            <w:tcW w:w="1080" w:type="dxa"/>
            <w:gridSpan w:val="8"/>
            <w:vAlign w:val="center"/>
          </w:tcPr>
          <w:p w14:paraId="68013816"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w:t>
            </w:r>
          </w:p>
        </w:tc>
        <w:tc>
          <w:tcPr>
            <w:tcW w:w="1097" w:type="dxa"/>
            <w:gridSpan w:val="4"/>
            <w:vAlign w:val="center"/>
          </w:tcPr>
          <w:p w14:paraId="11D184F4"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600</w:t>
            </w:r>
          </w:p>
        </w:tc>
      </w:tr>
      <w:tr w:rsidR="00D30238" w:rsidRPr="00AA19A8" w14:paraId="4573DC06" w14:textId="77777777" w:rsidTr="00BA7E6D">
        <w:trPr>
          <w:cantSplit/>
          <w:trHeight w:val="804"/>
        </w:trPr>
        <w:tc>
          <w:tcPr>
            <w:tcW w:w="15876" w:type="dxa"/>
            <w:gridSpan w:val="75"/>
            <w:shd w:val="clear" w:color="auto" w:fill="ECECEC"/>
            <w:vAlign w:val="center"/>
          </w:tcPr>
          <w:p w14:paraId="7442E5B9"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lastRenderedPageBreak/>
              <w:t>Мера 4.2. Унапређена функција интерне ревизије у јавном сектору у складу са међународним стандардима и начелима</w:t>
            </w:r>
          </w:p>
        </w:tc>
      </w:tr>
      <w:tr w:rsidR="00D30238" w:rsidRPr="00AA19A8" w14:paraId="5B91B6C6" w14:textId="77777777" w:rsidTr="006B65DC">
        <w:trPr>
          <w:cantSplit/>
          <w:trHeight w:val="804"/>
        </w:trPr>
        <w:tc>
          <w:tcPr>
            <w:tcW w:w="2516" w:type="dxa"/>
            <w:gridSpan w:val="3"/>
            <w:shd w:val="clear" w:color="auto" w:fill="ECECEC"/>
            <w:vAlign w:val="center"/>
          </w:tcPr>
          <w:p w14:paraId="08CCA8BA"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58" w:type="dxa"/>
            <w:gridSpan w:val="12"/>
            <w:shd w:val="clear" w:color="auto" w:fill="ECECEC"/>
            <w:vAlign w:val="center"/>
          </w:tcPr>
          <w:p w14:paraId="2E71932E" w14:textId="77777777" w:rsidR="00F617BE" w:rsidRPr="00AA19A8" w:rsidRDefault="00F617BE" w:rsidP="00531B8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202" w:type="dxa"/>
            <w:gridSpan w:val="60"/>
            <w:shd w:val="clear" w:color="auto" w:fill="ECECEC"/>
            <w:vAlign w:val="center"/>
          </w:tcPr>
          <w:p w14:paraId="56281A9C" w14:textId="77777777" w:rsidR="00F617BE" w:rsidRPr="00AA19A8" w:rsidRDefault="00F617BE" w:rsidP="00531B8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749EF6C0" w14:textId="77777777" w:rsidTr="006B65DC">
        <w:trPr>
          <w:cantSplit/>
          <w:trHeight w:val="804"/>
        </w:trPr>
        <w:tc>
          <w:tcPr>
            <w:tcW w:w="2516" w:type="dxa"/>
            <w:gridSpan w:val="3"/>
            <w:shd w:val="clear" w:color="auto" w:fill="ECECEC"/>
            <w:vAlign w:val="center"/>
          </w:tcPr>
          <w:p w14:paraId="001DBD8C"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Донаторска средства</w:t>
            </w:r>
          </w:p>
        </w:tc>
        <w:tc>
          <w:tcPr>
            <w:tcW w:w="3158" w:type="dxa"/>
            <w:gridSpan w:val="12"/>
            <w:shd w:val="clear" w:color="auto" w:fill="ECECEC"/>
            <w:vAlign w:val="center"/>
          </w:tcPr>
          <w:p w14:paraId="0FFD61C1" w14:textId="77777777" w:rsidR="00F617BE" w:rsidRPr="00AA19A8" w:rsidRDefault="00F617BE" w:rsidP="00531B81">
            <w:pPr>
              <w:jc w:val="center"/>
              <w:rPr>
                <w:rFonts w:ascii="Times New Roman" w:hAnsi="Times New Roman" w:cs="Times New Roman"/>
                <w:b/>
                <w:bCs/>
                <w:i/>
                <w:iCs/>
                <w:sz w:val="20"/>
                <w:szCs w:val="20"/>
                <w:lang w:val="sr-Cyrl-CS"/>
              </w:rPr>
            </w:pPr>
          </w:p>
        </w:tc>
        <w:tc>
          <w:tcPr>
            <w:tcW w:w="3397" w:type="dxa"/>
            <w:gridSpan w:val="12"/>
            <w:shd w:val="clear" w:color="auto" w:fill="ECECEC"/>
            <w:vAlign w:val="center"/>
          </w:tcPr>
          <w:p w14:paraId="069BDDF1" w14:textId="77777777" w:rsidR="00F617BE" w:rsidRPr="00AA19A8" w:rsidRDefault="00F617BE" w:rsidP="00531B8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17.550</w:t>
            </w:r>
          </w:p>
        </w:tc>
        <w:tc>
          <w:tcPr>
            <w:tcW w:w="3396" w:type="dxa"/>
            <w:gridSpan w:val="21"/>
            <w:shd w:val="clear" w:color="auto" w:fill="ECECEC"/>
            <w:vAlign w:val="center"/>
          </w:tcPr>
          <w:p w14:paraId="249E2A92" w14:textId="77777777" w:rsidR="00F617BE" w:rsidRPr="00AA19A8" w:rsidRDefault="00F617BE" w:rsidP="00531B8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5.200</w:t>
            </w:r>
          </w:p>
        </w:tc>
        <w:tc>
          <w:tcPr>
            <w:tcW w:w="3409" w:type="dxa"/>
            <w:gridSpan w:val="27"/>
            <w:shd w:val="clear" w:color="auto" w:fill="ECECEC"/>
            <w:vAlign w:val="center"/>
          </w:tcPr>
          <w:p w14:paraId="62D3DBAA" w14:textId="77777777" w:rsidR="00F617BE" w:rsidRPr="00AA19A8" w:rsidRDefault="00F617BE" w:rsidP="00531B81">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5.200</w:t>
            </w:r>
          </w:p>
        </w:tc>
      </w:tr>
      <w:tr w:rsidR="00D30238" w:rsidRPr="00AA19A8" w14:paraId="2103B0AB" w14:textId="77777777" w:rsidTr="00BA7E6D">
        <w:trPr>
          <w:cantSplit/>
          <w:trHeight w:val="804"/>
        </w:trPr>
        <w:tc>
          <w:tcPr>
            <w:tcW w:w="15876" w:type="dxa"/>
            <w:gridSpan w:val="75"/>
            <w:shd w:val="clear" w:color="auto" w:fill="ECECEC"/>
            <w:vAlign w:val="center"/>
          </w:tcPr>
          <w:p w14:paraId="116D1678" w14:textId="77777777" w:rsidR="00F617BE" w:rsidRPr="00AA19A8" w:rsidRDefault="00F617BE" w:rsidP="00F617BE">
            <w:pPr>
              <w:rPr>
                <w:rFonts w:ascii="Times New Roman" w:hAnsi="Times New Roman" w:cs="Times New Roman"/>
                <w:b/>
                <w:bCs/>
                <w:i/>
                <w:iCs/>
                <w:sz w:val="20"/>
                <w:szCs w:val="20"/>
                <w:lang w:val="sr-Cyrl-CS"/>
              </w:rPr>
            </w:pPr>
            <w:bookmarkStart w:id="49" w:name="_Toc69726994"/>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Сектор- Централна јединица за хармонизацију</w:t>
            </w:r>
            <w:bookmarkEnd w:id="49"/>
          </w:p>
        </w:tc>
      </w:tr>
      <w:tr w:rsidR="00D30238" w:rsidRPr="00AA19A8" w14:paraId="769AB6AE" w14:textId="77777777" w:rsidTr="006B65DC">
        <w:trPr>
          <w:cantSplit/>
          <w:trHeight w:val="804"/>
        </w:trPr>
        <w:tc>
          <w:tcPr>
            <w:tcW w:w="8320" w:type="dxa"/>
            <w:gridSpan w:val="21"/>
            <w:shd w:val="clear" w:color="auto" w:fill="ECECEC"/>
            <w:vAlign w:val="center"/>
          </w:tcPr>
          <w:p w14:paraId="259D5701" w14:textId="77777777" w:rsidR="00F617BE" w:rsidRPr="00AA19A8" w:rsidRDefault="00F617BE" w:rsidP="00F617BE">
            <w:pPr>
              <w:rPr>
                <w:rFonts w:ascii="Times New Roman" w:hAnsi="Times New Roman" w:cs="Times New Roman"/>
                <w:b/>
                <w:bCs/>
                <w:i/>
                <w:iCs/>
                <w:sz w:val="20"/>
                <w:szCs w:val="20"/>
                <w:lang w:val="sr-Cyrl-CS"/>
              </w:rPr>
            </w:pPr>
            <w:bookmarkStart w:id="50" w:name="_Toc69726995"/>
            <w:r w:rsidRPr="00AA19A8">
              <w:rPr>
                <w:rFonts w:ascii="Times New Roman" w:hAnsi="Times New Roman" w:cs="Times New Roman"/>
                <w:b/>
                <w:bCs/>
                <w:i/>
                <w:iCs/>
                <w:sz w:val="20"/>
                <w:szCs w:val="20"/>
                <w:lang w:val="sr-Cyrl-CS"/>
              </w:rPr>
              <w:t>Период спровођења: 2026-202</w:t>
            </w:r>
            <w:bookmarkEnd w:id="50"/>
            <w:r w:rsidRPr="00AA19A8">
              <w:rPr>
                <w:rFonts w:ascii="Times New Roman" w:hAnsi="Times New Roman" w:cs="Times New Roman"/>
                <w:b/>
                <w:bCs/>
                <w:i/>
                <w:iCs/>
                <w:sz w:val="20"/>
                <w:szCs w:val="20"/>
                <w:lang w:val="sr-Cyrl-CS"/>
              </w:rPr>
              <w:t>8</w:t>
            </w:r>
          </w:p>
        </w:tc>
        <w:tc>
          <w:tcPr>
            <w:tcW w:w="7556" w:type="dxa"/>
            <w:gridSpan w:val="54"/>
            <w:shd w:val="clear" w:color="auto" w:fill="ECECEC"/>
            <w:vAlign w:val="center"/>
          </w:tcPr>
          <w:p w14:paraId="201F94C3"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Тип мере: </w:t>
            </w:r>
          </w:p>
        </w:tc>
      </w:tr>
      <w:tr w:rsidR="00D30238" w:rsidRPr="00AA19A8" w14:paraId="6780C629" w14:textId="77777777" w:rsidTr="006B65DC">
        <w:trPr>
          <w:cantSplit/>
          <w:trHeight w:val="1253"/>
        </w:trPr>
        <w:tc>
          <w:tcPr>
            <w:tcW w:w="2516" w:type="dxa"/>
            <w:gridSpan w:val="3"/>
            <w:shd w:val="clear" w:color="auto" w:fill="ECECEC"/>
            <w:vAlign w:val="center"/>
          </w:tcPr>
          <w:p w14:paraId="285F3A1B"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3158" w:type="dxa"/>
            <w:gridSpan w:val="12"/>
            <w:shd w:val="clear" w:color="auto" w:fill="ECECEC"/>
            <w:vAlign w:val="center"/>
          </w:tcPr>
          <w:p w14:paraId="6844F240"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6" w:type="dxa"/>
            <w:gridSpan w:val="6"/>
            <w:shd w:val="clear" w:color="auto" w:fill="ECECEC"/>
            <w:vAlign w:val="center"/>
          </w:tcPr>
          <w:p w14:paraId="380E764A"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53" w:type="dxa"/>
            <w:gridSpan w:val="15"/>
            <w:shd w:val="clear" w:color="auto" w:fill="ECECEC"/>
            <w:vAlign w:val="center"/>
          </w:tcPr>
          <w:p w14:paraId="1DDCC416"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48" w:type="dxa"/>
            <w:gridSpan w:val="17"/>
            <w:shd w:val="clear" w:color="auto" w:fill="ECECEC"/>
            <w:vAlign w:val="center"/>
          </w:tcPr>
          <w:p w14:paraId="395B333E"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7AC9B4A6"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2724506C"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372E0C7C"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97" w:type="dxa"/>
            <w:gridSpan w:val="4"/>
            <w:shd w:val="clear" w:color="auto" w:fill="ECECEC"/>
            <w:vAlign w:val="center"/>
          </w:tcPr>
          <w:p w14:paraId="7CA1D54C" w14:textId="77777777" w:rsidR="00F617BE" w:rsidRPr="00AA19A8" w:rsidRDefault="00F617BE" w:rsidP="00531B81">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1D2DEEB0" w14:textId="77777777" w:rsidTr="006B65DC">
        <w:trPr>
          <w:cantSplit/>
          <w:trHeight w:val="2268"/>
        </w:trPr>
        <w:tc>
          <w:tcPr>
            <w:tcW w:w="2516" w:type="dxa"/>
            <w:gridSpan w:val="3"/>
            <w:vAlign w:val="center"/>
          </w:tcPr>
          <w:p w14:paraId="523EEEF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приоритетних КЈС који имају интерног ревизора запосленог у тој организацији (од оних који су обавезни по пропису да имају јединицу за ИР)</w:t>
            </w:r>
          </w:p>
        </w:tc>
        <w:tc>
          <w:tcPr>
            <w:tcW w:w="3158" w:type="dxa"/>
            <w:gridSpan w:val="12"/>
            <w:vAlign w:val="center"/>
          </w:tcPr>
          <w:p w14:paraId="5362F617"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46" w:type="dxa"/>
            <w:gridSpan w:val="6"/>
            <w:vAlign w:val="center"/>
          </w:tcPr>
          <w:p w14:paraId="1687A135"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КГИ</w:t>
            </w:r>
          </w:p>
        </w:tc>
        <w:tc>
          <w:tcPr>
            <w:tcW w:w="2153" w:type="dxa"/>
            <w:gridSpan w:val="15"/>
            <w:vAlign w:val="center"/>
          </w:tcPr>
          <w:p w14:paraId="6C40215A"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80,82%</w:t>
            </w:r>
          </w:p>
        </w:tc>
        <w:tc>
          <w:tcPr>
            <w:tcW w:w="2148" w:type="dxa"/>
            <w:gridSpan w:val="17"/>
            <w:vAlign w:val="center"/>
          </w:tcPr>
          <w:p w14:paraId="734C7540"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78" w:type="dxa"/>
            <w:gridSpan w:val="10"/>
            <w:vAlign w:val="center"/>
          </w:tcPr>
          <w:p w14:paraId="573B0652"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83%</w:t>
            </w:r>
          </w:p>
        </w:tc>
        <w:tc>
          <w:tcPr>
            <w:tcW w:w="1080" w:type="dxa"/>
            <w:gridSpan w:val="8"/>
            <w:vAlign w:val="center"/>
          </w:tcPr>
          <w:p w14:paraId="0E6E4B30"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w:t>
            </w:r>
          </w:p>
        </w:tc>
        <w:tc>
          <w:tcPr>
            <w:tcW w:w="1097" w:type="dxa"/>
            <w:gridSpan w:val="4"/>
            <w:vAlign w:val="center"/>
          </w:tcPr>
          <w:p w14:paraId="38472A48"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87%</w:t>
            </w:r>
          </w:p>
        </w:tc>
      </w:tr>
      <w:tr w:rsidR="00D30238" w:rsidRPr="00AA19A8" w14:paraId="042B1B3B" w14:textId="77777777" w:rsidTr="006B65DC">
        <w:trPr>
          <w:cantSplit/>
          <w:trHeight w:val="1701"/>
        </w:trPr>
        <w:tc>
          <w:tcPr>
            <w:tcW w:w="2516" w:type="dxa"/>
            <w:gridSpan w:val="3"/>
            <w:vAlign w:val="center"/>
          </w:tcPr>
          <w:p w14:paraId="062AAA5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Укупан број унапређених материјала из области ИФКЈ</w:t>
            </w:r>
          </w:p>
        </w:tc>
        <w:tc>
          <w:tcPr>
            <w:tcW w:w="3158" w:type="dxa"/>
            <w:gridSpan w:val="12"/>
            <w:vAlign w:val="center"/>
          </w:tcPr>
          <w:p w14:paraId="2DD46068"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w:t>
            </w:r>
          </w:p>
        </w:tc>
        <w:tc>
          <w:tcPr>
            <w:tcW w:w="2646" w:type="dxa"/>
            <w:gridSpan w:val="6"/>
            <w:vAlign w:val="center"/>
          </w:tcPr>
          <w:p w14:paraId="4783491A"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Материјали објављени на сајту</w:t>
            </w:r>
          </w:p>
        </w:tc>
        <w:tc>
          <w:tcPr>
            <w:tcW w:w="2153" w:type="dxa"/>
            <w:gridSpan w:val="15"/>
            <w:vAlign w:val="center"/>
          </w:tcPr>
          <w:p w14:paraId="129843B0"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0</w:t>
            </w:r>
          </w:p>
        </w:tc>
        <w:tc>
          <w:tcPr>
            <w:tcW w:w="2148" w:type="dxa"/>
            <w:gridSpan w:val="17"/>
            <w:vAlign w:val="center"/>
          </w:tcPr>
          <w:p w14:paraId="76697739"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470FC011"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w:t>
            </w:r>
          </w:p>
        </w:tc>
        <w:tc>
          <w:tcPr>
            <w:tcW w:w="1080" w:type="dxa"/>
            <w:gridSpan w:val="8"/>
            <w:vAlign w:val="center"/>
          </w:tcPr>
          <w:p w14:paraId="4248177B"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w:t>
            </w:r>
          </w:p>
        </w:tc>
        <w:tc>
          <w:tcPr>
            <w:tcW w:w="1097" w:type="dxa"/>
            <w:gridSpan w:val="4"/>
            <w:vAlign w:val="center"/>
          </w:tcPr>
          <w:p w14:paraId="62B99236" w14:textId="77777777" w:rsidR="00F617BE" w:rsidRPr="00AA19A8" w:rsidRDefault="00F617BE" w:rsidP="00531B81">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4</w:t>
            </w:r>
          </w:p>
        </w:tc>
      </w:tr>
      <w:tr w:rsidR="00D30238" w:rsidRPr="00AA19A8" w14:paraId="3A7BE850" w14:textId="77777777" w:rsidTr="00BA7E6D">
        <w:trPr>
          <w:cantSplit/>
          <w:trHeight w:val="624"/>
        </w:trPr>
        <w:tc>
          <w:tcPr>
            <w:tcW w:w="2525" w:type="dxa"/>
            <w:gridSpan w:val="4"/>
            <w:vMerge w:val="restart"/>
            <w:shd w:val="clear" w:color="auto" w:fill="ECECEC"/>
            <w:vAlign w:val="center"/>
          </w:tcPr>
          <w:p w14:paraId="04C05258" w14:textId="77777777" w:rsidR="00F617BE" w:rsidRPr="00AA19A8" w:rsidRDefault="00F617BE" w:rsidP="00954CAB">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lastRenderedPageBreak/>
              <w:t>Назив активности:</w:t>
            </w:r>
          </w:p>
        </w:tc>
        <w:tc>
          <w:tcPr>
            <w:tcW w:w="1582" w:type="dxa"/>
            <w:gridSpan w:val="6"/>
            <w:vMerge w:val="restart"/>
            <w:shd w:val="clear" w:color="auto" w:fill="ECECEC"/>
            <w:vAlign w:val="center"/>
          </w:tcPr>
          <w:p w14:paraId="6123BE60"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3" w:type="dxa"/>
            <w:gridSpan w:val="6"/>
            <w:vMerge w:val="restart"/>
            <w:shd w:val="clear" w:color="auto" w:fill="ECECEC"/>
            <w:vAlign w:val="center"/>
          </w:tcPr>
          <w:p w14:paraId="334B62DC"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5" w:type="dxa"/>
            <w:gridSpan w:val="6"/>
            <w:vMerge w:val="restart"/>
            <w:shd w:val="clear" w:color="auto" w:fill="ECECEC"/>
            <w:vAlign w:val="center"/>
          </w:tcPr>
          <w:p w14:paraId="6E1C60AB"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41" w:type="dxa"/>
            <w:gridSpan w:val="53"/>
            <w:shd w:val="clear" w:color="auto" w:fill="ECECEC"/>
            <w:vAlign w:val="center"/>
          </w:tcPr>
          <w:p w14:paraId="51B57CA7"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46378A04" w14:textId="77777777" w:rsidTr="00BA7E6D">
        <w:trPr>
          <w:cantSplit/>
          <w:trHeight w:val="1134"/>
        </w:trPr>
        <w:tc>
          <w:tcPr>
            <w:tcW w:w="2525" w:type="dxa"/>
            <w:gridSpan w:val="4"/>
            <w:vMerge/>
            <w:shd w:val="clear" w:color="auto" w:fill="ECECEC"/>
            <w:vAlign w:val="center"/>
          </w:tcPr>
          <w:p w14:paraId="3E8C1024" w14:textId="77777777" w:rsidR="00F617BE" w:rsidRPr="00AA19A8" w:rsidRDefault="00F617BE" w:rsidP="00954CAB">
            <w:pPr>
              <w:jc w:val="center"/>
              <w:rPr>
                <w:rFonts w:ascii="Times New Roman" w:hAnsi="Times New Roman" w:cs="Times New Roman"/>
                <w:b/>
                <w:bCs/>
                <w:sz w:val="20"/>
                <w:szCs w:val="20"/>
                <w:lang w:val="sr-Cyrl-CS"/>
              </w:rPr>
            </w:pPr>
          </w:p>
        </w:tc>
        <w:tc>
          <w:tcPr>
            <w:tcW w:w="1582" w:type="dxa"/>
            <w:gridSpan w:val="6"/>
            <w:vMerge/>
            <w:shd w:val="clear" w:color="auto" w:fill="ECECEC"/>
            <w:vAlign w:val="center"/>
          </w:tcPr>
          <w:p w14:paraId="1E540F12" w14:textId="77777777" w:rsidR="00F617BE" w:rsidRPr="00AA19A8" w:rsidRDefault="00F617BE" w:rsidP="00954CAB">
            <w:pPr>
              <w:jc w:val="center"/>
              <w:rPr>
                <w:rFonts w:ascii="Times New Roman" w:hAnsi="Times New Roman" w:cs="Times New Roman"/>
                <w:b/>
                <w:bCs/>
                <w:sz w:val="20"/>
                <w:szCs w:val="20"/>
                <w:lang w:val="sr-Cyrl-CS"/>
              </w:rPr>
            </w:pPr>
          </w:p>
        </w:tc>
        <w:tc>
          <w:tcPr>
            <w:tcW w:w="1583" w:type="dxa"/>
            <w:gridSpan w:val="6"/>
            <w:vMerge/>
            <w:shd w:val="clear" w:color="auto" w:fill="ECECEC"/>
            <w:vAlign w:val="center"/>
          </w:tcPr>
          <w:p w14:paraId="19D2DEC9" w14:textId="77777777" w:rsidR="00F617BE" w:rsidRPr="00AA19A8" w:rsidRDefault="00F617BE" w:rsidP="00954CAB">
            <w:pPr>
              <w:jc w:val="center"/>
              <w:rPr>
                <w:rFonts w:ascii="Times New Roman" w:hAnsi="Times New Roman" w:cs="Times New Roman"/>
                <w:b/>
                <w:bCs/>
                <w:sz w:val="20"/>
                <w:szCs w:val="20"/>
                <w:lang w:val="sr-Cyrl-CS"/>
              </w:rPr>
            </w:pPr>
          </w:p>
        </w:tc>
        <w:tc>
          <w:tcPr>
            <w:tcW w:w="2645" w:type="dxa"/>
            <w:gridSpan w:val="6"/>
            <w:vMerge/>
            <w:shd w:val="clear" w:color="auto" w:fill="ECECEC"/>
            <w:vAlign w:val="center"/>
          </w:tcPr>
          <w:p w14:paraId="49B9962B" w14:textId="77777777" w:rsidR="00F617BE" w:rsidRPr="00AA19A8" w:rsidRDefault="00F617BE" w:rsidP="00954CAB">
            <w:pPr>
              <w:jc w:val="center"/>
              <w:rPr>
                <w:rFonts w:ascii="Times New Roman" w:hAnsi="Times New Roman" w:cs="Times New Roman"/>
                <w:b/>
                <w:bCs/>
                <w:sz w:val="20"/>
                <w:szCs w:val="20"/>
                <w:lang w:val="sr-Cyrl-CS"/>
              </w:rPr>
            </w:pPr>
          </w:p>
        </w:tc>
        <w:tc>
          <w:tcPr>
            <w:tcW w:w="2154" w:type="dxa"/>
            <w:gridSpan w:val="16"/>
            <w:shd w:val="clear" w:color="auto" w:fill="ECECEC"/>
            <w:vAlign w:val="center"/>
          </w:tcPr>
          <w:p w14:paraId="6FC2BE98"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55" w:type="dxa"/>
            <w:gridSpan w:val="17"/>
            <w:shd w:val="clear" w:color="auto" w:fill="ECECEC"/>
            <w:vAlign w:val="center"/>
          </w:tcPr>
          <w:p w14:paraId="1D16B84B"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7" w:type="dxa"/>
            <w:gridSpan w:val="10"/>
            <w:shd w:val="clear" w:color="auto" w:fill="ECECEC"/>
            <w:vAlign w:val="center"/>
          </w:tcPr>
          <w:p w14:paraId="0BA8DE74"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7" w:type="dxa"/>
            <w:gridSpan w:val="8"/>
            <w:shd w:val="clear" w:color="auto" w:fill="ECECEC"/>
            <w:vAlign w:val="center"/>
          </w:tcPr>
          <w:p w14:paraId="686ACD5F"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78" w:type="dxa"/>
            <w:gridSpan w:val="2"/>
            <w:shd w:val="clear" w:color="auto" w:fill="ECECEC"/>
            <w:vAlign w:val="center"/>
          </w:tcPr>
          <w:p w14:paraId="6455AF6B" w14:textId="77777777" w:rsidR="00F617BE" w:rsidRPr="00AA19A8" w:rsidRDefault="00F617BE" w:rsidP="00954CA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4B898D26" w14:textId="77777777" w:rsidTr="00BA7E6D">
        <w:trPr>
          <w:cantSplit/>
          <w:trHeight w:val="2268"/>
        </w:trPr>
        <w:tc>
          <w:tcPr>
            <w:tcW w:w="2525" w:type="dxa"/>
            <w:gridSpan w:val="4"/>
            <w:vAlign w:val="center"/>
          </w:tcPr>
          <w:p w14:paraId="5BB695B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4.2.1 Унапређење регулаторног оквира и методолошких материјала (правилника и приручника) у складу са новим међународним стандардима</w:t>
            </w:r>
          </w:p>
        </w:tc>
        <w:tc>
          <w:tcPr>
            <w:tcW w:w="1582" w:type="dxa"/>
            <w:gridSpan w:val="6"/>
            <w:vAlign w:val="center"/>
          </w:tcPr>
          <w:p w14:paraId="069B6F25"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14039F1C"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финансија-ЦЈХ</w:t>
            </w:r>
          </w:p>
        </w:tc>
        <w:tc>
          <w:tcPr>
            <w:tcW w:w="2645" w:type="dxa"/>
            <w:gridSpan w:val="6"/>
            <w:vAlign w:val="center"/>
          </w:tcPr>
          <w:p w14:paraId="69FB9F48" w14:textId="77777777" w:rsidR="00F617BE" w:rsidRPr="00AA19A8" w:rsidRDefault="00F617BE" w:rsidP="00E64917">
            <w:pPr>
              <w:jc w:val="center"/>
              <w:rPr>
                <w:rFonts w:ascii="Times New Roman" w:hAnsi="Times New Roman" w:cs="Times New Roman"/>
                <w:sz w:val="20"/>
                <w:szCs w:val="20"/>
                <w:lang w:val="sr-Cyrl-CS"/>
              </w:rPr>
            </w:pPr>
          </w:p>
        </w:tc>
        <w:tc>
          <w:tcPr>
            <w:tcW w:w="2148" w:type="dxa"/>
            <w:gridSpan w:val="15"/>
            <w:vAlign w:val="center"/>
          </w:tcPr>
          <w:p w14:paraId="751A6A24" w14:textId="13DC57D1"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Донаторска средства </w:t>
            </w:r>
            <w:r w:rsidR="00D43D50" w:rsidRPr="00AA19A8">
              <w:rPr>
                <w:rFonts w:ascii="Times New Roman" w:hAnsi="Times New Roman" w:cs="Times New Roman"/>
                <w:i/>
                <w:iCs/>
                <w:sz w:val="20"/>
                <w:szCs w:val="20"/>
                <w:lang w:val="sr-Cyrl-CS"/>
              </w:rPr>
              <w:t>UNDP</w:t>
            </w:r>
          </w:p>
        </w:tc>
        <w:tc>
          <w:tcPr>
            <w:tcW w:w="2150" w:type="dxa"/>
            <w:gridSpan w:val="17"/>
            <w:vAlign w:val="center"/>
          </w:tcPr>
          <w:p w14:paraId="1166D0E1" w14:textId="77777777" w:rsidR="00F617BE" w:rsidRPr="00AA19A8" w:rsidRDefault="00F617BE" w:rsidP="00E64917">
            <w:pPr>
              <w:jc w:val="center"/>
              <w:rPr>
                <w:rFonts w:ascii="Times New Roman" w:hAnsi="Times New Roman" w:cs="Times New Roman"/>
                <w:sz w:val="20"/>
                <w:szCs w:val="20"/>
                <w:lang w:val="sr-Cyrl-CS"/>
              </w:rPr>
            </w:pPr>
          </w:p>
        </w:tc>
        <w:tc>
          <w:tcPr>
            <w:tcW w:w="1078" w:type="dxa"/>
            <w:gridSpan w:val="10"/>
            <w:vAlign w:val="center"/>
          </w:tcPr>
          <w:p w14:paraId="30680D7F" w14:textId="44B4E5A1"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22DA9F19"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1.950</w:t>
            </w:r>
          </w:p>
        </w:tc>
        <w:tc>
          <w:tcPr>
            <w:tcW w:w="1085" w:type="dxa"/>
            <w:gridSpan w:val="3"/>
            <w:vAlign w:val="center"/>
          </w:tcPr>
          <w:p w14:paraId="38165361"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1.950</w:t>
            </w:r>
          </w:p>
        </w:tc>
      </w:tr>
      <w:tr w:rsidR="00D30238" w:rsidRPr="00AA19A8" w14:paraId="0B568424" w14:textId="77777777" w:rsidTr="00BA7E6D">
        <w:trPr>
          <w:cantSplit/>
          <w:trHeight w:val="2268"/>
        </w:trPr>
        <w:tc>
          <w:tcPr>
            <w:tcW w:w="2525" w:type="dxa"/>
            <w:gridSpan w:val="4"/>
            <w:vAlign w:val="center"/>
          </w:tcPr>
          <w:p w14:paraId="76F8CDA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4.2.2 Унапређење процеса сертификације за стицање звања ОИР у ЈС</w:t>
            </w:r>
          </w:p>
        </w:tc>
        <w:tc>
          <w:tcPr>
            <w:tcW w:w="1582" w:type="dxa"/>
            <w:gridSpan w:val="6"/>
            <w:vAlign w:val="center"/>
          </w:tcPr>
          <w:p w14:paraId="41F5B018"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09716675"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финансија-ЦЈХ</w:t>
            </w:r>
          </w:p>
        </w:tc>
        <w:tc>
          <w:tcPr>
            <w:tcW w:w="2645" w:type="dxa"/>
            <w:gridSpan w:val="6"/>
            <w:vAlign w:val="center"/>
          </w:tcPr>
          <w:p w14:paraId="5E7452E5" w14:textId="77777777" w:rsidR="00F617BE" w:rsidRPr="00AA19A8" w:rsidRDefault="00F617BE" w:rsidP="00E64917">
            <w:pPr>
              <w:jc w:val="center"/>
              <w:rPr>
                <w:rFonts w:ascii="Times New Roman" w:hAnsi="Times New Roman" w:cs="Times New Roman"/>
                <w:sz w:val="20"/>
                <w:szCs w:val="20"/>
                <w:lang w:val="sr-Cyrl-CS"/>
              </w:rPr>
            </w:pPr>
          </w:p>
        </w:tc>
        <w:tc>
          <w:tcPr>
            <w:tcW w:w="2148" w:type="dxa"/>
            <w:gridSpan w:val="15"/>
            <w:vAlign w:val="center"/>
          </w:tcPr>
          <w:p w14:paraId="2F9D0478" w14:textId="30EDD743"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Донаторска средства </w:t>
            </w:r>
            <w:r w:rsidR="00D43D50" w:rsidRPr="00AA19A8">
              <w:rPr>
                <w:rFonts w:ascii="Times New Roman" w:hAnsi="Times New Roman" w:cs="Times New Roman"/>
                <w:i/>
                <w:iCs/>
                <w:sz w:val="20"/>
                <w:szCs w:val="20"/>
                <w:lang w:val="sr-Cyrl-CS"/>
              </w:rPr>
              <w:t>UNDP</w:t>
            </w:r>
          </w:p>
        </w:tc>
        <w:tc>
          <w:tcPr>
            <w:tcW w:w="2150" w:type="dxa"/>
            <w:gridSpan w:val="17"/>
            <w:vAlign w:val="center"/>
          </w:tcPr>
          <w:p w14:paraId="35C12AF0" w14:textId="77777777" w:rsidR="00F617BE" w:rsidRPr="00AA19A8" w:rsidRDefault="00F617BE" w:rsidP="00E64917">
            <w:pPr>
              <w:jc w:val="center"/>
              <w:rPr>
                <w:rFonts w:ascii="Times New Roman" w:hAnsi="Times New Roman" w:cs="Times New Roman"/>
                <w:sz w:val="20"/>
                <w:szCs w:val="20"/>
                <w:lang w:val="sr-Cyrl-CS"/>
              </w:rPr>
            </w:pPr>
          </w:p>
        </w:tc>
        <w:tc>
          <w:tcPr>
            <w:tcW w:w="1078" w:type="dxa"/>
            <w:gridSpan w:val="10"/>
            <w:vAlign w:val="center"/>
          </w:tcPr>
          <w:p w14:paraId="4E990DA2"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60ACCE86"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1.950</w:t>
            </w:r>
          </w:p>
        </w:tc>
        <w:tc>
          <w:tcPr>
            <w:tcW w:w="1085" w:type="dxa"/>
            <w:gridSpan w:val="3"/>
            <w:vAlign w:val="center"/>
          </w:tcPr>
          <w:p w14:paraId="607BE03E"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1.950</w:t>
            </w:r>
          </w:p>
        </w:tc>
      </w:tr>
      <w:tr w:rsidR="00D30238" w:rsidRPr="00AA19A8" w14:paraId="42D44942" w14:textId="77777777" w:rsidTr="00BA7E6D">
        <w:trPr>
          <w:cantSplit/>
          <w:trHeight w:val="1191"/>
        </w:trPr>
        <w:tc>
          <w:tcPr>
            <w:tcW w:w="2525" w:type="dxa"/>
            <w:gridSpan w:val="4"/>
            <w:vAlign w:val="center"/>
          </w:tcPr>
          <w:p w14:paraId="111815D9"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4.2.3 Тематске радионице из области ИР</w:t>
            </w:r>
          </w:p>
        </w:tc>
        <w:tc>
          <w:tcPr>
            <w:tcW w:w="1582" w:type="dxa"/>
            <w:gridSpan w:val="6"/>
            <w:vAlign w:val="center"/>
          </w:tcPr>
          <w:p w14:paraId="640AE538"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110888D0"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финансија-ЦЈХ</w:t>
            </w:r>
          </w:p>
        </w:tc>
        <w:tc>
          <w:tcPr>
            <w:tcW w:w="2645" w:type="dxa"/>
            <w:gridSpan w:val="6"/>
            <w:vAlign w:val="center"/>
          </w:tcPr>
          <w:p w14:paraId="0F754385" w14:textId="77777777" w:rsidR="00F617BE" w:rsidRPr="00AA19A8" w:rsidRDefault="00F617BE" w:rsidP="00E64917">
            <w:pPr>
              <w:jc w:val="center"/>
              <w:rPr>
                <w:rFonts w:ascii="Times New Roman" w:hAnsi="Times New Roman" w:cs="Times New Roman"/>
                <w:sz w:val="20"/>
                <w:szCs w:val="20"/>
                <w:lang w:val="sr-Cyrl-CS"/>
              </w:rPr>
            </w:pPr>
          </w:p>
        </w:tc>
        <w:tc>
          <w:tcPr>
            <w:tcW w:w="2148" w:type="dxa"/>
            <w:gridSpan w:val="15"/>
            <w:vAlign w:val="center"/>
          </w:tcPr>
          <w:p w14:paraId="20AC0263"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50" w:type="dxa"/>
            <w:gridSpan w:val="17"/>
            <w:vAlign w:val="center"/>
          </w:tcPr>
          <w:p w14:paraId="01E444DE" w14:textId="77777777" w:rsidR="00F617BE" w:rsidRPr="00AA19A8" w:rsidRDefault="00F617BE" w:rsidP="00E64917">
            <w:pPr>
              <w:jc w:val="center"/>
              <w:rPr>
                <w:rFonts w:ascii="Times New Roman" w:hAnsi="Times New Roman" w:cs="Times New Roman"/>
                <w:sz w:val="20"/>
                <w:szCs w:val="20"/>
                <w:lang w:val="sr-Cyrl-CS"/>
              </w:rPr>
            </w:pPr>
          </w:p>
        </w:tc>
        <w:tc>
          <w:tcPr>
            <w:tcW w:w="1078" w:type="dxa"/>
            <w:gridSpan w:val="10"/>
            <w:vAlign w:val="center"/>
          </w:tcPr>
          <w:p w14:paraId="2D32B544"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1.300*</w:t>
            </w:r>
          </w:p>
        </w:tc>
        <w:tc>
          <w:tcPr>
            <w:tcW w:w="1080" w:type="dxa"/>
            <w:gridSpan w:val="8"/>
            <w:vAlign w:val="center"/>
          </w:tcPr>
          <w:p w14:paraId="0D60C986"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1.300*</w:t>
            </w:r>
          </w:p>
        </w:tc>
        <w:tc>
          <w:tcPr>
            <w:tcW w:w="1085" w:type="dxa"/>
            <w:gridSpan w:val="3"/>
            <w:vAlign w:val="center"/>
          </w:tcPr>
          <w:p w14:paraId="551FDFA9"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1.300*</w:t>
            </w:r>
          </w:p>
        </w:tc>
      </w:tr>
      <w:tr w:rsidR="00D30238" w:rsidRPr="00AA19A8" w14:paraId="5F80366A" w14:textId="77777777" w:rsidTr="00BA7E6D">
        <w:trPr>
          <w:cantSplit/>
          <w:trHeight w:val="2268"/>
        </w:trPr>
        <w:tc>
          <w:tcPr>
            <w:tcW w:w="2525" w:type="dxa"/>
            <w:gridSpan w:val="4"/>
            <w:vAlign w:val="center"/>
          </w:tcPr>
          <w:p w14:paraId="650B5446" w14:textId="77777777" w:rsidR="00F617BE" w:rsidRPr="00AA19A8" w:rsidRDefault="00F617BE" w:rsidP="00F617BE">
            <w:pPr>
              <w:rPr>
                <w:rFonts w:ascii="Times New Roman" w:hAnsi="Times New Roman" w:cs="Times New Roman"/>
                <w:sz w:val="20"/>
                <w:szCs w:val="20"/>
                <w:lang w:val="sr-Cyrl-CS"/>
              </w:rPr>
            </w:pPr>
            <w:bookmarkStart w:id="51" w:name="_Toc73613676"/>
            <w:r w:rsidRPr="00AA19A8">
              <w:rPr>
                <w:rFonts w:ascii="Times New Roman" w:hAnsi="Times New Roman" w:cs="Times New Roman"/>
                <w:sz w:val="20"/>
                <w:szCs w:val="20"/>
                <w:lang w:val="sr-Cyrl-CS"/>
              </w:rPr>
              <w:lastRenderedPageBreak/>
              <w:t>4.2.4 Израда модела Повеље, Стратешког и Годишњег плана на бази матрице ризика за ревизорски универзум, извођење хоризонталних ревизија</w:t>
            </w:r>
            <w:bookmarkEnd w:id="51"/>
          </w:p>
        </w:tc>
        <w:tc>
          <w:tcPr>
            <w:tcW w:w="1582" w:type="dxa"/>
            <w:gridSpan w:val="6"/>
            <w:vAlign w:val="center"/>
          </w:tcPr>
          <w:p w14:paraId="7EACDF76" w14:textId="77777777" w:rsidR="00F617BE" w:rsidRPr="00AA19A8" w:rsidRDefault="00F617BE" w:rsidP="00E64917">
            <w:pPr>
              <w:jc w:val="center"/>
              <w:rPr>
                <w:rFonts w:ascii="Times New Roman" w:hAnsi="Times New Roman" w:cs="Times New Roman"/>
                <w:sz w:val="20"/>
                <w:szCs w:val="20"/>
                <w:lang w:val="sr-Cyrl-CS"/>
              </w:rPr>
            </w:pPr>
            <w:bookmarkStart w:id="52" w:name="_Toc73613677"/>
            <w:r w:rsidRPr="00AA19A8">
              <w:rPr>
                <w:rFonts w:ascii="Times New Roman" w:hAnsi="Times New Roman" w:cs="Times New Roman"/>
                <w:sz w:val="20"/>
                <w:szCs w:val="20"/>
                <w:lang w:val="sr-Cyrl-CS"/>
              </w:rPr>
              <w:t>Q4 202</w:t>
            </w:r>
            <w:bookmarkEnd w:id="52"/>
            <w:r w:rsidRPr="00AA19A8">
              <w:rPr>
                <w:rFonts w:ascii="Times New Roman" w:hAnsi="Times New Roman" w:cs="Times New Roman"/>
                <w:sz w:val="20"/>
                <w:szCs w:val="20"/>
                <w:lang w:val="sr-Cyrl-CS"/>
              </w:rPr>
              <w:t>6</w:t>
            </w:r>
          </w:p>
        </w:tc>
        <w:tc>
          <w:tcPr>
            <w:tcW w:w="1583" w:type="dxa"/>
            <w:gridSpan w:val="6"/>
            <w:vAlign w:val="center"/>
          </w:tcPr>
          <w:p w14:paraId="4905B07F"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Канцелaрија за ревизију система управљања средствима ЕУ</w:t>
            </w:r>
          </w:p>
        </w:tc>
        <w:tc>
          <w:tcPr>
            <w:tcW w:w="2645" w:type="dxa"/>
            <w:gridSpan w:val="6"/>
            <w:vAlign w:val="center"/>
          </w:tcPr>
          <w:p w14:paraId="7A50D113"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 Централна јединица за хармонизацију</w:t>
            </w:r>
          </w:p>
        </w:tc>
        <w:tc>
          <w:tcPr>
            <w:tcW w:w="2148" w:type="dxa"/>
            <w:gridSpan w:val="15"/>
            <w:vAlign w:val="center"/>
          </w:tcPr>
          <w:p w14:paraId="0971B70C" w14:textId="17706B48"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r w:rsidR="006175B3" w:rsidRPr="00AA19A8">
              <w:rPr>
                <w:rFonts w:ascii="Times New Roman" w:hAnsi="Times New Roman" w:cs="Times New Roman"/>
                <w:sz w:val="20"/>
                <w:szCs w:val="20"/>
                <w:lang w:val="sr-Cyrl-CS"/>
              </w:rPr>
              <w:t>*</w:t>
            </w:r>
          </w:p>
        </w:tc>
        <w:tc>
          <w:tcPr>
            <w:tcW w:w="2150" w:type="dxa"/>
            <w:gridSpan w:val="17"/>
            <w:vAlign w:val="center"/>
          </w:tcPr>
          <w:p w14:paraId="6A88059F" w14:textId="77777777" w:rsidR="00F617BE" w:rsidRPr="00AA19A8" w:rsidRDefault="00F617BE" w:rsidP="00E64917">
            <w:pPr>
              <w:jc w:val="center"/>
              <w:rPr>
                <w:rFonts w:ascii="Times New Roman" w:hAnsi="Times New Roman" w:cs="Times New Roman"/>
                <w:sz w:val="20"/>
                <w:szCs w:val="20"/>
                <w:lang w:val="sr-Cyrl-CS"/>
              </w:rPr>
            </w:pPr>
          </w:p>
        </w:tc>
        <w:tc>
          <w:tcPr>
            <w:tcW w:w="1078" w:type="dxa"/>
            <w:gridSpan w:val="10"/>
            <w:vAlign w:val="center"/>
          </w:tcPr>
          <w:p w14:paraId="7F4CA2CA"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16.250*</w:t>
            </w:r>
          </w:p>
        </w:tc>
        <w:tc>
          <w:tcPr>
            <w:tcW w:w="1080" w:type="dxa"/>
            <w:gridSpan w:val="8"/>
            <w:vAlign w:val="center"/>
          </w:tcPr>
          <w:p w14:paraId="3A0E0D27"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5" w:type="dxa"/>
            <w:gridSpan w:val="3"/>
            <w:vAlign w:val="center"/>
          </w:tcPr>
          <w:p w14:paraId="481B6F0E" w14:textId="77777777" w:rsidR="00F617BE" w:rsidRPr="00AA19A8" w:rsidRDefault="00F617BE" w:rsidP="00E64917">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270ECD97" w14:textId="77777777" w:rsidTr="00BA7E6D">
        <w:trPr>
          <w:cantSplit/>
          <w:trHeight w:val="804"/>
        </w:trPr>
        <w:tc>
          <w:tcPr>
            <w:tcW w:w="15876" w:type="dxa"/>
            <w:gridSpan w:val="75"/>
            <w:shd w:val="clear" w:color="auto" w:fill="ECECEC"/>
            <w:vAlign w:val="center"/>
          </w:tcPr>
          <w:p w14:paraId="54B4618A"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Мера 4.3: Унапређење ИТ система ради укључивања модула за интерну контролу и интерну ревизију</w:t>
            </w:r>
          </w:p>
        </w:tc>
      </w:tr>
      <w:tr w:rsidR="00D30238" w:rsidRPr="00AA19A8" w14:paraId="62840C6A" w14:textId="77777777" w:rsidTr="00BA7E6D">
        <w:trPr>
          <w:cantSplit/>
          <w:trHeight w:val="804"/>
        </w:trPr>
        <w:tc>
          <w:tcPr>
            <w:tcW w:w="2525" w:type="dxa"/>
            <w:gridSpan w:val="4"/>
            <w:shd w:val="clear" w:color="auto" w:fill="ECECEC"/>
            <w:vAlign w:val="center"/>
          </w:tcPr>
          <w:p w14:paraId="7DF1E741"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65" w:type="dxa"/>
            <w:gridSpan w:val="12"/>
            <w:shd w:val="clear" w:color="auto" w:fill="ECECEC"/>
            <w:vAlign w:val="center"/>
          </w:tcPr>
          <w:p w14:paraId="44419ACE" w14:textId="77777777" w:rsidR="00F617BE" w:rsidRPr="00AA19A8" w:rsidRDefault="00F617BE" w:rsidP="00FC065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186" w:type="dxa"/>
            <w:gridSpan w:val="59"/>
            <w:shd w:val="clear" w:color="auto" w:fill="ECECEC"/>
            <w:vAlign w:val="center"/>
          </w:tcPr>
          <w:p w14:paraId="23DCA3C9" w14:textId="77777777" w:rsidR="00F617BE" w:rsidRPr="00AA19A8" w:rsidRDefault="00F617BE" w:rsidP="00FC065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75936BAB" w14:textId="77777777" w:rsidTr="00BA7E6D">
        <w:trPr>
          <w:cantSplit/>
          <w:trHeight w:val="804"/>
        </w:trPr>
        <w:tc>
          <w:tcPr>
            <w:tcW w:w="2525" w:type="dxa"/>
            <w:gridSpan w:val="4"/>
            <w:shd w:val="clear" w:color="auto" w:fill="ECECEC"/>
            <w:vAlign w:val="center"/>
          </w:tcPr>
          <w:p w14:paraId="7EDD39C3"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w:t>
            </w:r>
          </w:p>
        </w:tc>
        <w:tc>
          <w:tcPr>
            <w:tcW w:w="3165" w:type="dxa"/>
            <w:gridSpan w:val="12"/>
            <w:shd w:val="clear" w:color="auto" w:fill="ECECEC"/>
            <w:vAlign w:val="center"/>
          </w:tcPr>
          <w:p w14:paraId="07FDE654" w14:textId="77777777" w:rsidR="00F617BE" w:rsidRPr="00AA19A8" w:rsidRDefault="00F617BE" w:rsidP="00FC0658">
            <w:pPr>
              <w:jc w:val="center"/>
              <w:rPr>
                <w:rFonts w:ascii="Times New Roman" w:hAnsi="Times New Roman" w:cs="Times New Roman"/>
                <w:b/>
                <w:bCs/>
                <w:i/>
                <w:iCs/>
                <w:sz w:val="20"/>
                <w:szCs w:val="20"/>
                <w:lang w:val="sr-Cyrl-CS"/>
              </w:rPr>
            </w:pPr>
          </w:p>
        </w:tc>
        <w:tc>
          <w:tcPr>
            <w:tcW w:w="3395" w:type="dxa"/>
            <w:gridSpan w:val="12"/>
            <w:shd w:val="clear" w:color="auto" w:fill="ECECEC"/>
            <w:vAlign w:val="center"/>
          </w:tcPr>
          <w:p w14:paraId="3279DAFD" w14:textId="77777777" w:rsidR="00F617BE" w:rsidRPr="00AA19A8" w:rsidRDefault="00F617BE" w:rsidP="00FC065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3.600</w:t>
            </w:r>
          </w:p>
        </w:tc>
        <w:tc>
          <w:tcPr>
            <w:tcW w:w="3395" w:type="dxa"/>
            <w:gridSpan w:val="21"/>
            <w:shd w:val="clear" w:color="auto" w:fill="ECECEC"/>
            <w:vAlign w:val="center"/>
          </w:tcPr>
          <w:p w14:paraId="07D2F7C7" w14:textId="77777777" w:rsidR="00F617BE" w:rsidRPr="00AA19A8" w:rsidRDefault="00F617BE" w:rsidP="00FC065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3.600</w:t>
            </w:r>
          </w:p>
        </w:tc>
        <w:tc>
          <w:tcPr>
            <w:tcW w:w="3396" w:type="dxa"/>
            <w:gridSpan w:val="26"/>
            <w:shd w:val="clear" w:color="auto" w:fill="ECECEC"/>
            <w:vAlign w:val="center"/>
          </w:tcPr>
          <w:p w14:paraId="437834EE" w14:textId="77777777" w:rsidR="00F617BE" w:rsidRPr="00AA19A8" w:rsidRDefault="00F617BE" w:rsidP="00FC0658">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6.720</w:t>
            </w:r>
          </w:p>
        </w:tc>
      </w:tr>
      <w:tr w:rsidR="00D30238" w:rsidRPr="00AA19A8" w14:paraId="2F65E77D" w14:textId="77777777" w:rsidTr="00BA7E6D">
        <w:trPr>
          <w:cantSplit/>
          <w:trHeight w:val="804"/>
        </w:trPr>
        <w:tc>
          <w:tcPr>
            <w:tcW w:w="15876" w:type="dxa"/>
            <w:gridSpan w:val="75"/>
            <w:shd w:val="clear" w:color="auto" w:fill="ECECEC"/>
            <w:vAlign w:val="center"/>
          </w:tcPr>
          <w:p w14:paraId="33967DD3" w14:textId="77777777" w:rsidR="00F617BE" w:rsidRPr="00AA19A8" w:rsidRDefault="00F617BE" w:rsidP="00F617BE">
            <w:pPr>
              <w:rPr>
                <w:rFonts w:ascii="Times New Roman" w:hAnsi="Times New Roman" w:cs="Times New Roman"/>
                <w:b/>
                <w:bCs/>
                <w:i/>
                <w:iCs/>
                <w:sz w:val="20"/>
                <w:szCs w:val="20"/>
                <w:lang w:val="sr-Cyrl-CS"/>
              </w:rPr>
            </w:pPr>
            <w:bookmarkStart w:id="53" w:name="_Toc69726996"/>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Сектор- Централна јединица за хармонизацију</w:t>
            </w:r>
            <w:bookmarkEnd w:id="53"/>
          </w:p>
        </w:tc>
      </w:tr>
      <w:tr w:rsidR="00D30238" w:rsidRPr="00AA19A8" w14:paraId="2608235C" w14:textId="77777777" w:rsidTr="00BA7E6D">
        <w:trPr>
          <w:cantSplit/>
          <w:trHeight w:val="804"/>
        </w:trPr>
        <w:tc>
          <w:tcPr>
            <w:tcW w:w="8335" w:type="dxa"/>
            <w:gridSpan w:val="22"/>
            <w:shd w:val="clear" w:color="auto" w:fill="ECECEC"/>
            <w:vAlign w:val="center"/>
          </w:tcPr>
          <w:p w14:paraId="736E6619" w14:textId="57FAF86E"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2026-2030</w:t>
            </w:r>
            <w:r w:rsidR="00713D3C" w:rsidRPr="00AA19A8">
              <w:rPr>
                <w:rFonts w:ascii="Times New Roman" w:hAnsi="Times New Roman" w:cs="Times New Roman"/>
                <w:b/>
                <w:bCs/>
                <w:i/>
                <w:iCs/>
                <w:sz w:val="20"/>
                <w:szCs w:val="20"/>
                <w:lang w:val="sr-Cyrl-CS"/>
              </w:rPr>
              <w:t>.</w:t>
            </w:r>
          </w:p>
        </w:tc>
        <w:tc>
          <w:tcPr>
            <w:tcW w:w="7541" w:type="dxa"/>
            <w:gridSpan w:val="53"/>
            <w:shd w:val="clear" w:color="auto" w:fill="ECECEC"/>
            <w:vAlign w:val="center"/>
          </w:tcPr>
          <w:p w14:paraId="6D4FB60E"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Институционално управљачко организациона</w:t>
            </w:r>
          </w:p>
        </w:tc>
      </w:tr>
      <w:tr w:rsidR="00D30238" w:rsidRPr="00AA19A8" w14:paraId="64F446D8" w14:textId="77777777" w:rsidTr="00BA7E6D">
        <w:trPr>
          <w:cantSplit/>
          <w:trHeight w:val="1253"/>
        </w:trPr>
        <w:tc>
          <w:tcPr>
            <w:tcW w:w="2525" w:type="dxa"/>
            <w:gridSpan w:val="4"/>
            <w:shd w:val="clear" w:color="auto" w:fill="ECECEC"/>
            <w:vAlign w:val="center"/>
          </w:tcPr>
          <w:p w14:paraId="21414608"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3165" w:type="dxa"/>
            <w:gridSpan w:val="12"/>
            <w:shd w:val="clear" w:color="auto" w:fill="ECECEC"/>
            <w:vAlign w:val="center"/>
          </w:tcPr>
          <w:p w14:paraId="602870EE"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5" w:type="dxa"/>
            <w:gridSpan w:val="6"/>
            <w:shd w:val="clear" w:color="auto" w:fill="ECECEC"/>
            <w:vAlign w:val="center"/>
          </w:tcPr>
          <w:p w14:paraId="0A813401"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8" w:type="dxa"/>
            <w:gridSpan w:val="15"/>
            <w:shd w:val="clear" w:color="auto" w:fill="ECECEC"/>
            <w:vAlign w:val="center"/>
          </w:tcPr>
          <w:p w14:paraId="19B4C02A"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50" w:type="dxa"/>
            <w:gridSpan w:val="17"/>
            <w:shd w:val="clear" w:color="auto" w:fill="ECECEC"/>
            <w:vAlign w:val="center"/>
          </w:tcPr>
          <w:p w14:paraId="463CCEC5"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25D5284B"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7D779F15"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711EE0A9"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85" w:type="dxa"/>
            <w:gridSpan w:val="3"/>
            <w:shd w:val="clear" w:color="auto" w:fill="ECECEC"/>
            <w:vAlign w:val="center"/>
          </w:tcPr>
          <w:p w14:paraId="489DB34C" w14:textId="77777777" w:rsidR="00F617BE" w:rsidRPr="00AA19A8" w:rsidRDefault="00F617BE" w:rsidP="00FC065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4DF901EE" w14:textId="77777777" w:rsidTr="00BA7E6D">
        <w:trPr>
          <w:cantSplit/>
          <w:trHeight w:val="1253"/>
        </w:trPr>
        <w:tc>
          <w:tcPr>
            <w:tcW w:w="2525" w:type="dxa"/>
            <w:gridSpan w:val="4"/>
            <w:vAlign w:val="center"/>
          </w:tcPr>
          <w:p w14:paraId="0A4EBD5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Укупан број успостављених модула у оквиру ИТ система</w:t>
            </w:r>
          </w:p>
        </w:tc>
        <w:tc>
          <w:tcPr>
            <w:tcW w:w="3165" w:type="dxa"/>
            <w:gridSpan w:val="12"/>
            <w:vAlign w:val="center"/>
          </w:tcPr>
          <w:p w14:paraId="09C16EAC" w14:textId="77777777" w:rsidR="00F617BE" w:rsidRPr="00AA19A8" w:rsidRDefault="00F617BE" w:rsidP="00FC065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w:t>
            </w:r>
          </w:p>
        </w:tc>
        <w:tc>
          <w:tcPr>
            <w:tcW w:w="2645" w:type="dxa"/>
            <w:gridSpan w:val="6"/>
            <w:vAlign w:val="center"/>
          </w:tcPr>
          <w:p w14:paraId="5CBF7055" w14:textId="77777777" w:rsidR="00F617BE" w:rsidRPr="00AA19A8" w:rsidRDefault="00F617BE" w:rsidP="00FC0658">
            <w:pPr>
              <w:jc w:val="center"/>
              <w:rPr>
                <w:rFonts w:ascii="Times New Roman" w:hAnsi="Times New Roman" w:cs="Times New Roman"/>
                <w:sz w:val="20"/>
                <w:szCs w:val="20"/>
                <w:lang w:val="sr-Cyrl-CS"/>
              </w:rPr>
            </w:pPr>
          </w:p>
        </w:tc>
        <w:tc>
          <w:tcPr>
            <w:tcW w:w="2148" w:type="dxa"/>
            <w:gridSpan w:val="15"/>
            <w:vAlign w:val="center"/>
          </w:tcPr>
          <w:p w14:paraId="37456165" w14:textId="77777777" w:rsidR="00F617BE" w:rsidRPr="00AA19A8" w:rsidRDefault="00F617BE" w:rsidP="00FC065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w:t>
            </w:r>
          </w:p>
        </w:tc>
        <w:tc>
          <w:tcPr>
            <w:tcW w:w="2150" w:type="dxa"/>
            <w:gridSpan w:val="17"/>
            <w:vAlign w:val="center"/>
          </w:tcPr>
          <w:p w14:paraId="7BB62479" w14:textId="77777777" w:rsidR="00F617BE" w:rsidRPr="00AA19A8" w:rsidRDefault="00F617BE" w:rsidP="00FC065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15A22C6C" w14:textId="77777777" w:rsidR="00F617BE" w:rsidRPr="00AA19A8" w:rsidRDefault="00F617BE" w:rsidP="00FC065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w:t>
            </w:r>
          </w:p>
        </w:tc>
        <w:tc>
          <w:tcPr>
            <w:tcW w:w="1080" w:type="dxa"/>
            <w:gridSpan w:val="8"/>
            <w:vAlign w:val="center"/>
          </w:tcPr>
          <w:p w14:paraId="098EE575" w14:textId="77777777" w:rsidR="00F617BE" w:rsidRPr="00AA19A8" w:rsidRDefault="00F617BE" w:rsidP="00FC065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w:t>
            </w:r>
          </w:p>
        </w:tc>
        <w:tc>
          <w:tcPr>
            <w:tcW w:w="1085" w:type="dxa"/>
            <w:gridSpan w:val="3"/>
            <w:vAlign w:val="center"/>
          </w:tcPr>
          <w:p w14:paraId="4A057226" w14:textId="77777777" w:rsidR="00F617BE" w:rsidRPr="00AA19A8" w:rsidRDefault="00F617BE" w:rsidP="00FC0658">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4BD2EB2" w14:textId="77777777" w:rsidTr="00BA7E6D">
        <w:trPr>
          <w:cantSplit/>
          <w:trHeight w:val="624"/>
        </w:trPr>
        <w:tc>
          <w:tcPr>
            <w:tcW w:w="2525" w:type="dxa"/>
            <w:gridSpan w:val="4"/>
            <w:vMerge w:val="restart"/>
            <w:shd w:val="clear" w:color="auto" w:fill="ECECEC"/>
            <w:vAlign w:val="center"/>
          </w:tcPr>
          <w:p w14:paraId="64CBF767" w14:textId="77777777" w:rsidR="00F617BE" w:rsidRPr="00AA19A8" w:rsidRDefault="00F617BE" w:rsidP="00C12848">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82" w:type="dxa"/>
            <w:gridSpan w:val="6"/>
            <w:vMerge w:val="restart"/>
            <w:shd w:val="clear" w:color="auto" w:fill="ECECEC"/>
            <w:vAlign w:val="center"/>
          </w:tcPr>
          <w:p w14:paraId="7FDF127D"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3" w:type="dxa"/>
            <w:gridSpan w:val="6"/>
            <w:vMerge w:val="restart"/>
            <w:shd w:val="clear" w:color="auto" w:fill="ECECEC"/>
            <w:vAlign w:val="center"/>
          </w:tcPr>
          <w:p w14:paraId="2BD55114"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5" w:type="dxa"/>
            <w:gridSpan w:val="6"/>
            <w:vMerge w:val="restart"/>
            <w:shd w:val="clear" w:color="auto" w:fill="ECECEC"/>
            <w:vAlign w:val="center"/>
          </w:tcPr>
          <w:p w14:paraId="319435EC"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41" w:type="dxa"/>
            <w:gridSpan w:val="53"/>
            <w:shd w:val="clear" w:color="auto" w:fill="ECECEC"/>
            <w:vAlign w:val="center"/>
          </w:tcPr>
          <w:p w14:paraId="1DE5676B"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5811FBF1" w14:textId="77777777" w:rsidTr="00BA7E6D">
        <w:trPr>
          <w:cantSplit/>
          <w:trHeight w:val="1134"/>
        </w:trPr>
        <w:tc>
          <w:tcPr>
            <w:tcW w:w="2525" w:type="dxa"/>
            <w:gridSpan w:val="4"/>
            <w:vMerge/>
            <w:shd w:val="clear" w:color="auto" w:fill="ECECEC"/>
            <w:vAlign w:val="center"/>
          </w:tcPr>
          <w:p w14:paraId="68B50654" w14:textId="77777777" w:rsidR="00F617BE" w:rsidRPr="00AA19A8" w:rsidRDefault="00F617BE" w:rsidP="00C12848">
            <w:pPr>
              <w:jc w:val="center"/>
              <w:rPr>
                <w:rFonts w:ascii="Times New Roman" w:hAnsi="Times New Roman" w:cs="Times New Roman"/>
                <w:b/>
                <w:bCs/>
                <w:sz w:val="20"/>
                <w:szCs w:val="20"/>
                <w:lang w:val="sr-Cyrl-CS"/>
              </w:rPr>
            </w:pPr>
          </w:p>
        </w:tc>
        <w:tc>
          <w:tcPr>
            <w:tcW w:w="1582" w:type="dxa"/>
            <w:gridSpan w:val="6"/>
            <w:vMerge/>
            <w:shd w:val="clear" w:color="auto" w:fill="ECECEC"/>
            <w:vAlign w:val="center"/>
          </w:tcPr>
          <w:p w14:paraId="03C0B00B" w14:textId="77777777" w:rsidR="00F617BE" w:rsidRPr="00AA19A8" w:rsidRDefault="00F617BE" w:rsidP="00C12848">
            <w:pPr>
              <w:jc w:val="center"/>
              <w:rPr>
                <w:rFonts w:ascii="Times New Roman" w:hAnsi="Times New Roman" w:cs="Times New Roman"/>
                <w:b/>
                <w:bCs/>
                <w:sz w:val="20"/>
                <w:szCs w:val="20"/>
                <w:lang w:val="sr-Cyrl-CS"/>
              </w:rPr>
            </w:pPr>
          </w:p>
        </w:tc>
        <w:tc>
          <w:tcPr>
            <w:tcW w:w="1583" w:type="dxa"/>
            <w:gridSpan w:val="6"/>
            <w:vMerge/>
            <w:shd w:val="clear" w:color="auto" w:fill="ECECEC"/>
            <w:vAlign w:val="center"/>
          </w:tcPr>
          <w:p w14:paraId="122E3C36" w14:textId="77777777" w:rsidR="00F617BE" w:rsidRPr="00AA19A8" w:rsidRDefault="00F617BE" w:rsidP="00C12848">
            <w:pPr>
              <w:jc w:val="center"/>
              <w:rPr>
                <w:rFonts w:ascii="Times New Roman" w:hAnsi="Times New Roman" w:cs="Times New Roman"/>
                <w:b/>
                <w:bCs/>
                <w:sz w:val="20"/>
                <w:szCs w:val="20"/>
                <w:lang w:val="sr-Cyrl-CS"/>
              </w:rPr>
            </w:pPr>
          </w:p>
        </w:tc>
        <w:tc>
          <w:tcPr>
            <w:tcW w:w="2645" w:type="dxa"/>
            <w:gridSpan w:val="6"/>
            <w:vMerge/>
            <w:shd w:val="clear" w:color="auto" w:fill="ECECEC"/>
            <w:vAlign w:val="center"/>
          </w:tcPr>
          <w:p w14:paraId="12C8AF86" w14:textId="77777777" w:rsidR="00F617BE" w:rsidRPr="00AA19A8" w:rsidRDefault="00F617BE" w:rsidP="00C12848">
            <w:pPr>
              <w:jc w:val="center"/>
              <w:rPr>
                <w:rFonts w:ascii="Times New Roman" w:hAnsi="Times New Roman" w:cs="Times New Roman"/>
                <w:b/>
                <w:bCs/>
                <w:sz w:val="20"/>
                <w:szCs w:val="20"/>
                <w:lang w:val="sr-Cyrl-CS"/>
              </w:rPr>
            </w:pPr>
          </w:p>
        </w:tc>
        <w:tc>
          <w:tcPr>
            <w:tcW w:w="2154" w:type="dxa"/>
            <w:gridSpan w:val="16"/>
            <w:shd w:val="clear" w:color="auto" w:fill="ECECEC"/>
            <w:vAlign w:val="center"/>
          </w:tcPr>
          <w:p w14:paraId="38025B3B"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55" w:type="dxa"/>
            <w:gridSpan w:val="17"/>
            <w:shd w:val="clear" w:color="auto" w:fill="ECECEC"/>
            <w:vAlign w:val="center"/>
          </w:tcPr>
          <w:p w14:paraId="4D72BF13"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7" w:type="dxa"/>
            <w:gridSpan w:val="10"/>
            <w:shd w:val="clear" w:color="auto" w:fill="ECECEC"/>
            <w:vAlign w:val="center"/>
          </w:tcPr>
          <w:p w14:paraId="4619112C"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7" w:type="dxa"/>
            <w:gridSpan w:val="8"/>
            <w:shd w:val="clear" w:color="auto" w:fill="ECECEC"/>
            <w:vAlign w:val="center"/>
          </w:tcPr>
          <w:p w14:paraId="4AB49395"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78" w:type="dxa"/>
            <w:gridSpan w:val="2"/>
            <w:shd w:val="clear" w:color="auto" w:fill="ECECEC"/>
            <w:vAlign w:val="center"/>
          </w:tcPr>
          <w:p w14:paraId="0C8EA9BA" w14:textId="77777777" w:rsidR="00F617BE" w:rsidRPr="00AA19A8" w:rsidRDefault="00F617BE" w:rsidP="00C12848">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325BA4ED" w14:textId="77777777" w:rsidTr="00BA7E6D">
        <w:trPr>
          <w:cantSplit/>
          <w:trHeight w:val="1253"/>
        </w:trPr>
        <w:tc>
          <w:tcPr>
            <w:tcW w:w="2525" w:type="dxa"/>
            <w:gridSpan w:val="4"/>
            <w:vAlign w:val="center"/>
          </w:tcPr>
          <w:p w14:paraId="44FB2F4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4.3.1 Унапређење апликације за извештавање и развој софтвера за ИР</w:t>
            </w:r>
          </w:p>
        </w:tc>
        <w:tc>
          <w:tcPr>
            <w:tcW w:w="1582" w:type="dxa"/>
            <w:gridSpan w:val="6"/>
            <w:vAlign w:val="center"/>
          </w:tcPr>
          <w:p w14:paraId="7352AC9B"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45B4BE61"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ЦЈХ</w:t>
            </w:r>
          </w:p>
        </w:tc>
        <w:tc>
          <w:tcPr>
            <w:tcW w:w="2645" w:type="dxa"/>
            <w:gridSpan w:val="6"/>
            <w:vAlign w:val="center"/>
          </w:tcPr>
          <w:p w14:paraId="41F863AF" w14:textId="77777777" w:rsidR="00F617BE" w:rsidRPr="00AA19A8" w:rsidRDefault="00F617BE" w:rsidP="0015589A">
            <w:pPr>
              <w:jc w:val="center"/>
              <w:rPr>
                <w:rFonts w:ascii="Times New Roman" w:hAnsi="Times New Roman" w:cs="Times New Roman"/>
                <w:sz w:val="20"/>
                <w:szCs w:val="20"/>
                <w:lang w:val="sr-Cyrl-CS"/>
              </w:rPr>
            </w:pPr>
          </w:p>
        </w:tc>
        <w:tc>
          <w:tcPr>
            <w:tcW w:w="2154" w:type="dxa"/>
            <w:gridSpan w:val="16"/>
            <w:vAlign w:val="center"/>
          </w:tcPr>
          <w:p w14:paraId="7114FF3F"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p w14:paraId="4D910973" w14:textId="77777777" w:rsidR="00F617BE" w:rsidRPr="00AA19A8" w:rsidRDefault="00F617BE" w:rsidP="0015589A">
            <w:pPr>
              <w:jc w:val="center"/>
              <w:rPr>
                <w:rFonts w:ascii="Times New Roman" w:hAnsi="Times New Roman" w:cs="Times New Roman"/>
                <w:sz w:val="20"/>
                <w:szCs w:val="20"/>
                <w:lang w:val="sr-Cyrl-CS"/>
              </w:rPr>
            </w:pPr>
          </w:p>
        </w:tc>
        <w:tc>
          <w:tcPr>
            <w:tcW w:w="2155" w:type="dxa"/>
            <w:gridSpan w:val="17"/>
            <w:vAlign w:val="center"/>
          </w:tcPr>
          <w:p w14:paraId="50245A77" w14:textId="77777777" w:rsidR="00F617BE" w:rsidRPr="00AA19A8" w:rsidRDefault="00F617BE" w:rsidP="0015589A">
            <w:pPr>
              <w:jc w:val="center"/>
              <w:rPr>
                <w:rFonts w:ascii="Times New Roman" w:hAnsi="Times New Roman" w:cs="Times New Roman"/>
                <w:sz w:val="20"/>
                <w:szCs w:val="20"/>
                <w:lang w:val="sr-Cyrl-CS"/>
              </w:rPr>
            </w:pPr>
          </w:p>
        </w:tc>
        <w:tc>
          <w:tcPr>
            <w:tcW w:w="1077" w:type="dxa"/>
            <w:gridSpan w:val="10"/>
            <w:vAlign w:val="center"/>
          </w:tcPr>
          <w:p w14:paraId="1DAF7155"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3.600</w:t>
            </w:r>
          </w:p>
          <w:p w14:paraId="6E9B8525" w14:textId="77777777" w:rsidR="00F617BE" w:rsidRPr="00AA19A8" w:rsidRDefault="00F617BE" w:rsidP="0015589A">
            <w:pPr>
              <w:jc w:val="center"/>
              <w:rPr>
                <w:rFonts w:ascii="Times New Roman" w:hAnsi="Times New Roman" w:cs="Times New Roman"/>
                <w:sz w:val="20"/>
                <w:szCs w:val="20"/>
                <w:lang w:val="sr-Cyrl-CS"/>
              </w:rPr>
            </w:pPr>
          </w:p>
        </w:tc>
        <w:tc>
          <w:tcPr>
            <w:tcW w:w="1077" w:type="dxa"/>
            <w:gridSpan w:val="8"/>
            <w:vAlign w:val="center"/>
          </w:tcPr>
          <w:p w14:paraId="5F4FD047"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3.600</w:t>
            </w:r>
          </w:p>
          <w:p w14:paraId="13F62D1B" w14:textId="77777777" w:rsidR="00F617BE" w:rsidRPr="00AA19A8" w:rsidRDefault="00F617BE" w:rsidP="0015589A">
            <w:pPr>
              <w:jc w:val="center"/>
              <w:rPr>
                <w:rFonts w:ascii="Times New Roman" w:hAnsi="Times New Roman" w:cs="Times New Roman"/>
                <w:sz w:val="20"/>
                <w:szCs w:val="20"/>
                <w:lang w:val="sr-Cyrl-CS"/>
              </w:rPr>
            </w:pPr>
          </w:p>
        </w:tc>
        <w:tc>
          <w:tcPr>
            <w:tcW w:w="1078" w:type="dxa"/>
            <w:gridSpan w:val="2"/>
            <w:vAlign w:val="center"/>
          </w:tcPr>
          <w:p w14:paraId="662D1B34"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6.720</w:t>
            </w:r>
          </w:p>
          <w:p w14:paraId="6B799525" w14:textId="77777777" w:rsidR="00F617BE" w:rsidRPr="00AA19A8" w:rsidRDefault="00F617BE" w:rsidP="0015589A">
            <w:pPr>
              <w:jc w:val="center"/>
              <w:rPr>
                <w:rFonts w:ascii="Times New Roman" w:hAnsi="Times New Roman" w:cs="Times New Roman"/>
                <w:sz w:val="20"/>
                <w:szCs w:val="20"/>
                <w:lang w:val="sr-Cyrl-CS"/>
              </w:rPr>
            </w:pPr>
          </w:p>
        </w:tc>
      </w:tr>
      <w:tr w:rsidR="00D30238" w:rsidRPr="00AA19A8" w14:paraId="380B50B0" w14:textId="77777777" w:rsidTr="00BA7E6D">
        <w:trPr>
          <w:cantSplit/>
          <w:trHeight w:val="805"/>
        </w:trPr>
        <w:tc>
          <w:tcPr>
            <w:tcW w:w="15876" w:type="dxa"/>
            <w:gridSpan w:val="75"/>
            <w:shd w:val="clear" w:color="auto" w:fill="DEEAF6"/>
            <w:vAlign w:val="center"/>
          </w:tcPr>
          <w:p w14:paraId="00D2F4F0" w14:textId="6D9CD389" w:rsidR="00F617BE" w:rsidRPr="00AA19A8" w:rsidRDefault="00F617BE" w:rsidP="00F617BE">
            <w:pPr>
              <w:rPr>
                <w:rFonts w:ascii="Times New Roman" w:hAnsi="Times New Roman" w:cs="Times New Roman"/>
                <w:b/>
                <w:bCs/>
                <w:sz w:val="20"/>
                <w:szCs w:val="20"/>
                <w:lang w:val="sr-Cyrl-CS"/>
              </w:rPr>
            </w:pPr>
            <w:bookmarkStart w:id="54" w:name="_Toc73613700"/>
            <w:r w:rsidRPr="00AA19A8">
              <w:rPr>
                <w:rFonts w:ascii="Times New Roman" w:hAnsi="Times New Roman" w:cs="Times New Roman"/>
                <w:b/>
                <w:bCs/>
                <w:sz w:val="20"/>
                <w:szCs w:val="20"/>
                <w:lang w:val="sr-Cyrl-CS"/>
              </w:rPr>
              <w:t>ПОСЕБНИ ЦИЉ V: УНАПРЕЂЕНО РАЧУНОВОДСТВО У ЈАВНОМ СЕКТОРУ ПРИМЕНОМ МЕЂУНАРОДНИХ РАЧУНОВОДСТВЕНИХ СТАНДАРДА ЗА ЈАВНИ СЕКТОР (ИПСАС)</w:t>
            </w:r>
            <w:bookmarkEnd w:id="54"/>
            <w:r w:rsidRPr="00AA19A8">
              <w:rPr>
                <w:rFonts w:ascii="Times New Roman" w:hAnsi="Times New Roman" w:cs="Times New Roman"/>
                <w:b/>
                <w:bCs/>
                <w:sz w:val="20"/>
                <w:szCs w:val="20"/>
                <w:lang w:val="sr-Cyrl-CS"/>
              </w:rPr>
              <w:t xml:space="preserve">  </w:t>
            </w:r>
          </w:p>
        </w:tc>
      </w:tr>
      <w:tr w:rsidR="00D30238" w:rsidRPr="00AA19A8" w14:paraId="4A37E9B4" w14:textId="77777777" w:rsidTr="00BA7E6D">
        <w:trPr>
          <w:cantSplit/>
          <w:trHeight w:val="1253"/>
        </w:trPr>
        <w:tc>
          <w:tcPr>
            <w:tcW w:w="2525" w:type="dxa"/>
            <w:gridSpan w:val="4"/>
            <w:shd w:val="clear" w:color="auto" w:fill="ECECEC"/>
            <w:vAlign w:val="center"/>
          </w:tcPr>
          <w:p w14:paraId="25233DF1" w14:textId="4AC0B84D"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 xml:space="preserve">Показатељ(и)  на нивоу </w:t>
            </w:r>
            <w:r w:rsidR="00DD263D">
              <w:rPr>
                <w:rFonts w:ascii="Times New Roman" w:hAnsi="Times New Roman" w:cs="Times New Roman"/>
                <w:b/>
                <w:bCs/>
                <w:sz w:val="20"/>
                <w:szCs w:val="20"/>
                <w:lang w:val="sr-Cyrl-CS"/>
              </w:rPr>
              <w:t>посебног циља</w:t>
            </w:r>
            <w:r w:rsidRPr="00AA19A8">
              <w:rPr>
                <w:rFonts w:ascii="Times New Roman" w:hAnsi="Times New Roman" w:cs="Times New Roman"/>
                <w:b/>
                <w:bCs/>
                <w:sz w:val="20"/>
                <w:szCs w:val="20"/>
                <w:lang w:val="sr-Cyrl-CS"/>
              </w:rPr>
              <w:t xml:space="preserve"> (показатељ </w:t>
            </w:r>
            <w:r w:rsidR="00DD263D">
              <w:rPr>
                <w:rFonts w:ascii="Times New Roman" w:hAnsi="Times New Roman" w:cs="Times New Roman"/>
                <w:b/>
                <w:bCs/>
                <w:sz w:val="20"/>
                <w:szCs w:val="20"/>
                <w:lang w:val="sr-Cyrl-CS"/>
              </w:rPr>
              <w:t>исхода</w:t>
            </w:r>
            <w:r w:rsidRPr="00AA19A8">
              <w:rPr>
                <w:rFonts w:ascii="Times New Roman" w:hAnsi="Times New Roman" w:cs="Times New Roman"/>
                <w:b/>
                <w:bCs/>
                <w:sz w:val="20"/>
                <w:szCs w:val="20"/>
                <w:lang w:val="sr-Cyrl-CS"/>
              </w:rPr>
              <w:t>)</w:t>
            </w:r>
          </w:p>
        </w:tc>
        <w:tc>
          <w:tcPr>
            <w:tcW w:w="3165" w:type="dxa"/>
            <w:gridSpan w:val="12"/>
            <w:shd w:val="clear" w:color="auto" w:fill="ECECEC"/>
            <w:vAlign w:val="center"/>
          </w:tcPr>
          <w:p w14:paraId="540C08DD"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5" w:type="dxa"/>
            <w:gridSpan w:val="6"/>
            <w:shd w:val="clear" w:color="auto" w:fill="ECECEC"/>
            <w:vAlign w:val="center"/>
          </w:tcPr>
          <w:p w14:paraId="6CBCD69B"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8" w:type="dxa"/>
            <w:gridSpan w:val="15"/>
            <w:shd w:val="clear" w:color="auto" w:fill="ECECEC"/>
            <w:vAlign w:val="center"/>
          </w:tcPr>
          <w:p w14:paraId="2381EDB9"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50" w:type="dxa"/>
            <w:gridSpan w:val="17"/>
            <w:shd w:val="clear" w:color="auto" w:fill="ECECEC"/>
            <w:vAlign w:val="center"/>
          </w:tcPr>
          <w:p w14:paraId="4A899DF6"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1C7DB259"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1D2FBADA"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4B2011B7"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85" w:type="dxa"/>
            <w:gridSpan w:val="3"/>
            <w:shd w:val="clear" w:color="auto" w:fill="ECECEC"/>
            <w:vAlign w:val="center"/>
          </w:tcPr>
          <w:p w14:paraId="28546F20" w14:textId="77777777" w:rsidR="00F617BE" w:rsidRPr="00AA19A8" w:rsidRDefault="00F617BE" w:rsidP="0015589A">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5B95AA6F" w14:textId="77777777" w:rsidTr="00BA7E6D">
        <w:trPr>
          <w:cantSplit/>
          <w:trHeight w:val="1701"/>
        </w:trPr>
        <w:tc>
          <w:tcPr>
            <w:tcW w:w="2525" w:type="dxa"/>
            <w:gridSpan w:val="4"/>
            <w:vAlign w:val="center"/>
          </w:tcPr>
          <w:p w14:paraId="5E0D7861"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Побољшан квалитет финансијских извештаја у погледу примене IPSAS на готовинској основи, према извештају ДРИ о ревизији завршног рачуна буџета</w:t>
            </w:r>
          </w:p>
        </w:tc>
        <w:tc>
          <w:tcPr>
            <w:tcW w:w="3165" w:type="dxa"/>
            <w:gridSpan w:val="12"/>
            <w:vAlign w:val="center"/>
          </w:tcPr>
          <w:p w14:paraId="45D000D9"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p w14:paraId="57BD55FA"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Не</w:t>
            </w:r>
          </w:p>
        </w:tc>
        <w:tc>
          <w:tcPr>
            <w:tcW w:w="2645" w:type="dxa"/>
            <w:gridSpan w:val="6"/>
            <w:vAlign w:val="center"/>
          </w:tcPr>
          <w:p w14:paraId="15984D29"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Годишњи извештај о раду ДРИ или Извештај ДРИ о ревизији завршног рачуна буџета Републике Србије</w:t>
            </w:r>
          </w:p>
        </w:tc>
        <w:tc>
          <w:tcPr>
            <w:tcW w:w="2148" w:type="dxa"/>
            <w:gridSpan w:val="15"/>
            <w:vAlign w:val="center"/>
          </w:tcPr>
          <w:p w14:paraId="0ED4E29B"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Не</w:t>
            </w:r>
          </w:p>
        </w:tc>
        <w:tc>
          <w:tcPr>
            <w:tcW w:w="2150" w:type="dxa"/>
            <w:gridSpan w:val="17"/>
            <w:vAlign w:val="center"/>
          </w:tcPr>
          <w:p w14:paraId="18061D71"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3DA43651"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tc>
        <w:tc>
          <w:tcPr>
            <w:tcW w:w="1080" w:type="dxa"/>
            <w:gridSpan w:val="8"/>
            <w:vAlign w:val="center"/>
          </w:tcPr>
          <w:p w14:paraId="5FC49917"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tc>
        <w:tc>
          <w:tcPr>
            <w:tcW w:w="1085" w:type="dxa"/>
            <w:gridSpan w:val="3"/>
            <w:vAlign w:val="center"/>
          </w:tcPr>
          <w:p w14:paraId="1431F521" w14:textId="77777777" w:rsidR="00F617BE" w:rsidRPr="00AA19A8" w:rsidRDefault="00F617BE" w:rsidP="0015589A">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tc>
      </w:tr>
      <w:tr w:rsidR="00D30238" w:rsidRPr="00AA19A8" w14:paraId="14970784" w14:textId="77777777" w:rsidTr="00BA7E6D">
        <w:trPr>
          <w:cantSplit/>
          <w:trHeight w:val="804"/>
        </w:trPr>
        <w:tc>
          <w:tcPr>
            <w:tcW w:w="15876" w:type="dxa"/>
            <w:gridSpan w:val="75"/>
            <w:shd w:val="clear" w:color="auto" w:fill="ECECEC"/>
            <w:vAlign w:val="center"/>
          </w:tcPr>
          <w:p w14:paraId="17B84E0D"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Мера 5.1: Примена IPSAS стандарда на готовинској основи за све буџетске кориснике</w:t>
            </w:r>
          </w:p>
        </w:tc>
      </w:tr>
      <w:tr w:rsidR="00D30238" w:rsidRPr="00AA19A8" w14:paraId="7FCFCD8D" w14:textId="77777777" w:rsidTr="00BA7E6D">
        <w:trPr>
          <w:cantSplit/>
          <w:trHeight w:val="804"/>
        </w:trPr>
        <w:tc>
          <w:tcPr>
            <w:tcW w:w="2525" w:type="dxa"/>
            <w:gridSpan w:val="4"/>
            <w:shd w:val="clear" w:color="auto" w:fill="ECECEC"/>
            <w:vAlign w:val="center"/>
          </w:tcPr>
          <w:p w14:paraId="01080EAD"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65" w:type="dxa"/>
            <w:gridSpan w:val="12"/>
            <w:shd w:val="clear" w:color="auto" w:fill="ECECEC"/>
            <w:vAlign w:val="center"/>
          </w:tcPr>
          <w:p w14:paraId="2D27AD69"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186" w:type="dxa"/>
            <w:gridSpan w:val="59"/>
            <w:shd w:val="clear" w:color="auto" w:fill="ECECEC"/>
            <w:vAlign w:val="center"/>
          </w:tcPr>
          <w:p w14:paraId="66344F37"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27936FA8" w14:textId="77777777" w:rsidTr="00BA7E6D">
        <w:trPr>
          <w:cantSplit/>
          <w:trHeight w:val="804"/>
        </w:trPr>
        <w:tc>
          <w:tcPr>
            <w:tcW w:w="2525" w:type="dxa"/>
            <w:gridSpan w:val="4"/>
            <w:shd w:val="clear" w:color="auto" w:fill="ECECEC"/>
            <w:vAlign w:val="center"/>
          </w:tcPr>
          <w:p w14:paraId="620D9734"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w:t>
            </w:r>
          </w:p>
        </w:tc>
        <w:tc>
          <w:tcPr>
            <w:tcW w:w="3165" w:type="dxa"/>
            <w:gridSpan w:val="12"/>
            <w:shd w:val="clear" w:color="auto" w:fill="ECECEC"/>
            <w:vAlign w:val="center"/>
          </w:tcPr>
          <w:p w14:paraId="3E6E7ED5"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2301-5002</w:t>
            </w:r>
          </w:p>
          <w:p w14:paraId="30047C29"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2301-5007</w:t>
            </w:r>
          </w:p>
          <w:p w14:paraId="371BEF03"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2301-0008</w:t>
            </w:r>
          </w:p>
        </w:tc>
        <w:tc>
          <w:tcPr>
            <w:tcW w:w="3395" w:type="dxa"/>
            <w:gridSpan w:val="12"/>
            <w:shd w:val="clear" w:color="auto" w:fill="ECECEC"/>
            <w:vAlign w:val="center"/>
          </w:tcPr>
          <w:p w14:paraId="45AD0FD2"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1.500</w:t>
            </w:r>
          </w:p>
        </w:tc>
        <w:tc>
          <w:tcPr>
            <w:tcW w:w="3395" w:type="dxa"/>
            <w:gridSpan w:val="21"/>
            <w:shd w:val="clear" w:color="auto" w:fill="ECECEC"/>
            <w:vAlign w:val="center"/>
          </w:tcPr>
          <w:p w14:paraId="1B44BAF1"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w:t>
            </w:r>
          </w:p>
        </w:tc>
        <w:tc>
          <w:tcPr>
            <w:tcW w:w="3396" w:type="dxa"/>
            <w:gridSpan w:val="26"/>
            <w:shd w:val="clear" w:color="auto" w:fill="ECECEC"/>
            <w:vAlign w:val="center"/>
          </w:tcPr>
          <w:p w14:paraId="36C46640" w14:textId="77777777" w:rsidR="00F617BE" w:rsidRPr="00AA19A8" w:rsidRDefault="00F617BE" w:rsidP="00F8471B">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w:t>
            </w:r>
          </w:p>
        </w:tc>
      </w:tr>
      <w:tr w:rsidR="00D30238" w:rsidRPr="00AA19A8" w14:paraId="55F71B74" w14:textId="77777777" w:rsidTr="00BA7E6D">
        <w:trPr>
          <w:cantSplit/>
          <w:trHeight w:val="804"/>
        </w:trPr>
        <w:tc>
          <w:tcPr>
            <w:tcW w:w="15876" w:type="dxa"/>
            <w:gridSpan w:val="75"/>
            <w:shd w:val="clear" w:color="auto" w:fill="ECECEC"/>
            <w:vAlign w:val="center"/>
          </w:tcPr>
          <w:p w14:paraId="5E2F41AB"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Управа за трезор</w:t>
            </w:r>
          </w:p>
        </w:tc>
      </w:tr>
      <w:tr w:rsidR="00D30238" w:rsidRPr="00AA19A8" w14:paraId="4895AA92" w14:textId="77777777" w:rsidTr="00BA7E6D">
        <w:trPr>
          <w:cantSplit/>
          <w:trHeight w:val="804"/>
        </w:trPr>
        <w:tc>
          <w:tcPr>
            <w:tcW w:w="8335" w:type="dxa"/>
            <w:gridSpan w:val="22"/>
            <w:shd w:val="clear" w:color="auto" w:fill="ECECEC"/>
            <w:vAlign w:val="center"/>
          </w:tcPr>
          <w:p w14:paraId="03E52549" w14:textId="4BD7AE75"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lastRenderedPageBreak/>
              <w:t>Период спровођења: 2026-2030</w:t>
            </w:r>
            <w:r w:rsidR="00713D3C" w:rsidRPr="00AA19A8">
              <w:rPr>
                <w:rFonts w:ascii="Times New Roman" w:hAnsi="Times New Roman" w:cs="Times New Roman"/>
                <w:b/>
                <w:bCs/>
                <w:i/>
                <w:iCs/>
                <w:sz w:val="20"/>
                <w:szCs w:val="20"/>
                <w:lang w:val="sr-Cyrl-CS"/>
              </w:rPr>
              <w:t>.</w:t>
            </w:r>
          </w:p>
        </w:tc>
        <w:tc>
          <w:tcPr>
            <w:tcW w:w="7541" w:type="dxa"/>
            <w:gridSpan w:val="53"/>
            <w:shd w:val="clear" w:color="auto" w:fill="ECECEC"/>
            <w:vAlign w:val="center"/>
          </w:tcPr>
          <w:p w14:paraId="08D40377"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Институционално управљачко организациона</w:t>
            </w:r>
          </w:p>
        </w:tc>
      </w:tr>
      <w:tr w:rsidR="00D30238" w:rsidRPr="00AA19A8" w14:paraId="11891553" w14:textId="77777777" w:rsidTr="00BA7E6D">
        <w:trPr>
          <w:cantSplit/>
          <w:trHeight w:val="1253"/>
        </w:trPr>
        <w:tc>
          <w:tcPr>
            <w:tcW w:w="2525" w:type="dxa"/>
            <w:gridSpan w:val="4"/>
            <w:shd w:val="clear" w:color="auto" w:fill="ECECEC"/>
            <w:vAlign w:val="center"/>
          </w:tcPr>
          <w:p w14:paraId="30BD81AD"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3165" w:type="dxa"/>
            <w:gridSpan w:val="12"/>
            <w:shd w:val="clear" w:color="auto" w:fill="ECECEC"/>
            <w:vAlign w:val="center"/>
          </w:tcPr>
          <w:p w14:paraId="71248D21"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5" w:type="dxa"/>
            <w:gridSpan w:val="6"/>
            <w:shd w:val="clear" w:color="auto" w:fill="ECECEC"/>
            <w:vAlign w:val="center"/>
          </w:tcPr>
          <w:p w14:paraId="22472F8A"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8" w:type="dxa"/>
            <w:gridSpan w:val="15"/>
            <w:shd w:val="clear" w:color="auto" w:fill="ECECEC"/>
            <w:vAlign w:val="center"/>
          </w:tcPr>
          <w:p w14:paraId="1FF7810D"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50" w:type="dxa"/>
            <w:gridSpan w:val="17"/>
            <w:shd w:val="clear" w:color="auto" w:fill="ECECEC"/>
            <w:vAlign w:val="center"/>
          </w:tcPr>
          <w:p w14:paraId="751E80DF"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2E42F136"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592C6461"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1713CD2F"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85" w:type="dxa"/>
            <w:gridSpan w:val="3"/>
            <w:shd w:val="clear" w:color="auto" w:fill="ECECEC"/>
            <w:vAlign w:val="center"/>
          </w:tcPr>
          <w:p w14:paraId="6DB345C9"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2E845C03" w14:textId="77777777" w:rsidTr="00BA7E6D">
        <w:trPr>
          <w:cantSplit/>
          <w:trHeight w:val="1253"/>
        </w:trPr>
        <w:tc>
          <w:tcPr>
            <w:tcW w:w="2525" w:type="dxa"/>
            <w:gridSpan w:val="4"/>
            <w:vAlign w:val="center"/>
          </w:tcPr>
          <w:p w14:paraId="5303DAC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Нацрт Финансијског извештаја припремљен у складу са IPSAS на готовинској основи</w:t>
            </w:r>
          </w:p>
        </w:tc>
        <w:tc>
          <w:tcPr>
            <w:tcW w:w="3165" w:type="dxa"/>
            <w:gridSpan w:val="12"/>
            <w:vAlign w:val="center"/>
          </w:tcPr>
          <w:p w14:paraId="55EDFFE1"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p w14:paraId="267E3BEC"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Не</w:t>
            </w:r>
          </w:p>
        </w:tc>
        <w:tc>
          <w:tcPr>
            <w:tcW w:w="2645" w:type="dxa"/>
            <w:gridSpan w:val="6"/>
            <w:vAlign w:val="center"/>
          </w:tcPr>
          <w:p w14:paraId="53CD96C3"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Извештај ДРИ</w:t>
            </w:r>
          </w:p>
        </w:tc>
        <w:tc>
          <w:tcPr>
            <w:tcW w:w="2148" w:type="dxa"/>
            <w:gridSpan w:val="15"/>
            <w:vAlign w:val="center"/>
          </w:tcPr>
          <w:p w14:paraId="111DA25D"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Не</w:t>
            </w:r>
          </w:p>
        </w:tc>
        <w:tc>
          <w:tcPr>
            <w:tcW w:w="2150" w:type="dxa"/>
            <w:gridSpan w:val="17"/>
            <w:vAlign w:val="center"/>
          </w:tcPr>
          <w:p w14:paraId="38EA965D"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1A9739B1"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tc>
        <w:tc>
          <w:tcPr>
            <w:tcW w:w="1080" w:type="dxa"/>
            <w:gridSpan w:val="8"/>
            <w:vAlign w:val="center"/>
          </w:tcPr>
          <w:p w14:paraId="368CEEDA"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tc>
        <w:tc>
          <w:tcPr>
            <w:tcW w:w="1085" w:type="dxa"/>
            <w:gridSpan w:val="3"/>
            <w:vAlign w:val="center"/>
          </w:tcPr>
          <w:p w14:paraId="57B3F9D6"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tc>
      </w:tr>
      <w:tr w:rsidR="00D30238" w:rsidRPr="00AA19A8" w14:paraId="5AB67D1D" w14:textId="77777777" w:rsidTr="00BA7E6D">
        <w:trPr>
          <w:cantSplit/>
          <w:trHeight w:val="624"/>
        </w:trPr>
        <w:tc>
          <w:tcPr>
            <w:tcW w:w="2525" w:type="dxa"/>
            <w:gridSpan w:val="4"/>
            <w:vMerge w:val="restart"/>
            <w:shd w:val="clear" w:color="auto" w:fill="ECECEC"/>
            <w:vAlign w:val="center"/>
          </w:tcPr>
          <w:p w14:paraId="26CAADB1"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82" w:type="dxa"/>
            <w:gridSpan w:val="6"/>
            <w:vMerge w:val="restart"/>
            <w:shd w:val="clear" w:color="auto" w:fill="ECECEC"/>
            <w:vAlign w:val="center"/>
          </w:tcPr>
          <w:p w14:paraId="48762788"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3" w:type="dxa"/>
            <w:gridSpan w:val="6"/>
            <w:vMerge w:val="restart"/>
            <w:shd w:val="clear" w:color="auto" w:fill="ECECEC"/>
            <w:vAlign w:val="center"/>
          </w:tcPr>
          <w:p w14:paraId="77D76A23"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5" w:type="dxa"/>
            <w:gridSpan w:val="6"/>
            <w:vMerge w:val="restart"/>
            <w:shd w:val="clear" w:color="auto" w:fill="ECECEC"/>
            <w:vAlign w:val="center"/>
          </w:tcPr>
          <w:p w14:paraId="1E0FC9D6"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41" w:type="dxa"/>
            <w:gridSpan w:val="53"/>
            <w:shd w:val="clear" w:color="auto" w:fill="ECECEC"/>
            <w:vAlign w:val="center"/>
          </w:tcPr>
          <w:p w14:paraId="5EBED9CD"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4C62C770" w14:textId="77777777" w:rsidTr="00BA7E6D">
        <w:trPr>
          <w:cantSplit/>
          <w:trHeight w:val="1134"/>
        </w:trPr>
        <w:tc>
          <w:tcPr>
            <w:tcW w:w="2525" w:type="dxa"/>
            <w:gridSpan w:val="4"/>
            <w:vMerge/>
            <w:shd w:val="clear" w:color="auto" w:fill="ECECEC"/>
            <w:vAlign w:val="center"/>
          </w:tcPr>
          <w:p w14:paraId="25EAB41A" w14:textId="77777777" w:rsidR="00F617BE" w:rsidRPr="00AA19A8" w:rsidRDefault="00F617BE" w:rsidP="00F617BE">
            <w:pPr>
              <w:rPr>
                <w:rFonts w:ascii="Times New Roman" w:hAnsi="Times New Roman" w:cs="Times New Roman"/>
                <w:b/>
                <w:bCs/>
                <w:sz w:val="20"/>
                <w:szCs w:val="20"/>
                <w:lang w:val="sr-Cyrl-CS"/>
              </w:rPr>
            </w:pPr>
          </w:p>
        </w:tc>
        <w:tc>
          <w:tcPr>
            <w:tcW w:w="1582" w:type="dxa"/>
            <w:gridSpan w:val="6"/>
            <w:vMerge/>
            <w:shd w:val="clear" w:color="auto" w:fill="ECECEC"/>
            <w:vAlign w:val="center"/>
          </w:tcPr>
          <w:p w14:paraId="380C18DF" w14:textId="77777777" w:rsidR="00F617BE" w:rsidRPr="00AA19A8" w:rsidRDefault="00F617BE" w:rsidP="00F8471B">
            <w:pPr>
              <w:jc w:val="center"/>
              <w:rPr>
                <w:rFonts w:ascii="Times New Roman" w:hAnsi="Times New Roman" w:cs="Times New Roman"/>
                <w:b/>
                <w:bCs/>
                <w:sz w:val="20"/>
                <w:szCs w:val="20"/>
                <w:lang w:val="sr-Cyrl-CS"/>
              </w:rPr>
            </w:pPr>
          </w:p>
        </w:tc>
        <w:tc>
          <w:tcPr>
            <w:tcW w:w="1583" w:type="dxa"/>
            <w:gridSpan w:val="6"/>
            <w:vMerge/>
            <w:shd w:val="clear" w:color="auto" w:fill="ECECEC"/>
            <w:vAlign w:val="center"/>
          </w:tcPr>
          <w:p w14:paraId="4322EB2B" w14:textId="77777777" w:rsidR="00F617BE" w:rsidRPr="00AA19A8" w:rsidRDefault="00F617BE" w:rsidP="00F8471B">
            <w:pPr>
              <w:jc w:val="center"/>
              <w:rPr>
                <w:rFonts w:ascii="Times New Roman" w:hAnsi="Times New Roman" w:cs="Times New Roman"/>
                <w:b/>
                <w:bCs/>
                <w:sz w:val="20"/>
                <w:szCs w:val="20"/>
                <w:lang w:val="sr-Cyrl-CS"/>
              </w:rPr>
            </w:pPr>
          </w:p>
        </w:tc>
        <w:tc>
          <w:tcPr>
            <w:tcW w:w="2645" w:type="dxa"/>
            <w:gridSpan w:val="6"/>
            <w:vMerge/>
            <w:shd w:val="clear" w:color="auto" w:fill="ECECEC"/>
            <w:vAlign w:val="center"/>
          </w:tcPr>
          <w:p w14:paraId="2DA4A764" w14:textId="77777777" w:rsidR="00F617BE" w:rsidRPr="00AA19A8" w:rsidRDefault="00F617BE" w:rsidP="00F8471B">
            <w:pPr>
              <w:jc w:val="center"/>
              <w:rPr>
                <w:rFonts w:ascii="Times New Roman" w:hAnsi="Times New Roman" w:cs="Times New Roman"/>
                <w:b/>
                <w:bCs/>
                <w:sz w:val="20"/>
                <w:szCs w:val="20"/>
                <w:lang w:val="sr-Cyrl-CS"/>
              </w:rPr>
            </w:pPr>
          </w:p>
        </w:tc>
        <w:tc>
          <w:tcPr>
            <w:tcW w:w="2154" w:type="dxa"/>
            <w:gridSpan w:val="16"/>
            <w:shd w:val="clear" w:color="auto" w:fill="ECECEC"/>
            <w:vAlign w:val="center"/>
          </w:tcPr>
          <w:p w14:paraId="20B667D8"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55" w:type="dxa"/>
            <w:gridSpan w:val="17"/>
            <w:shd w:val="clear" w:color="auto" w:fill="ECECEC"/>
            <w:vAlign w:val="center"/>
          </w:tcPr>
          <w:p w14:paraId="10BA8C02"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7" w:type="dxa"/>
            <w:gridSpan w:val="10"/>
            <w:shd w:val="clear" w:color="auto" w:fill="ECECEC"/>
            <w:vAlign w:val="center"/>
          </w:tcPr>
          <w:p w14:paraId="5F99E797"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7" w:type="dxa"/>
            <w:gridSpan w:val="8"/>
            <w:shd w:val="clear" w:color="auto" w:fill="ECECEC"/>
            <w:vAlign w:val="center"/>
          </w:tcPr>
          <w:p w14:paraId="2E5674E8"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78" w:type="dxa"/>
            <w:gridSpan w:val="2"/>
            <w:shd w:val="clear" w:color="auto" w:fill="ECECEC"/>
            <w:vAlign w:val="center"/>
          </w:tcPr>
          <w:p w14:paraId="45CFB515" w14:textId="77777777" w:rsidR="00F617BE" w:rsidRPr="00AA19A8" w:rsidRDefault="00F617BE" w:rsidP="00F8471B">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3ABD79A1" w14:textId="77777777" w:rsidTr="00BA7E6D">
        <w:trPr>
          <w:cantSplit/>
          <w:trHeight w:val="1701"/>
        </w:trPr>
        <w:tc>
          <w:tcPr>
            <w:tcW w:w="2525" w:type="dxa"/>
            <w:gridSpan w:val="4"/>
            <w:vAlign w:val="center"/>
          </w:tcPr>
          <w:p w14:paraId="0489E13E"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5.1.1 Припрема и достављање финансијских извештаја у складу са IPSAS на готовинској основи</w:t>
            </w:r>
          </w:p>
        </w:tc>
        <w:tc>
          <w:tcPr>
            <w:tcW w:w="1582" w:type="dxa"/>
            <w:gridSpan w:val="6"/>
            <w:vAlign w:val="center"/>
          </w:tcPr>
          <w:p w14:paraId="3892BAED"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Q2 2026</w:t>
            </w:r>
          </w:p>
        </w:tc>
        <w:tc>
          <w:tcPr>
            <w:tcW w:w="1583" w:type="dxa"/>
            <w:gridSpan w:val="6"/>
            <w:vAlign w:val="center"/>
          </w:tcPr>
          <w:p w14:paraId="7019E0CC"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трезор</w:t>
            </w:r>
          </w:p>
        </w:tc>
        <w:tc>
          <w:tcPr>
            <w:tcW w:w="2645" w:type="dxa"/>
            <w:gridSpan w:val="6"/>
            <w:vAlign w:val="center"/>
          </w:tcPr>
          <w:p w14:paraId="2BD1F5FC"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154" w:type="dxa"/>
            <w:gridSpan w:val="16"/>
            <w:vAlign w:val="center"/>
          </w:tcPr>
          <w:p w14:paraId="30D69266"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55" w:type="dxa"/>
            <w:gridSpan w:val="17"/>
            <w:vAlign w:val="center"/>
          </w:tcPr>
          <w:p w14:paraId="32BB2254"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2301-5002</w:t>
            </w:r>
          </w:p>
        </w:tc>
        <w:tc>
          <w:tcPr>
            <w:tcW w:w="1077" w:type="dxa"/>
            <w:gridSpan w:val="10"/>
            <w:vAlign w:val="center"/>
          </w:tcPr>
          <w:p w14:paraId="5020D119"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16028B18"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8" w:type="dxa"/>
            <w:gridSpan w:val="2"/>
            <w:vAlign w:val="center"/>
          </w:tcPr>
          <w:p w14:paraId="7A9ED77B" w14:textId="77777777" w:rsidR="00F617BE" w:rsidRPr="00AA19A8" w:rsidRDefault="00F617BE" w:rsidP="00F8471B">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5D518F8" w14:textId="77777777" w:rsidTr="00BA7E6D">
        <w:trPr>
          <w:cantSplit/>
          <w:trHeight w:val="1701"/>
        </w:trPr>
        <w:tc>
          <w:tcPr>
            <w:tcW w:w="2525" w:type="dxa"/>
            <w:gridSpan w:val="4"/>
            <w:vAlign w:val="center"/>
          </w:tcPr>
          <w:p w14:paraId="11EFD75A"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5.1.2 Припрема напомена и додатних објашњења, која прате финансијске извештаје у складу са IPSАS на готовинској основи</w:t>
            </w:r>
          </w:p>
        </w:tc>
        <w:tc>
          <w:tcPr>
            <w:tcW w:w="1582" w:type="dxa"/>
            <w:gridSpan w:val="6"/>
            <w:vAlign w:val="center"/>
          </w:tcPr>
          <w:p w14:paraId="39256493"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Q2 2026</w:t>
            </w:r>
          </w:p>
        </w:tc>
        <w:tc>
          <w:tcPr>
            <w:tcW w:w="1583" w:type="dxa"/>
            <w:gridSpan w:val="6"/>
            <w:vAlign w:val="center"/>
          </w:tcPr>
          <w:p w14:paraId="6A901CD0"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трезор</w:t>
            </w:r>
          </w:p>
        </w:tc>
        <w:tc>
          <w:tcPr>
            <w:tcW w:w="2645" w:type="dxa"/>
            <w:gridSpan w:val="6"/>
            <w:vAlign w:val="center"/>
          </w:tcPr>
          <w:p w14:paraId="35AE475B"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154" w:type="dxa"/>
            <w:gridSpan w:val="16"/>
            <w:vAlign w:val="center"/>
          </w:tcPr>
          <w:p w14:paraId="79F44832"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tc>
        <w:tc>
          <w:tcPr>
            <w:tcW w:w="2155" w:type="dxa"/>
            <w:gridSpan w:val="17"/>
            <w:vAlign w:val="center"/>
          </w:tcPr>
          <w:p w14:paraId="2B8293B6"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2301-5007</w:t>
            </w:r>
          </w:p>
        </w:tc>
        <w:tc>
          <w:tcPr>
            <w:tcW w:w="1077" w:type="dxa"/>
            <w:gridSpan w:val="10"/>
            <w:vAlign w:val="center"/>
          </w:tcPr>
          <w:p w14:paraId="4B69762C"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1.500</w:t>
            </w:r>
          </w:p>
        </w:tc>
        <w:tc>
          <w:tcPr>
            <w:tcW w:w="1077" w:type="dxa"/>
            <w:gridSpan w:val="8"/>
            <w:vAlign w:val="center"/>
          </w:tcPr>
          <w:p w14:paraId="27E753A6"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8" w:type="dxa"/>
            <w:gridSpan w:val="2"/>
            <w:vAlign w:val="center"/>
          </w:tcPr>
          <w:p w14:paraId="7080BCBA"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1D6EC82" w14:textId="77777777" w:rsidTr="00BA7E6D">
        <w:trPr>
          <w:cantSplit/>
          <w:trHeight w:val="3407"/>
        </w:trPr>
        <w:tc>
          <w:tcPr>
            <w:tcW w:w="2525" w:type="dxa"/>
            <w:gridSpan w:val="4"/>
            <w:vAlign w:val="center"/>
          </w:tcPr>
          <w:p w14:paraId="2B2B9D10"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5.1.3 Спровођење обука у циљу унапређења професионалне компетентности рачуновођа у јавном сектору у складу са Програмом  стручног оспособљавања за вођење пословних књига, састављање и презентацију финансијских извештаја у складу са IPSAS на готовинској основи</w:t>
            </w:r>
          </w:p>
        </w:tc>
        <w:tc>
          <w:tcPr>
            <w:tcW w:w="1582" w:type="dxa"/>
            <w:gridSpan w:val="6"/>
            <w:vAlign w:val="center"/>
          </w:tcPr>
          <w:p w14:paraId="433546C7"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6DE92392"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трезор</w:t>
            </w:r>
          </w:p>
        </w:tc>
        <w:tc>
          <w:tcPr>
            <w:tcW w:w="2645" w:type="dxa"/>
            <w:gridSpan w:val="6"/>
            <w:vAlign w:val="center"/>
          </w:tcPr>
          <w:p w14:paraId="24068BBB"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НАЈУ</w:t>
            </w:r>
          </w:p>
        </w:tc>
        <w:tc>
          <w:tcPr>
            <w:tcW w:w="2154" w:type="dxa"/>
            <w:gridSpan w:val="16"/>
            <w:vAlign w:val="center"/>
          </w:tcPr>
          <w:p w14:paraId="2A2B49CB"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55" w:type="dxa"/>
            <w:gridSpan w:val="17"/>
            <w:vAlign w:val="center"/>
          </w:tcPr>
          <w:p w14:paraId="59BAC7D0"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2301-0008</w:t>
            </w:r>
          </w:p>
        </w:tc>
        <w:tc>
          <w:tcPr>
            <w:tcW w:w="1077" w:type="dxa"/>
            <w:gridSpan w:val="10"/>
            <w:vAlign w:val="center"/>
          </w:tcPr>
          <w:p w14:paraId="6D9052F2"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54CB0CB1"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8" w:type="dxa"/>
            <w:gridSpan w:val="2"/>
            <w:vAlign w:val="center"/>
          </w:tcPr>
          <w:p w14:paraId="0CB2C908"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3198EB2E" w14:textId="77777777" w:rsidTr="00BA7E6D">
        <w:trPr>
          <w:cantSplit/>
          <w:trHeight w:val="804"/>
        </w:trPr>
        <w:tc>
          <w:tcPr>
            <w:tcW w:w="15876" w:type="dxa"/>
            <w:gridSpan w:val="75"/>
            <w:shd w:val="clear" w:color="auto" w:fill="ECECEC"/>
            <w:vAlign w:val="center"/>
          </w:tcPr>
          <w:p w14:paraId="6D3BFE55"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Мера 5.2: Даља унапређења буџетског рачуноводства према Плану унапређења рачуноводства у јавном сектору у складу са IPSAS </w:t>
            </w:r>
          </w:p>
        </w:tc>
      </w:tr>
      <w:tr w:rsidR="00D30238" w:rsidRPr="00AA19A8" w14:paraId="5130E722" w14:textId="77777777" w:rsidTr="00BA7E6D">
        <w:trPr>
          <w:cantSplit/>
          <w:trHeight w:val="804"/>
        </w:trPr>
        <w:tc>
          <w:tcPr>
            <w:tcW w:w="2525" w:type="dxa"/>
            <w:gridSpan w:val="4"/>
            <w:shd w:val="clear" w:color="auto" w:fill="ECECEC"/>
            <w:vAlign w:val="center"/>
          </w:tcPr>
          <w:p w14:paraId="5283178E"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65" w:type="dxa"/>
            <w:gridSpan w:val="12"/>
            <w:shd w:val="clear" w:color="auto" w:fill="ECECEC"/>
            <w:vAlign w:val="center"/>
          </w:tcPr>
          <w:p w14:paraId="0A2B863F" w14:textId="77777777" w:rsidR="00F617BE" w:rsidRPr="00AA19A8" w:rsidRDefault="00F617BE" w:rsidP="00A85196">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186" w:type="dxa"/>
            <w:gridSpan w:val="59"/>
            <w:shd w:val="clear" w:color="auto" w:fill="ECECEC"/>
            <w:vAlign w:val="center"/>
          </w:tcPr>
          <w:p w14:paraId="42C9C254" w14:textId="77777777" w:rsidR="00F617BE" w:rsidRPr="00AA19A8" w:rsidRDefault="00F617BE" w:rsidP="00A85196">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70CEAB7E" w14:textId="77777777" w:rsidTr="00BA7E6D">
        <w:trPr>
          <w:cantSplit/>
          <w:trHeight w:val="804"/>
        </w:trPr>
        <w:tc>
          <w:tcPr>
            <w:tcW w:w="2525" w:type="dxa"/>
            <w:gridSpan w:val="4"/>
            <w:shd w:val="clear" w:color="auto" w:fill="ECECEC"/>
            <w:vAlign w:val="center"/>
          </w:tcPr>
          <w:p w14:paraId="5C1FDC4A"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65" w:type="dxa"/>
            <w:gridSpan w:val="12"/>
            <w:shd w:val="clear" w:color="auto" w:fill="ECECEC"/>
            <w:vAlign w:val="center"/>
          </w:tcPr>
          <w:p w14:paraId="4D52F406" w14:textId="77777777" w:rsidR="00F617BE" w:rsidRPr="00AA19A8" w:rsidRDefault="00F617BE" w:rsidP="00A85196">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2301-5007</w:t>
            </w:r>
          </w:p>
        </w:tc>
        <w:tc>
          <w:tcPr>
            <w:tcW w:w="3395" w:type="dxa"/>
            <w:gridSpan w:val="12"/>
            <w:shd w:val="clear" w:color="auto" w:fill="ECECEC"/>
            <w:vAlign w:val="center"/>
          </w:tcPr>
          <w:p w14:paraId="02686EAA" w14:textId="77777777" w:rsidR="00F617BE" w:rsidRPr="00AA19A8" w:rsidRDefault="00F617BE" w:rsidP="00A85196">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w:t>
            </w:r>
          </w:p>
        </w:tc>
        <w:tc>
          <w:tcPr>
            <w:tcW w:w="3395" w:type="dxa"/>
            <w:gridSpan w:val="21"/>
            <w:shd w:val="clear" w:color="auto" w:fill="ECECEC"/>
            <w:vAlign w:val="center"/>
          </w:tcPr>
          <w:p w14:paraId="7B6A131F" w14:textId="77777777" w:rsidR="00F617BE" w:rsidRPr="00AA19A8" w:rsidRDefault="00F617BE" w:rsidP="00A85196">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2.800</w:t>
            </w:r>
          </w:p>
        </w:tc>
        <w:tc>
          <w:tcPr>
            <w:tcW w:w="3396" w:type="dxa"/>
            <w:gridSpan w:val="26"/>
            <w:shd w:val="clear" w:color="auto" w:fill="ECECEC"/>
            <w:vAlign w:val="center"/>
          </w:tcPr>
          <w:p w14:paraId="2F6C8247" w14:textId="77777777" w:rsidR="00F617BE" w:rsidRPr="00AA19A8" w:rsidRDefault="00F617BE" w:rsidP="00A85196">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2800</w:t>
            </w:r>
          </w:p>
        </w:tc>
      </w:tr>
      <w:tr w:rsidR="00D30238" w:rsidRPr="00AA19A8" w14:paraId="690452C8" w14:textId="77777777" w:rsidTr="00BA7E6D">
        <w:trPr>
          <w:cantSplit/>
          <w:trHeight w:val="804"/>
        </w:trPr>
        <w:tc>
          <w:tcPr>
            <w:tcW w:w="15876" w:type="dxa"/>
            <w:gridSpan w:val="75"/>
            <w:shd w:val="clear" w:color="auto" w:fill="ECECEC"/>
            <w:vAlign w:val="center"/>
          </w:tcPr>
          <w:p w14:paraId="4395E879"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Министарство финансија- Управа за трезор</w:t>
            </w:r>
          </w:p>
        </w:tc>
      </w:tr>
      <w:tr w:rsidR="00D30238" w:rsidRPr="00AA19A8" w14:paraId="3CFC9723" w14:textId="77777777" w:rsidTr="00BA7E6D">
        <w:trPr>
          <w:cantSplit/>
          <w:trHeight w:val="804"/>
        </w:trPr>
        <w:tc>
          <w:tcPr>
            <w:tcW w:w="8335" w:type="dxa"/>
            <w:gridSpan w:val="22"/>
            <w:shd w:val="clear" w:color="auto" w:fill="ECECEC"/>
            <w:vAlign w:val="center"/>
          </w:tcPr>
          <w:p w14:paraId="65E8A0EA" w14:textId="3F9430D3"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2026-2030</w:t>
            </w:r>
            <w:r w:rsidR="00713D3C" w:rsidRPr="00AA19A8">
              <w:rPr>
                <w:rFonts w:ascii="Times New Roman" w:hAnsi="Times New Roman" w:cs="Times New Roman"/>
                <w:b/>
                <w:bCs/>
                <w:i/>
                <w:iCs/>
                <w:sz w:val="20"/>
                <w:szCs w:val="20"/>
                <w:lang w:val="sr-Cyrl-CS"/>
              </w:rPr>
              <w:t>.</w:t>
            </w:r>
          </w:p>
        </w:tc>
        <w:tc>
          <w:tcPr>
            <w:tcW w:w="7541" w:type="dxa"/>
            <w:gridSpan w:val="53"/>
            <w:shd w:val="clear" w:color="auto" w:fill="ECECEC"/>
            <w:vAlign w:val="center"/>
          </w:tcPr>
          <w:p w14:paraId="28721E2E"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 xml:space="preserve">Тип мере: </w:t>
            </w:r>
          </w:p>
        </w:tc>
      </w:tr>
      <w:tr w:rsidR="00D30238" w:rsidRPr="00AA19A8" w14:paraId="4CE63AF0" w14:textId="77777777" w:rsidTr="00BA7E6D">
        <w:trPr>
          <w:cantSplit/>
          <w:trHeight w:val="1253"/>
        </w:trPr>
        <w:tc>
          <w:tcPr>
            <w:tcW w:w="2525" w:type="dxa"/>
            <w:gridSpan w:val="4"/>
            <w:shd w:val="clear" w:color="auto" w:fill="ECECEC"/>
            <w:vAlign w:val="center"/>
          </w:tcPr>
          <w:p w14:paraId="413EFE0B"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3165" w:type="dxa"/>
            <w:gridSpan w:val="12"/>
            <w:shd w:val="clear" w:color="auto" w:fill="ECECEC"/>
            <w:vAlign w:val="center"/>
          </w:tcPr>
          <w:p w14:paraId="28A4CE27"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5" w:type="dxa"/>
            <w:gridSpan w:val="6"/>
            <w:shd w:val="clear" w:color="auto" w:fill="ECECEC"/>
            <w:vAlign w:val="center"/>
          </w:tcPr>
          <w:p w14:paraId="5585860F"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8" w:type="dxa"/>
            <w:gridSpan w:val="15"/>
            <w:shd w:val="clear" w:color="auto" w:fill="ECECEC"/>
            <w:vAlign w:val="center"/>
          </w:tcPr>
          <w:p w14:paraId="7E74C9C2"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50" w:type="dxa"/>
            <w:gridSpan w:val="17"/>
            <w:shd w:val="clear" w:color="auto" w:fill="ECECEC"/>
            <w:vAlign w:val="center"/>
          </w:tcPr>
          <w:p w14:paraId="616D0F49"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2FF04E72"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30FE269C"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211BF52E"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85" w:type="dxa"/>
            <w:gridSpan w:val="3"/>
            <w:shd w:val="clear" w:color="auto" w:fill="ECECEC"/>
            <w:vAlign w:val="center"/>
          </w:tcPr>
          <w:p w14:paraId="4899BCA1"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107CB519" w14:textId="77777777" w:rsidTr="00BA7E6D">
        <w:trPr>
          <w:cantSplit/>
          <w:trHeight w:val="1253"/>
        </w:trPr>
        <w:tc>
          <w:tcPr>
            <w:tcW w:w="2525" w:type="dxa"/>
            <w:gridSpan w:val="4"/>
            <w:vAlign w:val="center"/>
          </w:tcPr>
          <w:p w14:paraId="376FE9D9" w14:textId="3614DE93"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Израђен План унапређења рачуноводст</w:t>
            </w:r>
            <w:r w:rsidR="004F1556" w:rsidRPr="00AA19A8">
              <w:rPr>
                <w:rFonts w:ascii="Times New Roman" w:hAnsi="Times New Roman" w:cs="Times New Roman"/>
                <w:sz w:val="20"/>
                <w:szCs w:val="20"/>
                <w:lang w:val="sr-Cyrl-CS"/>
              </w:rPr>
              <w:t>в</w:t>
            </w:r>
            <w:r w:rsidRPr="00AA19A8">
              <w:rPr>
                <w:rFonts w:ascii="Times New Roman" w:hAnsi="Times New Roman" w:cs="Times New Roman"/>
                <w:sz w:val="20"/>
                <w:szCs w:val="20"/>
                <w:lang w:val="sr-Cyrl-CS"/>
              </w:rPr>
              <w:t>а у јавном сектору у складу са IPSAS</w:t>
            </w:r>
          </w:p>
        </w:tc>
        <w:tc>
          <w:tcPr>
            <w:tcW w:w="3165" w:type="dxa"/>
            <w:gridSpan w:val="12"/>
            <w:vAlign w:val="center"/>
          </w:tcPr>
          <w:p w14:paraId="5B6AE972"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p w14:paraId="2F8A9C6C"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Не</w:t>
            </w:r>
          </w:p>
        </w:tc>
        <w:tc>
          <w:tcPr>
            <w:tcW w:w="2645" w:type="dxa"/>
            <w:gridSpan w:val="6"/>
            <w:vAlign w:val="center"/>
          </w:tcPr>
          <w:p w14:paraId="739FA530"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Сајт Управе за трезор</w:t>
            </w:r>
          </w:p>
        </w:tc>
        <w:tc>
          <w:tcPr>
            <w:tcW w:w="2148" w:type="dxa"/>
            <w:gridSpan w:val="15"/>
            <w:vAlign w:val="center"/>
          </w:tcPr>
          <w:p w14:paraId="4E9106FE"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Не</w:t>
            </w:r>
          </w:p>
        </w:tc>
        <w:tc>
          <w:tcPr>
            <w:tcW w:w="2150" w:type="dxa"/>
            <w:gridSpan w:val="17"/>
            <w:vAlign w:val="center"/>
          </w:tcPr>
          <w:p w14:paraId="2CC60F1F"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453EF1BA"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1ACC41C4"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5" w:type="dxa"/>
            <w:gridSpan w:val="3"/>
            <w:vAlign w:val="center"/>
          </w:tcPr>
          <w:p w14:paraId="2903C3D6"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Да</w:t>
            </w:r>
          </w:p>
        </w:tc>
      </w:tr>
      <w:tr w:rsidR="00D30238" w:rsidRPr="00AA19A8" w14:paraId="6EECFCFE" w14:textId="77777777" w:rsidTr="00BA7E6D">
        <w:trPr>
          <w:cantSplit/>
          <w:trHeight w:val="624"/>
        </w:trPr>
        <w:tc>
          <w:tcPr>
            <w:tcW w:w="2525" w:type="dxa"/>
            <w:gridSpan w:val="4"/>
            <w:vMerge w:val="restart"/>
            <w:shd w:val="clear" w:color="auto" w:fill="ECECEC"/>
            <w:vAlign w:val="center"/>
          </w:tcPr>
          <w:p w14:paraId="1B3C3715"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82" w:type="dxa"/>
            <w:gridSpan w:val="6"/>
            <w:vMerge w:val="restart"/>
            <w:shd w:val="clear" w:color="auto" w:fill="ECECEC"/>
            <w:vAlign w:val="center"/>
          </w:tcPr>
          <w:p w14:paraId="7019E08A"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3" w:type="dxa"/>
            <w:gridSpan w:val="6"/>
            <w:vMerge w:val="restart"/>
            <w:shd w:val="clear" w:color="auto" w:fill="ECECEC"/>
            <w:vAlign w:val="center"/>
          </w:tcPr>
          <w:p w14:paraId="2BC80C04"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5" w:type="dxa"/>
            <w:gridSpan w:val="6"/>
            <w:vMerge w:val="restart"/>
            <w:shd w:val="clear" w:color="auto" w:fill="ECECEC"/>
            <w:vAlign w:val="center"/>
          </w:tcPr>
          <w:p w14:paraId="3481AEED"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41" w:type="dxa"/>
            <w:gridSpan w:val="53"/>
            <w:shd w:val="clear" w:color="auto" w:fill="ECECEC"/>
            <w:vAlign w:val="center"/>
          </w:tcPr>
          <w:p w14:paraId="6E2079C9"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39FCB5DC" w14:textId="77777777" w:rsidTr="00BA7E6D">
        <w:trPr>
          <w:cantSplit/>
          <w:trHeight w:val="1134"/>
        </w:trPr>
        <w:tc>
          <w:tcPr>
            <w:tcW w:w="2525" w:type="dxa"/>
            <w:gridSpan w:val="4"/>
            <w:vMerge/>
            <w:shd w:val="clear" w:color="auto" w:fill="ECECEC"/>
            <w:vAlign w:val="center"/>
          </w:tcPr>
          <w:p w14:paraId="14B2888C" w14:textId="77777777" w:rsidR="00F617BE" w:rsidRPr="00AA19A8" w:rsidRDefault="00F617BE" w:rsidP="00F617BE">
            <w:pPr>
              <w:rPr>
                <w:rFonts w:ascii="Times New Roman" w:hAnsi="Times New Roman" w:cs="Times New Roman"/>
                <w:b/>
                <w:bCs/>
                <w:sz w:val="20"/>
                <w:szCs w:val="20"/>
                <w:lang w:val="sr-Cyrl-CS"/>
              </w:rPr>
            </w:pPr>
          </w:p>
        </w:tc>
        <w:tc>
          <w:tcPr>
            <w:tcW w:w="1582" w:type="dxa"/>
            <w:gridSpan w:val="6"/>
            <w:vMerge/>
            <w:shd w:val="clear" w:color="auto" w:fill="ECECEC"/>
            <w:vAlign w:val="center"/>
          </w:tcPr>
          <w:p w14:paraId="202D2878" w14:textId="77777777" w:rsidR="00F617BE" w:rsidRPr="00AA19A8" w:rsidRDefault="00F617BE" w:rsidP="00A85196">
            <w:pPr>
              <w:jc w:val="center"/>
              <w:rPr>
                <w:rFonts w:ascii="Times New Roman" w:hAnsi="Times New Roman" w:cs="Times New Roman"/>
                <w:b/>
                <w:bCs/>
                <w:sz w:val="20"/>
                <w:szCs w:val="20"/>
                <w:lang w:val="sr-Cyrl-CS"/>
              </w:rPr>
            </w:pPr>
          </w:p>
        </w:tc>
        <w:tc>
          <w:tcPr>
            <w:tcW w:w="1583" w:type="dxa"/>
            <w:gridSpan w:val="6"/>
            <w:vMerge/>
            <w:shd w:val="clear" w:color="auto" w:fill="ECECEC"/>
            <w:vAlign w:val="center"/>
          </w:tcPr>
          <w:p w14:paraId="7F76539D" w14:textId="77777777" w:rsidR="00F617BE" w:rsidRPr="00AA19A8" w:rsidRDefault="00F617BE" w:rsidP="00A85196">
            <w:pPr>
              <w:jc w:val="center"/>
              <w:rPr>
                <w:rFonts w:ascii="Times New Roman" w:hAnsi="Times New Roman" w:cs="Times New Roman"/>
                <w:b/>
                <w:bCs/>
                <w:sz w:val="20"/>
                <w:szCs w:val="20"/>
                <w:lang w:val="sr-Cyrl-CS"/>
              </w:rPr>
            </w:pPr>
          </w:p>
        </w:tc>
        <w:tc>
          <w:tcPr>
            <w:tcW w:w="2645" w:type="dxa"/>
            <w:gridSpan w:val="6"/>
            <w:vMerge/>
            <w:shd w:val="clear" w:color="auto" w:fill="ECECEC"/>
            <w:vAlign w:val="center"/>
          </w:tcPr>
          <w:p w14:paraId="7972ADEF" w14:textId="77777777" w:rsidR="00F617BE" w:rsidRPr="00AA19A8" w:rsidRDefault="00F617BE" w:rsidP="00A85196">
            <w:pPr>
              <w:jc w:val="center"/>
              <w:rPr>
                <w:rFonts w:ascii="Times New Roman" w:hAnsi="Times New Roman" w:cs="Times New Roman"/>
                <w:b/>
                <w:bCs/>
                <w:sz w:val="20"/>
                <w:szCs w:val="20"/>
                <w:lang w:val="sr-Cyrl-CS"/>
              </w:rPr>
            </w:pPr>
          </w:p>
        </w:tc>
        <w:tc>
          <w:tcPr>
            <w:tcW w:w="2154" w:type="dxa"/>
            <w:gridSpan w:val="16"/>
            <w:shd w:val="clear" w:color="auto" w:fill="ECECEC"/>
            <w:vAlign w:val="center"/>
          </w:tcPr>
          <w:p w14:paraId="3F87AC6D"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55" w:type="dxa"/>
            <w:gridSpan w:val="17"/>
            <w:shd w:val="clear" w:color="auto" w:fill="ECECEC"/>
            <w:vAlign w:val="center"/>
          </w:tcPr>
          <w:p w14:paraId="52EE9C27"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7" w:type="dxa"/>
            <w:gridSpan w:val="10"/>
            <w:shd w:val="clear" w:color="auto" w:fill="ECECEC"/>
            <w:vAlign w:val="center"/>
          </w:tcPr>
          <w:p w14:paraId="26E953BE"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7" w:type="dxa"/>
            <w:gridSpan w:val="8"/>
            <w:shd w:val="clear" w:color="auto" w:fill="ECECEC"/>
            <w:vAlign w:val="center"/>
          </w:tcPr>
          <w:p w14:paraId="603E761D"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78" w:type="dxa"/>
            <w:gridSpan w:val="2"/>
            <w:shd w:val="clear" w:color="auto" w:fill="ECECEC"/>
            <w:vAlign w:val="center"/>
          </w:tcPr>
          <w:p w14:paraId="57462B6C" w14:textId="77777777" w:rsidR="00F617BE" w:rsidRPr="00AA19A8" w:rsidRDefault="00F617BE" w:rsidP="00A85196">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05FE3CC3" w14:textId="77777777" w:rsidTr="00BA7E6D">
        <w:trPr>
          <w:cantSplit/>
          <w:trHeight w:val="1706"/>
        </w:trPr>
        <w:tc>
          <w:tcPr>
            <w:tcW w:w="2525" w:type="dxa"/>
            <w:gridSpan w:val="4"/>
            <w:vAlign w:val="center"/>
          </w:tcPr>
          <w:p w14:paraId="2ED99AC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5.2.1 Израда Плана унапређења рачуноводства у јавном сектору у складу са IPSAS, укључујући план унапређења ИТ система</w:t>
            </w:r>
          </w:p>
        </w:tc>
        <w:tc>
          <w:tcPr>
            <w:tcW w:w="1582" w:type="dxa"/>
            <w:gridSpan w:val="6"/>
            <w:vAlign w:val="center"/>
          </w:tcPr>
          <w:p w14:paraId="6D13A6AC"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25EE0148"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трезор</w:t>
            </w:r>
          </w:p>
        </w:tc>
        <w:tc>
          <w:tcPr>
            <w:tcW w:w="2645" w:type="dxa"/>
            <w:gridSpan w:val="6"/>
            <w:vAlign w:val="center"/>
          </w:tcPr>
          <w:p w14:paraId="36B3F71B"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154" w:type="dxa"/>
            <w:gridSpan w:val="16"/>
            <w:vAlign w:val="center"/>
          </w:tcPr>
          <w:p w14:paraId="311B9961"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w:t>
            </w:r>
          </w:p>
        </w:tc>
        <w:tc>
          <w:tcPr>
            <w:tcW w:w="2155" w:type="dxa"/>
            <w:gridSpan w:val="17"/>
            <w:vAlign w:val="center"/>
          </w:tcPr>
          <w:p w14:paraId="0AD7FE86"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2301-5007</w:t>
            </w:r>
          </w:p>
        </w:tc>
        <w:tc>
          <w:tcPr>
            <w:tcW w:w="1077" w:type="dxa"/>
            <w:gridSpan w:val="10"/>
            <w:vAlign w:val="center"/>
          </w:tcPr>
          <w:p w14:paraId="1B4C1DD1"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5220AB2C"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2.000</w:t>
            </w:r>
          </w:p>
        </w:tc>
        <w:tc>
          <w:tcPr>
            <w:tcW w:w="1078" w:type="dxa"/>
            <w:gridSpan w:val="2"/>
            <w:vAlign w:val="center"/>
          </w:tcPr>
          <w:p w14:paraId="4A53A56E"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2.000</w:t>
            </w:r>
          </w:p>
        </w:tc>
      </w:tr>
      <w:tr w:rsidR="00D30238" w:rsidRPr="00AA19A8" w14:paraId="4246A560" w14:textId="77777777" w:rsidTr="00BA7E6D">
        <w:trPr>
          <w:cantSplit/>
          <w:trHeight w:val="1134"/>
        </w:trPr>
        <w:tc>
          <w:tcPr>
            <w:tcW w:w="2525" w:type="dxa"/>
            <w:gridSpan w:val="4"/>
            <w:vAlign w:val="center"/>
          </w:tcPr>
          <w:p w14:paraId="056DC97A"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5.2.2 Обезбеђивање превода IPSAS</w:t>
            </w:r>
          </w:p>
        </w:tc>
        <w:tc>
          <w:tcPr>
            <w:tcW w:w="1582" w:type="dxa"/>
            <w:gridSpan w:val="6"/>
            <w:vAlign w:val="center"/>
          </w:tcPr>
          <w:p w14:paraId="5FD70F7B"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5879CA6F"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трезор</w:t>
            </w:r>
          </w:p>
        </w:tc>
        <w:tc>
          <w:tcPr>
            <w:tcW w:w="2645" w:type="dxa"/>
            <w:gridSpan w:val="6"/>
            <w:vAlign w:val="center"/>
          </w:tcPr>
          <w:p w14:paraId="5357DB9D"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Савез рачуновођа и ревизора Србије</w:t>
            </w:r>
          </w:p>
        </w:tc>
        <w:tc>
          <w:tcPr>
            <w:tcW w:w="2154" w:type="dxa"/>
            <w:gridSpan w:val="16"/>
            <w:vAlign w:val="center"/>
          </w:tcPr>
          <w:p w14:paraId="6C910753"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55" w:type="dxa"/>
            <w:gridSpan w:val="17"/>
            <w:vAlign w:val="center"/>
          </w:tcPr>
          <w:p w14:paraId="12D2ED92" w14:textId="77777777" w:rsidR="00F617BE" w:rsidRPr="00AA19A8" w:rsidRDefault="00F617BE" w:rsidP="00A85196">
            <w:pPr>
              <w:jc w:val="center"/>
              <w:rPr>
                <w:rFonts w:ascii="Times New Roman" w:hAnsi="Times New Roman" w:cs="Times New Roman"/>
                <w:sz w:val="20"/>
                <w:szCs w:val="20"/>
                <w:lang w:val="sr-Cyrl-CS"/>
              </w:rPr>
            </w:pPr>
          </w:p>
        </w:tc>
        <w:tc>
          <w:tcPr>
            <w:tcW w:w="1077" w:type="dxa"/>
            <w:gridSpan w:val="10"/>
            <w:vAlign w:val="center"/>
          </w:tcPr>
          <w:p w14:paraId="40F0BB9A"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6E59DA4F"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8" w:type="dxa"/>
            <w:gridSpan w:val="2"/>
            <w:vAlign w:val="center"/>
          </w:tcPr>
          <w:p w14:paraId="081900F6" w14:textId="77777777" w:rsidR="00F617BE" w:rsidRPr="00AA19A8" w:rsidRDefault="00F617BE" w:rsidP="00A85196">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6449DEFB" w14:textId="77777777" w:rsidTr="00BA7E6D">
        <w:trPr>
          <w:cantSplit/>
          <w:trHeight w:val="1871"/>
        </w:trPr>
        <w:tc>
          <w:tcPr>
            <w:tcW w:w="2525" w:type="dxa"/>
            <w:gridSpan w:val="4"/>
            <w:vAlign w:val="center"/>
          </w:tcPr>
          <w:p w14:paraId="2B431CB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5.2.3 Унапређење капацитета запослених у Управи за трезор за примену IPSAS и студијске посете земљама које успешно примењују IPSAS</w:t>
            </w:r>
          </w:p>
        </w:tc>
        <w:tc>
          <w:tcPr>
            <w:tcW w:w="1582" w:type="dxa"/>
            <w:gridSpan w:val="6"/>
            <w:vAlign w:val="center"/>
          </w:tcPr>
          <w:p w14:paraId="48B11482"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4C6CA760"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Управа за трезор</w:t>
            </w:r>
          </w:p>
        </w:tc>
        <w:tc>
          <w:tcPr>
            <w:tcW w:w="2645" w:type="dxa"/>
            <w:gridSpan w:val="6"/>
            <w:vAlign w:val="center"/>
          </w:tcPr>
          <w:p w14:paraId="7F5DFA25"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w:t>
            </w:r>
          </w:p>
        </w:tc>
        <w:tc>
          <w:tcPr>
            <w:tcW w:w="2154" w:type="dxa"/>
            <w:gridSpan w:val="16"/>
            <w:vAlign w:val="center"/>
          </w:tcPr>
          <w:p w14:paraId="53524956"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55" w:type="dxa"/>
            <w:gridSpan w:val="17"/>
            <w:vAlign w:val="center"/>
          </w:tcPr>
          <w:p w14:paraId="16D457AA" w14:textId="77777777" w:rsidR="00F617BE" w:rsidRPr="00AA19A8" w:rsidRDefault="00F617BE" w:rsidP="00DC23B4">
            <w:pPr>
              <w:jc w:val="center"/>
              <w:rPr>
                <w:rFonts w:ascii="Times New Roman" w:hAnsi="Times New Roman" w:cs="Times New Roman"/>
                <w:sz w:val="20"/>
                <w:szCs w:val="20"/>
                <w:lang w:val="sr-Cyrl-CS"/>
              </w:rPr>
            </w:pPr>
          </w:p>
        </w:tc>
        <w:tc>
          <w:tcPr>
            <w:tcW w:w="1077" w:type="dxa"/>
            <w:gridSpan w:val="10"/>
            <w:vAlign w:val="center"/>
          </w:tcPr>
          <w:p w14:paraId="6B33CC0D"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3D2810E0"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800*</w:t>
            </w:r>
          </w:p>
        </w:tc>
        <w:tc>
          <w:tcPr>
            <w:tcW w:w="1078" w:type="dxa"/>
            <w:gridSpan w:val="2"/>
            <w:vAlign w:val="center"/>
          </w:tcPr>
          <w:p w14:paraId="451C287B"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800*</w:t>
            </w:r>
          </w:p>
        </w:tc>
      </w:tr>
      <w:tr w:rsidR="00D30238" w:rsidRPr="00AA19A8" w14:paraId="67CC08FB" w14:textId="77777777" w:rsidTr="00BA7E6D">
        <w:trPr>
          <w:cantSplit/>
          <w:trHeight w:val="804"/>
        </w:trPr>
        <w:tc>
          <w:tcPr>
            <w:tcW w:w="15876" w:type="dxa"/>
            <w:gridSpan w:val="75"/>
            <w:shd w:val="clear" w:color="auto" w:fill="DEEAF6"/>
            <w:vAlign w:val="center"/>
          </w:tcPr>
          <w:p w14:paraId="00FC3D65" w14:textId="77777777" w:rsidR="00F617BE" w:rsidRPr="00AA19A8" w:rsidRDefault="00F617BE" w:rsidP="00F617BE">
            <w:pPr>
              <w:rPr>
                <w:rFonts w:ascii="Times New Roman" w:hAnsi="Times New Roman" w:cs="Times New Roman"/>
                <w:b/>
                <w:bCs/>
                <w:sz w:val="20"/>
                <w:szCs w:val="20"/>
                <w:lang w:val="sr-Cyrl-CS"/>
              </w:rPr>
            </w:pPr>
            <w:bookmarkStart w:id="55" w:name="_Toc73613709"/>
            <w:r w:rsidRPr="00AA19A8">
              <w:rPr>
                <w:rFonts w:ascii="Times New Roman" w:hAnsi="Times New Roman" w:cs="Times New Roman"/>
                <w:b/>
                <w:bCs/>
                <w:sz w:val="20"/>
                <w:szCs w:val="20"/>
                <w:lang w:val="sr-Cyrl-CS"/>
              </w:rPr>
              <w:t>ПОСЕБНИ ЦИЉ VI: ЈАЧАЊЕ СПОЉНОГ НАДЗОРА НАД ЈАВНИМ ФИНАНСИЈАМА</w:t>
            </w:r>
            <w:bookmarkEnd w:id="55"/>
          </w:p>
        </w:tc>
      </w:tr>
      <w:tr w:rsidR="00D30238" w:rsidRPr="00AA19A8" w14:paraId="6FDB8737" w14:textId="77777777" w:rsidTr="00BA7E6D">
        <w:trPr>
          <w:cantSplit/>
          <w:trHeight w:val="1253"/>
        </w:trPr>
        <w:tc>
          <w:tcPr>
            <w:tcW w:w="2525" w:type="dxa"/>
            <w:gridSpan w:val="4"/>
            <w:shd w:val="clear" w:color="auto" w:fill="ECECEC"/>
            <w:vAlign w:val="center"/>
          </w:tcPr>
          <w:p w14:paraId="1981755B" w14:textId="132DDEFF"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lastRenderedPageBreak/>
              <w:t xml:space="preserve">Показатељ(и)  на нивоу </w:t>
            </w:r>
            <w:r w:rsidR="00DD263D">
              <w:rPr>
                <w:rFonts w:ascii="Times New Roman" w:hAnsi="Times New Roman" w:cs="Times New Roman"/>
                <w:b/>
                <w:bCs/>
                <w:sz w:val="20"/>
                <w:szCs w:val="20"/>
                <w:lang w:val="sr-Cyrl-CS"/>
              </w:rPr>
              <w:t>посебног циља</w:t>
            </w:r>
            <w:r w:rsidRPr="00AA19A8">
              <w:rPr>
                <w:rFonts w:ascii="Times New Roman" w:hAnsi="Times New Roman" w:cs="Times New Roman"/>
                <w:b/>
                <w:bCs/>
                <w:sz w:val="20"/>
                <w:szCs w:val="20"/>
                <w:lang w:val="sr-Cyrl-CS"/>
              </w:rPr>
              <w:t xml:space="preserve"> (показатељ </w:t>
            </w:r>
            <w:r w:rsidR="00DD263D">
              <w:rPr>
                <w:rFonts w:ascii="Times New Roman" w:hAnsi="Times New Roman" w:cs="Times New Roman"/>
                <w:b/>
                <w:bCs/>
                <w:sz w:val="20"/>
                <w:szCs w:val="20"/>
                <w:lang w:val="sr-Cyrl-CS"/>
              </w:rPr>
              <w:t>исхода</w:t>
            </w:r>
            <w:r w:rsidRPr="00AA19A8">
              <w:rPr>
                <w:rFonts w:ascii="Times New Roman" w:hAnsi="Times New Roman" w:cs="Times New Roman"/>
                <w:b/>
                <w:bCs/>
                <w:sz w:val="20"/>
                <w:szCs w:val="20"/>
                <w:lang w:val="sr-Cyrl-CS"/>
              </w:rPr>
              <w:t>)</w:t>
            </w:r>
          </w:p>
        </w:tc>
        <w:tc>
          <w:tcPr>
            <w:tcW w:w="3165" w:type="dxa"/>
            <w:gridSpan w:val="12"/>
            <w:shd w:val="clear" w:color="auto" w:fill="ECECEC"/>
            <w:vAlign w:val="center"/>
          </w:tcPr>
          <w:p w14:paraId="167FDFC8"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5" w:type="dxa"/>
            <w:gridSpan w:val="6"/>
            <w:shd w:val="clear" w:color="auto" w:fill="ECECEC"/>
            <w:vAlign w:val="center"/>
          </w:tcPr>
          <w:p w14:paraId="42B8A637"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8" w:type="dxa"/>
            <w:gridSpan w:val="15"/>
            <w:shd w:val="clear" w:color="auto" w:fill="ECECEC"/>
            <w:vAlign w:val="center"/>
          </w:tcPr>
          <w:p w14:paraId="40CD6C6A"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50" w:type="dxa"/>
            <w:gridSpan w:val="17"/>
            <w:shd w:val="clear" w:color="auto" w:fill="ECECEC"/>
            <w:vAlign w:val="center"/>
          </w:tcPr>
          <w:p w14:paraId="23C4EF95"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5527EF22"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780DDA8B"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4685F59D"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85" w:type="dxa"/>
            <w:gridSpan w:val="3"/>
            <w:shd w:val="clear" w:color="auto" w:fill="ECECEC"/>
            <w:vAlign w:val="center"/>
          </w:tcPr>
          <w:p w14:paraId="1C2C7043" w14:textId="77777777" w:rsidR="00F617BE" w:rsidRPr="00AA19A8" w:rsidRDefault="00F617BE" w:rsidP="00DC23B4">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7A517DD0" w14:textId="77777777" w:rsidTr="00BA7E6D">
        <w:trPr>
          <w:cantSplit/>
          <w:trHeight w:val="1701"/>
        </w:trPr>
        <w:tc>
          <w:tcPr>
            <w:tcW w:w="2525" w:type="dxa"/>
            <w:gridSpan w:val="4"/>
            <w:vAlign w:val="center"/>
          </w:tcPr>
          <w:p w14:paraId="53DF30C1"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ревидираних корисника јавних средстава код којих постоје недостаци у систему интерних контрола</w:t>
            </w:r>
          </w:p>
        </w:tc>
        <w:tc>
          <w:tcPr>
            <w:tcW w:w="3165" w:type="dxa"/>
            <w:gridSpan w:val="12"/>
            <w:vAlign w:val="center"/>
          </w:tcPr>
          <w:p w14:paraId="345E4BFB"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45" w:type="dxa"/>
            <w:gridSpan w:val="6"/>
            <w:vAlign w:val="center"/>
          </w:tcPr>
          <w:p w14:paraId="2095BD4B"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Извештај о раду ДРИ</w:t>
            </w:r>
          </w:p>
        </w:tc>
        <w:tc>
          <w:tcPr>
            <w:tcW w:w="2148" w:type="dxa"/>
            <w:gridSpan w:val="15"/>
            <w:vAlign w:val="center"/>
          </w:tcPr>
          <w:p w14:paraId="2B8BA94F"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85%</w:t>
            </w:r>
          </w:p>
        </w:tc>
        <w:tc>
          <w:tcPr>
            <w:tcW w:w="2150" w:type="dxa"/>
            <w:gridSpan w:val="17"/>
            <w:vAlign w:val="center"/>
          </w:tcPr>
          <w:p w14:paraId="27EB04FB" w14:textId="33E6CED5"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7E2ADD62"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84%</w:t>
            </w:r>
          </w:p>
        </w:tc>
        <w:tc>
          <w:tcPr>
            <w:tcW w:w="1080" w:type="dxa"/>
            <w:gridSpan w:val="8"/>
            <w:vAlign w:val="center"/>
          </w:tcPr>
          <w:p w14:paraId="4D7BEE63"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83%</w:t>
            </w:r>
          </w:p>
        </w:tc>
        <w:tc>
          <w:tcPr>
            <w:tcW w:w="1085" w:type="dxa"/>
            <w:gridSpan w:val="3"/>
            <w:vAlign w:val="center"/>
          </w:tcPr>
          <w:p w14:paraId="26753A7C" w14:textId="77777777" w:rsidR="00F617BE" w:rsidRPr="00AA19A8" w:rsidRDefault="00F617BE" w:rsidP="00DC23B4">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82%</w:t>
            </w:r>
          </w:p>
        </w:tc>
      </w:tr>
      <w:tr w:rsidR="00D30238" w:rsidRPr="00AA19A8" w14:paraId="7B1060A9" w14:textId="77777777" w:rsidTr="00BA7E6D">
        <w:trPr>
          <w:cantSplit/>
          <w:trHeight w:val="804"/>
        </w:trPr>
        <w:tc>
          <w:tcPr>
            <w:tcW w:w="15876" w:type="dxa"/>
            <w:gridSpan w:val="75"/>
            <w:shd w:val="clear" w:color="auto" w:fill="ECECEC"/>
            <w:vAlign w:val="center"/>
          </w:tcPr>
          <w:p w14:paraId="23547B71"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Мера 6.1: Јачање ефикасности и утицаја екстерне ревизије кроз интеграцију савремених технологија, унапређење методологије и комуникације са заинтересованим странама</w:t>
            </w:r>
          </w:p>
        </w:tc>
      </w:tr>
      <w:tr w:rsidR="00D30238" w:rsidRPr="00AA19A8" w14:paraId="00BE1F9B" w14:textId="77777777" w:rsidTr="00BA7E6D">
        <w:trPr>
          <w:cantSplit/>
          <w:trHeight w:val="804"/>
        </w:trPr>
        <w:tc>
          <w:tcPr>
            <w:tcW w:w="2525" w:type="dxa"/>
            <w:gridSpan w:val="4"/>
            <w:shd w:val="clear" w:color="auto" w:fill="ECECEC"/>
            <w:vAlign w:val="center"/>
          </w:tcPr>
          <w:p w14:paraId="3E591F97"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65" w:type="dxa"/>
            <w:gridSpan w:val="12"/>
            <w:shd w:val="clear" w:color="auto" w:fill="ECECEC"/>
            <w:vAlign w:val="center"/>
          </w:tcPr>
          <w:p w14:paraId="7C1DC8C8" w14:textId="77777777" w:rsidR="00F617BE" w:rsidRPr="00AA19A8" w:rsidRDefault="00F617BE" w:rsidP="00FF4083">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186" w:type="dxa"/>
            <w:gridSpan w:val="59"/>
            <w:shd w:val="clear" w:color="auto" w:fill="ECECEC"/>
            <w:vAlign w:val="center"/>
          </w:tcPr>
          <w:p w14:paraId="1DAC9433" w14:textId="77777777" w:rsidR="00F617BE" w:rsidRPr="00AA19A8" w:rsidRDefault="00F617BE" w:rsidP="00FF4083">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24AC7DF0" w14:textId="77777777" w:rsidTr="00BA7E6D">
        <w:trPr>
          <w:cantSplit/>
          <w:trHeight w:val="804"/>
        </w:trPr>
        <w:tc>
          <w:tcPr>
            <w:tcW w:w="2525" w:type="dxa"/>
            <w:gridSpan w:val="4"/>
            <w:shd w:val="clear" w:color="auto" w:fill="ECECEC"/>
            <w:vAlign w:val="center"/>
          </w:tcPr>
          <w:p w14:paraId="18CF1DD5"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65" w:type="dxa"/>
            <w:gridSpan w:val="12"/>
            <w:shd w:val="clear" w:color="auto" w:fill="ECECEC"/>
            <w:vAlign w:val="center"/>
          </w:tcPr>
          <w:p w14:paraId="5CB82169" w14:textId="77777777" w:rsidR="00F617BE" w:rsidRPr="00AA19A8" w:rsidRDefault="00F617BE" w:rsidP="00FF4083">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2304-0001</w:t>
            </w:r>
          </w:p>
        </w:tc>
        <w:tc>
          <w:tcPr>
            <w:tcW w:w="3395" w:type="dxa"/>
            <w:gridSpan w:val="12"/>
            <w:shd w:val="clear" w:color="auto" w:fill="ECECEC"/>
            <w:vAlign w:val="center"/>
          </w:tcPr>
          <w:p w14:paraId="1EE6A4DB" w14:textId="77777777" w:rsidR="00F617BE" w:rsidRPr="00AA19A8" w:rsidRDefault="00F617BE" w:rsidP="00FF4083">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21.990</w:t>
            </w:r>
          </w:p>
        </w:tc>
        <w:tc>
          <w:tcPr>
            <w:tcW w:w="3395" w:type="dxa"/>
            <w:gridSpan w:val="21"/>
            <w:shd w:val="clear" w:color="auto" w:fill="ECECEC"/>
            <w:vAlign w:val="center"/>
          </w:tcPr>
          <w:p w14:paraId="114F3057" w14:textId="77777777" w:rsidR="00F617BE" w:rsidRPr="00AA19A8" w:rsidRDefault="00F617BE" w:rsidP="00FF4083">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21.990</w:t>
            </w:r>
          </w:p>
        </w:tc>
        <w:tc>
          <w:tcPr>
            <w:tcW w:w="3396" w:type="dxa"/>
            <w:gridSpan w:val="26"/>
            <w:shd w:val="clear" w:color="auto" w:fill="ECECEC"/>
            <w:vAlign w:val="center"/>
          </w:tcPr>
          <w:p w14:paraId="25FE37B9" w14:textId="77777777" w:rsidR="00F617BE" w:rsidRPr="00AA19A8" w:rsidRDefault="00F617BE" w:rsidP="00FF4083">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2028:21.990</w:t>
            </w:r>
          </w:p>
        </w:tc>
      </w:tr>
      <w:tr w:rsidR="00D30238" w:rsidRPr="00AA19A8" w14:paraId="200001CE" w14:textId="77777777" w:rsidTr="00BA7E6D">
        <w:trPr>
          <w:cantSplit/>
          <w:trHeight w:val="804"/>
        </w:trPr>
        <w:tc>
          <w:tcPr>
            <w:tcW w:w="15876" w:type="dxa"/>
            <w:gridSpan w:val="75"/>
            <w:shd w:val="clear" w:color="auto" w:fill="ECECEC"/>
            <w:vAlign w:val="center"/>
          </w:tcPr>
          <w:p w14:paraId="08682FD7" w14:textId="77777777" w:rsidR="00F617BE" w:rsidRPr="00AA19A8" w:rsidRDefault="00F617BE" w:rsidP="00F617BE">
            <w:pPr>
              <w:rPr>
                <w:rFonts w:ascii="Times New Roman" w:hAnsi="Times New Roman" w:cs="Times New Roman"/>
                <w:b/>
                <w:bCs/>
                <w:i/>
                <w:iCs/>
                <w:sz w:val="20"/>
                <w:szCs w:val="20"/>
                <w:lang w:val="sr-Cyrl-CS"/>
              </w:rPr>
            </w:pPr>
            <w:bookmarkStart w:id="56" w:name="_Toc73613710"/>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Државна ревизорска институција</w:t>
            </w:r>
            <w:bookmarkEnd w:id="56"/>
          </w:p>
        </w:tc>
      </w:tr>
      <w:tr w:rsidR="00D30238" w:rsidRPr="00AA19A8" w14:paraId="53B2153A" w14:textId="77777777" w:rsidTr="00BA7E6D">
        <w:trPr>
          <w:cantSplit/>
          <w:trHeight w:val="804"/>
        </w:trPr>
        <w:tc>
          <w:tcPr>
            <w:tcW w:w="8335" w:type="dxa"/>
            <w:gridSpan w:val="22"/>
            <w:shd w:val="clear" w:color="auto" w:fill="ECECEC"/>
            <w:vAlign w:val="center"/>
          </w:tcPr>
          <w:p w14:paraId="3B52063E" w14:textId="6C5637C5"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Период спровођења: 2026-2030</w:t>
            </w:r>
            <w:r w:rsidR="00713D3C" w:rsidRPr="00AA19A8">
              <w:rPr>
                <w:rFonts w:ascii="Times New Roman" w:hAnsi="Times New Roman" w:cs="Times New Roman"/>
                <w:b/>
                <w:bCs/>
                <w:i/>
                <w:iCs/>
                <w:sz w:val="20"/>
                <w:szCs w:val="20"/>
                <w:lang w:val="sr-Cyrl-CS"/>
              </w:rPr>
              <w:t>.</w:t>
            </w:r>
          </w:p>
        </w:tc>
        <w:tc>
          <w:tcPr>
            <w:tcW w:w="7541" w:type="dxa"/>
            <w:gridSpan w:val="53"/>
            <w:shd w:val="clear" w:color="auto" w:fill="ECECEC"/>
            <w:vAlign w:val="center"/>
          </w:tcPr>
          <w:p w14:paraId="54C63A29"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Тип мере: Институционално управљачко организациона</w:t>
            </w:r>
          </w:p>
        </w:tc>
      </w:tr>
      <w:tr w:rsidR="00D30238" w:rsidRPr="00AA19A8" w14:paraId="0547253E" w14:textId="77777777" w:rsidTr="00BA7E6D">
        <w:trPr>
          <w:cantSplit/>
          <w:trHeight w:val="1253"/>
        </w:trPr>
        <w:tc>
          <w:tcPr>
            <w:tcW w:w="2525" w:type="dxa"/>
            <w:gridSpan w:val="4"/>
            <w:shd w:val="clear" w:color="auto" w:fill="ECECEC"/>
            <w:vAlign w:val="center"/>
          </w:tcPr>
          <w:p w14:paraId="71E54635"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Показатељ(и)  на нивоу мере (показатељ резултата)</w:t>
            </w:r>
          </w:p>
        </w:tc>
        <w:tc>
          <w:tcPr>
            <w:tcW w:w="3165" w:type="dxa"/>
            <w:gridSpan w:val="12"/>
            <w:shd w:val="clear" w:color="auto" w:fill="ECECEC"/>
            <w:vAlign w:val="center"/>
          </w:tcPr>
          <w:p w14:paraId="03C34DED"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5" w:type="dxa"/>
            <w:gridSpan w:val="6"/>
            <w:shd w:val="clear" w:color="auto" w:fill="ECECEC"/>
            <w:vAlign w:val="center"/>
          </w:tcPr>
          <w:p w14:paraId="76913B83"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8" w:type="dxa"/>
            <w:gridSpan w:val="15"/>
            <w:shd w:val="clear" w:color="auto" w:fill="ECECEC"/>
            <w:vAlign w:val="center"/>
          </w:tcPr>
          <w:p w14:paraId="3CA4F631"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50" w:type="dxa"/>
            <w:gridSpan w:val="17"/>
            <w:shd w:val="clear" w:color="auto" w:fill="ECECEC"/>
            <w:vAlign w:val="center"/>
          </w:tcPr>
          <w:p w14:paraId="1F859B55"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63A4C413"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4302EF95"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62AE096F"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85" w:type="dxa"/>
            <w:gridSpan w:val="3"/>
            <w:shd w:val="clear" w:color="auto" w:fill="ECECEC"/>
            <w:vAlign w:val="center"/>
          </w:tcPr>
          <w:p w14:paraId="49ACCD27"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7D8DB0D7" w14:textId="77777777" w:rsidTr="00BA7E6D">
        <w:trPr>
          <w:cantSplit/>
          <w:trHeight w:val="1253"/>
        </w:trPr>
        <w:tc>
          <w:tcPr>
            <w:tcW w:w="2525" w:type="dxa"/>
            <w:gridSpan w:val="4"/>
            <w:vAlign w:val="center"/>
          </w:tcPr>
          <w:p w14:paraId="156C675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 xml:space="preserve">Проценат реализованих препорука ДРИ у року од две године од објављивања   извештаја </w:t>
            </w:r>
          </w:p>
        </w:tc>
        <w:tc>
          <w:tcPr>
            <w:tcW w:w="3165" w:type="dxa"/>
            <w:gridSpan w:val="12"/>
            <w:vAlign w:val="center"/>
          </w:tcPr>
          <w:p w14:paraId="7AC5F1DC"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45" w:type="dxa"/>
            <w:gridSpan w:val="6"/>
            <w:vAlign w:val="center"/>
          </w:tcPr>
          <w:p w14:paraId="16DC8307"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Интерни извештаји о праћењу спровођења препорука ДРИ</w:t>
            </w:r>
          </w:p>
        </w:tc>
        <w:tc>
          <w:tcPr>
            <w:tcW w:w="2148" w:type="dxa"/>
            <w:gridSpan w:val="15"/>
            <w:vAlign w:val="center"/>
          </w:tcPr>
          <w:p w14:paraId="249B71FF"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78%</w:t>
            </w:r>
          </w:p>
        </w:tc>
        <w:tc>
          <w:tcPr>
            <w:tcW w:w="2150" w:type="dxa"/>
            <w:gridSpan w:val="17"/>
            <w:vAlign w:val="center"/>
          </w:tcPr>
          <w:p w14:paraId="7A70FDED"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2024</w:t>
            </w:r>
          </w:p>
        </w:tc>
        <w:tc>
          <w:tcPr>
            <w:tcW w:w="1078" w:type="dxa"/>
            <w:gridSpan w:val="10"/>
            <w:vAlign w:val="center"/>
          </w:tcPr>
          <w:p w14:paraId="5BCA7970"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80%</w:t>
            </w:r>
          </w:p>
        </w:tc>
        <w:tc>
          <w:tcPr>
            <w:tcW w:w="1080" w:type="dxa"/>
            <w:gridSpan w:val="8"/>
            <w:vAlign w:val="center"/>
          </w:tcPr>
          <w:p w14:paraId="01A19FC6"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81%</w:t>
            </w:r>
          </w:p>
        </w:tc>
        <w:tc>
          <w:tcPr>
            <w:tcW w:w="1085" w:type="dxa"/>
            <w:gridSpan w:val="3"/>
            <w:vAlign w:val="center"/>
          </w:tcPr>
          <w:p w14:paraId="307B197E"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82%</w:t>
            </w:r>
          </w:p>
        </w:tc>
      </w:tr>
      <w:tr w:rsidR="00D30238" w:rsidRPr="00AA19A8" w14:paraId="38003FE9" w14:textId="77777777" w:rsidTr="00BA7E6D">
        <w:trPr>
          <w:cantSplit/>
          <w:trHeight w:val="624"/>
        </w:trPr>
        <w:tc>
          <w:tcPr>
            <w:tcW w:w="2525" w:type="dxa"/>
            <w:gridSpan w:val="4"/>
            <w:vMerge w:val="restart"/>
            <w:shd w:val="clear" w:color="auto" w:fill="ECECEC"/>
            <w:vAlign w:val="center"/>
          </w:tcPr>
          <w:p w14:paraId="3FC62B0B"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82" w:type="dxa"/>
            <w:gridSpan w:val="6"/>
            <w:vMerge w:val="restart"/>
            <w:shd w:val="clear" w:color="auto" w:fill="ECECEC"/>
            <w:vAlign w:val="center"/>
          </w:tcPr>
          <w:p w14:paraId="306E1BB0"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3" w:type="dxa"/>
            <w:gridSpan w:val="6"/>
            <w:vMerge w:val="restart"/>
            <w:shd w:val="clear" w:color="auto" w:fill="ECECEC"/>
            <w:vAlign w:val="center"/>
          </w:tcPr>
          <w:p w14:paraId="0B290ED9"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5" w:type="dxa"/>
            <w:gridSpan w:val="6"/>
            <w:vMerge w:val="restart"/>
            <w:shd w:val="clear" w:color="auto" w:fill="ECECEC"/>
            <w:vAlign w:val="center"/>
          </w:tcPr>
          <w:p w14:paraId="412B617D"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41" w:type="dxa"/>
            <w:gridSpan w:val="53"/>
            <w:shd w:val="clear" w:color="auto" w:fill="ECECEC"/>
            <w:vAlign w:val="center"/>
          </w:tcPr>
          <w:p w14:paraId="3847DD44"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4EBDEC88" w14:textId="77777777" w:rsidTr="00BA7E6D">
        <w:trPr>
          <w:cantSplit/>
          <w:trHeight w:val="1134"/>
        </w:trPr>
        <w:tc>
          <w:tcPr>
            <w:tcW w:w="2525" w:type="dxa"/>
            <w:gridSpan w:val="4"/>
            <w:vMerge/>
            <w:shd w:val="clear" w:color="auto" w:fill="ECECEC"/>
            <w:vAlign w:val="center"/>
          </w:tcPr>
          <w:p w14:paraId="7CA0AF0C" w14:textId="77777777" w:rsidR="00F617BE" w:rsidRPr="00AA19A8" w:rsidRDefault="00F617BE" w:rsidP="00F617BE">
            <w:pPr>
              <w:rPr>
                <w:rFonts w:ascii="Times New Roman" w:hAnsi="Times New Roman" w:cs="Times New Roman"/>
                <w:b/>
                <w:bCs/>
                <w:sz w:val="20"/>
                <w:szCs w:val="20"/>
                <w:lang w:val="sr-Cyrl-CS"/>
              </w:rPr>
            </w:pPr>
          </w:p>
        </w:tc>
        <w:tc>
          <w:tcPr>
            <w:tcW w:w="1582" w:type="dxa"/>
            <w:gridSpan w:val="6"/>
            <w:vMerge/>
            <w:shd w:val="clear" w:color="auto" w:fill="ECECEC"/>
            <w:vAlign w:val="center"/>
          </w:tcPr>
          <w:p w14:paraId="3B6864A8" w14:textId="77777777" w:rsidR="00F617BE" w:rsidRPr="00AA19A8" w:rsidRDefault="00F617BE" w:rsidP="00FF4083">
            <w:pPr>
              <w:jc w:val="center"/>
              <w:rPr>
                <w:rFonts w:ascii="Times New Roman" w:hAnsi="Times New Roman" w:cs="Times New Roman"/>
                <w:b/>
                <w:bCs/>
                <w:sz w:val="20"/>
                <w:szCs w:val="20"/>
                <w:lang w:val="sr-Cyrl-CS"/>
              </w:rPr>
            </w:pPr>
          </w:p>
        </w:tc>
        <w:tc>
          <w:tcPr>
            <w:tcW w:w="1583" w:type="dxa"/>
            <w:gridSpan w:val="6"/>
            <w:vMerge/>
            <w:shd w:val="clear" w:color="auto" w:fill="ECECEC"/>
            <w:vAlign w:val="center"/>
          </w:tcPr>
          <w:p w14:paraId="2EEA6044" w14:textId="77777777" w:rsidR="00F617BE" w:rsidRPr="00AA19A8" w:rsidRDefault="00F617BE" w:rsidP="00FF4083">
            <w:pPr>
              <w:jc w:val="center"/>
              <w:rPr>
                <w:rFonts w:ascii="Times New Roman" w:hAnsi="Times New Roman" w:cs="Times New Roman"/>
                <w:b/>
                <w:bCs/>
                <w:sz w:val="20"/>
                <w:szCs w:val="20"/>
                <w:lang w:val="sr-Cyrl-CS"/>
              </w:rPr>
            </w:pPr>
          </w:p>
        </w:tc>
        <w:tc>
          <w:tcPr>
            <w:tcW w:w="2645" w:type="dxa"/>
            <w:gridSpan w:val="6"/>
            <w:vMerge/>
            <w:shd w:val="clear" w:color="auto" w:fill="ECECEC"/>
            <w:vAlign w:val="center"/>
          </w:tcPr>
          <w:p w14:paraId="707BE55F" w14:textId="77777777" w:rsidR="00F617BE" w:rsidRPr="00AA19A8" w:rsidRDefault="00F617BE" w:rsidP="00FF4083">
            <w:pPr>
              <w:jc w:val="center"/>
              <w:rPr>
                <w:rFonts w:ascii="Times New Roman" w:hAnsi="Times New Roman" w:cs="Times New Roman"/>
                <w:b/>
                <w:bCs/>
                <w:sz w:val="20"/>
                <w:szCs w:val="20"/>
                <w:lang w:val="sr-Cyrl-CS"/>
              </w:rPr>
            </w:pPr>
          </w:p>
        </w:tc>
        <w:tc>
          <w:tcPr>
            <w:tcW w:w="2154" w:type="dxa"/>
            <w:gridSpan w:val="16"/>
            <w:shd w:val="clear" w:color="auto" w:fill="ECECEC"/>
            <w:vAlign w:val="center"/>
          </w:tcPr>
          <w:p w14:paraId="5C1B5117"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55" w:type="dxa"/>
            <w:gridSpan w:val="17"/>
            <w:shd w:val="clear" w:color="auto" w:fill="ECECEC"/>
            <w:vAlign w:val="center"/>
          </w:tcPr>
          <w:p w14:paraId="1F02C8A2"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7" w:type="dxa"/>
            <w:gridSpan w:val="10"/>
            <w:shd w:val="clear" w:color="auto" w:fill="ECECEC"/>
            <w:vAlign w:val="center"/>
          </w:tcPr>
          <w:p w14:paraId="48D7AA32"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7" w:type="dxa"/>
            <w:gridSpan w:val="8"/>
            <w:shd w:val="clear" w:color="auto" w:fill="ECECEC"/>
            <w:vAlign w:val="center"/>
          </w:tcPr>
          <w:p w14:paraId="14A9149C"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78" w:type="dxa"/>
            <w:gridSpan w:val="2"/>
            <w:shd w:val="clear" w:color="auto" w:fill="ECECEC"/>
            <w:vAlign w:val="center"/>
          </w:tcPr>
          <w:p w14:paraId="35887359" w14:textId="77777777" w:rsidR="00F617BE" w:rsidRPr="00AA19A8" w:rsidRDefault="00F617BE" w:rsidP="00FF408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32B9B72E" w14:textId="77777777" w:rsidTr="00BA7E6D">
        <w:trPr>
          <w:cantSplit/>
          <w:trHeight w:val="2268"/>
        </w:trPr>
        <w:tc>
          <w:tcPr>
            <w:tcW w:w="2525" w:type="dxa"/>
            <w:gridSpan w:val="4"/>
            <w:vAlign w:val="center"/>
          </w:tcPr>
          <w:p w14:paraId="6727F705"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6.1.1 Израда и усвајање смерница за ревизију сврсисходности и правилности, уз спровођење редовних обука за ревизоре у области ревизија сврсисходности</w:t>
            </w:r>
          </w:p>
        </w:tc>
        <w:tc>
          <w:tcPr>
            <w:tcW w:w="1582" w:type="dxa"/>
            <w:gridSpan w:val="6"/>
            <w:vAlign w:val="center"/>
          </w:tcPr>
          <w:p w14:paraId="033C5DF3"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2026</w:t>
            </w:r>
          </w:p>
        </w:tc>
        <w:tc>
          <w:tcPr>
            <w:tcW w:w="1583" w:type="dxa"/>
            <w:gridSpan w:val="6"/>
            <w:vAlign w:val="center"/>
          </w:tcPr>
          <w:p w14:paraId="3DECF2AB"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w:t>
            </w:r>
          </w:p>
        </w:tc>
        <w:tc>
          <w:tcPr>
            <w:tcW w:w="2645" w:type="dxa"/>
            <w:gridSpan w:val="6"/>
            <w:vAlign w:val="center"/>
          </w:tcPr>
          <w:p w14:paraId="46265739"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 – Сектор за методологију ревизије и развој; Сектори за ревизију</w:t>
            </w:r>
          </w:p>
        </w:tc>
        <w:tc>
          <w:tcPr>
            <w:tcW w:w="2154" w:type="dxa"/>
            <w:gridSpan w:val="16"/>
            <w:vAlign w:val="center"/>
          </w:tcPr>
          <w:p w14:paraId="47ED1307"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55" w:type="dxa"/>
            <w:gridSpan w:val="17"/>
            <w:vAlign w:val="center"/>
          </w:tcPr>
          <w:p w14:paraId="6CFFCDE7"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2304-0001</w:t>
            </w:r>
          </w:p>
        </w:tc>
        <w:tc>
          <w:tcPr>
            <w:tcW w:w="1077" w:type="dxa"/>
            <w:gridSpan w:val="10"/>
            <w:vAlign w:val="center"/>
          </w:tcPr>
          <w:p w14:paraId="2C8B195F"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6F590E20"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8" w:type="dxa"/>
            <w:gridSpan w:val="2"/>
            <w:vAlign w:val="center"/>
          </w:tcPr>
          <w:p w14:paraId="467FDFCE"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2A0BE255" w14:textId="77777777" w:rsidTr="00BA7E6D">
        <w:trPr>
          <w:cantSplit/>
          <w:trHeight w:val="1701"/>
        </w:trPr>
        <w:tc>
          <w:tcPr>
            <w:tcW w:w="2525" w:type="dxa"/>
            <w:gridSpan w:val="4"/>
            <w:vAlign w:val="center"/>
          </w:tcPr>
          <w:p w14:paraId="19B5354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6.1.2 Развој методологије за избор и вршење ревизија праћења спровођења препорука (follow-up audits)</w:t>
            </w:r>
          </w:p>
        </w:tc>
        <w:tc>
          <w:tcPr>
            <w:tcW w:w="1582" w:type="dxa"/>
            <w:gridSpan w:val="6"/>
            <w:vAlign w:val="center"/>
          </w:tcPr>
          <w:p w14:paraId="57C9CF44"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2027</w:t>
            </w:r>
          </w:p>
        </w:tc>
        <w:tc>
          <w:tcPr>
            <w:tcW w:w="1583" w:type="dxa"/>
            <w:gridSpan w:val="6"/>
            <w:vAlign w:val="center"/>
          </w:tcPr>
          <w:p w14:paraId="742141CF"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w:t>
            </w:r>
          </w:p>
        </w:tc>
        <w:tc>
          <w:tcPr>
            <w:tcW w:w="2645" w:type="dxa"/>
            <w:gridSpan w:val="6"/>
            <w:vAlign w:val="center"/>
          </w:tcPr>
          <w:p w14:paraId="3AE6A7CC"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 - Ревизорске службе</w:t>
            </w:r>
          </w:p>
        </w:tc>
        <w:tc>
          <w:tcPr>
            <w:tcW w:w="2154" w:type="dxa"/>
            <w:gridSpan w:val="16"/>
            <w:vAlign w:val="center"/>
          </w:tcPr>
          <w:p w14:paraId="3DC011DB"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55" w:type="dxa"/>
            <w:gridSpan w:val="17"/>
            <w:vAlign w:val="center"/>
          </w:tcPr>
          <w:p w14:paraId="0C79C2BF"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2304-0001</w:t>
            </w:r>
          </w:p>
        </w:tc>
        <w:tc>
          <w:tcPr>
            <w:tcW w:w="1077" w:type="dxa"/>
            <w:gridSpan w:val="10"/>
            <w:vAlign w:val="center"/>
          </w:tcPr>
          <w:p w14:paraId="3630D81A"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0ADF3890"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8" w:type="dxa"/>
            <w:gridSpan w:val="2"/>
            <w:vAlign w:val="center"/>
          </w:tcPr>
          <w:p w14:paraId="30899AFE"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4952EBA8" w14:textId="77777777" w:rsidTr="00BA7E6D">
        <w:trPr>
          <w:cantSplit/>
          <w:trHeight w:val="1134"/>
        </w:trPr>
        <w:tc>
          <w:tcPr>
            <w:tcW w:w="2525" w:type="dxa"/>
            <w:gridSpan w:val="4"/>
            <w:vAlign w:val="center"/>
          </w:tcPr>
          <w:p w14:paraId="24F6AB7A"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6.1.3 Израда интерне базе добрих пракси и типичних налаза</w:t>
            </w:r>
          </w:p>
        </w:tc>
        <w:tc>
          <w:tcPr>
            <w:tcW w:w="1582" w:type="dxa"/>
            <w:gridSpan w:val="6"/>
            <w:vAlign w:val="center"/>
          </w:tcPr>
          <w:p w14:paraId="261D1D92"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Q2 2027</w:t>
            </w:r>
          </w:p>
        </w:tc>
        <w:tc>
          <w:tcPr>
            <w:tcW w:w="1583" w:type="dxa"/>
            <w:gridSpan w:val="6"/>
            <w:vAlign w:val="center"/>
          </w:tcPr>
          <w:p w14:paraId="460430FF"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w:t>
            </w:r>
          </w:p>
        </w:tc>
        <w:tc>
          <w:tcPr>
            <w:tcW w:w="2645" w:type="dxa"/>
            <w:gridSpan w:val="6"/>
            <w:vAlign w:val="center"/>
          </w:tcPr>
          <w:p w14:paraId="29D88100" w14:textId="70113351"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 - Сектор за методологију ревизије и развој;</w:t>
            </w:r>
          </w:p>
          <w:p w14:paraId="71D9B916"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Служба за ИКТ</w:t>
            </w:r>
          </w:p>
        </w:tc>
        <w:tc>
          <w:tcPr>
            <w:tcW w:w="2154" w:type="dxa"/>
            <w:gridSpan w:val="16"/>
            <w:vAlign w:val="center"/>
          </w:tcPr>
          <w:p w14:paraId="489E63E6"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55" w:type="dxa"/>
            <w:gridSpan w:val="17"/>
            <w:vAlign w:val="center"/>
          </w:tcPr>
          <w:p w14:paraId="7F6B3F66"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2304-0001</w:t>
            </w:r>
          </w:p>
        </w:tc>
        <w:tc>
          <w:tcPr>
            <w:tcW w:w="1077" w:type="dxa"/>
            <w:gridSpan w:val="10"/>
            <w:vAlign w:val="center"/>
          </w:tcPr>
          <w:p w14:paraId="506C2BE2"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7" w:type="dxa"/>
            <w:gridSpan w:val="8"/>
            <w:vAlign w:val="center"/>
          </w:tcPr>
          <w:p w14:paraId="60DC5271"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78" w:type="dxa"/>
            <w:gridSpan w:val="2"/>
            <w:vAlign w:val="center"/>
          </w:tcPr>
          <w:p w14:paraId="7F53B4FB"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D7E8DE2" w14:textId="77777777" w:rsidTr="00BA7E6D">
        <w:trPr>
          <w:cantSplit/>
          <w:trHeight w:val="3407"/>
        </w:trPr>
        <w:tc>
          <w:tcPr>
            <w:tcW w:w="2525" w:type="dxa"/>
            <w:gridSpan w:val="4"/>
            <w:vAlign w:val="center"/>
          </w:tcPr>
          <w:p w14:paraId="0D276A3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6.1.4 Интегрисање савремених технологија у ревизију кроз развој и имплементацију аутоматизованих ревизорских тестова, пилотирање вештачке интелигенције у ревизији и увођење дигиталних платформи за колаборацију и размену података у ревизорским тимовима</w:t>
            </w:r>
          </w:p>
        </w:tc>
        <w:tc>
          <w:tcPr>
            <w:tcW w:w="1582" w:type="dxa"/>
            <w:gridSpan w:val="6"/>
            <w:vAlign w:val="center"/>
          </w:tcPr>
          <w:p w14:paraId="3C22A62F" w14:textId="5EEA92A6"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184E29A0"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w:t>
            </w:r>
          </w:p>
        </w:tc>
        <w:tc>
          <w:tcPr>
            <w:tcW w:w="2645" w:type="dxa"/>
            <w:gridSpan w:val="6"/>
            <w:vAlign w:val="center"/>
          </w:tcPr>
          <w:p w14:paraId="099F9CB8"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ДРИ – Служба за ИКТ; екстерни добављачи; ИДИ</w:t>
            </w:r>
            <w:r w:rsidRPr="00AA19A8">
              <w:rPr>
                <w:rFonts w:ascii="Times New Roman" w:hAnsi="Times New Roman" w:cs="Times New Roman"/>
                <w:sz w:val="20"/>
                <w:szCs w:val="20"/>
                <w:lang w:val="sr-Cyrl-CS"/>
              </w:rPr>
              <w:footnoteReference w:id="3"/>
            </w:r>
            <w:r w:rsidRPr="00AA19A8">
              <w:rPr>
                <w:rFonts w:ascii="Times New Roman" w:hAnsi="Times New Roman" w:cs="Times New Roman"/>
                <w:sz w:val="20"/>
                <w:szCs w:val="20"/>
                <w:lang w:val="sr-Cyrl-CS"/>
              </w:rPr>
              <w:t>/ЕУРОСАИ</w:t>
            </w:r>
            <w:r w:rsidRPr="00AA19A8">
              <w:rPr>
                <w:rFonts w:ascii="Times New Roman" w:hAnsi="Times New Roman" w:cs="Times New Roman"/>
                <w:sz w:val="20"/>
                <w:szCs w:val="20"/>
                <w:lang w:val="sr-Cyrl-CS"/>
              </w:rPr>
              <w:footnoteReference w:id="4"/>
            </w:r>
          </w:p>
        </w:tc>
        <w:tc>
          <w:tcPr>
            <w:tcW w:w="2154" w:type="dxa"/>
            <w:gridSpan w:val="16"/>
            <w:vAlign w:val="center"/>
          </w:tcPr>
          <w:p w14:paraId="1B97B025" w14:textId="77777777" w:rsidR="00D43D50"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Буџет РС/редовна издвајања </w:t>
            </w:r>
          </w:p>
          <w:p w14:paraId="4B4BFE28" w14:textId="5AAC35C5"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55" w:type="dxa"/>
            <w:gridSpan w:val="17"/>
            <w:vAlign w:val="center"/>
          </w:tcPr>
          <w:p w14:paraId="3D623107"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2304-0001</w:t>
            </w:r>
          </w:p>
        </w:tc>
        <w:tc>
          <w:tcPr>
            <w:tcW w:w="1077" w:type="dxa"/>
            <w:gridSpan w:val="10"/>
            <w:vAlign w:val="center"/>
          </w:tcPr>
          <w:p w14:paraId="7AFFB3FA" w14:textId="6808DD9E"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21.990</w:t>
            </w:r>
          </w:p>
        </w:tc>
        <w:tc>
          <w:tcPr>
            <w:tcW w:w="1077" w:type="dxa"/>
            <w:gridSpan w:val="8"/>
            <w:vAlign w:val="center"/>
          </w:tcPr>
          <w:p w14:paraId="3EA8873D"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21.990</w:t>
            </w:r>
          </w:p>
        </w:tc>
        <w:tc>
          <w:tcPr>
            <w:tcW w:w="1078" w:type="dxa"/>
            <w:gridSpan w:val="2"/>
            <w:vAlign w:val="center"/>
          </w:tcPr>
          <w:p w14:paraId="62590E18" w14:textId="77777777" w:rsidR="00F617BE" w:rsidRPr="00AA19A8" w:rsidRDefault="00F617BE" w:rsidP="00FF408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21.990</w:t>
            </w:r>
          </w:p>
        </w:tc>
      </w:tr>
      <w:tr w:rsidR="00D30238" w:rsidRPr="00AA19A8" w14:paraId="1C37B664" w14:textId="77777777" w:rsidTr="00BA7E6D">
        <w:trPr>
          <w:cantSplit/>
          <w:trHeight w:val="804"/>
        </w:trPr>
        <w:tc>
          <w:tcPr>
            <w:tcW w:w="15876" w:type="dxa"/>
            <w:gridSpan w:val="75"/>
            <w:shd w:val="clear" w:color="auto" w:fill="ECECEC"/>
            <w:vAlign w:val="center"/>
          </w:tcPr>
          <w:p w14:paraId="4B15BE70" w14:textId="77777777" w:rsidR="00F617BE" w:rsidRPr="00AA19A8" w:rsidRDefault="00F617BE" w:rsidP="00F617BE">
            <w:pPr>
              <w:rPr>
                <w:rFonts w:ascii="Times New Roman" w:hAnsi="Times New Roman" w:cs="Times New Roman"/>
                <w:b/>
                <w:bCs/>
                <w:i/>
                <w:iCs/>
                <w:sz w:val="20"/>
                <w:szCs w:val="20"/>
                <w:lang w:val="sr-Cyrl-CS"/>
              </w:rPr>
            </w:pPr>
            <w:bookmarkStart w:id="57" w:name="_Toc73613711"/>
            <w:r w:rsidRPr="00AA19A8">
              <w:rPr>
                <w:rFonts w:ascii="Times New Roman" w:hAnsi="Times New Roman" w:cs="Times New Roman"/>
                <w:b/>
                <w:bCs/>
                <w:i/>
                <w:iCs/>
                <w:sz w:val="20"/>
                <w:szCs w:val="20"/>
                <w:lang w:val="sr-Cyrl-CS"/>
              </w:rPr>
              <w:t>Мера 6.2: Обезбеђивање ефикасног скупштинског надзора над јавним финансијама</w:t>
            </w:r>
            <w:bookmarkEnd w:id="57"/>
          </w:p>
        </w:tc>
      </w:tr>
      <w:tr w:rsidR="00D30238" w:rsidRPr="00AA19A8" w14:paraId="552ED92D" w14:textId="77777777" w:rsidTr="00BA7E6D">
        <w:trPr>
          <w:cantSplit/>
          <w:trHeight w:val="804"/>
        </w:trPr>
        <w:tc>
          <w:tcPr>
            <w:tcW w:w="2525" w:type="dxa"/>
            <w:gridSpan w:val="4"/>
            <w:shd w:val="clear" w:color="auto" w:fill="ECECEC"/>
            <w:vAlign w:val="center"/>
          </w:tcPr>
          <w:p w14:paraId="205CDCCB"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Извор финансирања мере</w:t>
            </w:r>
          </w:p>
        </w:tc>
        <w:tc>
          <w:tcPr>
            <w:tcW w:w="3165" w:type="dxa"/>
            <w:gridSpan w:val="12"/>
            <w:shd w:val="clear" w:color="auto" w:fill="ECECEC"/>
            <w:vAlign w:val="center"/>
          </w:tcPr>
          <w:p w14:paraId="258F0FA5" w14:textId="77777777" w:rsidR="00F617BE" w:rsidRPr="00AA19A8" w:rsidRDefault="00F617BE" w:rsidP="00016DF0">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Веза са програмским буџетом</w:t>
            </w:r>
          </w:p>
        </w:tc>
        <w:tc>
          <w:tcPr>
            <w:tcW w:w="10186" w:type="dxa"/>
            <w:gridSpan w:val="59"/>
            <w:shd w:val="clear" w:color="auto" w:fill="ECECEC"/>
            <w:vAlign w:val="center"/>
          </w:tcPr>
          <w:p w14:paraId="7C57F3BF" w14:textId="77777777" w:rsidR="00F617BE" w:rsidRPr="00AA19A8" w:rsidRDefault="00F617BE" w:rsidP="00016DF0">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Укупна процењена финансијска средства у 000</w:t>
            </w:r>
          </w:p>
        </w:tc>
      </w:tr>
      <w:tr w:rsidR="00D30238" w:rsidRPr="00AA19A8" w14:paraId="355E2079" w14:textId="77777777" w:rsidTr="00BA7E6D">
        <w:trPr>
          <w:cantSplit/>
          <w:trHeight w:val="804"/>
        </w:trPr>
        <w:tc>
          <w:tcPr>
            <w:tcW w:w="2525" w:type="dxa"/>
            <w:gridSpan w:val="4"/>
            <w:shd w:val="clear" w:color="auto" w:fill="ECECEC"/>
            <w:vAlign w:val="center"/>
          </w:tcPr>
          <w:p w14:paraId="014E77AE" w14:textId="77777777" w:rsidR="00F617BE" w:rsidRPr="00AA19A8" w:rsidRDefault="00F617BE" w:rsidP="00F617BE">
            <w:pP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Буџет РС и донаторска средства</w:t>
            </w:r>
          </w:p>
        </w:tc>
        <w:tc>
          <w:tcPr>
            <w:tcW w:w="3165" w:type="dxa"/>
            <w:gridSpan w:val="12"/>
            <w:shd w:val="clear" w:color="auto" w:fill="ECECEC"/>
            <w:vAlign w:val="center"/>
          </w:tcPr>
          <w:p w14:paraId="3A520A01" w14:textId="77777777" w:rsidR="00F617BE" w:rsidRPr="00AA19A8" w:rsidRDefault="00F617BE" w:rsidP="00016DF0">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2101-0001</w:t>
            </w:r>
          </w:p>
          <w:p w14:paraId="7856A041" w14:textId="77777777" w:rsidR="00F617BE" w:rsidRPr="00AA19A8" w:rsidRDefault="00F617BE" w:rsidP="00016DF0">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2101-0003</w:t>
            </w:r>
          </w:p>
        </w:tc>
        <w:tc>
          <w:tcPr>
            <w:tcW w:w="3395" w:type="dxa"/>
            <w:gridSpan w:val="12"/>
            <w:shd w:val="clear" w:color="auto" w:fill="ECECEC"/>
            <w:vAlign w:val="center"/>
          </w:tcPr>
          <w:p w14:paraId="2E4EC564" w14:textId="77777777" w:rsidR="00F617BE" w:rsidRPr="00AA19A8" w:rsidRDefault="00F617BE" w:rsidP="00016DF0">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2026: 2.000</w:t>
            </w:r>
          </w:p>
        </w:tc>
        <w:tc>
          <w:tcPr>
            <w:tcW w:w="3395" w:type="dxa"/>
            <w:gridSpan w:val="21"/>
            <w:shd w:val="clear" w:color="auto" w:fill="ECECEC"/>
            <w:vAlign w:val="center"/>
          </w:tcPr>
          <w:p w14:paraId="1EF756D6" w14:textId="77777777" w:rsidR="00F617BE" w:rsidRPr="00AA19A8" w:rsidRDefault="00F617BE" w:rsidP="00016DF0">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2027: 2.000</w:t>
            </w:r>
          </w:p>
        </w:tc>
        <w:tc>
          <w:tcPr>
            <w:tcW w:w="3396" w:type="dxa"/>
            <w:gridSpan w:val="26"/>
            <w:shd w:val="clear" w:color="auto" w:fill="ECECEC"/>
            <w:vAlign w:val="center"/>
          </w:tcPr>
          <w:p w14:paraId="11CB0A7D" w14:textId="77777777" w:rsidR="00F617BE" w:rsidRPr="00AA19A8" w:rsidRDefault="00F617BE" w:rsidP="00016DF0">
            <w:pPr>
              <w:jc w:val="center"/>
              <w:rPr>
                <w:rFonts w:ascii="Times New Roman" w:hAnsi="Times New Roman" w:cs="Times New Roman"/>
                <w:b/>
                <w:bCs/>
                <w:i/>
                <w:iCs/>
                <w:sz w:val="20"/>
                <w:szCs w:val="20"/>
                <w:lang w:val="sr-Cyrl-CS"/>
              </w:rPr>
            </w:pPr>
            <w:r w:rsidRPr="00AA19A8">
              <w:rPr>
                <w:rFonts w:ascii="Times New Roman" w:hAnsi="Times New Roman" w:cs="Times New Roman"/>
                <w:b/>
                <w:bCs/>
                <w:i/>
                <w:iCs/>
                <w:sz w:val="20"/>
                <w:szCs w:val="20"/>
                <w:lang w:val="sr-Cyrl-CS"/>
              </w:rPr>
              <w:t>2028: 2.000</w:t>
            </w:r>
          </w:p>
        </w:tc>
      </w:tr>
      <w:tr w:rsidR="00D30238" w:rsidRPr="00AA19A8" w14:paraId="50BA6F5D" w14:textId="77777777" w:rsidTr="00BA7E6D">
        <w:trPr>
          <w:cantSplit/>
          <w:trHeight w:val="804"/>
        </w:trPr>
        <w:tc>
          <w:tcPr>
            <w:tcW w:w="15876" w:type="dxa"/>
            <w:gridSpan w:val="75"/>
            <w:shd w:val="clear" w:color="auto" w:fill="ECECEC"/>
            <w:vAlign w:val="center"/>
          </w:tcPr>
          <w:p w14:paraId="77108B3C" w14:textId="77777777" w:rsidR="00F617BE" w:rsidRPr="00AA19A8" w:rsidRDefault="00F617BE" w:rsidP="00F617BE">
            <w:pPr>
              <w:rPr>
                <w:rFonts w:ascii="Times New Roman" w:hAnsi="Times New Roman" w:cs="Times New Roman"/>
                <w:b/>
                <w:bCs/>
                <w:i/>
                <w:iCs/>
                <w:sz w:val="20"/>
                <w:szCs w:val="20"/>
                <w:lang w:val="sr-Cyrl-CS"/>
              </w:rPr>
            </w:pPr>
            <w:bookmarkStart w:id="58" w:name="_Toc73613712"/>
            <w:r w:rsidRPr="00AA19A8">
              <w:rPr>
                <w:rFonts w:ascii="Times New Roman" w:hAnsi="Times New Roman" w:cs="Times New Roman"/>
                <w:b/>
                <w:bCs/>
                <w:i/>
                <w:iCs/>
                <w:sz w:val="20"/>
                <w:szCs w:val="20"/>
                <w:lang w:val="sr-Cyrl-CS"/>
              </w:rPr>
              <w:t>Институција одговорна за спровођење (координацију спровођења) мере: Народна скупштина- Одбор за финансије, републички буџет и контролу трошења јавних средстава</w:t>
            </w:r>
            <w:bookmarkEnd w:id="58"/>
          </w:p>
        </w:tc>
      </w:tr>
      <w:tr w:rsidR="00D30238" w:rsidRPr="00AA19A8" w14:paraId="387F1197" w14:textId="77777777" w:rsidTr="00BA7E6D">
        <w:trPr>
          <w:cantSplit/>
          <w:trHeight w:val="804"/>
        </w:trPr>
        <w:tc>
          <w:tcPr>
            <w:tcW w:w="8335" w:type="dxa"/>
            <w:gridSpan w:val="22"/>
            <w:shd w:val="clear" w:color="auto" w:fill="ECECEC"/>
            <w:vAlign w:val="center"/>
          </w:tcPr>
          <w:p w14:paraId="1B4F1249" w14:textId="339AB64A" w:rsidR="00F617BE" w:rsidRPr="00AA19A8" w:rsidRDefault="00F617BE" w:rsidP="00F617BE">
            <w:pPr>
              <w:rPr>
                <w:rFonts w:ascii="Times New Roman" w:hAnsi="Times New Roman" w:cs="Times New Roman"/>
                <w:b/>
                <w:bCs/>
                <w:i/>
                <w:iCs/>
                <w:sz w:val="20"/>
                <w:szCs w:val="20"/>
                <w:lang w:val="sr-Cyrl-CS"/>
              </w:rPr>
            </w:pPr>
            <w:bookmarkStart w:id="59" w:name="_Toc73613713"/>
            <w:r w:rsidRPr="00AA19A8">
              <w:rPr>
                <w:rFonts w:ascii="Times New Roman" w:hAnsi="Times New Roman" w:cs="Times New Roman"/>
                <w:b/>
                <w:bCs/>
                <w:i/>
                <w:iCs/>
                <w:sz w:val="20"/>
                <w:szCs w:val="20"/>
                <w:lang w:val="sr-Cyrl-CS"/>
              </w:rPr>
              <w:t>Период спровођења: 2026-20</w:t>
            </w:r>
            <w:bookmarkEnd w:id="59"/>
            <w:r w:rsidRPr="00AA19A8">
              <w:rPr>
                <w:rFonts w:ascii="Times New Roman" w:hAnsi="Times New Roman" w:cs="Times New Roman"/>
                <w:b/>
                <w:bCs/>
                <w:i/>
                <w:iCs/>
                <w:sz w:val="20"/>
                <w:szCs w:val="20"/>
                <w:lang w:val="sr-Cyrl-CS"/>
              </w:rPr>
              <w:t>30</w:t>
            </w:r>
            <w:r w:rsidR="00713D3C" w:rsidRPr="00AA19A8">
              <w:rPr>
                <w:rFonts w:ascii="Times New Roman" w:hAnsi="Times New Roman" w:cs="Times New Roman"/>
                <w:b/>
                <w:bCs/>
                <w:i/>
                <w:iCs/>
                <w:sz w:val="20"/>
                <w:szCs w:val="20"/>
                <w:lang w:val="sr-Cyrl-CS"/>
              </w:rPr>
              <w:t>.</w:t>
            </w:r>
          </w:p>
        </w:tc>
        <w:tc>
          <w:tcPr>
            <w:tcW w:w="7541" w:type="dxa"/>
            <w:gridSpan w:val="53"/>
            <w:shd w:val="clear" w:color="auto" w:fill="ECECEC"/>
            <w:vAlign w:val="center"/>
          </w:tcPr>
          <w:p w14:paraId="437D49A5" w14:textId="77777777" w:rsidR="00F617BE" w:rsidRPr="00AA19A8" w:rsidRDefault="00F617BE" w:rsidP="00F617BE">
            <w:pPr>
              <w:rPr>
                <w:rFonts w:ascii="Times New Roman" w:hAnsi="Times New Roman" w:cs="Times New Roman"/>
                <w:b/>
                <w:bCs/>
                <w:i/>
                <w:iCs/>
                <w:sz w:val="20"/>
                <w:szCs w:val="20"/>
                <w:lang w:val="sr-Cyrl-CS"/>
              </w:rPr>
            </w:pPr>
            <w:bookmarkStart w:id="60" w:name="_Toc73613714"/>
            <w:r w:rsidRPr="00AA19A8">
              <w:rPr>
                <w:rFonts w:ascii="Times New Roman" w:hAnsi="Times New Roman" w:cs="Times New Roman"/>
                <w:b/>
                <w:bCs/>
                <w:i/>
                <w:iCs/>
                <w:sz w:val="20"/>
                <w:szCs w:val="20"/>
                <w:lang w:val="sr-Cyrl-CS"/>
              </w:rPr>
              <w:t>Тип мере: Институционално управљачко организациона</w:t>
            </w:r>
            <w:bookmarkEnd w:id="60"/>
          </w:p>
        </w:tc>
      </w:tr>
      <w:tr w:rsidR="00D30238" w:rsidRPr="00AA19A8" w14:paraId="73D8B034" w14:textId="77777777" w:rsidTr="00BA7E6D">
        <w:trPr>
          <w:cantSplit/>
          <w:trHeight w:val="1253"/>
        </w:trPr>
        <w:tc>
          <w:tcPr>
            <w:tcW w:w="2525" w:type="dxa"/>
            <w:gridSpan w:val="4"/>
            <w:shd w:val="clear" w:color="auto" w:fill="ECECEC"/>
            <w:vAlign w:val="center"/>
          </w:tcPr>
          <w:p w14:paraId="7DD28EBD"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lastRenderedPageBreak/>
              <w:t>Показатељ(и)  на нивоу мере (показатељ резултата)</w:t>
            </w:r>
          </w:p>
        </w:tc>
        <w:tc>
          <w:tcPr>
            <w:tcW w:w="3165" w:type="dxa"/>
            <w:gridSpan w:val="12"/>
            <w:shd w:val="clear" w:color="auto" w:fill="ECECEC"/>
            <w:vAlign w:val="center"/>
          </w:tcPr>
          <w:p w14:paraId="11BAF468"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Јединица мере</w:t>
            </w:r>
          </w:p>
        </w:tc>
        <w:tc>
          <w:tcPr>
            <w:tcW w:w="2645" w:type="dxa"/>
            <w:gridSpan w:val="6"/>
            <w:shd w:val="clear" w:color="auto" w:fill="ECECEC"/>
            <w:vAlign w:val="center"/>
          </w:tcPr>
          <w:p w14:paraId="4C3EE41E"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провере</w:t>
            </w:r>
          </w:p>
        </w:tc>
        <w:tc>
          <w:tcPr>
            <w:tcW w:w="2148" w:type="dxa"/>
            <w:gridSpan w:val="15"/>
            <w:shd w:val="clear" w:color="auto" w:fill="ECECEC"/>
            <w:vAlign w:val="center"/>
          </w:tcPr>
          <w:p w14:paraId="23C21E6E"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Почетна вредност</w:t>
            </w:r>
          </w:p>
        </w:tc>
        <w:tc>
          <w:tcPr>
            <w:tcW w:w="2150" w:type="dxa"/>
            <w:gridSpan w:val="17"/>
            <w:shd w:val="clear" w:color="auto" w:fill="ECECEC"/>
            <w:vAlign w:val="center"/>
          </w:tcPr>
          <w:p w14:paraId="69161908"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Базна година</w:t>
            </w:r>
          </w:p>
        </w:tc>
        <w:tc>
          <w:tcPr>
            <w:tcW w:w="1078" w:type="dxa"/>
            <w:gridSpan w:val="10"/>
            <w:shd w:val="clear" w:color="auto" w:fill="ECECEC"/>
            <w:vAlign w:val="center"/>
          </w:tcPr>
          <w:p w14:paraId="0FCB3528"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у 2026</w:t>
            </w:r>
          </w:p>
        </w:tc>
        <w:tc>
          <w:tcPr>
            <w:tcW w:w="1080" w:type="dxa"/>
            <w:gridSpan w:val="8"/>
            <w:shd w:val="clear" w:color="auto" w:fill="ECECEC"/>
            <w:vAlign w:val="center"/>
          </w:tcPr>
          <w:p w14:paraId="01C2EC91"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w:t>
            </w:r>
          </w:p>
          <w:p w14:paraId="2DFA3086"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85" w:type="dxa"/>
            <w:gridSpan w:val="3"/>
            <w:shd w:val="clear" w:color="auto" w:fill="ECECEC"/>
            <w:vAlign w:val="center"/>
          </w:tcPr>
          <w:p w14:paraId="722440D9" w14:textId="77777777" w:rsidR="00F617BE" w:rsidRPr="00AA19A8" w:rsidRDefault="00F617BE" w:rsidP="00016DF0">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Циљана вредност 2028</w:t>
            </w:r>
          </w:p>
        </w:tc>
      </w:tr>
      <w:tr w:rsidR="00D30238" w:rsidRPr="00AA19A8" w14:paraId="1419D285" w14:textId="77777777" w:rsidTr="002401D3">
        <w:trPr>
          <w:cantSplit/>
          <w:trHeight w:val="2268"/>
        </w:trPr>
        <w:tc>
          <w:tcPr>
            <w:tcW w:w="2525" w:type="dxa"/>
            <w:gridSpan w:val="4"/>
            <w:vAlign w:val="center"/>
          </w:tcPr>
          <w:p w14:paraId="5AEC9FF8"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извештаја ДРИ разматраних у Народној скупштини</w:t>
            </w:r>
          </w:p>
        </w:tc>
        <w:tc>
          <w:tcPr>
            <w:tcW w:w="3165" w:type="dxa"/>
            <w:gridSpan w:val="12"/>
            <w:vAlign w:val="center"/>
          </w:tcPr>
          <w:p w14:paraId="42C1C848" w14:textId="77777777" w:rsidR="00F617BE" w:rsidRPr="00AA19A8" w:rsidRDefault="00F617BE" w:rsidP="00016DF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Проценат (%)</w:t>
            </w:r>
          </w:p>
        </w:tc>
        <w:tc>
          <w:tcPr>
            <w:tcW w:w="2645" w:type="dxa"/>
            <w:gridSpan w:val="6"/>
            <w:vAlign w:val="center"/>
          </w:tcPr>
          <w:p w14:paraId="1F2D4E2C" w14:textId="77777777" w:rsidR="00F617BE" w:rsidRPr="00AA19A8" w:rsidRDefault="00F617BE" w:rsidP="00016DF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Извештаји и записници Одбора за финансије НС</w:t>
            </w:r>
          </w:p>
        </w:tc>
        <w:tc>
          <w:tcPr>
            <w:tcW w:w="2148" w:type="dxa"/>
            <w:gridSpan w:val="15"/>
            <w:vAlign w:val="center"/>
          </w:tcPr>
          <w:p w14:paraId="281CA38F" w14:textId="77777777" w:rsidR="00F617BE" w:rsidRPr="00AA19A8" w:rsidRDefault="00F617BE" w:rsidP="00016DF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50%</w:t>
            </w:r>
          </w:p>
        </w:tc>
        <w:tc>
          <w:tcPr>
            <w:tcW w:w="2150" w:type="dxa"/>
            <w:gridSpan w:val="17"/>
            <w:vAlign w:val="center"/>
          </w:tcPr>
          <w:p w14:paraId="6DBB79EA" w14:textId="77777777" w:rsidR="00F617BE" w:rsidRPr="00AA19A8" w:rsidRDefault="00F617BE" w:rsidP="00016DF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4C410576" w14:textId="77777777" w:rsidR="00F617BE" w:rsidRPr="00AA19A8" w:rsidRDefault="00F617BE" w:rsidP="00016DF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55%</w:t>
            </w:r>
          </w:p>
        </w:tc>
        <w:tc>
          <w:tcPr>
            <w:tcW w:w="1080" w:type="dxa"/>
            <w:gridSpan w:val="8"/>
            <w:vAlign w:val="center"/>
          </w:tcPr>
          <w:p w14:paraId="757B58A7" w14:textId="77777777" w:rsidR="00F617BE" w:rsidRPr="00AA19A8" w:rsidRDefault="00F617BE" w:rsidP="00016DF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60%</w:t>
            </w:r>
          </w:p>
        </w:tc>
        <w:tc>
          <w:tcPr>
            <w:tcW w:w="1085" w:type="dxa"/>
            <w:gridSpan w:val="3"/>
            <w:vAlign w:val="center"/>
          </w:tcPr>
          <w:p w14:paraId="1805083D" w14:textId="77777777" w:rsidR="00F617BE" w:rsidRPr="00AA19A8" w:rsidRDefault="00F617BE" w:rsidP="00016DF0">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65%</w:t>
            </w:r>
          </w:p>
        </w:tc>
      </w:tr>
      <w:tr w:rsidR="00D30238" w:rsidRPr="00AA19A8" w14:paraId="5CB09779" w14:textId="77777777" w:rsidTr="00BA7E6D">
        <w:trPr>
          <w:cantSplit/>
          <w:trHeight w:val="2835"/>
        </w:trPr>
        <w:tc>
          <w:tcPr>
            <w:tcW w:w="2525" w:type="dxa"/>
            <w:gridSpan w:val="4"/>
            <w:vAlign w:val="center"/>
          </w:tcPr>
          <w:p w14:paraId="3DAE014C"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 одржаних седница/састанака Одбора за разматрање препорука за измене закона у присуству ДРИ и Министарства финансија, годишње</w:t>
            </w:r>
          </w:p>
        </w:tc>
        <w:tc>
          <w:tcPr>
            <w:tcW w:w="3165" w:type="dxa"/>
            <w:gridSpan w:val="12"/>
            <w:vAlign w:val="center"/>
          </w:tcPr>
          <w:p w14:paraId="5774974D"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Број</w:t>
            </w:r>
          </w:p>
        </w:tc>
        <w:tc>
          <w:tcPr>
            <w:tcW w:w="2645" w:type="dxa"/>
            <w:gridSpan w:val="6"/>
            <w:vAlign w:val="center"/>
          </w:tcPr>
          <w:p w14:paraId="2EDD44E2"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Записник са седнице/састанка</w:t>
            </w:r>
          </w:p>
        </w:tc>
        <w:tc>
          <w:tcPr>
            <w:tcW w:w="2148" w:type="dxa"/>
            <w:gridSpan w:val="15"/>
            <w:vAlign w:val="center"/>
          </w:tcPr>
          <w:p w14:paraId="79A858C1"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w:t>
            </w:r>
          </w:p>
        </w:tc>
        <w:tc>
          <w:tcPr>
            <w:tcW w:w="2150" w:type="dxa"/>
            <w:gridSpan w:val="17"/>
            <w:vAlign w:val="center"/>
          </w:tcPr>
          <w:p w14:paraId="4A61EF54"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2025</w:t>
            </w:r>
          </w:p>
        </w:tc>
        <w:tc>
          <w:tcPr>
            <w:tcW w:w="1078" w:type="dxa"/>
            <w:gridSpan w:val="10"/>
            <w:vAlign w:val="center"/>
          </w:tcPr>
          <w:p w14:paraId="2A27563D"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w:t>
            </w:r>
          </w:p>
        </w:tc>
        <w:tc>
          <w:tcPr>
            <w:tcW w:w="1080" w:type="dxa"/>
            <w:gridSpan w:val="8"/>
            <w:vAlign w:val="center"/>
          </w:tcPr>
          <w:p w14:paraId="42242B24"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w:t>
            </w:r>
          </w:p>
        </w:tc>
        <w:tc>
          <w:tcPr>
            <w:tcW w:w="1085" w:type="dxa"/>
            <w:gridSpan w:val="3"/>
            <w:vAlign w:val="center"/>
          </w:tcPr>
          <w:p w14:paraId="0097DAC6"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1</w:t>
            </w:r>
          </w:p>
        </w:tc>
      </w:tr>
      <w:tr w:rsidR="00D30238" w:rsidRPr="00AA19A8" w14:paraId="053B8FA7" w14:textId="77777777" w:rsidTr="00BA7E6D">
        <w:trPr>
          <w:cantSplit/>
          <w:trHeight w:val="624"/>
        </w:trPr>
        <w:tc>
          <w:tcPr>
            <w:tcW w:w="2525" w:type="dxa"/>
            <w:gridSpan w:val="4"/>
            <w:vMerge w:val="restart"/>
            <w:shd w:val="clear" w:color="auto" w:fill="ECECEC"/>
            <w:vAlign w:val="center"/>
          </w:tcPr>
          <w:p w14:paraId="7DAFE9FA" w14:textId="77777777" w:rsidR="00F617BE" w:rsidRPr="00AA19A8" w:rsidRDefault="00F617BE" w:rsidP="00F617BE">
            <w:pP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Назив активности:</w:t>
            </w:r>
          </w:p>
        </w:tc>
        <w:tc>
          <w:tcPr>
            <w:tcW w:w="1582" w:type="dxa"/>
            <w:gridSpan w:val="6"/>
            <w:vMerge w:val="restart"/>
            <w:shd w:val="clear" w:color="auto" w:fill="ECECEC"/>
            <w:vAlign w:val="center"/>
          </w:tcPr>
          <w:p w14:paraId="60B00C23"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Рок за завршетак активности</w:t>
            </w:r>
          </w:p>
        </w:tc>
        <w:tc>
          <w:tcPr>
            <w:tcW w:w="1583" w:type="dxa"/>
            <w:gridSpan w:val="6"/>
            <w:vMerge w:val="restart"/>
            <w:shd w:val="clear" w:color="auto" w:fill="ECECEC"/>
            <w:vAlign w:val="center"/>
          </w:tcPr>
          <w:p w14:paraId="5CCE7F58"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Институција одговорна за спровођење</w:t>
            </w:r>
          </w:p>
        </w:tc>
        <w:tc>
          <w:tcPr>
            <w:tcW w:w="2645" w:type="dxa"/>
            <w:gridSpan w:val="6"/>
            <w:vMerge w:val="restart"/>
            <w:shd w:val="clear" w:color="auto" w:fill="ECECEC"/>
            <w:vAlign w:val="center"/>
          </w:tcPr>
          <w:p w14:paraId="78F82AA2"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Партнери у спровођењу активности</w:t>
            </w:r>
          </w:p>
        </w:tc>
        <w:tc>
          <w:tcPr>
            <w:tcW w:w="7541" w:type="dxa"/>
            <w:gridSpan w:val="53"/>
            <w:shd w:val="clear" w:color="auto" w:fill="ECECEC"/>
            <w:vAlign w:val="center"/>
          </w:tcPr>
          <w:p w14:paraId="6388769F"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Финансијска средства у хиљадама РСД (000)</w:t>
            </w:r>
          </w:p>
        </w:tc>
      </w:tr>
      <w:tr w:rsidR="00D30238" w:rsidRPr="00AA19A8" w14:paraId="14DE9B9C" w14:textId="77777777" w:rsidTr="00BA7E6D">
        <w:trPr>
          <w:cantSplit/>
          <w:trHeight w:val="1134"/>
        </w:trPr>
        <w:tc>
          <w:tcPr>
            <w:tcW w:w="2525" w:type="dxa"/>
            <w:gridSpan w:val="4"/>
            <w:vMerge/>
            <w:shd w:val="clear" w:color="auto" w:fill="ECECEC"/>
            <w:vAlign w:val="center"/>
          </w:tcPr>
          <w:p w14:paraId="59029DA2" w14:textId="77777777" w:rsidR="00F617BE" w:rsidRPr="00AA19A8" w:rsidRDefault="00F617BE" w:rsidP="00F617BE">
            <w:pPr>
              <w:rPr>
                <w:rFonts w:ascii="Times New Roman" w:hAnsi="Times New Roman" w:cs="Times New Roman"/>
                <w:b/>
                <w:bCs/>
                <w:sz w:val="20"/>
                <w:szCs w:val="20"/>
                <w:lang w:val="sr-Cyrl-CS"/>
              </w:rPr>
            </w:pPr>
          </w:p>
        </w:tc>
        <w:tc>
          <w:tcPr>
            <w:tcW w:w="1582" w:type="dxa"/>
            <w:gridSpan w:val="6"/>
            <w:vMerge/>
            <w:shd w:val="clear" w:color="auto" w:fill="ECECEC"/>
            <w:vAlign w:val="center"/>
          </w:tcPr>
          <w:p w14:paraId="546630E2" w14:textId="77777777" w:rsidR="00F617BE" w:rsidRPr="00AA19A8" w:rsidRDefault="00F617BE" w:rsidP="002401D3">
            <w:pPr>
              <w:jc w:val="center"/>
              <w:rPr>
                <w:rFonts w:ascii="Times New Roman" w:hAnsi="Times New Roman" w:cs="Times New Roman"/>
                <w:b/>
                <w:bCs/>
                <w:sz w:val="20"/>
                <w:szCs w:val="20"/>
                <w:lang w:val="sr-Cyrl-CS"/>
              </w:rPr>
            </w:pPr>
          </w:p>
        </w:tc>
        <w:tc>
          <w:tcPr>
            <w:tcW w:w="1583" w:type="dxa"/>
            <w:gridSpan w:val="6"/>
            <w:vMerge/>
            <w:shd w:val="clear" w:color="auto" w:fill="ECECEC"/>
            <w:vAlign w:val="center"/>
          </w:tcPr>
          <w:p w14:paraId="6F6E308E" w14:textId="77777777" w:rsidR="00F617BE" w:rsidRPr="00AA19A8" w:rsidRDefault="00F617BE" w:rsidP="002401D3">
            <w:pPr>
              <w:jc w:val="center"/>
              <w:rPr>
                <w:rFonts w:ascii="Times New Roman" w:hAnsi="Times New Roman" w:cs="Times New Roman"/>
                <w:b/>
                <w:bCs/>
                <w:sz w:val="20"/>
                <w:szCs w:val="20"/>
                <w:lang w:val="sr-Cyrl-CS"/>
              </w:rPr>
            </w:pPr>
          </w:p>
        </w:tc>
        <w:tc>
          <w:tcPr>
            <w:tcW w:w="2645" w:type="dxa"/>
            <w:gridSpan w:val="6"/>
            <w:vMerge/>
            <w:shd w:val="clear" w:color="auto" w:fill="ECECEC"/>
            <w:vAlign w:val="center"/>
          </w:tcPr>
          <w:p w14:paraId="7149AB59" w14:textId="77777777" w:rsidR="00F617BE" w:rsidRPr="00AA19A8" w:rsidRDefault="00F617BE" w:rsidP="002401D3">
            <w:pPr>
              <w:jc w:val="center"/>
              <w:rPr>
                <w:rFonts w:ascii="Times New Roman" w:hAnsi="Times New Roman" w:cs="Times New Roman"/>
                <w:b/>
                <w:bCs/>
                <w:sz w:val="20"/>
                <w:szCs w:val="20"/>
                <w:lang w:val="sr-Cyrl-CS"/>
              </w:rPr>
            </w:pPr>
          </w:p>
        </w:tc>
        <w:tc>
          <w:tcPr>
            <w:tcW w:w="2154" w:type="dxa"/>
            <w:gridSpan w:val="16"/>
            <w:shd w:val="clear" w:color="auto" w:fill="ECECEC"/>
            <w:vAlign w:val="center"/>
          </w:tcPr>
          <w:p w14:paraId="323F6799"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Извор финансирања</w:t>
            </w:r>
          </w:p>
        </w:tc>
        <w:tc>
          <w:tcPr>
            <w:tcW w:w="2155" w:type="dxa"/>
            <w:gridSpan w:val="17"/>
            <w:shd w:val="clear" w:color="auto" w:fill="ECECEC"/>
            <w:vAlign w:val="center"/>
          </w:tcPr>
          <w:p w14:paraId="45763292"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Веза са програмским буџетом (ПР-ПА/ПЈ)</w:t>
            </w:r>
          </w:p>
        </w:tc>
        <w:tc>
          <w:tcPr>
            <w:tcW w:w="1077" w:type="dxa"/>
            <w:gridSpan w:val="10"/>
            <w:shd w:val="clear" w:color="auto" w:fill="ECECEC"/>
            <w:vAlign w:val="center"/>
          </w:tcPr>
          <w:p w14:paraId="627EEAA5"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2026</w:t>
            </w:r>
          </w:p>
        </w:tc>
        <w:tc>
          <w:tcPr>
            <w:tcW w:w="1077" w:type="dxa"/>
            <w:gridSpan w:val="8"/>
            <w:shd w:val="clear" w:color="auto" w:fill="ECECEC"/>
            <w:vAlign w:val="center"/>
          </w:tcPr>
          <w:p w14:paraId="39FCB374"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2027</w:t>
            </w:r>
          </w:p>
        </w:tc>
        <w:tc>
          <w:tcPr>
            <w:tcW w:w="1078" w:type="dxa"/>
            <w:gridSpan w:val="2"/>
            <w:shd w:val="clear" w:color="auto" w:fill="ECECEC"/>
            <w:vAlign w:val="center"/>
          </w:tcPr>
          <w:p w14:paraId="2E7D381E" w14:textId="77777777" w:rsidR="00F617BE" w:rsidRPr="00AA19A8" w:rsidRDefault="00F617BE" w:rsidP="002401D3">
            <w:pPr>
              <w:jc w:val="center"/>
              <w:rPr>
                <w:rFonts w:ascii="Times New Roman" w:hAnsi="Times New Roman" w:cs="Times New Roman"/>
                <w:b/>
                <w:bCs/>
                <w:sz w:val="20"/>
                <w:szCs w:val="20"/>
                <w:lang w:val="sr-Cyrl-CS"/>
              </w:rPr>
            </w:pPr>
            <w:r w:rsidRPr="00AA19A8">
              <w:rPr>
                <w:rFonts w:ascii="Times New Roman" w:hAnsi="Times New Roman" w:cs="Times New Roman"/>
                <w:b/>
                <w:bCs/>
                <w:sz w:val="20"/>
                <w:szCs w:val="20"/>
                <w:lang w:val="sr-Cyrl-CS"/>
              </w:rPr>
              <w:t>2028</w:t>
            </w:r>
          </w:p>
        </w:tc>
      </w:tr>
      <w:tr w:rsidR="00D30238" w:rsidRPr="00AA19A8" w14:paraId="68A2290D" w14:textId="77777777" w:rsidTr="00BA7E6D">
        <w:trPr>
          <w:cantSplit/>
          <w:trHeight w:val="3969"/>
        </w:trPr>
        <w:tc>
          <w:tcPr>
            <w:tcW w:w="2525" w:type="dxa"/>
            <w:gridSpan w:val="4"/>
            <w:vAlign w:val="center"/>
          </w:tcPr>
          <w:p w14:paraId="3B0478CD"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6.2.1 Одржавање седница Одбора и Пододбора за разматрање извештаја о обављеним ревизијама ДРИ, ван седишта Народне скупштине</w:t>
            </w:r>
          </w:p>
        </w:tc>
        <w:tc>
          <w:tcPr>
            <w:tcW w:w="1582" w:type="dxa"/>
            <w:gridSpan w:val="6"/>
            <w:vAlign w:val="center"/>
          </w:tcPr>
          <w:p w14:paraId="359B351A"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1E50FE1D"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Народна скупштина - Одбор за финансије, републички буџет и контролу трошења јавних средстава -Пододбор за разматрање извештаја о обављеним ревизијама ДРИ</w:t>
            </w:r>
          </w:p>
        </w:tc>
        <w:tc>
          <w:tcPr>
            <w:tcW w:w="2645" w:type="dxa"/>
            <w:gridSpan w:val="6"/>
            <w:vAlign w:val="center"/>
          </w:tcPr>
          <w:p w14:paraId="243165F2"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Државна ревизорска институција</w:t>
            </w:r>
          </w:p>
        </w:tc>
        <w:tc>
          <w:tcPr>
            <w:tcW w:w="2148" w:type="dxa"/>
            <w:gridSpan w:val="15"/>
            <w:vAlign w:val="center"/>
          </w:tcPr>
          <w:p w14:paraId="1620AC5D"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p w14:paraId="7E812F24"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Донаторска средства*</w:t>
            </w:r>
          </w:p>
        </w:tc>
        <w:tc>
          <w:tcPr>
            <w:tcW w:w="2150" w:type="dxa"/>
            <w:gridSpan w:val="17"/>
            <w:vAlign w:val="center"/>
          </w:tcPr>
          <w:p w14:paraId="3CFA8398"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2101-0001</w:t>
            </w:r>
          </w:p>
          <w:p w14:paraId="71974072"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2101-0003</w:t>
            </w:r>
          </w:p>
        </w:tc>
        <w:tc>
          <w:tcPr>
            <w:tcW w:w="1078" w:type="dxa"/>
            <w:gridSpan w:val="10"/>
            <w:vAlign w:val="center"/>
          </w:tcPr>
          <w:p w14:paraId="52905AA3"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2.000</w:t>
            </w:r>
          </w:p>
        </w:tc>
        <w:tc>
          <w:tcPr>
            <w:tcW w:w="1080" w:type="dxa"/>
            <w:gridSpan w:val="8"/>
            <w:vAlign w:val="center"/>
          </w:tcPr>
          <w:p w14:paraId="06F1F78F"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2.000</w:t>
            </w:r>
          </w:p>
        </w:tc>
        <w:tc>
          <w:tcPr>
            <w:tcW w:w="1085" w:type="dxa"/>
            <w:gridSpan w:val="3"/>
            <w:vAlign w:val="center"/>
          </w:tcPr>
          <w:p w14:paraId="0BB2E259"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2.000</w:t>
            </w:r>
          </w:p>
        </w:tc>
      </w:tr>
      <w:tr w:rsidR="00D30238" w:rsidRPr="00AA19A8" w14:paraId="507A00D9" w14:textId="77777777" w:rsidTr="00BA7E6D">
        <w:trPr>
          <w:cantSplit/>
          <w:trHeight w:val="4365"/>
        </w:trPr>
        <w:tc>
          <w:tcPr>
            <w:tcW w:w="2525" w:type="dxa"/>
            <w:gridSpan w:val="4"/>
            <w:vAlign w:val="center"/>
          </w:tcPr>
          <w:p w14:paraId="300DC4D2"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t xml:space="preserve">6.2.2 Одржавање заједничких седница надлежних скупштинских одбора за разматрање извештаја о ревизијама сврсисходности </w:t>
            </w:r>
          </w:p>
        </w:tc>
        <w:tc>
          <w:tcPr>
            <w:tcW w:w="1582" w:type="dxa"/>
            <w:gridSpan w:val="6"/>
            <w:vAlign w:val="center"/>
          </w:tcPr>
          <w:p w14:paraId="1B4471C0"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vAlign w:val="center"/>
          </w:tcPr>
          <w:p w14:paraId="2BCC94D7"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Народна скупштина - Одбор за финансије, републички буџет и контролу трошења јавних средстава -Пододбор за разматрање извештаја о обављеним ревизијама ДРИ и други надлежни одбори</w:t>
            </w:r>
          </w:p>
        </w:tc>
        <w:tc>
          <w:tcPr>
            <w:tcW w:w="2645" w:type="dxa"/>
            <w:gridSpan w:val="6"/>
            <w:vAlign w:val="center"/>
          </w:tcPr>
          <w:p w14:paraId="6276B786"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Државна ревизорска институција</w:t>
            </w:r>
          </w:p>
        </w:tc>
        <w:tc>
          <w:tcPr>
            <w:tcW w:w="2148" w:type="dxa"/>
            <w:gridSpan w:val="15"/>
            <w:vAlign w:val="center"/>
          </w:tcPr>
          <w:p w14:paraId="7F6B6B17"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50" w:type="dxa"/>
            <w:gridSpan w:val="17"/>
            <w:vAlign w:val="center"/>
          </w:tcPr>
          <w:p w14:paraId="56F84245"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2101-0001</w:t>
            </w:r>
          </w:p>
          <w:p w14:paraId="0D134715"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2101-0003</w:t>
            </w:r>
          </w:p>
        </w:tc>
        <w:tc>
          <w:tcPr>
            <w:tcW w:w="1078" w:type="dxa"/>
            <w:gridSpan w:val="10"/>
            <w:vAlign w:val="center"/>
          </w:tcPr>
          <w:p w14:paraId="379AA754"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vAlign w:val="center"/>
          </w:tcPr>
          <w:p w14:paraId="43120BEB"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5" w:type="dxa"/>
            <w:gridSpan w:val="3"/>
            <w:vAlign w:val="center"/>
          </w:tcPr>
          <w:p w14:paraId="26601E60"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08FFFC1F" w14:textId="77777777" w:rsidTr="00BA7E6D">
        <w:trPr>
          <w:cantSplit/>
          <w:trHeight w:val="2494"/>
        </w:trPr>
        <w:tc>
          <w:tcPr>
            <w:tcW w:w="2525" w:type="dxa"/>
            <w:gridSpan w:val="4"/>
            <w:tcBorders>
              <w:bottom w:val="single" w:sz="4" w:space="0" w:color="FFFFFF"/>
            </w:tcBorders>
            <w:vAlign w:val="center"/>
          </w:tcPr>
          <w:p w14:paraId="737F529B" w14:textId="77777777" w:rsidR="00F617BE" w:rsidRPr="00AA19A8" w:rsidRDefault="00F617BE" w:rsidP="00F617BE">
            <w:pPr>
              <w:rPr>
                <w:rFonts w:ascii="Times New Roman" w:hAnsi="Times New Roman" w:cs="Times New Roman"/>
                <w:sz w:val="20"/>
                <w:szCs w:val="20"/>
                <w:lang w:val="sr-Cyrl-CS"/>
              </w:rPr>
            </w:pPr>
            <w:r w:rsidRPr="00AA19A8">
              <w:rPr>
                <w:rFonts w:ascii="Times New Roman" w:hAnsi="Times New Roman" w:cs="Times New Roman"/>
                <w:sz w:val="20"/>
                <w:szCs w:val="20"/>
                <w:lang w:val="sr-Cyrl-CS"/>
              </w:rPr>
              <w:lastRenderedPageBreak/>
              <w:t>6.2.3 Организовање јавног слушања поводом представљања Предлога закона о буџету и Предлога закона о завршном рачуну буџета</w:t>
            </w:r>
          </w:p>
        </w:tc>
        <w:tc>
          <w:tcPr>
            <w:tcW w:w="1582" w:type="dxa"/>
            <w:gridSpan w:val="6"/>
            <w:tcBorders>
              <w:bottom w:val="single" w:sz="4" w:space="0" w:color="FFFFFF"/>
            </w:tcBorders>
            <w:vAlign w:val="center"/>
          </w:tcPr>
          <w:p w14:paraId="7690F2FA"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Q4 2028</w:t>
            </w:r>
          </w:p>
        </w:tc>
        <w:tc>
          <w:tcPr>
            <w:tcW w:w="1583" w:type="dxa"/>
            <w:gridSpan w:val="6"/>
            <w:tcBorders>
              <w:bottom w:val="single" w:sz="4" w:space="0" w:color="FFFFFF"/>
            </w:tcBorders>
            <w:vAlign w:val="center"/>
          </w:tcPr>
          <w:p w14:paraId="31C6459A"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Народна скупштина - Одбор за финансије, републички буџет и контролу трошења јавних средстава</w:t>
            </w:r>
          </w:p>
        </w:tc>
        <w:tc>
          <w:tcPr>
            <w:tcW w:w="2645" w:type="dxa"/>
            <w:gridSpan w:val="6"/>
            <w:tcBorders>
              <w:bottom w:val="single" w:sz="4" w:space="0" w:color="FFFFFF"/>
            </w:tcBorders>
            <w:vAlign w:val="center"/>
          </w:tcPr>
          <w:p w14:paraId="1E68E443"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Министарство финансија, Државна ревизорска институција, Фискални савет и Народна банка Србије</w:t>
            </w:r>
          </w:p>
        </w:tc>
        <w:tc>
          <w:tcPr>
            <w:tcW w:w="2148" w:type="dxa"/>
            <w:gridSpan w:val="15"/>
            <w:tcBorders>
              <w:bottom w:val="single" w:sz="4" w:space="0" w:color="FFFFFF"/>
            </w:tcBorders>
            <w:vAlign w:val="center"/>
          </w:tcPr>
          <w:p w14:paraId="3909A479"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Буџет РС/Редовна издвајања</w:t>
            </w:r>
          </w:p>
        </w:tc>
        <w:tc>
          <w:tcPr>
            <w:tcW w:w="2150" w:type="dxa"/>
            <w:gridSpan w:val="17"/>
            <w:tcBorders>
              <w:bottom w:val="single" w:sz="4" w:space="0" w:color="FFFFFF"/>
            </w:tcBorders>
            <w:vAlign w:val="center"/>
          </w:tcPr>
          <w:p w14:paraId="41F79065"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2101-0001</w:t>
            </w:r>
          </w:p>
          <w:p w14:paraId="516B55BF"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2101-0003</w:t>
            </w:r>
          </w:p>
        </w:tc>
        <w:tc>
          <w:tcPr>
            <w:tcW w:w="1078" w:type="dxa"/>
            <w:gridSpan w:val="10"/>
            <w:tcBorders>
              <w:bottom w:val="single" w:sz="4" w:space="0" w:color="FFFFFF"/>
            </w:tcBorders>
            <w:vAlign w:val="center"/>
          </w:tcPr>
          <w:p w14:paraId="1DC55F2C"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0" w:type="dxa"/>
            <w:gridSpan w:val="8"/>
            <w:tcBorders>
              <w:bottom w:val="single" w:sz="4" w:space="0" w:color="FFFFFF"/>
            </w:tcBorders>
            <w:vAlign w:val="center"/>
          </w:tcPr>
          <w:p w14:paraId="37E0EC35"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c>
          <w:tcPr>
            <w:tcW w:w="1085" w:type="dxa"/>
            <w:gridSpan w:val="3"/>
            <w:tcBorders>
              <w:bottom w:val="single" w:sz="4" w:space="0" w:color="FFFFFF"/>
            </w:tcBorders>
            <w:vAlign w:val="center"/>
          </w:tcPr>
          <w:p w14:paraId="4AD28332" w14:textId="77777777" w:rsidR="00F617BE" w:rsidRPr="00AA19A8" w:rsidRDefault="00F617BE" w:rsidP="002401D3">
            <w:pPr>
              <w:jc w:val="center"/>
              <w:rPr>
                <w:rFonts w:ascii="Times New Roman" w:hAnsi="Times New Roman" w:cs="Times New Roman"/>
                <w:sz w:val="20"/>
                <w:szCs w:val="20"/>
                <w:lang w:val="sr-Cyrl-CS"/>
              </w:rPr>
            </w:pPr>
            <w:r w:rsidRPr="00AA19A8">
              <w:rPr>
                <w:rFonts w:ascii="Times New Roman" w:hAnsi="Times New Roman" w:cs="Times New Roman"/>
                <w:sz w:val="20"/>
                <w:szCs w:val="20"/>
                <w:lang w:val="sr-Cyrl-CS"/>
              </w:rPr>
              <w:t>-</w:t>
            </w:r>
          </w:p>
        </w:tc>
      </w:tr>
      <w:tr w:rsidR="00D30238" w:rsidRPr="00AA19A8" w14:paraId="131C5487" w14:textId="77777777" w:rsidTr="00BA7E6D">
        <w:trPr>
          <w:cantSplit/>
          <w:trHeight w:val="804"/>
        </w:trPr>
        <w:tc>
          <w:tcPr>
            <w:tcW w:w="15876" w:type="dxa"/>
            <w:gridSpan w:val="75"/>
            <w:tcBorders>
              <w:top w:val="single" w:sz="4" w:space="0" w:color="FFFFFF"/>
              <w:left w:val="single" w:sz="4" w:space="0" w:color="FFFFFF"/>
              <w:bottom w:val="single" w:sz="4" w:space="0" w:color="FFFFFF"/>
              <w:right w:val="single" w:sz="4" w:space="0" w:color="FFFFFF"/>
            </w:tcBorders>
            <w:shd w:val="clear" w:color="auto" w:fill="5B9BD6"/>
            <w:vAlign w:val="center"/>
          </w:tcPr>
          <w:p w14:paraId="5F77D467" w14:textId="77777777" w:rsidR="00F617BE" w:rsidRPr="00AA19A8" w:rsidRDefault="00F617BE" w:rsidP="00F617BE">
            <w:pPr>
              <w:rPr>
                <w:rFonts w:ascii="Times New Roman" w:hAnsi="Times New Roman" w:cs="Times New Roman"/>
                <w:sz w:val="20"/>
                <w:szCs w:val="20"/>
                <w:lang w:val="sr-Cyrl-CS"/>
              </w:rPr>
            </w:pPr>
          </w:p>
        </w:tc>
      </w:tr>
    </w:tbl>
    <w:p w14:paraId="6E23F3A8" w14:textId="587FBC01" w:rsidR="006F3E8B" w:rsidRPr="00AA19A8" w:rsidRDefault="006F3E8B" w:rsidP="00465DD3">
      <w:pPr>
        <w:jc w:val="center"/>
        <w:rPr>
          <w:rFonts w:ascii="Times New Roman" w:eastAsia="Times New Roman" w:hAnsi="Times New Roman" w:cs="Times New Roman"/>
          <w:shd w:val="clear" w:color="auto" w:fill="FFFFFF"/>
          <w:lang w:val="sr-Cyrl-CS"/>
        </w:rPr>
        <w:sectPr w:rsidR="006F3E8B" w:rsidRPr="00AA19A8" w:rsidSect="00A34DE1">
          <w:footerReference w:type="default" r:id="rId8"/>
          <w:pgSz w:w="16838" w:h="11906" w:orient="landscape"/>
          <w:pgMar w:top="567" w:right="482" w:bottom="567" w:left="482" w:header="432" w:footer="720" w:gutter="0"/>
          <w:cols w:space="720"/>
          <w:titlePg/>
          <w:docGrid w:linePitch="360"/>
        </w:sectPr>
      </w:pPr>
    </w:p>
    <w:bookmarkEnd w:id="0"/>
    <w:bookmarkEnd w:id="1"/>
    <w:bookmarkEnd w:id="2"/>
    <w:bookmarkEnd w:id="3"/>
    <w:bookmarkEnd w:id="4"/>
    <w:p w14:paraId="74476BB0" w14:textId="77777777" w:rsidR="005F0C63" w:rsidRPr="00AA19A8" w:rsidRDefault="005F2469" w:rsidP="005F2469">
      <w:pPr>
        <w:pStyle w:val="Heading1"/>
        <w:jc w:val="center"/>
        <w:rPr>
          <w:rFonts w:ascii="Times New Roman" w:hAnsi="Times New Roman" w:cs="Times New Roman"/>
          <w:color w:val="auto"/>
          <w:sz w:val="20"/>
          <w:szCs w:val="20"/>
          <w:lang w:val="sr-Cyrl-CS"/>
        </w:rPr>
      </w:pPr>
      <w:r w:rsidRPr="00AA19A8">
        <w:rPr>
          <w:rFonts w:ascii="Times New Roman" w:hAnsi="Times New Roman" w:cs="Times New Roman"/>
          <w:color w:val="auto"/>
          <w:sz w:val="20"/>
          <w:szCs w:val="20"/>
          <w:lang w:val="sr-Cyrl-CS"/>
        </w:rPr>
        <w:lastRenderedPageBreak/>
        <w:t xml:space="preserve">Анекс 1 – Редослед спровођења активности </w:t>
      </w:r>
      <w:r w:rsidR="00103650" w:rsidRPr="00AA19A8">
        <w:rPr>
          <w:rFonts w:ascii="Times New Roman" w:hAnsi="Times New Roman" w:cs="Times New Roman"/>
          <w:color w:val="auto"/>
          <w:sz w:val="20"/>
          <w:szCs w:val="20"/>
          <w:lang w:val="sr-Cyrl-CS"/>
        </w:rPr>
        <w:t xml:space="preserve">Акционог плана </w:t>
      </w:r>
      <w:r w:rsidRPr="00AA19A8">
        <w:rPr>
          <w:rFonts w:ascii="Times New Roman" w:hAnsi="Times New Roman" w:cs="Times New Roman"/>
          <w:color w:val="auto"/>
          <w:sz w:val="20"/>
          <w:szCs w:val="20"/>
          <w:lang w:val="sr-Cyrl-CS"/>
        </w:rPr>
        <w:t xml:space="preserve">ПРУЈФ </w:t>
      </w:r>
      <w:r w:rsidR="00103650" w:rsidRPr="00AA19A8">
        <w:rPr>
          <w:rFonts w:ascii="Times New Roman" w:hAnsi="Times New Roman" w:cs="Times New Roman"/>
          <w:color w:val="auto"/>
          <w:sz w:val="20"/>
          <w:szCs w:val="20"/>
          <w:lang w:val="sr-Cyrl-CS"/>
        </w:rPr>
        <w:t xml:space="preserve">ЗА </w:t>
      </w:r>
      <w:r w:rsidRPr="00AA19A8">
        <w:rPr>
          <w:rFonts w:ascii="Times New Roman" w:hAnsi="Times New Roman" w:cs="Times New Roman"/>
          <w:color w:val="auto"/>
          <w:sz w:val="20"/>
          <w:szCs w:val="20"/>
          <w:lang w:val="sr-Cyrl-CS"/>
        </w:rPr>
        <w:t>период 2026-2028</w:t>
      </w:r>
    </w:p>
    <w:tbl>
      <w:tblPr>
        <w:tblW w:w="12760" w:type="dxa"/>
        <w:tblLook w:val="04A0" w:firstRow="1" w:lastRow="0" w:firstColumn="1" w:lastColumn="0" w:noHBand="0" w:noVBand="1"/>
      </w:tblPr>
      <w:tblGrid>
        <w:gridCol w:w="4480"/>
        <w:gridCol w:w="410"/>
        <w:gridCol w:w="410"/>
        <w:gridCol w:w="410"/>
        <w:gridCol w:w="410"/>
        <w:gridCol w:w="415"/>
        <w:gridCol w:w="415"/>
        <w:gridCol w:w="415"/>
        <w:gridCol w:w="415"/>
        <w:gridCol w:w="410"/>
        <w:gridCol w:w="410"/>
        <w:gridCol w:w="410"/>
        <w:gridCol w:w="410"/>
        <w:gridCol w:w="415"/>
        <w:gridCol w:w="415"/>
        <w:gridCol w:w="415"/>
        <w:gridCol w:w="415"/>
        <w:gridCol w:w="420"/>
        <w:gridCol w:w="420"/>
        <w:gridCol w:w="420"/>
        <w:gridCol w:w="420"/>
      </w:tblGrid>
      <w:tr w:rsidR="00D30238" w:rsidRPr="00AA19A8" w14:paraId="0B3E8BE6" w14:textId="77777777" w:rsidTr="00924D5A">
        <w:trPr>
          <w:trHeight w:val="300"/>
        </w:trPr>
        <w:tc>
          <w:tcPr>
            <w:tcW w:w="4480" w:type="dxa"/>
            <w:vMerge w:val="restart"/>
            <w:tcBorders>
              <w:top w:val="single" w:sz="4" w:space="0" w:color="FFFFFF"/>
              <w:left w:val="single" w:sz="4" w:space="0" w:color="FFFFFF"/>
              <w:bottom w:val="single" w:sz="4" w:space="0" w:color="FFFFFF"/>
              <w:right w:val="single" w:sz="4" w:space="0" w:color="FFFFFF"/>
            </w:tcBorders>
            <w:shd w:val="clear" w:color="000000" w:fill="BFBFBF"/>
            <w:vAlign w:val="center"/>
            <w:hideMark/>
          </w:tcPr>
          <w:p w14:paraId="72FB4249" w14:textId="77777777" w:rsidR="005F2469" w:rsidRPr="00AA19A8" w:rsidRDefault="005F2469" w:rsidP="005F2469">
            <w:pPr>
              <w:spacing w:before="0" w:after="0" w:line="240" w:lineRule="auto"/>
              <w:jc w:val="center"/>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МЕРЕ/АКТИВНОСТИ</w:t>
            </w:r>
          </w:p>
        </w:tc>
        <w:tc>
          <w:tcPr>
            <w:tcW w:w="1640" w:type="dxa"/>
            <w:gridSpan w:val="4"/>
            <w:tcBorders>
              <w:top w:val="single" w:sz="4" w:space="0" w:color="FFFFFF"/>
              <w:left w:val="nil"/>
              <w:bottom w:val="single" w:sz="4" w:space="0" w:color="FFFFFF"/>
              <w:right w:val="single" w:sz="4" w:space="0" w:color="FFFFFF"/>
            </w:tcBorders>
            <w:shd w:val="clear" w:color="000000" w:fill="BFBFBF"/>
            <w:noWrap/>
            <w:vAlign w:val="bottom"/>
            <w:hideMark/>
          </w:tcPr>
          <w:p w14:paraId="2C2AD465" w14:textId="77777777" w:rsidR="005F2469" w:rsidRPr="00AA19A8" w:rsidRDefault="005F2469" w:rsidP="005F2469">
            <w:pPr>
              <w:spacing w:before="0" w:after="0" w:line="240" w:lineRule="auto"/>
              <w:jc w:val="center"/>
              <w:rPr>
                <w:rFonts w:ascii="Aptos Narrow" w:eastAsia="Times New Roman" w:hAnsi="Aptos Narrow" w:cs="Times New Roman"/>
                <w:b/>
                <w:bCs/>
                <w:lang w:val="sr-Cyrl-CS"/>
              </w:rPr>
            </w:pPr>
            <w:r w:rsidRPr="00AA19A8">
              <w:rPr>
                <w:rFonts w:ascii="Aptos Narrow" w:eastAsia="Times New Roman" w:hAnsi="Aptos Narrow" w:cs="Times New Roman"/>
                <w:b/>
                <w:bCs/>
                <w:lang w:val="sr-Cyrl-CS"/>
              </w:rPr>
              <w:t>2026</w:t>
            </w:r>
          </w:p>
        </w:tc>
        <w:tc>
          <w:tcPr>
            <w:tcW w:w="1660" w:type="dxa"/>
            <w:gridSpan w:val="4"/>
            <w:tcBorders>
              <w:top w:val="single" w:sz="4" w:space="0" w:color="FFFFFF"/>
              <w:left w:val="nil"/>
              <w:bottom w:val="single" w:sz="4" w:space="0" w:color="FFFFFF"/>
              <w:right w:val="single" w:sz="4" w:space="0" w:color="FFFFFF"/>
            </w:tcBorders>
            <w:shd w:val="clear" w:color="000000" w:fill="BFBFBF"/>
            <w:noWrap/>
            <w:vAlign w:val="bottom"/>
            <w:hideMark/>
          </w:tcPr>
          <w:p w14:paraId="0222F37F" w14:textId="77777777" w:rsidR="005F2469" w:rsidRPr="00AA19A8" w:rsidRDefault="005F2469" w:rsidP="005F2469">
            <w:pPr>
              <w:spacing w:before="0" w:after="0" w:line="240" w:lineRule="auto"/>
              <w:jc w:val="center"/>
              <w:rPr>
                <w:rFonts w:ascii="Aptos Narrow" w:eastAsia="Times New Roman" w:hAnsi="Aptos Narrow" w:cs="Times New Roman"/>
                <w:b/>
                <w:bCs/>
                <w:lang w:val="sr-Cyrl-CS"/>
              </w:rPr>
            </w:pPr>
            <w:r w:rsidRPr="00AA19A8">
              <w:rPr>
                <w:rFonts w:ascii="Aptos Narrow" w:eastAsia="Times New Roman" w:hAnsi="Aptos Narrow" w:cs="Times New Roman"/>
                <w:b/>
                <w:bCs/>
                <w:lang w:val="sr-Cyrl-CS"/>
              </w:rPr>
              <w:t>2027</w:t>
            </w:r>
          </w:p>
        </w:tc>
        <w:tc>
          <w:tcPr>
            <w:tcW w:w="1640" w:type="dxa"/>
            <w:gridSpan w:val="4"/>
            <w:tcBorders>
              <w:top w:val="single" w:sz="4" w:space="0" w:color="FFFFFF"/>
              <w:left w:val="nil"/>
              <w:bottom w:val="single" w:sz="4" w:space="0" w:color="FFFFFF"/>
              <w:right w:val="single" w:sz="4" w:space="0" w:color="FFFFFF"/>
            </w:tcBorders>
            <w:shd w:val="clear" w:color="000000" w:fill="BFBFBF"/>
            <w:noWrap/>
            <w:vAlign w:val="bottom"/>
            <w:hideMark/>
          </w:tcPr>
          <w:p w14:paraId="11E40995" w14:textId="77777777" w:rsidR="005F2469" w:rsidRPr="00AA19A8" w:rsidRDefault="005F2469" w:rsidP="005F2469">
            <w:pPr>
              <w:spacing w:before="0" w:after="0" w:line="240" w:lineRule="auto"/>
              <w:jc w:val="center"/>
              <w:rPr>
                <w:rFonts w:ascii="Aptos Narrow" w:eastAsia="Times New Roman" w:hAnsi="Aptos Narrow" w:cs="Times New Roman"/>
                <w:b/>
                <w:bCs/>
                <w:lang w:val="sr-Cyrl-CS"/>
              </w:rPr>
            </w:pPr>
            <w:r w:rsidRPr="00AA19A8">
              <w:rPr>
                <w:rFonts w:ascii="Aptos Narrow" w:eastAsia="Times New Roman" w:hAnsi="Aptos Narrow" w:cs="Times New Roman"/>
                <w:b/>
                <w:bCs/>
                <w:lang w:val="sr-Cyrl-CS"/>
              </w:rPr>
              <w:t>2028</w:t>
            </w:r>
          </w:p>
        </w:tc>
        <w:tc>
          <w:tcPr>
            <w:tcW w:w="1660" w:type="dxa"/>
            <w:gridSpan w:val="4"/>
            <w:tcBorders>
              <w:top w:val="single" w:sz="4" w:space="0" w:color="FFFFFF"/>
              <w:left w:val="nil"/>
              <w:bottom w:val="single" w:sz="4" w:space="0" w:color="FFFFFF"/>
              <w:right w:val="single" w:sz="4" w:space="0" w:color="FFFFFF"/>
            </w:tcBorders>
            <w:shd w:val="clear" w:color="000000" w:fill="BFBFBF"/>
            <w:noWrap/>
            <w:vAlign w:val="bottom"/>
            <w:hideMark/>
          </w:tcPr>
          <w:p w14:paraId="745066AE" w14:textId="77777777" w:rsidR="005F2469" w:rsidRPr="00AA19A8" w:rsidRDefault="005F2469" w:rsidP="005F2469">
            <w:pPr>
              <w:spacing w:before="0" w:after="0" w:line="240" w:lineRule="auto"/>
              <w:jc w:val="center"/>
              <w:rPr>
                <w:rFonts w:ascii="Aptos Narrow" w:eastAsia="Times New Roman" w:hAnsi="Aptos Narrow" w:cs="Times New Roman"/>
                <w:b/>
                <w:bCs/>
                <w:lang w:val="sr-Cyrl-CS"/>
              </w:rPr>
            </w:pPr>
            <w:r w:rsidRPr="00AA19A8">
              <w:rPr>
                <w:rFonts w:ascii="Aptos Narrow" w:eastAsia="Times New Roman" w:hAnsi="Aptos Narrow" w:cs="Times New Roman"/>
                <w:b/>
                <w:bCs/>
                <w:lang w:val="sr-Cyrl-CS"/>
              </w:rPr>
              <w:t>2029</w:t>
            </w:r>
          </w:p>
        </w:tc>
        <w:tc>
          <w:tcPr>
            <w:tcW w:w="1680" w:type="dxa"/>
            <w:gridSpan w:val="4"/>
            <w:tcBorders>
              <w:top w:val="single" w:sz="4" w:space="0" w:color="FFFFFF"/>
              <w:left w:val="nil"/>
              <w:bottom w:val="single" w:sz="4" w:space="0" w:color="FFFFFF"/>
              <w:right w:val="single" w:sz="4" w:space="0" w:color="FFFFFF"/>
            </w:tcBorders>
            <w:shd w:val="clear" w:color="000000" w:fill="BFBFBF"/>
            <w:noWrap/>
            <w:vAlign w:val="bottom"/>
            <w:hideMark/>
          </w:tcPr>
          <w:p w14:paraId="4B8011FA" w14:textId="77777777" w:rsidR="005F2469" w:rsidRPr="00AA19A8" w:rsidRDefault="005F2469" w:rsidP="005F2469">
            <w:pPr>
              <w:spacing w:before="0" w:after="0" w:line="240" w:lineRule="auto"/>
              <w:jc w:val="center"/>
              <w:rPr>
                <w:rFonts w:ascii="Aptos Narrow" w:eastAsia="Times New Roman" w:hAnsi="Aptos Narrow" w:cs="Times New Roman"/>
                <w:b/>
                <w:bCs/>
                <w:lang w:val="sr-Cyrl-CS"/>
              </w:rPr>
            </w:pPr>
            <w:r w:rsidRPr="00AA19A8">
              <w:rPr>
                <w:rFonts w:ascii="Aptos Narrow" w:eastAsia="Times New Roman" w:hAnsi="Aptos Narrow" w:cs="Times New Roman"/>
                <w:b/>
                <w:bCs/>
                <w:lang w:val="sr-Cyrl-CS"/>
              </w:rPr>
              <w:t>2030</w:t>
            </w:r>
          </w:p>
        </w:tc>
      </w:tr>
      <w:tr w:rsidR="00D30238" w:rsidRPr="00AA19A8" w14:paraId="6ED82B84" w14:textId="77777777" w:rsidTr="00924D5A">
        <w:trPr>
          <w:trHeight w:val="300"/>
        </w:trPr>
        <w:tc>
          <w:tcPr>
            <w:tcW w:w="4480" w:type="dxa"/>
            <w:vMerge/>
            <w:tcBorders>
              <w:top w:val="single" w:sz="4" w:space="0" w:color="FFFFFF"/>
              <w:left w:val="single" w:sz="4" w:space="0" w:color="FFFFFF"/>
              <w:bottom w:val="single" w:sz="4" w:space="0" w:color="FFFFFF"/>
              <w:right w:val="single" w:sz="4" w:space="0" w:color="FFFFFF"/>
            </w:tcBorders>
            <w:vAlign w:val="center"/>
            <w:hideMark/>
          </w:tcPr>
          <w:p w14:paraId="7989B57E"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p>
        </w:tc>
        <w:tc>
          <w:tcPr>
            <w:tcW w:w="410" w:type="dxa"/>
            <w:tcBorders>
              <w:top w:val="nil"/>
              <w:left w:val="nil"/>
              <w:bottom w:val="single" w:sz="4" w:space="0" w:color="FFFFFF"/>
              <w:right w:val="single" w:sz="4" w:space="0" w:color="FFFFFF"/>
            </w:tcBorders>
            <w:shd w:val="clear" w:color="000000" w:fill="BFBFBF"/>
            <w:noWrap/>
            <w:vAlign w:val="center"/>
            <w:hideMark/>
          </w:tcPr>
          <w:p w14:paraId="330492CB"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1</w:t>
            </w:r>
          </w:p>
        </w:tc>
        <w:tc>
          <w:tcPr>
            <w:tcW w:w="410" w:type="dxa"/>
            <w:tcBorders>
              <w:top w:val="nil"/>
              <w:left w:val="nil"/>
              <w:bottom w:val="single" w:sz="4" w:space="0" w:color="FFFFFF"/>
              <w:right w:val="single" w:sz="4" w:space="0" w:color="FFFFFF"/>
            </w:tcBorders>
            <w:shd w:val="clear" w:color="000000" w:fill="BFBFBF"/>
            <w:noWrap/>
            <w:vAlign w:val="center"/>
            <w:hideMark/>
          </w:tcPr>
          <w:p w14:paraId="51803E80"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2</w:t>
            </w:r>
          </w:p>
        </w:tc>
        <w:tc>
          <w:tcPr>
            <w:tcW w:w="410" w:type="dxa"/>
            <w:tcBorders>
              <w:top w:val="nil"/>
              <w:left w:val="nil"/>
              <w:bottom w:val="single" w:sz="4" w:space="0" w:color="FFFFFF"/>
              <w:right w:val="single" w:sz="4" w:space="0" w:color="FFFFFF"/>
            </w:tcBorders>
            <w:shd w:val="clear" w:color="000000" w:fill="BFBFBF"/>
            <w:noWrap/>
            <w:vAlign w:val="center"/>
            <w:hideMark/>
          </w:tcPr>
          <w:p w14:paraId="3FEA9CA7"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3</w:t>
            </w:r>
          </w:p>
        </w:tc>
        <w:tc>
          <w:tcPr>
            <w:tcW w:w="410" w:type="dxa"/>
            <w:tcBorders>
              <w:top w:val="nil"/>
              <w:left w:val="nil"/>
              <w:bottom w:val="single" w:sz="4" w:space="0" w:color="FFFFFF"/>
              <w:right w:val="single" w:sz="4" w:space="0" w:color="FFFFFF"/>
            </w:tcBorders>
            <w:shd w:val="clear" w:color="000000" w:fill="BFBFBF"/>
            <w:noWrap/>
            <w:vAlign w:val="center"/>
            <w:hideMark/>
          </w:tcPr>
          <w:p w14:paraId="26887894"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4</w:t>
            </w:r>
          </w:p>
        </w:tc>
        <w:tc>
          <w:tcPr>
            <w:tcW w:w="415" w:type="dxa"/>
            <w:tcBorders>
              <w:top w:val="nil"/>
              <w:left w:val="nil"/>
              <w:bottom w:val="single" w:sz="4" w:space="0" w:color="FFFFFF"/>
              <w:right w:val="single" w:sz="4" w:space="0" w:color="FFFFFF"/>
            </w:tcBorders>
            <w:shd w:val="clear" w:color="000000" w:fill="BFBFBF"/>
            <w:noWrap/>
            <w:vAlign w:val="center"/>
            <w:hideMark/>
          </w:tcPr>
          <w:p w14:paraId="5C868B4C"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1</w:t>
            </w:r>
          </w:p>
        </w:tc>
        <w:tc>
          <w:tcPr>
            <w:tcW w:w="415" w:type="dxa"/>
            <w:tcBorders>
              <w:top w:val="nil"/>
              <w:left w:val="nil"/>
              <w:bottom w:val="single" w:sz="4" w:space="0" w:color="FFFFFF"/>
              <w:right w:val="single" w:sz="4" w:space="0" w:color="FFFFFF"/>
            </w:tcBorders>
            <w:shd w:val="clear" w:color="000000" w:fill="BFBFBF"/>
            <w:noWrap/>
            <w:vAlign w:val="center"/>
            <w:hideMark/>
          </w:tcPr>
          <w:p w14:paraId="309AD207"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2</w:t>
            </w:r>
          </w:p>
        </w:tc>
        <w:tc>
          <w:tcPr>
            <w:tcW w:w="415" w:type="dxa"/>
            <w:tcBorders>
              <w:top w:val="nil"/>
              <w:left w:val="nil"/>
              <w:bottom w:val="single" w:sz="4" w:space="0" w:color="FFFFFF"/>
              <w:right w:val="single" w:sz="4" w:space="0" w:color="FFFFFF"/>
            </w:tcBorders>
            <w:shd w:val="clear" w:color="000000" w:fill="BFBFBF"/>
            <w:noWrap/>
            <w:vAlign w:val="center"/>
            <w:hideMark/>
          </w:tcPr>
          <w:p w14:paraId="3E783434"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3</w:t>
            </w:r>
          </w:p>
        </w:tc>
        <w:tc>
          <w:tcPr>
            <w:tcW w:w="415" w:type="dxa"/>
            <w:tcBorders>
              <w:top w:val="nil"/>
              <w:left w:val="nil"/>
              <w:bottom w:val="single" w:sz="4" w:space="0" w:color="FFFFFF"/>
              <w:right w:val="single" w:sz="4" w:space="0" w:color="FFFFFF"/>
            </w:tcBorders>
            <w:shd w:val="clear" w:color="000000" w:fill="BFBFBF"/>
            <w:noWrap/>
            <w:vAlign w:val="center"/>
            <w:hideMark/>
          </w:tcPr>
          <w:p w14:paraId="24778AAE"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4</w:t>
            </w:r>
          </w:p>
        </w:tc>
        <w:tc>
          <w:tcPr>
            <w:tcW w:w="410" w:type="dxa"/>
            <w:tcBorders>
              <w:top w:val="nil"/>
              <w:left w:val="nil"/>
              <w:bottom w:val="single" w:sz="4" w:space="0" w:color="FFFFFF"/>
              <w:right w:val="single" w:sz="4" w:space="0" w:color="FFFFFF"/>
            </w:tcBorders>
            <w:shd w:val="clear" w:color="000000" w:fill="BFBFBF"/>
            <w:noWrap/>
            <w:vAlign w:val="center"/>
            <w:hideMark/>
          </w:tcPr>
          <w:p w14:paraId="190FFC3F"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1</w:t>
            </w:r>
          </w:p>
        </w:tc>
        <w:tc>
          <w:tcPr>
            <w:tcW w:w="410" w:type="dxa"/>
            <w:tcBorders>
              <w:top w:val="nil"/>
              <w:left w:val="nil"/>
              <w:bottom w:val="single" w:sz="4" w:space="0" w:color="FFFFFF"/>
              <w:right w:val="single" w:sz="4" w:space="0" w:color="FFFFFF"/>
            </w:tcBorders>
            <w:shd w:val="clear" w:color="000000" w:fill="BFBFBF"/>
            <w:noWrap/>
            <w:vAlign w:val="center"/>
            <w:hideMark/>
          </w:tcPr>
          <w:p w14:paraId="154CB7DC"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2</w:t>
            </w:r>
          </w:p>
        </w:tc>
        <w:tc>
          <w:tcPr>
            <w:tcW w:w="410" w:type="dxa"/>
            <w:tcBorders>
              <w:top w:val="nil"/>
              <w:left w:val="nil"/>
              <w:bottom w:val="single" w:sz="4" w:space="0" w:color="FFFFFF"/>
              <w:right w:val="single" w:sz="4" w:space="0" w:color="FFFFFF"/>
            </w:tcBorders>
            <w:shd w:val="clear" w:color="000000" w:fill="BFBFBF"/>
            <w:noWrap/>
            <w:vAlign w:val="center"/>
            <w:hideMark/>
          </w:tcPr>
          <w:p w14:paraId="3B362486"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3</w:t>
            </w:r>
          </w:p>
        </w:tc>
        <w:tc>
          <w:tcPr>
            <w:tcW w:w="410" w:type="dxa"/>
            <w:tcBorders>
              <w:top w:val="nil"/>
              <w:left w:val="nil"/>
              <w:bottom w:val="single" w:sz="4" w:space="0" w:color="FFFFFF"/>
              <w:right w:val="single" w:sz="4" w:space="0" w:color="FFFFFF"/>
            </w:tcBorders>
            <w:shd w:val="clear" w:color="000000" w:fill="BFBFBF"/>
            <w:noWrap/>
            <w:vAlign w:val="center"/>
            <w:hideMark/>
          </w:tcPr>
          <w:p w14:paraId="27240BF6"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4</w:t>
            </w:r>
          </w:p>
        </w:tc>
        <w:tc>
          <w:tcPr>
            <w:tcW w:w="415" w:type="dxa"/>
            <w:tcBorders>
              <w:top w:val="nil"/>
              <w:left w:val="nil"/>
              <w:bottom w:val="single" w:sz="4" w:space="0" w:color="FFFFFF"/>
              <w:right w:val="single" w:sz="4" w:space="0" w:color="FFFFFF"/>
            </w:tcBorders>
            <w:shd w:val="clear" w:color="000000" w:fill="BFBFBF"/>
            <w:noWrap/>
            <w:vAlign w:val="center"/>
            <w:hideMark/>
          </w:tcPr>
          <w:p w14:paraId="2CEBA9B2"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1</w:t>
            </w:r>
          </w:p>
        </w:tc>
        <w:tc>
          <w:tcPr>
            <w:tcW w:w="415" w:type="dxa"/>
            <w:tcBorders>
              <w:top w:val="nil"/>
              <w:left w:val="nil"/>
              <w:bottom w:val="single" w:sz="4" w:space="0" w:color="FFFFFF"/>
              <w:right w:val="single" w:sz="4" w:space="0" w:color="FFFFFF"/>
            </w:tcBorders>
            <w:shd w:val="clear" w:color="000000" w:fill="BFBFBF"/>
            <w:noWrap/>
            <w:vAlign w:val="center"/>
            <w:hideMark/>
          </w:tcPr>
          <w:p w14:paraId="67D9D685"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2</w:t>
            </w:r>
          </w:p>
        </w:tc>
        <w:tc>
          <w:tcPr>
            <w:tcW w:w="415" w:type="dxa"/>
            <w:tcBorders>
              <w:top w:val="nil"/>
              <w:left w:val="nil"/>
              <w:bottom w:val="single" w:sz="4" w:space="0" w:color="FFFFFF"/>
              <w:right w:val="single" w:sz="4" w:space="0" w:color="FFFFFF"/>
            </w:tcBorders>
            <w:shd w:val="clear" w:color="000000" w:fill="BFBFBF"/>
            <w:noWrap/>
            <w:vAlign w:val="center"/>
            <w:hideMark/>
          </w:tcPr>
          <w:p w14:paraId="2B07A9BF"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3</w:t>
            </w:r>
          </w:p>
        </w:tc>
        <w:tc>
          <w:tcPr>
            <w:tcW w:w="415" w:type="dxa"/>
            <w:tcBorders>
              <w:top w:val="nil"/>
              <w:left w:val="nil"/>
              <w:bottom w:val="single" w:sz="4" w:space="0" w:color="FFFFFF"/>
              <w:right w:val="single" w:sz="4" w:space="0" w:color="FFFFFF"/>
            </w:tcBorders>
            <w:shd w:val="clear" w:color="000000" w:fill="BFBFBF"/>
            <w:noWrap/>
            <w:vAlign w:val="center"/>
            <w:hideMark/>
          </w:tcPr>
          <w:p w14:paraId="6007E0C6"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4</w:t>
            </w:r>
          </w:p>
        </w:tc>
        <w:tc>
          <w:tcPr>
            <w:tcW w:w="420" w:type="dxa"/>
            <w:tcBorders>
              <w:top w:val="nil"/>
              <w:left w:val="nil"/>
              <w:bottom w:val="single" w:sz="4" w:space="0" w:color="FFFFFF"/>
              <w:right w:val="single" w:sz="4" w:space="0" w:color="FFFFFF"/>
            </w:tcBorders>
            <w:shd w:val="clear" w:color="000000" w:fill="BFBFBF"/>
            <w:noWrap/>
            <w:vAlign w:val="center"/>
            <w:hideMark/>
          </w:tcPr>
          <w:p w14:paraId="2946E459"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1</w:t>
            </w:r>
          </w:p>
        </w:tc>
        <w:tc>
          <w:tcPr>
            <w:tcW w:w="420" w:type="dxa"/>
            <w:tcBorders>
              <w:top w:val="nil"/>
              <w:left w:val="nil"/>
              <w:bottom w:val="single" w:sz="4" w:space="0" w:color="FFFFFF"/>
              <w:right w:val="single" w:sz="4" w:space="0" w:color="FFFFFF"/>
            </w:tcBorders>
            <w:shd w:val="clear" w:color="000000" w:fill="BFBFBF"/>
            <w:noWrap/>
            <w:vAlign w:val="center"/>
            <w:hideMark/>
          </w:tcPr>
          <w:p w14:paraId="1FB2EAB3"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2</w:t>
            </w:r>
          </w:p>
        </w:tc>
        <w:tc>
          <w:tcPr>
            <w:tcW w:w="420" w:type="dxa"/>
            <w:tcBorders>
              <w:top w:val="nil"/>
              <w:left w:val="nil"/>
              <w:bottom w:val="single" w:sz="4" w:space="0" w:color="FFFFFF"/>
              <w:right w:val="single" w:sz="4" w:space="0" w:color="FFFFFF"/>
            </w:tcBorders>
            <w:shd w:val="clear" w:color="000000" w:fill="BFBFBF"/>
            <w:noWrap/>
            <w:vAlign w:val="center"/>
            <w:hideMark/>
          </w:tcPr>
          <w:p w14:paraId="2DE289A1"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3</w:t>
            </w:r>
          </w:p>
        </w:tc>
        <w:tc>
          <w:tcPr>
            <w:tcW w:w="420" w:type="dxa"/>
            <w:tcBorders>
              <w:top w:val="nil"/>
              <w:left w:val="nil"/>
              <w:bottom w:val="single" w:sz="4" w:space="0" w:color="FFFFFF"/>
              <w:right w:val="single" w:sz="4" w:space="0" w:color="FFFFFF"/>
            </w:tcBorders>
            <w:shd w:val="clear" w:color="000000" w:fill="BFBFBF"/>
            <w:noWrap/>
            <w:vAlign w:val="center"/>
            <w:hideMark/>
          </w:tcPr>
          <w:p w14:paraId="66C6AC98" w14:textId="77777777" w:rsidR="005F2469" w:rsidRPr="00AA19A8" w:rsidRDefault="005F2469" w:rsidP="005F2469">
            <w:pPr>
              <w:spacing w:before="0" w:after="0" w:line="240" w:lineRule="auto"/>
              <w:jc w:val="center"/>
              <w:rPr>
                <w:rFonts w:ascii="Aptos Narrow" w:eastAsia="Times New Roman" w:hAnsi="Aptos Narrow" w:cs="Times New Roman"/>
                <w:lang w:val="sr-Cyrl-CS"/>
              </w:rPr>
            </w:pPr>
            <w:r w:rsidRPr="00AA19A8">
              <w:rPr>
                <w:rFonts w:ascii="Aptos Narrow" w:eastAsia="Times New Roman" w:hAnsi="Aptos Narrow" w:cs="Times New Roman"/>
                <w:lang w:val="sr-Cyrl-CS"/>
              </w:rPr>
              <w:t>4</w:t>
            </w:r>
          </w:p>
        </w:tc>
      </w:tr>
      <w:tr w:rsidR="00D30238" w:rsidRPr="00AA19A8" w14:paraId="3F738895"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760A6128"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1.1: Унапређење програмског буџета и средњорочног оквира расхода</w:t>
            </w:r>
          </w:p>
        </w:tc>
        <w:tc>
          <w:tcPr>
            <w:tcW w:w="410" w:type="dxa"/>
            <w:tcBorders>
              <w:top w:val="nil"/>
              <w:left w:val="nil"/>
              <w:bottom w:val="single" w:sz="4" w:space="0" w:color="FFFFFF"/>
              <w:right w:val="single" w:sz="4" w:space="0" w:color="FFFFFF"/>
            </w:tcBorders>
            <w:shd w:val="clear" w:color="000000" w:fill="153D64"/>
            <w:noWrap/>
            <w:vAlign w:val="bottom"/>
            <w:hideMark/>
          </w:tcPr>
          <w:p w14:paraId="073E45A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B01DB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160B8E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6A30B1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7ECD3D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3877CD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FCD956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CE8907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0FA0F9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435448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A93217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976FEF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20EAF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AE2719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C2BF38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D2BA92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057F8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0FA64F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1011CE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2BF498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27E7C54"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hideMark/>
          </w:tcPr>
          <w:p w14:paraId="4E4B8C74"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1.1.1 Увођење програмског буџета у здравствене установе</w:t>
            </w:r>
          </w:p>
        </w:tc>
        <w:tc>
          <w:tcPr>
            <w:tcW w:w="410" w:type="dxa"/>
            <w:tcBorders>
              <w:top w:val="nil"/>
              <w:left w:val="nil"/>
              <w:bottom w:val="single" w:sz="4" w:space="0" w:color="FFFFFF"/>
              <w:right w:val="single" w:sz="4" w:space="0" w:color="FFFFFF"/>
            </w:tcBorders>
            <w:shd w:val="clear" w:color="000000" w:fill="A6C9EC"/>
            <w:noWrap/>
            <w:vAlign w:val="bottom"/>
            <w:hideMark/>
          </w:tcPr>
          <w:p w14:paraId="43580D3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3FEDC7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35D1FB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695AE4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74CBA7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59AD9D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0A439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73F551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3AF5E6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9C50DC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7AE50E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5627DF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E86601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4212E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80267D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F55FCB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0CDDED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4EB960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E7914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ABCA7C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D3DF74D"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hideMark/>
          </w:tcPr>
          <w:p w14:paraId="09746AFA"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1.1.2 Израда методологија и приручника за припрему програмског буџета и извештавање о учинку програма све нивое власти</w:t>
            </w:r>
          </w:p>
        </w:tc>
        <w:tc>
          <w:tcPr>
            <w:tcW w:w="410" w:type="dxa"/>
            <w:tcBorders>
              <w:top w:val="nil"/>
              <w:left w:val="nil"/>
              <w:bottom w:val="single" w:sz="4" w:space="0" w:color="FFFFFF"/>
              <w:right w:val="single" w:sz="4" w:space="0" w:color="FFFFFF"/>
            </w:tcBorders>
            <w:shd w:val="clear" w:color="000000" w:fill="A6C9EC"/>
            <w:noWrap/>
            <w:vAlign w:val="bottom"/>
            <w:hideMark/>
          </w:tcPr>
          <w:p w14:paraId="52389EB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12E68B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C73125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593446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DB346F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1B5F97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D2F7F7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239545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C65673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935B27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C0CB1B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E0A603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F1A1AA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77DA8D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AC281E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2FED0F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4A451B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EE021E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781E39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D04690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3203536"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hideMark/>
          </w:tcPr>
          <w:p w14:paraId="0D4522F0"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1.1.3 Унапређење модула за праћење и евалуацију учинка програма и израда обједињеног извештаја о учинку</w:t>
            </w:r>
          </w:p>
        </w:tc>
        <w:tc>
          <w:tcPr>
            <w:tcW w:w="410" w:type="dxa"/>
            <w:tcBorders>
              <w:top w:val="nil"/>
              <w:left w:val="nil"/>
              <w:bottom w:val="single" w:sz="4" w:space="0" w:color="FFFFFF"/>
              <w:right w:val="single" w:sz="4" w:space="0" w:color="FFFFFF"/>
            </w:tcBorders>
            <w:shd w:val="clear" w:color="000000" w:fill="A6C9EC"/>
            <w:noWrap/>
            <w:vAlign w:val="bottom"/>
            <w:hideMark/>
          </w:tcPr>
          <w:p w14:paraId="3059FC1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72A0E2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36E90D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3B66BC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8529B9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42712D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A0BBEE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FA70E6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6E0CD6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934BA8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6E51CF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E9531F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CAA520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D18CD9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B9358B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C050C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2E7E7B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5B22AC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1F19F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732CE4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A0290B7"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hideMark/>
          </w:tcPr>
          <w:p w14:paraId="15A63408"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1.1.4 Унапређење система и развој модела за кредибилнију пројекцију расхода и повећање транспарентности буџета</w:t>
            </w:r>
          </w:p>
        </w:tc>
        <w:tc>
          <w:tcPr>
            <w:tcW w:w="410" w:type="dxa"/>
            <w:tcBorders>
              <w:top w:val="nil"/>
              <w:left w:val="nil"/>
              <w:bottom w:val="single" w:sz="4" w:space="0" w:color="FFFFFF"/>
              <w:right w:val="single" w:sz="4" w:space="0" w:color="FFFFFF"/>
            </w:tcBorders>
            <w:shd w:val="clear" w:color="000000" w:fill="A6C9EC"/>
            <w:noWrap/>
            <w:vAlign w:val="bottom"/>
            <w:hideMark/>
          </w:tcPr>
          <w:p w14:paraId="2426E17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2A43B7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189342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7A23D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6302B6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0FF211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6A501B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33F903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88C537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A69D83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998785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94E857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4620B0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04EEB1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E9E4E8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A37D4E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AEF9AC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5119D9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FD830E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3D9EA6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1BEA754" w14:textId="77777777" w:rsidTr="00924D5A">
        <w:trPr>
          <w:trHeight w:val="1140"/>
        </w:trPr>
        <w:tc>
          <w:tcPr>
            <w:tcW w:w="4480" w:type="dxa"/>
            <w:tcBorders>
              <w:top w:val="nil"/>
              <w:left w:val="single" w:sz="4" w:space="0" w:color="FFFFFF"/>
              <w:bottom w:val="single" w:sz="4" w:space="0" w:color="FFFFFF"/>
              <w:right w:val="single" w:sz="4" w:space="0" w:color="FFFFFF"/>
            </w:tcBorders>
            <w:shd w:val="clear" w:color="000000" w:fill="153D64"/>
            <w:hideMark/>
          </w:tcPr>
          <w:p w14:paraId="0F769CC4"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1.2: Јачање институционалних капацитета и унапређење методолошког оквира за зелено буџетирање</w:t>
            </w:r>
          </w:p>
        </w:tc>
        <w:tc>
          <w:tcPr>
            <w:tcW w:w="410" w:type="dxa"/>
            <w:tcBorders>
              <w:top w:val="nil"/>
              <w:left w:val="nil"/>
              <w:bottom w:val="single" w:sz="4" w:space="0" w:color="FFFFFF"/>
              <w:right w:val="single" w:sz="4" w:space="0" w:color="FFFFFF"/>
            </w:tcBorders>
            <w:shd w:val="clear" w:color="000000" w:fill="153D64"/>
            <w:noWrap/>
            <w:vAlign w:val="bottom"/>
            <w:hideMark/>
          </w:tcPr>
          <w:p w14:paraId="5468CE5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3C0AFD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2272CA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3E85F6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49FD0E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21CE38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951E7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62BB09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5231B9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EE6AEF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2D4547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6BA0FC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AFD4E3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AE98E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F2CB89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1B2A7F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DE2752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3B59C3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9366FD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86CD1E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5632699"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hideMark/>
          </w:tcPr>
          <w:p w14:paraId="0A25EB67"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1.2.1 Организација радионица за буџетске аналитичаре у циљу јачања капацитета за зелено буџетирање</w:t>
            </w:r>
          </w:p>
        </w:tc>
        <w:tc>
          <w:tcPr>
            <w:tcW w:w="410" w:type="dxa"/>
            <w:tcBorders>
              <w:top w:val="nil"/>
              <w:left w:val="nil"/>
              <w:bottom w:val="single" w:sz="4" w:space="0" w:color="FFFFFF"/>
              <w:right w:val="single" w:sz="4" w:space="0" w:color="FFFFFF"/>
            </w:tcBorders>
            <w:shd w:val="clear" w:color="000000" w:fill="A6C9EC"/>
            <w:noWrap/>
            <w:vAlign w:val="bottom"/>
            <w:hideMark/>
          </w:tcPr>
          <w:p w14:paraId="6BC4968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FCE934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F5770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DE4AFE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93CC84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BDCD8D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278542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D421D8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C73ECC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64F909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56AEC4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1F6A66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E5A6BA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DE09BE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CCA4D5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80569E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2BBB8D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6AE598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9AE93C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968D29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1245512"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hideMark/>
          </w:tcPr>
          <w:p w14:paraId="07CC834B"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1.2.2 Проширење обухвата методологије за зелено буџетирање у погледу врсте расхода и нивоа власти</w:t>
            </w:r>
          </w:p>
        </w:tc>
        <w:tc>
          <w:tcPr>
            <w:tcW w:w="410" w:type="dxa"/>
            <w:tcBorders>
              <w:top w:val="nil"/>
              <w:left w:val="nil"/>
              <w:bottom w:val="single" w:sz="4" w:space="0" w:color="FFFFFF"/>
              <w:right w:val="single" w:sz="4" w:space="0" w:color="FFFFFF"/>
            </w:tcBorders>
            <w:shd w:val="clear" w:color="000000" w:fill="A6C9EC"/>
            <w:noWrap/>
            <w:vAlign w:val="bottom"/>
            <w:hideMark/>
          </w:tcPr>
          <w:p w14:paraId="4BD5813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8CA812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BC8B5A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DED289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E3A5AB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FB69A4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B49B5C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5CEF28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F3BD69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5A4A19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7D8214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981919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BA02F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D10029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410EC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CE20A0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6A72E1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6A025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8BC8D9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48FF12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0E79364"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hideMark/>
          </w:tcPr>
          <w:p w14:paraId="39E04179"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1.2.3 Унапређење капацитета радне групе за зелено буџетирање кроз организацију обука и радионица</w:t>
            </w:r>
          </w:p>
        </w:tc>
        <w:tc>
          <w:tcPr>
            <w:tcW w:w="410" w:type="dxa"/>
            <w:tcBorders>
              <w:top w:val="nil"/>
              <w:left w:val="nil"/>
              <w:bottom w:val="single" w:sz="4" w:space="0" w:color="FFFFFF"/>
              <w:right w:val="single" w:sz="4" w:space="0" w:color="FFFFFF"/>
            </w:tcBorders>
            <w:shd w:val="clear" w:color="000000" w:fill="A6C9EC"/>
            <w:noWrap/>
            <w:vAlign w:val="bottom"/>
            <w:hideMark/>
          </w:tcPr>
          <w:p w14:paraId="6B3C7FB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AFBA71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3468FB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505838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F93B6A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0D3BC3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5E8CB8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ED48DF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B576F6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45AD76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C0681C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0AD96B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E7AF79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E7A30C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0AE2D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526373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6222F8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886F40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4C6A6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A9BAA7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BF4791A"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hideMark/>
          </w:tcPr>
          <w:p w14:paraId="1F0E15FB"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1.2.4 Студијска посета – пример добре праксе зеленог буџетирања</w:t>
            </w:r>
          </w:p>
        </w:tc>
        <w:tc>
          <w:tcPr>
            <w:tcW w:w="410" w:type="dxa"/>
            <w:tcBorders>
              <w:top w:val="nil"/>
              <w:left w:val="nil"/>
              <w:bottom w:val="single" w:sz="4" w:space="0" w:color="FFFFFF"/>
              <w:right w:val="single" w:sz="4" w:space="0" w:color="FFFFFF"/>
            </w:tcBorders>
            <w:shd w:val="clear" w:color="000000" w:fill="A6C9EC"/>
            <w:noWrap/>
            <w:vAlign w:val="bottom"/>
            <w:hideMark/>
          </w:tcPr>
          <w:p w14:paraId="7A6E0FE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B65FDD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2C72B8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DDE4DA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4552D6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2BB6B1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B08EED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0BF3D2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39A61B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4A404D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35BB2D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FE95F3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6F68AC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B3717A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B92A12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33D466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0C2090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EE1FD5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EC08CE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BEA70C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D057176" w14:textId="77777777" w:rsidTr="00924D5A">
        <w:trPr>
          <w:trHeight w:val="855"/>
        </w:trPr>
        <w:tc>
          <w:tcPr>
            <w:tcW w:w="4480" w:type="dxa"/>
            <w:tcBorders>
              <w:top w:val="nil"/>
              <w:left w:val="single" w:sz="4" w:space="0" w:color="FFFFFF"/>
              <w:bottom w:val="single" w:sz="4" w:space="0" w:color="FFFFFF"/>
              <w:right w:val="single" w:sz="4" w:space="0" w:color="FFFFFF"/>
            </w:tcBorders>
            <w:shd w:val="clear" w:color="000000" w:fill="153D64"/>
            <w:hideMark/>
          </w:tcPr>
          <w:p w14:paraId="2CD69DE2"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1.3: Усклађивање буџетског процеса у Србији са буџетским процесом у Европској унији</w:t>
            </w:r>
          </w:p>
        </w:tc>
        <w:tc>
          <w:tcPr>
            <w:tcW w:w="410" w:type="dxa"/>
            <w:tcBorders>
              <w:top w:val="nil"/>
              <w:left w:val="nil"/>
              <w:bottom w:val="single" w:sz="4" w:space="0" w:color="FFFFFF"/>
              <w:right w:val="single" w:sz="4" w:space="0" w:color="FFFFFF"/>
            </w:tcBorders>
            <w:shd w:val="clear" w:color="000000" w:fill="153D64"/>
            <w:noWrap/>
            <w:vAlign w:val="bottom"/>
            <w:hideMark/>
          </w:tcPr>
          <w:p w14:paraId="4073ACD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0BB51E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D411C6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5EB51F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FB4539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3F6853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360866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91058C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32AE22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F3392F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899030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116683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A971E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68490C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6B2E98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8B6961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FA908B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BF060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55810D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E89F19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B979BA8"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4DEACA2"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1.3.1 Анализа процеса припреме буџета у Републици Србији и усклађеност са буџетским процесом у земљама ЕУ</w:t>
            </w:r>
          </w:p>
        </w:tc>
        <w:tc>
          <w:tcPr>
            <w:tcW w:w="410" w:type="dxa"/>
            <w:tcBorders>
              <w:top w:val="nil"/>
              <w:left w:val="nil"/>
              <w:bottom w:val="single" w:sz="4" w:space="0" w:color="FFFFFF"/>
              <w:right w:val="single" w:sz="4" w:space="0" w:color="FFFFFF"/>
            </w:tcBorders>
            <w:shd w:val="clear" w:color="000000" w:fill="A6C9EC"/>
            <w:noWrap/>
            <w:vAlign w:val="bottom"/>
            <w:hideMark/>
          </w:tcPr>
          <w:p w14:paraId="7D91AAE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8572B6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328D81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0F6199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C404A5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96FA92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BB9A2C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BA5683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39B858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05E88F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5B8A44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781FA2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06667E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3AD22E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4208F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02EC37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D0DD0D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611F12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95CE9E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C85945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AE1BA53"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23B204C"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1.3.2 Израда смерница за усклађивање буџетског процеса са стандардима ЕУ </w:t>
            </w:r>
          </w:p>
        </w:tc>
        <w:tc>
          <w:tcPr>
            <w:tcW w:w="410" w:type="dxa"/>
            <w:tcBorders>
              <w:top w:val="nil"/>
              <w:left w:val="nil"/>
              <w:bottom w:val="single" w:sz="4" w:space="0" w:color="FFFFFF"/>
              <w:right w:val="single" w:sz="4" w:space="0" w:color="FFFFFF"/>
            </w:tcBorders>
            <w:shd w:val="clear" w:color="000000" w:fill="A6C9EC"/>
            <w:noWrap/>
            <w:vAlign w:val="bottom"/>
            <w:hideMark/>
          </w:tcPr>
          <w:p w14:paraId="4152DA2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287DC2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1151FF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2789DE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84F5A5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749EC9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A0611A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5E11C4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807728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0C102C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7954BF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58F0B6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BB4763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528A82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3C7972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AFF0CB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5967B0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8FA932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EB663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4BDA7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71987E5"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bottom"/>
            <w:hideMark/>
          </w:tcPr>
          <w:p w14:paraId="30B5C4EA"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1.3.3 Унапређење капацитета буџетских аналитичара за припрему буџета у складу са прописима ЕУ</w:t>
            </w:r>
          </w:p>
        </w:tc>
        <w:tc>
          <w:tcPr>
            <w:tcW w:w="410" w:type="dxa"/>
            <w:tcBorders>
              <w:top w:val="nil"/>
              <w:left w:val="nil"/>
              <w:bottom w:val="single" w:sz="4" w:space="0" w:color="FFFFFF"/>
              <w:right w:val="single" w:sz="4" w:space="0" w:color="FFFFFF"/>
            </w:tcBorders>
            <w:shd w:val="clear" w:color="000000" w:fill="A6C9EC"/>
            <w:noWrap/>
            <w:vAlign w:val="bottom"/>
            <w:hideMark/>
          </w:tcPr>
          <w:p w14:paraId="485018C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3D366F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022791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58CFD6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CE2A7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E52B47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5E28F0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F94D54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BC7F72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161DA6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2047A9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0DF85D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A1D602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3FF9E3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065698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D8DB60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08C486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0C1D9C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7CB882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632D4C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97BC417" w14:textId="77777777" w:rsidTr="00924D5A">
        <w:trPr>
          <w:trHeight w:val="855"/>
        </w:trPr>
        <w:tc>
          <w:tcPr>
            <w:tcW w:w="4480" w:type="dxa"/>
            <w:tcBorders>
              <w:top w:val="nil"/>
              <w:left w:val="single" w:sz="4" w:space="0" w:color="FFFFFF"/>
              <w:bottom w:val="single" w:sz="4" w:space="0" w:color="FFFFFF"/>
              <w:right w:val="single" w:sz="4" w:space="0" w:color="FFFFFF"/>
            </w:tcBorders>
            <w:shd w:val="clear" w:color="000000" w:fill="153D64"/>
            <w:hideMark/>
          </w:tcPr>
          <w:p w14:paraId="597F3F78"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1.4: Унапређење окружења за ефикасно управљање капиталним пројектима</w:t>
            </w:r>
          </w:p>
        </w:tc>
        <w:tc>
          <w:tcPr>
            <w:tcW w:w="410" w:type="dxa"/>
            <w:tcBorders>
              <w:top w:val="nil"/>
              <w:left w:val="nil"/>
              <w:bottom w:val="single" w:sz="4" w:space="0" w:color="FFFFFF"/>
              <w:right w:val="single" w:sz="4" w:space="0" w:color="FFFFFF"/>
            </w:tcBorders>
            <w:shd w:val="clear" w:color="000000" w:fill="153D64"/>
            <w:noWrap/>
            <w:vAlign w:val="bottom"/>
            <w:hideMark/>
          </w:tcPr>
          <w:p w14:paraId="01B2D24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439FF6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007035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816BAB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B0640E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9F56C9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752871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415285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ABA5BA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A5B677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F9D30D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C67CEE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790DC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0120B9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F53959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49DC33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5762F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A7C378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A6A3C4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8978FF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DFFF165"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C1E5E67"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1.4.1 Измене и допуне правног оквира у складу са идентификованим слабостима примене у пракси</w:t>
            </w:r>
          </w:p>
        </w:tc>
        <w:tc>
          <w:tcPr>
            <w:tcW w:w="410" w:type="dxa"/>
            <w:tcBorders>
              <w:top w:val="nil"/>
              <w:left w:val="nil"/>
              <w:bottom w:val="single" w:sz="4" w:space="0" w:color="FFFFFF"/>
              <w:right w:val="single" w:sz="4" w:space="0" w:color="FFFFFF"/>
            </w:tcBorders>
            <w:shd w:val="clear" w:color="000000" w:fill="A6C9EC"/>
            <w:noWrap/>
            <w:vAlign w:val="bottom"/>
            <w:hideMark/>
          </w:tcPr>
          <w:p w14:paraId="74186A2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7AD917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8B1814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CB969D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01E504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5FA47D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DA429E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DE942F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8B9C2D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9754B5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3D70A4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BB284A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972D3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4AD91A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1BABB1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3A85D5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D1283D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A598F4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8DA50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A4040B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39A6430"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7EDC70A7"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1.4.2 Унапређење и стандардизација извештаја за јавност о статусу капиталних пројеката који се прате у складу са методологијом</w:t>
            </w:r>
          </w:p>
        </w:tc>
        <w:tc>
          <w:tcPr>
            <w:tcW w:w="410" w:type="dxa"/>
            <w:tcBorders>
              <w:top w:val="nil"/>
              <w:left w:val="nil"/>
              <w:bottom w:val="single" w:sz="4" w:space="0" w:color="FFFFFF"/>
              <w:right w:val="single" w:sz="4" w:space="0" w:color="FFFFFF"/>
            </w:tcBorders>
            <w:shd w:val="clear" w:color="000000" w:fill="A6C9EC"/>
            <w:noWrap/>
            <w:vAlign w:val="bottom"/>
            <w:hideMark/>
          </w:tcPr>
          <w:p w14:paraId="69DAA30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3AC9D1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013E7A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6ABD40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8F1036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11B71F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4F0B0E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0BF7E6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D60739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83F655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3205DD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BBD4F8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8A0FE5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34ABCE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3DCD9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F044A3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29FA9D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244A8F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F12637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F7FC44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72AD6FC" w14:textId="77777777" w:rsidTr="00924D5A">
        <w:trPr>
          <w:trHeight w:val="27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45025157"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1.4.3 Упознавање службеника у Сектору за капиталне пројекте са добром међународном праксом која се односе на планирање, праћење и извештавање у области јавних инвестиција кроз једну студијску посету и организацију  организацију радионице за запослене у Сектору за капиталне пројекте и за друге ресоре</w:t>
            </w:r>
          </w:p>
        </w:tc>
        <w:tc>
          <w:tcPr>
            <w:tcW w:w="410" w:type="dxa"/>
            <w:tcBorders>
              <w:top w:val="nil"/>
              <w:left w:val="nil"/>
              <w:bottom w:val="single" w:sz="4" w:space="0" w:color="FFFFFF"/>
              <w:right w:val="single" w:sz="4" w:space="0" w:color="FFFFFF"/>
            </w:tcBorders>
            <w:shd w:val="clear" w:color="000000" w:fill="A6C9EC"/>
            <w:noWrap/>
            <w:vAlign w:val="bottom"/>
            <w:hideMark/>
          </w:tcPr>
          <w:p w14:paraId="04F7508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ED8D6F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FBB4A4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F1D2E0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D7BB13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D4A495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EBAD6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D68F1F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E17292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992C59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EB3E8F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6FCDF7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149CC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7CEACD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EC9C9A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E4A478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2A654B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20DC2F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4FC105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50C627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B7AF50E"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1865446"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1.4.4 Израда приручника о методологији у области капиталних пројеката (дизајн, припрема за штампу, лектура, консултантска подршка за садржај)</w:t>
            </w:r>
          </w:p>
        </w:tc>
        <w:tc>
          <w:tcPr>
            <w:tcW w:w="410" w:type="dxa"/>
            <w:tcBorders>
              <w:top w:val="nil"/>
              <w:left w:val="nil"/>
              <w:bottom w:val="single" w:sz="4" w:space="0" w:color="FFFFFF"/>
              <w:right w:val="single" w:sz="4" w:space="0" w:color="FFFFFF"/>
            </w:tcBorders>
            <w:shd w:val="clear" w:color="000000" w:fill="A6C9EC"/>
            <w:noWrap/>
            <w:vAlign w:val="bottom"/>
            <w:hideMark/>
          </w:tcPr>
          <w:p w14:paraId="195BA2E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B8618F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279A4C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FB30FB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36F3D9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D99CC3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03BA95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BDCBFF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EBCE0D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F09581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48449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1F5953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569EA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B56C9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B6E0B0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7A97C1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C0B07F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E3DD86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5A519A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9D5005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23D8432"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0717DFB3"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1.5: Јачање капацитета Одељења за праћење фискалних ризика</w:t>
            </w:r>
          </w:p>
        </w:tc>
        <w:tc>
          <w:tcPr>
            <w:tcW w:w="410" w:type="dxa"/>
            <w:tcBorders>
              <w:top w:val="nil"/>
              <w:left w:val="nil"/>
              <w:bottom w:val="single" w:sz="4" w:space="0" w:color="FFFFFF"/>
              <w:right w:val="single" w:sz="4" w:space="0" w:color="FFFFFF"/>
            </w:tcBorders>
            <w:shd w:val="clear" w:color="000000" w:fill="153D64"/>
            <w:noWrap/>
            <w:vAlign w:val="bottom"/>
            <w:hideMark/>
          </w:tcPr>
          <w:p w14:paraId="39ED7FB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7485C7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E10907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C83A88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1E642A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998C0B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424F19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6855C70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DC27F0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9906E6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4E797F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3BCD96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EEE4BD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6E073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BACEA9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3B1630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730BCC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3C7628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31BCA6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C2FD64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C2AF61A"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D05306F"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1.5.1 Унапређење и стандардизација извештавања о фискалним ризицима</w:t>
            </w:r>
          </w:p>
        </w:tc>
        <w:tc>
          <w:tcPr>
            <w:tcW w:w="410" w:type="dxa"/>
            <w:tcBorders>
              <w:top w:val="nil"/>
              <w:left w:val="nil"/>
              <w:bottom w:val="single" w:sz="4" w:space="0" w:color="FFFFFF"/>
              <w:right w:val="single" w:sz="4" w:space="0" w:color="FFFFFF"/>
            </w:tcBorders>
            <w:shd w:val="clear" w:color="000000" w:fill="A6C9EC"/>
            <w:noWrap/>
            <w:vAlign w:val="bottom"/>
            <w:hideMark/>
          </w:tcPr>
          <w:p w14:paraId="1B1FC3A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A0D5E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13A515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54EB5E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7A551D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C40C0E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B34B3A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FDD232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19A50F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8208CE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3CAB28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230478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35C9E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78EBF0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A43B79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2E7680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28EF9F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1914C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73F2D7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DC1501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9EA5083"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672FF233"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1.5.2 Ревидовање методологије за праћење фискалних ризика везаних за пословање државних предузећа и локалних самоуправа</w:t>
            </w:r>
          </w:p>
        </w:tc>
        <w:tc>
          <w:tcPr>
            <w:tcW w:w="410" w:type="dxa"/>
            <w:tcBorders>
              <w:top w:val="nil"/>
              <w:left w:val="nil"/>
              <w:bottom w:val="single" w:sz="4" w:space="0" w:color="FFFFFF"/>
              <w:right w:val="single" w:sz="4" w:space="0" w:color="FFFFFF"/>
            </w:tcBorders>
            <w:shd w:val="clear" w:color="000000" w:fill="A6C9EC"/>
            <w:noWrap/>
            <w:vAlign w:val="bottom"/>
            <w:hideMark/>
          </w:tcPr>
          <w:p w14:paraId="356B758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689990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7C1B17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CC0D93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D59464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4E9057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A8304C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F5C78F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998F6D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C436E6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1EF316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046D09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7BC6BE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285126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61EDE5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943A36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E0F9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BC1C50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3B12C5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EFEA41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D920800"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D1F8DFA"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1.5.3 Израда методологије за повезивање буџетских резерви са квантификованим показатељима ризика</w:t>
            </w:r>
          </w:p>
        </w:tc>
        <w:tc>
          <w:tcPr>
            <w:tcW w:w="410" w:type="dxa"/>
            <w:tcBorders>
              <w:top w:val="nil"/>
              <w:left w:val="nil"/>
              <w:bottom w:val="single" w:sz="4" w:space="0" w:color="FFFFFF"/>
              <w:right w:val="single" w:sz="4" w:space="0" w:color="FFFFFF"/>
            </w:tcBorders>
            <w:shd w:val="clear" w:color="000000" w:fill="A6C9EC"/>
            <w:noWrap/>
            <w:vAlign w:val="bottom"/>
            <w:hideMark/>
          </w:tcPr>
          <w:p w14:paraId="7E96883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FF54C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858BB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E4DDFF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C96FE6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7AB455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08FAE6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321E40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634E4A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636041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1488DA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76EED3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58F8E5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F5418A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842033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78386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BCC4EE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7FB71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4501B9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03EA02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60F3E1B"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649C523"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1.5.4 Израда методологије за праћење фискалних ризика од климатских промена</w:t>
            </w:r>
          </w:p>
        </w:tc>
        <w:tc>
          <w:tcPr>
            <w:tcW w:w="410" w:type="dxa"/>
            <w:tcBorders>
              <w:top w:val="nil"/>
              <w:left w:val="nil"/>
              <w:bottom w:val="single" w:sz="4" w:space="0" w:color="FFFFFF"/>
              <w:right w:val="single" w:sz="4" w:space="0" w:color="FFFFFF"/>
            </w:tcBorders>
            <w:shd w:val="clear" w:color="000000" w:fill="A6C9EC"/>
            <w:noWrap/>
            <w:vAlign w:val="bottom"/>
            <w:hideMark/>
          </w:tcPr>
          <w:p w14:paraId="671CA11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05CACD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E60C5B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18E147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2B3CCE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6C9AD0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20025A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AB193B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97DC7A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9610D2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B42C04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AD72A3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B7BC30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5F5696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2D8DB6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465A92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B161EF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AAFE57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902F55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18B3F7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79C4877" w14:textId="77777777" w:rsidTr="00924D5A">
        <w:trPr>
          <w:trHeight w:val="855"/>
        </w:trPr>
        <w:tc>
          <w:tcPr>
            <w:tcW w:w="4480" w:type="dxa"/>
            <w:tcBorders>
              <w:top w:val="nil"/>
              <w:left w:val="single" w:sz="4" w:space="0" w:color="FFFFFF"/>
              <w:bottom w:val="single" w:sz="4" w:space="0" w:color="FFFFFF"/>
              <w:right w:val="single" w:sz="4" w:space="0" w:color="FFFFFF"/>
            </w:tcBorders>
            <w:shd w:val="clear" w:color="000000" w:fill="153D64"/>
            <w:hideMark/>
          </w:tcPr>
          <w:p w14:paraId="21CE6548"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lastRenderedPageBreak/>
              <w:t>Мера 1.6: Успостављање система за координацију и управљање сопственим средствима ЕУ</w:t>
            </w:r>
          </w:p>
        </w:tc>
        <w:tc>
          <w:tcPr>
            <w:tcW w:w="410" w:type="dxa"/>
            <w:tcBorders>
              <w:top w:val="nil"/>
              <w:left w:val="nil"/>
              <w:bottom w:val="single" w:sz="4" w:space="0" w:color="FFFFFF"/>
              <w:right w:val="single" w:sz="4" w:space="0" w:color="FFFFFF"/>
            </w:tcBorders>
            <w:shd w:val="clear" w:color="000000" w:fill="153D64"/>
            <w:noWrap/>
            <w:vAlign w:val="bottom"/>
            <w:hideMark/>
          </w:tcPr>
          <w:p w14:paraId="0610477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99143B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4DFADE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41E67E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D84061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4CEA9B0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F49A94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7EF74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846514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CA8FB5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9BF1DA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3E29DA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7C83DF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7FEA63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F3C6D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C32F48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9DB0C8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37D314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4D913A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6D43FB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B860A23" w14:textId="77777777" w:rsidTr="00924D5A">
        <w:trPr>
          <w:trHeight w:val="15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194A492"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1.6.1 Успостављање оперативних и процедуралних веза између институција у циљу унапређења координације и размене података у складу са обавезама поглавља 33</w:t>
            </w:r>
          </w:p>
        </w:tc>
        <w:tc>
          <w:tcPr>
            <w:tcW w:w="410" w:type="dxa"/>
            <w:tcBorders>
              <w:top w:val="nil"/>
              <w:left w:val="nil"/>
              <w:bottom w:val="single" w:sz="4" w:space="0" w:color="FFFFFF"/>
              <w:right w:val="single" w:sz="4" w:space="0" w:color="FFFFFF"/>
            </w:tcBorders>
            <w:shd w:val="clear" w:color="000000" w:fill="A6C9EC"/>
            <w:noWrap/>
            <w:vAlign w:val="bottom"/>
            <w:hideMark/>
          </w:tcPr>
          <w:p w14:paraId="0E7A366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184E9B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306564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5291BB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5182D3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B8A8D1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D5462F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966220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E3467A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B78FD8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BA2328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87937D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D60020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739C47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E32FCD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1ACEB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0796A6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CF380B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49D555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DF4C7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B687E02"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03FB96E"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1.6.2  Развој и унапређење система, процеса и процедура у организационом и информационом, односно техничко-технолошком смислу </w:t>
            </w:r>
          </w:p>
        </w:tc>
        <w:tc>
          <w:tcPr>
            <w:tcW w:w="410" w:type="dxa"/>
            <w:tcBorders>
              <w:top w:val="nil"/>
              <w:left w:val="nil"/>
              <w:bottom w:val="single" w:sz="4" w:space="0" w:color="FFFFFF"/>
              <w:right w:val="single" w:sz="4" w:space="0" w:color="FFFFFF"/>
            </w:tcBorders>
            <w:shd w:val="clear" w:color="000000" w:fill="A6C9EC"/>
            <w:noWrap/>
            <w:vAlign w:val="bottom"/>
            <w:hideMark/>
          </w:tcPr>
          <w:p w14:paraId="37B98D3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46AA80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ABC1D5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DBE201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1E206D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72E5DC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8D12B3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B7370C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6B9C0E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F2961F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1A0F01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628742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8FC0FE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8FAB25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498678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5C8A18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CE978B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3C8883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F1EF63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1D820A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5924BB5" w14:textId="77777777" w:rsidTr="00924D5A">
        <w:trPr>
          <w:trHeight w:val="15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2B6CB13"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1.6.3 Успостављање и развој административних капацитета кроз формирање одговарајућих организационих јединица, запошљавање и обуку. </w:t>
            </w:r>
          </w:p>
        </w:tc>
        <w:tc>
          <w:tcPr>
            <w:tcW w:w="410" w:type="dxa"/>
            <w:tcBorders>
              <w:top w:val="nil"/>
              <w:left w:val="nil"/>
              <w:bottom w:val="single" w:sz="4" w:space="0" w:color="FFFFFF"/>
              <w:right w:val="single" w:sz="4" w:space="0" w:color="FFFFFF"/>
            </w:tcBorders>
            <w:shd w:val="clear" w:color="000000" w:fill="A6C9EC"/>
            <w:noWrap/>
            <w:vAlign w:val="bottom"/>
            <w:hideMark/>
          </w:tcPr>
          <w:p w14:paraId="0999622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C57729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1D417C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0A1BA2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76EA01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9FF6D5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71363A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DE3A3F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116E6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6A78B9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4A1FA7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5136BD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51C2C0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4D2197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B275C3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009AB7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E037C8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6CDE6E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4209A1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1C5351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BDB6B8D"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486F39F1"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1.7: Унапређење средњорочног планирања</w:t>
            </w:r>
          </w:p>
        </w:tc>
        <w:tc>
          <w:tcPr>
            <w:tcW w:w="410" w:type="dxa"/>
            <w:tcBorders>
              <w:top w:val="nil"/>
              <w:left w:val="nil"/>
              <w:bottom w:val="single" w:sz="4" w:space="0" w:color="FFFFFF"/>
              <w:right w:val="single" w:sz="4" w:space="0" w:color="FFFFFF"/>
            </w:tcBorders>
            <w:shd w:val="clear" w:color="000000" w:fill="153D64"/>
            <w:noWrap/>
            <w:vAlign w:val="bottom"/>
            <w:hideMark/>
          </w:tcPr>
          <w:p w14:paraId="6E0EAE8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44BA64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535BA4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938AF4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EAA17E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4E64E21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F41B9D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6784074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F18579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3E5B83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ED8E6D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21C2C8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DE61FC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05CCC6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31AB2C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4A80C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3BE48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7BB07C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D25427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974AB4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843B416" w14:textId="77777777" w:rsidTr="00924D5A">
        <w:trPr>
          <w:trHeight w:val="15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2BB9F93C" w14:textId="47B5006C" w:rsidR="005F2469" w:rsidRPr="00AA19A8" w:rsidRDefault="005F2469" w:rsidP="004F1556">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1.7.1  Пружање системске менторске подршке изради средњорочних планова обвезника средњорочног планирања на републичком нивоу, за боље усклађивање са годишњим буџетима обвезника</w:t>
            </w:r>
          </w:p>
        </w:tc>
        <w:tc>
          <w:tcPr>
            <w:tcW w:w="410" w:type="dxa"/>
            <w:tcBorders>
              <w:top w:val="nil"/>
              <w:left w:val="nil"/>
              <w:bottom w:val="single" w:sz="4" w:space="0" w:color="FFFFFF"/>
              <w:right w:val="single" w:sz="4" w:space="0" w:color="FFFFFF"/>
            </w:tcBorders>
            <w:shd w:val="clear" w:color="000000" w:fill="A6C9EC"/>
            <w:noWrap/>
            <w:vAlign w:val="bottom"/>
            <w:hideMark/>
          </w:tcPr>
          <w:p w14:paraId="189B33C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51D85D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8A3BC2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760F7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83C264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694D6F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707C0E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F7F814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9907A0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6A75A6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D4504A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BD05AA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32864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456CBF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0DC22D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831770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CB0617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5972FB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40DC56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F5B2FB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5EA0418" w14:textId="77777777" w:rsidTr="00924D5A">
        <w:trPr>
          <w:trHeight w:val="15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8609A05"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 xml:space="preserve">1.7.2 Успостављање мреже координатора средњорочног планирања, ради унапређења усклађености планирања јавних политика са средњорочним оквиром расхода </w:t>
            </w:r>
          </w:p>
        </w:tc>
        <w:tc>
          <w:tcPr>
            <w:tcW w:w="410" w:type="dxa"/>
            <w:tcBorders>
              <w:top w:val="nil"/>
              <w:left w:val="nil"/>
              <w:bottom w:val="single" w:sz="4" w:space="0" w:color="FFFFFF"/>
              <w:right w:val="single" w:sz="4" w:space="0" w:color="FFFFFF"/>
            </w:tcBorders>
            <w:shd w:val="clear" w:color="000000" w:fill="A6C9EC"/>
            <w:noWrap/>
            <w:vAlign w:val="bottom"/>
            <w:hideMark/>
          </w:tcPr>
          <w:p w14:paraId="7D01661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9B75E7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AB100A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372202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C48D8E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1B4FF9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7BEF5A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3E2529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C88608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6EBC87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E75C07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665632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A99CBC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92B476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C5EA6D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634368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C1D263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54F32B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A5A700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A89721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A37A243" w14:textId="77777777" w:rsidTr="00924D5A">
        <w:trPr>
          <w:trHeight w:val="855"/>
        </w:trPr>
        <w:tc>
          <w:tcPr>
            <w:tcW w:w="4480" w:type="dxa"/>
            <w:tcBorders>
              <w:top w:val="nil"/>
              <w:left w:val="single" w:sz="4" w:space="0" w:color="FFFFFF"/>
              <w:bottom w:val="single" w:sz="4" w:space="0" w:color="FFFFFF"/>
              <w:right w:val="single" w:sz="4" w:space="0" w:color="FFFFFF"/>
            </w:tcBorders>
            <w:shd w:val="clear" w:color="000000" w:fill="153D64"/>
            <w:hideMark/>
          </w:tcPr>
          <w:p w14:paraId="4DABC13E" w14:textId="77777777" w:rsidR="005F2469" w:rsidRPr="00AA19A8" w:rsidRDefault="005F2469" w:rsidP="005F2469">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2.1: Ефикасно прикупљање буџетских прихода који су у надлежности Пореске управе</w:t>
            </w:r>
          </w:p>
        </w:tc>
        <w:tc>
          <w:tcPr>
            <w:tcW w:w="410" w:type="dxa"/>
            <w:tcBorders>
              <w:top w:val="nil"/>
              <w:left w:val="nil"/>
              <w:bottom w:val="single" w:sz="4" w:space="0" w:color="FFFFFF"/>
              <w:right w:val="single" w:sz="4" w:space="0" w:color="FFFFFF"/>
            </w:tcBorders>
            <w:shd w:val="clear" w:color="000000" w:fill="153D64"/>
            <w:noWrap/>
            <w:vAlign w:val="bottom"/>
            <w:hideMark/>
          </w:tcPr>
          <w:p w14:paraId="51214E0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5BB289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8116F6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FEC1CA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015440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AE0CF2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D783E5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68FBB53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B64E31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869B65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A84E32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70BF85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142BD8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86EC0E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BEB79B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3A86D5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F778DF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88E94D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0F036C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A73094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209D6DA"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358CA65"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2.1.1 Имплементација готовог комерцијалног решења за интегрисани информациони систем за управљање порезима (COTS-ITMS)</w:t>
            </w:r>
          </w:p>
        </w:tc>
        <w:tc>
          <w:tcPr>
            <w:tcW w:w="410" w:type="dxa"/>
            <w:tcBorders>
              <w:top w:val="nil"/>
              <w:left w:val="nil"/>
              <w:bottom w:val="single" w:sz="4" w:space="0" w:color="FFFFFF"/>
              <w:right w:val="single" w:sz="4" w:space="0" w:color="FFFFFF"/>
            </w:tcBorders>
            <w:shd w:val="clear" w:color="000000" w:fill="A6C9EC"/>
            <w:noWrap/>
            <w:vAlign w:val="bottom"/>
            <w:hideMark/>
          </w:tcPr>
          <w:p w14:paraId="0059474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C11412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CFDF38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57543D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EB92E6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13528F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F714A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844B26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E7CC3F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3772E4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E3644C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F8BBD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B4A05A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1C7075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B719F9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04884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5EBC6A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130F8D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EC739D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C025F2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511CF63"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E844821"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2.1.2 Унапређење  функције образовања у Пореској управи Републике Србије</w:t>
            </w:r>
          </w:p>
        </w:tc>
        <w:tc>
          <w:tcPr>
            <w:tcW w:w="410" w:type="dxa"/>
            <w:tcBorders>
              <w:top w:val="nil"/>
              <w:left w:val="nil"/>
              <w:bottom w:val="single" w:sz="4" w:space="0" w:color="FFFFFF"/>
              <w:right w:val="single" w:sz="4" w:space="0" w:color="FFFFFF"/>
            </w:tcBorders>
            <w:shd w:val="clear" w:color="000000" w:fill="A6C9EC"/>
            <w:noWrap/>
            <w:vAlign w:val="bottom"/>
            <w:hideMark/>
          </w:tcPr>
          <w:p w14:paraId="73CFF92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C95F48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FD1E0A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1A3BD0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196CFD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1B13ED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7C43A4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DFCD25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71D586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BD60FC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E276E3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9BC7E8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F4E407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80B8C5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E12C1B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09F3FF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866759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DBA3A4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C59E15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F26F85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D1B3616" w14:textId="77777777" w:rsidTr="00924D5A">
        <w:trPr>
          <w:trHeight w:val="18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74DE234"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2.1.3 Даље усаглашавање националног законодавства (Укључује и измене шест пореских закона) и израда мапе пута релевантног за подршку  имплементације међународних система размене информација</w:t>
            </w:r>
          </w:p>
        </w:tc>
        <w:tc>
          <w:tcPr>
            <w:tcW w:w="410" w:type="dxa"/>
            <w:tcBorders>
              <w:top w:val="nil"/>
              <w:left w:val="nil"/>
              <w:bottom w:val="single" w:sz="4" w:space="0" w:color="FFFFFF"/>
              <w:right w:val="single" w:sz="4" w:space="0" w:color="FFFFFF"/>
            </w:tcBorders>
            <w:shd w:val="clear" w:color="000000" w:fill="A6C9EC"/>
            <w:noWrap/>
            <w:vAlign w:val="bottom"/>
            <w:hideMark/>
          </w:tcPr>
          <w:p w14:paraId="61EBCB8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DEC677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14B180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8E49FE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5D81E7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F158D2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8D3F2E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61B099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64BFF7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C94134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7B47A9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1CFA6A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6385C0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B2F8E2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A6E241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E6AAA9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D1E695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2BB572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80BC11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5FAAF1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CE052A8" w14:textId="77777777" w:rsidTr="00474726">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67F696B9"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2.1.4 Унапређење стратешких компетенција за управљање људским ресурсима</w:t>
            </w:r>
          </w:p>
        </w:tc>
        <w:tc>
          <w:tcPr>
            <w:tcW w:w="410" w:type="dxa"/>
            <w:tcBorders>
              <w:top w:val="nil"/>
              <w:left w:val="nil"/>
              <w:bottom w:val="single" w:sz="4" w:space="0" w:color="FFFFFF"/>
              <w:right w:val="single" w:sz="4" w:space="0" w:color="FFFFFF"/>
            </w:tcBorders>
            <w:shd w:val="clear" w:color="000000" w:fill="A6C9EC"/>
            <w:noWrap/>
            <w:vAlign w:val="bottom"/>
            <w:hideMark/>
          </w:tcPr>
          <w:p w14:paraId="7A0121E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87E8DF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A17DCC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07D4E5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232C16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9CC2E5" w:themeFill="accent1" w:themeFillTint="99"/>
            <w:noWrap/>
            <w:vAlign w:val="bottom"/>
            <w:hideMark/>
          </w:tcPr>
          <w:p w14:paraId="6032AB4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2E12C8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37685F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4FF55A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2852B6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9DFCCF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9C5F2F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A060D0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2D7FB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D8A14C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54B189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CFA2E1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4C72A2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7A824E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89CA7DB"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00B3707"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4CF9F32"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2.1.5 Увођење прелиминарне пореске пријаве пореза на додату вредност кроз надоградњу система електронских фактура </w:t>
            </w:r>
          </w:p>
        </w:tc>
        <w:tc>
          <w:tcPr>
            <w:tcW w:w="410" w:type="dxa"/>
            <w:tcBorders>
              <w:top w:val="nil"/>
              <w:left w:val="nil"/>
              <w:bottom w:val="single" w:sz="4" w:space="0" w:color="FFFFFF"/>
              <w:right w:val="single" w:sz="4" w:space="0" w:color="FFFFFF"/>
            </w:tcBorders>
            <w:shd w:val="clear" w:color="000000" w:fill="A6C9EC"/>
            <w:noWrap/>
            <w:vAlign w:val="bottom"/>
            <w:hideMark/>
          </w:tcPr>
          <w:p w14:paraId="7C1B026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338F17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A93D1A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3DF87D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16BA44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989980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E99F76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B5AA8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B5BAAD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6B539E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17AC67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E1D30A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0E14E7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8B069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6898C6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DC1D5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85D745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445AF4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0625066"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6B31A7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7620EEC"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94AC9B5" w14:textId="77777777"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2.1.6 Унапређење система електронских отпремница</w:t>
            </w:r>
          </w:p>
        </w:tc>
        <w:tc>
          <w:tcPr>
            <w:tcW w:w="410" w:type="dxa"/>
            <w:tcBorders>
              <w:top w:val="nil"/>
              <w:left w:val="nil"/>
              <w:bottom w:val="single" w:sz="4" w:space="0" w:color="FFFFFF"/>
              <w:right w:val="single" w:sz="4" w:space="0" w:color="FFFFFF"/>
            </w:tcBorders>
            <w:shd w:val="clear" w:color="000000" w:fill="A6C9EC"/>
            <w:noWrap/>
            <w:vAlign w:val="bottom"/>
            <w:hideMark/>
          </w:tcPr>
          <w:p w14:paraId="0528E725"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D38275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E4B327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5DAE51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993FE4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D8F7A0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44874B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AB38AF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4E62B4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D17E41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8962C4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42CBB0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30F568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E775D38"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44027E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C48A64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A20FE2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EC3669A"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943F78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F7B4710"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688733C"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7E352F9" w14:textId="7D0ECAD0" w:rsidR="005F2469" w:rsidRPr="00AA19A8" w:rsidRDefault="005F2469" w:rsidP="005F2469">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2.1.7 </w:t>
            </w:r>
            <w:r w:rsidR="007D442A" w:rsidRPr="007D442A">
              <w:rPr>
                <w:rFonts w:ascii="Times New Roman" w:hAnsi="Times New Roman" w:cs="Times New Roman"/>
                <w:i/>
                <w:iCs/>
                <w:lang w:val="sr-Cyrl-CS"/>
              </w:rPr>
              <w:t>Даље унапређење система еАкциза</w:t>
            </w:r>
          </w:p>
        </w:tc>
        <w:tc>
          <w:tcPr>
            <w:tcW w:w="410" w:type="dxa"/>
            <w:tcBorders>
              <w:top w:val="nil"/>
              <w:left w:val="nil"/>
              <w:bottom w:val="single" w:sz="4" w:space="0" w:color="FFFFFF"/>
              <w:right w:val="single" w:sz="4" w:space="0" w:color="FFFFFF"/>
            </w:tcBorders>
            <w:shd w:val="clear" w:color="000000" w:fill="A6C9EC"/>
            <w:noWrap/>
            <w:vAlign w:val="bottom"/>
            <w:hideMark/>
          </w:tcPr>
          <w:p w14:paraId="06F2C8C4"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B0CC46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3D8261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6395B4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16F8B5C"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F4216B9"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56E89E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CAE375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28CFFA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639AD93"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DC4A17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B723901"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801A3B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1F39BB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9A8D62D"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D2D665F"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1BD252E"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04800F2"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559165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5BAB397" w14:textId="77777777" w:rsidR="005F2469" w:rsidRPr="00AA19A8" w:rsidRDefault="005F2469" w:rsidP="005F2469">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32BF47B" w14:textId="77777777" w:rsidTr="002833C0">
        <w:trPr>
          <w:trHeight w:val="21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BB9944B"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2.1.8 Усклађивање одабраних пореских закона Републике Србије (ПДВ, Порез на доходак грађана, Порез на добит правних лица, Акцизе, Закон о пореском поступку и пореској администрацији) са правним тековинама ЕУ (Поглавље 16 – Опорезивање)</w:t>
            </w:r>
          </w:p>
        </w:tc>
        <w:tc>
          <w:tcPr>
            <w:tcW w:w="410" w:type="dxa"/>
            <w:tcBorders>
              <w:top w:val="nil"/>
              <w:left w:val="nil"/>
              <w:bottom w:val="single" w:sz="4" w:space="0" w:color="FFFFFF"/>
              <w:right w:val="single" w:sz="4" w:space="0" w:color="FFFFFF"/>
            </w:tcBorders>
            <w:shd w:val="clear" w:color="000000" w:fill="A6C9EC"/>
            <w:noWrap/>
            <w:vAlign w:val="bottom"/>
            <w:hideMark/>
          </w:tcPr>
          <w:p w14:paraId="797AF6B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D585CF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1F270E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CE12DC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35A6BE9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58EA1A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28186DF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4C3F4B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tcPr>
          <w:p w14:paraId="33315BB9" w14:textId="2C34C5C5" w:rsidR="004D635C" w:rsidRPr="00AA19A8" w:rsidRDefault="004D635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F2F2F2"/>
            <w:noWrap/>
            <w:vAlign w:val="bottom"/>
            <w:hideMark/>
          </w:tcPr>
          <w:p w14:paraId="079886E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17CE6D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FB0E7E1" w14:textId="7F93E3D0"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0BC5C6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532EE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DF16A2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8161A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B8D4D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6DFC95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23C667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234159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DC0A790"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684ECAE1"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2.1.9 Израда пратећих подзаконских аката</w:t>
            </w:r>
          </w:p>
        </w:tc>
        <w:tc>
          <w:tcPr>
            <w:tcW w:w="410" w:type="dxa"/>
            <w:tcBorders>
              <w:top w:val="nil"/>
              <w:left w:val="nil"/>
              <w:bottom w:val="single" w:sz="4" w:space="0" w:color="FFFFFF"/>
              <w:right w:val="single" w:sz="4" w:space="0" w:color="FFFFFF"/>
            </w:tcBorders>
            <w:shd w:val="clear" w:color="000000" w:fill="A6C9EC"/>
            <w:noWrap/>
            <w:vAlign w:val="bottom"/>
            <w:hideMark/>
          </w:tcPr>
          <w:p w14:paraId="31CA136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57EF7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88ADB9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217C3A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4BA425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890384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FCB135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CB1E8D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3F54A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89F79D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912DC0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39053C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2EB0BE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E356EF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2EFF5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AB164F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7B0D2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5B47E9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8683BA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1C500E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8A75FCD"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2E90CB6"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2.1.10 Израда плана управљања променама и изградња капацитета пословне заједнице о практичној примени фискалних прописа </w:t>
            </w:r>
          </w:p>
        </w:tc>
        <w:tc>
          <w:tcPr>
            <w:tcW w:w="410" w:type="dxa"/>
            <w:tcBorders>
              <w:top w:val="nil"/>
              <w:left w:val="nil"/>
              <w:bottom w:val="single" w:sz="4" w:space="0" w:color="FFFFFF"/>
              <w:right w:val="single" w:sz="4" w:space="0" w:color="FFFFFF"/>
            </w:tcBorders>
            <w:shd w:val="clear" w:color="000000" w:fill="A6C9EC"/>
            <w:noWrap/>
            <w:vAlign w:val="bottom"/>
            <w:hideMark/>
          </w:tcPr>
          <w:p w14:paraId="5199944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BDB6DA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C0A2F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DD4E14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AD37FB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ED7734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A6E8F4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E7ACBC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7E8E50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CA796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44F80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90150D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28643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3C9534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D8C96E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86A43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955B8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883AD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EA9F0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87983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C9C2980"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tcPr>
          <w:p w14:paraId="36615E60" w14:textId="4CF302BE" w:rsidR="007A0E7C" w:rsidRPr="00AA19A8" w:rsidRDefault="007A0E7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2.1.11. Успостављање централне евиденције факторинга </w:t>
            </w:r>
          </w:p>
        </w:tc>
        <w:tc>
          <w:tcPr>
            <w:tcW w:w="410" w:type="dxa"/>
            <w:tcBorders>
              <w:top w:val="nil"/>
              <w:left w:val="nil"/>
              <w:bottom w:val="single" w:sz="4" w:space="0" w:color="FFFFFF"/>
              <w:right w:val="single" w:sz="4" w:space="0" w:color="FFFFFF"/>
            </w:tcBorders>
            <w:shd w:val="clear" w:color="000000" w:fill="A6C9EC"/>
            <w:noWrap/>
            <w:vAlign w:val="bottom"/>
          </w:tcPr>
          <w:p w14:paraId="506E6736"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A6C9EC"/>
            <w:noWrap/>
            <w:vAlign w:val="bottom"/>
          </w:tcPr>
          <w:p w14:paraId="367A5065"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A6C9EC"/>
            <w:noWrap/>
            <w:vAlign w:val="bottom"/>
          </w:tcPr>
          <w:p w14:paraId="0D6AFB00"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A6C9EC"/>
            <w:noWrap/>
            <w:vAlign w:val="bottom"/>
          </w:tcPr>
          <w:p w14:paraId="5C2BED57"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A6C9EC"/>
            <w:noWrap/>
            <w:vAlign w:val="bottom"/>
          </w:tcPr>
          <w:p w14:paraId="1C3D013E"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A6C9EC"/>
            <w:noWrap/>
            <w:vAlign w:val="bottom"/>
          </w:tcPr>
          <w:p w14:paraId="6B656ACF"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A6C9EC"/>
            <w:noWrap/>
            <w:vAlign w:val="bottom"/>
          </w:tcPr>
          <w:p w14:paraId="2CBF6563"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A6C9EC"/>
            <w:noWrap/>
            <w:vAlign w:val="bottom"/>
          </w:tcPr>
          <w:p w14:paraId="45A146E1"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A6C9EC"/>
            <w:noWrap/>
            <w:vAlign w:val="bottom"/>
          </w:tcPr>
          <w:p w14:paraId="5728FD41"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A6C9EC"/>
            <w:noWrap/>
            <w:vAlign w:val="bottom"/>
          </w:tcPr>
          <w:p w14:paraId="5A888672"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A6C9EC"/>
            <w:noWrap/>
            <w:vAlign w:val="bottom"/>
          </w:tcPr>
          <w:p w14:paraId="429AA977"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0" w:type="dxa"/>
            <w:tcBorders>
              <w:top w:val="nil"/>
              <w:left w:val="nil"/>
              <w:bottom w:val="single" w:sz="4" w:space="0" w:color="FFFFFF"/>
              <w:right w:val="single" w:sz="4" w:space="0" w:color="FFFFFF"/>
            </w:tcBorders>
            <w:shd w:val="clear" w:color="000000" w:fill="A6C9EC"/>
            <w:noWrap/>
            <w:vAlign w:val="bottom"/>
          </w:tcPr>
          <w:p w14:paraId="42642335"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F2F2F2"/>
            <w:noWrap/>
            <w:vAlign w:val="bottom"/>
          </w:tcPr>
          <w:p w14:paraId="16A76E17"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F2F2F2"/>
            <w:noWrap/>
            <w:vAlign w:val="bottom"/>
          </w:tcPr>
          <w:p w14:paraId="303726EC"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F2F2F2"/>
            <w:noWrap/>
            <w:vAlign w:val="bottom"/>
          </w:tcPr>
          <w:p w14:paraId="4EDCF8E9"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15" w:type="dxa"/>
            <w:tcBorders>
              <w:top w:val="nil"/>
              <w:left w:val="nil"/>
              <w:bottom w:val="single" w:sz="4" w:space="0" w:color="FFFFFF"/>
              <w:right w:val="single" w:sz="4" w:space="0" w:color="FFFFFF"/>
            </w:tcBorders>
            <w:shd w:val="clear" w:color="000000" w:fill="F2F2F2"/>
            <w:noWrap/>
            <w:vAlign w:val="bottom"/>
          </w:tcPr>
          <w:p w14:paraId="0E45DFEF"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20" w:type="dxa"/>
            <w:tcBorders>
              <w:top w:val="nil"/>
              <w:left w:val="nil"/>
              <w:bottom w:val="single" w:sz="4" w:space="0" w:color="FFFFFF"/>
              <w:right w:val="single" w:sz="4" w:space="0" w:color="FFFFFF"/>
            </w:tcBorders>
            <w:shd w:val="clear" w:color="000000" w:fill="F2F2F2"/>
            <w:noWrap/>
            <w:vAlign w:val="bottom"/>
          </w:tcPr>
          <w:p w14:paraId="29AC8CC5"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20" w:type="dxa"/>
            <w:tcBorders>
              <w:top w:val="nil"/>
              <w:left w:val="nil"/>
              <w:bottom w:val="single" w:sz="4" w:space="0" w:color="FFFFFF"/>
              <w:right w:val="single" w:sz="4" w:space="0" w:color="FFFFFF"/>
            </w:tcBorders>
            <w:shd w:val="clear" w:color="000000" w:fill="F2F2F2"/>
            <w:noWrap/>
            <w:vAlign w:val="bottom"/>
          </w:tcPr>
          <w:p w14:paraId="5BA13D34"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20" w:type="dxa"/>
            <w:tcBorders>
              <w:top w:val="nil"/>
              <w:left w:val="nil"/>
              <w:bottom w:val="single" w:sz="4" w:space="0" w:color="FFFFFF"/>
              <w:right w:val="single" w:sz="4" w:space="0" w:color="FFFFFF"/>
            </w:tcBorders>
            <w:shd w:val="clear" w:color="000000" w:fill="F2F2F2"/>
            <w:noWrap/>
            <w:vAlign w:val="bottom"/>
          </w:tcPr>
          <w:p w14:paraId="53B5D359" w14:textId="77777777" w:rsidR="007A0E7C" w:rsidRPr="00AA19A8" w:rsidRDefault="007A0E7C" w:rsidP="004D635C">
            <w:pPr>
              <w:spacing w:before="0" w:after="0" w:line="240" w:lineRule="auto"/>
              <w:rPr>
                <w:rFonts w:ascii="Aptos Narrow" w:eastAsia="Times New Roman" w:hAnsi="Aptos Narrow" w:cs="Times New Roman"/>
                <w:lang w:val="sr-Cyrl-CS"/>
              </w:rPr>
            </w:pPr>
          </w:p>
        </w:tc>
        <w:tc>
          <w:tcPr>
            <w:tcW w:w="420" w:type="dxa"/>
            <w:tcBorders>
              <w:top w:val="nil"/>
              <w:left w:val="nil"/>
              <w:bottom w:val="single" w:sz="4" w:space="0" w:color="FFFFFF"/>
              <w:right w:val="single" w:sz="4" w:space="0" w:color="FFFFFF"/>
            </w:tcBorders>
            <w:shd w:val="clear" w:color="000000" w:fill="F2F2F2"/>
            <w:noWrap/>
            <w:vAlign w:val="bottom"/>
          </w:tcPr>
          <w:p w14:paraId="0179E6E9" w14:textId="77777777" w:rsidR="007A0E7C" w:rsidRPr="00AA19A8" w:rsidRDefault="007A0E7C" w:rsidP="004D635C">
            <w:pPr>
              <w:spacing w:before="0" w:after="0" w:line="240" w:lineRule="auto"/>
              <w:rPr>
                <w:rFonts w:ascii="Aptos Narrow" w:eastAsia="Times New Roman" w:hAnsi="Aptos Narrow" w:cs="Times New Roman"/>
                <w:lang w:val="sr-Cyrl-CS"/>
              </w:rPr>
            </w:pPr>
          </w:p>
        </w:tc>
      </w:tr>
      <w:tr w:rsidR="00D30238" w:rsidRPr="00AA19A8" w14:paraId="527638B3" w14:textId="77777777" w:rsidTr="00924D5A">
        <w:trPr>
          <w:trHeight w:val="1140"/>
        </w:trPr>
        <w:tc>
          <w:tcPr>
            <w:tcW w:w="4480" w:type="dxa"/>
            <w:tcBorders>
              <w:top w:val="nil"/>
              <w:left w:val="single" w:sz="4" w:space="0" w:color="FFFFFF"/>
              <w:bottom w:val="single" w:sz="4" w:space="0" w:color="FFFFFF"/>
              <w:right w:val="single" w:sz="4" w:space="0" w:color="FFFFFF"/>
            </w:tcBorders>
            <w:shd w:val="clear" w:color="000000" w:fill="153D64"/>
            <w:hideMark/>
          </w:tcPr>
          <w:p w14:paraId="38130FC5"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2.2: Смањење административног оптерећења и унапређење ефикасности пружања електронских услуга у надлежности Управе за дуван</w:t>
            </w:r>
          </w:p>
        </w:tc>
        <w:tc>
          <w:tcPr>
            <w:tcW w:w="410" w:type="dxa"/>
            <w:tcBorders>
              <w:top w:val="nil"/>
              <w:left w:val="nil"/>
              <w:bottom w:val="single" w:sz="4" w:space="0" w:color="FFFFFF"/>
              <w:right w:val="single" w:sz="4" w:space="0" w:color="FFFFFF"/>
            </w:tcBorders>
            <w:shd w:val="clear" w:color="000000" w:fill="153D64"/>
            <w:noWrap/>
            <w:vAlign w:val="bottom"/>
            <w:hideMark/>
          </w:tcPr>
          <w:p w14:paraId="4E50B94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9E1BC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413F72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CFDA3B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97E18F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659191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C8CA0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9FC3E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CFE218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C5A3E3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D10D67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9FF4B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1F6917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B3689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6355C6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826550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1999CC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D205C0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D775B5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6F93BC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07392D2"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C69FFEC"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2.2.1 Припрема,  објава и спровођење видео-обука и упутства за подршку привредним субјектима за коришћење портала</w:t>
            </w:r>
          </w:p>
        </w:tc>
        <w:tc>
          <w:tcPr>
            <w:tcW w:w="410" w:type="dxa"/>
            <w:tcBorders>
              <w:top w:val="nil"/>
              <w:left w:val="nil"/>
              <w:bottom w:val="single" w:sz="4" w:space="0" w:color="FFFFFF"/>
              <w:right w:val="single" w:sz="4" w:space="0" w:color="FFFFFF"/>
            </w:tcBorders>
            <w:shd w:val="clear" w:color="000000" w:fill="A6C9EC"/>
            <w:noWrap/>
            <w:vAlign w:val="bottom"/>
            <w:hideMark/>
          </w:tcPr>
          <w:p w14:paraId="298BD2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424F86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95A168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02013B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9A1FE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6AB2B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FB121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94F942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CF2538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77A91C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438045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40B77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6F4CAB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812689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543179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9EDA2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C877D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4E6747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80FA2D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AE7249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49A0319"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CD42D60"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2.2.2 Унапређење ефикасности обраде извештаја поднетих путем портала</w:t>
            </w:r>
          </w:p>
        </w:tc>
        <w:tc>
          <w:tcPr>
            <w:tcW w:w="410" w:type="dxa"/>
            <w:tcBorders>
              <w:top w:val="nil"/>
              <w:left w:val="nil"/>
              <w:bottom w:val="single" w:sz="4" w:space="0" w:color="FFFFFF"/>
              <w:right w:val="single" w:sz="4" w:space="0" w:color="FFFFFF"/>
            </w:tcBorders>
            <w:shd w:val="clear" w:color="000000" w:fill="A6C9EC"/>
            <w:noWrap/>
            <w:vAlign w:val="bottom"/>
            <w:hideMark/>
          </w:tcPr>
          <w:p w14:paraId="32DD80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692240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F7C51B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F57D66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7C865F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DFB771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3146B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15D6B5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7EB802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09F738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0205C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493605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4E37F4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695F3C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1B5C2E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502044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96C2AF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5B9C8A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354B1D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336B3B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ADA80D5"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6375B1B8"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2.3: Јачање административних капацитета Управе царина</w:t>
            </w:r>
          </w:p>
        </w:tc>
        <w:tc>
          <w:tcPr>
            <w:tcW w:w="410" w:type="dxa"/>
            <w:tcBorders>
              <w:top w:val="nil"/>
              <w:left w:val="nil"/>
              <w:bottom w:val="single" w:sz="4" w:space="0" w:color="FFFFFF"/>
              <w:right w:val="single" w:sz="4" w:space="0" w:color="FFFFFF"/>
            </w:tcBorders>
            <w:shd w:val="clear" w:color="000000" w:fill="153D64"/>
            <w:noWrap/>
            <w:vAlign w:val="bottom"/>
            <w:hideMark/>
          </w:tcPr>
          <w:p w14:paraId="352FBF4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3CAD68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79590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FC5133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67F683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0CEFA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F59A5E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4D3F12F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7C891D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48F0AE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EA1B25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C442B9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E4A2F3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F02B45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5CC3EC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791FAD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651D99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D1424A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8CF157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B77B7F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31DF9DD"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B8D6B6E"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2.3.1 Надоградња апликације за транзитни поступак NCTS</w:t>
            </w:r>
          </w:p>
        </w:tc>
        <w:tc>
          <w:tcPr>
            <w:tcW w:w="410" w:type="dxa"/>
            <w:tcBorders>
              <w:top w:val="nil"/>
              <w:left w:val="nil"/>
              <w:bottom w:val="single" w:sz="4" w:space="0" w:color="FFFFFF"/>
              <w:right w:val="single" w:sz="4" w:space="0" w:color="FFFFFF"/>
            </w:tcBorders>
            <w:shd w:val="clear" w:color="000000" w:fill="A6C9EC"/>
            <w:noWrap/>
            <w:vAlign w:val="bottom"/>
            <w:hideMark/>
          </w:tcPr>
          <w:p w14:paraId="5B5F452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0EC11F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B7986F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03CB7E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4672B5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4F7C66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08471E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411B19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5D7849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806634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81C88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99CE11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75402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72ABC2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D8045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CF2A30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36643D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545CE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1FD8F2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7689B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707DDEC"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007560C"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2.3.2 Унапређење капацитета за ефектне накнадне контроле, утврђивање царинске вредности и преференцијалног порекла и сврставања робе</w:t>
            </w:r>
          </w:p>
        </w:tc>
        <w:tc>
          <w:tcPr>
            <w:tcW w:w="410" w:type="dxa"/>
            <w:tcBorders>
              <w:top w:val="nil"/>
              <w:left w:val="nil"/>
              <w:bottom w:val="single" w:sz="4" w:space="0" w:color="FFFFFF"/>
              <w:right w:val="single" w:sz="4" w:space="0" w:color="FFFFFF"/>
            </w:tcBorders>
            <w:shd w:val="clear" w:color="000000" w:fill="A6C9EC"/>
            <w:noWrap/>
            <w:vAlign w:val="bottom"/>
            <w:hideMark/>
          </w:tcPr>
          <w:p w14:paraId="247CDE2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5628BA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095571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C3A249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D9B2A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4C1C7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8FF30F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1075B5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246DA2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32B54E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064B4E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27D3D6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9A8EAC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044097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D2C228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135580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67EED3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E5F4DA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933682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4302B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F0D7ABE"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3D94CF2"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2.3.3 Модернизација царинске лабораторије</w:t>
            </w:r>
          </w:p>
        </w:tc>
        <w:tc>
          <w:tcPr>
            <w:tcW w:w="410" w:type="dxa"/>
            <w:tcBorders>
              <w:top w:val="nil"/>
              <w:left w:val="nil"/>
              <w:bottom w:val="single" w:sz="4" w:space="0" w:color="FFFFFF"/>
              <w:right w:val="single" w:sz="4" w:space="0" w:color="FFFFFF"/>
            </w:tcBorders>
            <w:shd w:val="clear" w:color="000000" w:fill="A6C9EC"/>
            <w:noWrap/>
            <w:vAlign w:val="bottom"/>
            <w:hideMark/>
          </w:tcPr>
          <w:p w14:paraId="5269D22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0B108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A4BA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49DC67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3D3DE8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20DDC2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8C4AE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C652E2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0A910E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0FA02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24E060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648FCA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912480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D62CE0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2878C7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524462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BA37A3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9937C9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A1FC86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0581AE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3FAD68A"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32AAEE7"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2.3.4 Имплементација увозних и извозних аутоматизованих система (AIS-AES) и система управљања (CDS)</w:t>
            </w:r>
          </w:p>
        </w:tc>
        <w:tc>
          <w:tcPr>
            <w:tcW w:w="410" w:type="dxa"/>
            <w:tcBorders>
              <w:top w:val="nil"/>
              <w:left w:val="nil"/>
              <w:bottom w:val="single" w:sz="4" w:space="0" w:color="FFFFFF"/>
              <w:right w:val="single" w:sz="4" w:space="0" w:color="FFFFFF"/>
            </w:tcBorders>
            <w:shd w:val="clear" w:color="000000" w:fill="A6C9EC"/>
            <w:noWrap/>
            <w:vAlign w:val="bottom"/>
            <w:hideMark/>
          </w:tcPr>
          <w:p w14:paraId="2784C1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AED7BE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3B7821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06B4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6476DF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D5354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0DAF1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A7A35D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D7024B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23D4F6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51B205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CB49D3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800519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F4735E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9EC625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C84B7A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A85A58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42B360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8C4A7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B5B989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B5EF907"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2905509D"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2.3.5 Развој система наплате буџетских прихода, праћења наплате и интеграција са аутоматизованим системима</w:t>
            </w:r>
          </w:p>
        </w:tc>
        <w:tc>
          <w:tcPr>
            <w:tcW w:w="410" w:type="dxa"/>
            <w:tcBorders>
              <w:top w:val="nil"/>
              <w:left w:val="nil"/>
              <w:bottom w:val="single" w:sz="4" w:space="0" w:color="FFFFFF"/>
              <w:right w:val="single" w:sz="4" w:space="0" w:color="FFFFFF"/>
            </w:tcBorders>
            <w:shd w:val="clear" w:color="000000" w:fill="A6C9EC"/>
            <w:noWrap/>
            <w:vAlign w:val="bottom"/>
            <w:hideMark/>
          </w:tcPr>
          <w:p w14:paraId="4BF260C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770ED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E819E4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DA1146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797B55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213A37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671F6A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D110F6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289015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D054A6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F0475E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92B53D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E3C38C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75BADD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32919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AB4C7E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4667B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A9DDF3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589B79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F542D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2E6A45F"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758439E3"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2.3.6 Имплементација софтвера за интегрисано управљање тарифом (ITMS) </w:t>
            </w:r>
          </w:p>
        </w:tc>
        <w:tc>
          <w:tcPr>
            <w:tcW w:w="410" w:type="dxa"/>
            <w:tcBorders>
              <w:top w:val="nil"/>
              <w:left w:val="nil"/>
              <w:bottom w:val="single" w:sz="4" w:space="0" w:color="FFFFFF"/>
              <w:right w:val="single" w:sz="4" w:space="0" w:color="FFFFFF"/>
            </w:tcBorders>
            <w:shd w:val="clear" w:color="000000" w:fill="A6C9EC"/>
            <w:noWrap/>
            <w:vAlign w:val="bottom"/>
            <w:hideMark/>
          </w:tcPr>
          <w:p w14:paraId="6CADAA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D62C1C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B069D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AD8938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1A06D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29B37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7A9F3F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011A6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B5DD86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A42AC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AD6D0C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E13CDF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8D2343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329B22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1A4D81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C02B43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EC93F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991676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A3965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6F367E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1F23DE4" w14:textId="77777777" w:rsidTr="00924D5A">
        <w:trPr>
          <w:trHeight w:val="6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253CAFF9"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2.3.7 Набавка и имплементација складишта за чување царинских података (data warehouse)</w:t>
            </w:r>
          </w:p>
        </w:tc>
        <w:tc>
          <w:tcPr>
            <w:tcW w:w="410" w:type="dxa"/>
            <w:tcBorders>
              <w:top w:val="nil"/>
              <w:left w:val="nil"/>
              <w:bottom w:val="single" w:sz="4" w:space="0" w:color="FFFFFF"/>
              <w:right w:val="single" w:sz="4" w:space="0" w:color="FFFFFF"/>
            </w:tcBorders>
            <w:shd w:val="clear" w:color="000000" w:fill="A6C9EC"/>
            <w:noWrap/>
            <w:vAlign w:val="bottom"/>
            <w:hideMark/>
          </w:tcPr>
          <w:p w14:paraId="2437A6A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601C55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CFC5E9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8C4B0D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CC15C4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0FF169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51396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B6F29D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2A5DA4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FB3AB3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ABC132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C37BC8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4836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A50399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2BF48C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F56CC3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FE5F58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40862A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0BD863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1D20AB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ECFE63F"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353D0FC6"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2.4: Ефикасно управљање јавним дугом</w:t>
            </w:r>
          </w:p>
        </w:tc>
        <w:tc>
          <w:tcPr>
            <w:tcW w:w="410" w:type="dxa"/>
            <w:tcBorders>
              <w:top w:val="nil"/>
              <w:left w:val="nil"/>
              <w:bottom w:val="single" w:sz="4" w:space="0" w:color="FFFFFF"/>
              <w:right w:val="single" w:sz="4" w:space="0" w:color="FFFFFF"/>
            </w:tcBorders>
            <w:shd w:val="clear" w:color="000000" w:fill="153D64"/>
            <w:noWrap/>
            <w:vAlign w:val="bottom"/>
            <w:hideMark/>
          </w:tcPr>
          <w:p w14:paraId="0292DE6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76A9C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00CB70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2D6CF1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5D300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AD7EC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48A81B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424B5D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F6113E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A458F9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9A335D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554DDE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3D1E99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6FB3DA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F798D9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53A4DE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8CB3B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7AA509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BE38F6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FFFE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1A2355C"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8C0F281"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2.4.1 Проширивање обухвата извештавања (јединица) развојем и применом Информационог система за подношење финансијских извештаја</w:t>
            </w:r>
          </w:p>
        </w:tc>
        <w:tc>
          <w:tcPr>
            <w:tcW w:w="410" w:type="dxa"/>
            <w:tcBorders>
              <w:top w:val="nil"/>
              <w:left w:val="nil"/>
              <w:bottom w:val="single" w:sz="4" w:space="0" w:color="FFFFFF"/>
              <w:right w:val="single" w:sz="4" w:space="0" w:color="FFFFFF"/>
            </w:tcBorders>
            <w:shd w:val="clear" w:color="000000" w:fill="A6C9EC"/>
            <w:noWrap/>
            <w:vAlign w:val="bottom"/>
            <w:hideMark/>
          </w:tcPr>
          <w:p w14:paraId="6D23FCD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8A7332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162F7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AB8B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C10C42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A426AD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10A27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D8AFE9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855C12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CDF7D9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4E0BDF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CE4F04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E34A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BA9630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C49AE3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AD01D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52C86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82143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F2C23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B4B44F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88EED36" w14:textId="77777777" w:rsidTr="006B65DC">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26E60502"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2.4.2 Емитовање зелених/одрживих еврообвезница на међународном тржишту</w:t>
            </w:r>
          </w:p>
        </w:tc>
        <w:tc>
          <w:tcPr>
            <w:tcW w:w="410" w:type="dxa"/>
            <w:tcBorders>
              <w:top w:val="nil"/>
              <w:left w:val="nil"/>
              <w:bottom w:val="single" w:sz="4" w:space="0" w:color="FFFFFF"/>
              <w:right w:val="single" w:sz="4" w:space="0" w:color="FFFFFF"/>
            </w:tcBorders>
            <w:shd w:val="clear" w:color="000000" w:fill="A6C9EC"/>
            <w:noWrap/>
            <w:vAlign w:val="bottom"/>
            <w:hideMark/>
          </w:tcPr>
          <w:p w14:paraId="615AD77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509FE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B7CF1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34A42B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2EE91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53E302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7DCB139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72BAD7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04E84A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5E6F432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6D70E19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auto" w:fill="F2F2F2" w:themeFill="background1" w:themeFillShade="F2"/>
            <w:noWrap/>
            <w:vAlign w:val="bottom"/>
            <w:hideMark/>
          </w:tcPr>
          <w:p w14:paraId="1E8C8D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11DEB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3DD92B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65208F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42FA69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3165F5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549C2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4F7F8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7FFB9F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A456124" w14:textId="77777777" w:rsidTr="00924D5A">
        <w:trPr>
          <w:trHeight w:val="9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E2F036B"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2.4.3 Емитовање зелених/одрживих државних обвезница на домаћем тржишту</w:t>
            </w:r>
          </w:p>
        </w:tc>
        <w:tc>
          <w:tcPr>
            <w:tcW w:w="410" w:type="dxa"/>
            <w:tcBorders>
              <w:top w:val="nil"/>
              <w:left w:val="nil"/>
              <w:bottom w:val="single" w:sz="4" w:space="0" w:color="FFFFFF"/>
              <w:right w:val="single" w:sz="4" w:space="0" w:color="FFFFFF"/>
            </w:tcBorders>
            <w:shd w:val="clear" w:color="000000" w:fill="A6C9EC"/>
            <w:noWrap/>
            <w:vAlign w:val="bottom"/>
            <w:hideMark/>
          </w:tcPr>
          <w:p w14:paraId="3CA2C8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BEC42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1AD64D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401D6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58FFE1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0148F2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FC4A53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603AF0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65DD33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87BD51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1ABC35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57148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601DD4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0929E3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3CDAC3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45529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212CF7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6AE33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3E9F26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1057AD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B35ACCE" w14:textId="77777777" w:rsidTr="00924D5A">
        <w:trPr>
          <w:trHeight w:val="12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2AC8B47"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2.4.4 Унапређење извештавања применом алата пословне интелигенције у постојећем информационом систему (PDMS) </w:t>
            </w:r>
          </w:p>
        </w:tc>
        <w:tc>
          <w:tcPr>
            <w:tcW w:w="410" w:type="dxa"/>
            <w:tcBorders>
              <w:top w:val="nil"/>
              <w:left w:val="nil"/>
              <w:bottom w:val="single" w:sz="4" w:space="0" w:color="FFFFFF"/>
              <w:right w:val="single" w:sz="4" w:space="0" w:color="FFFFFF"/>
            </w:tcBorders>
            <w:shd w:val="clear" w:color="000000" w:fill="A6C9EC"/>
            <w:noWrap/>
            <w:vAlign w:val="bottom"/>
            <w:hideMark/>
          </w:tcPr>
          <w:p w14:paraId="2067FD8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07622F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F2878C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EAD7D3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0A8D5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80EF1D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06155E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129FFD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348FBD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1F1BF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242957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F6C342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519417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4F22E5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9E919B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E8C9EA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B0563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EE7A5F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7D6BA7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BD2B5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6C7E673"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55335E1C"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2.5: Јачање капацитета службеника за јавне набавке</w:t>
            </w:r>
          </w:p>
        </w:tc>
        <w:tc>
          <w:tcPr>
            <w:tcW w:w="410" w:type="dxa"/>
            <w:tcBorders>
              <w:top w:val="nil"/>
              <w:left w:val="nil"/>
              <w:bottom w:val="single" w:sz="4" w:space="0" w:color="FFFFFF"/>
              <w:right w:val="single" w:sz="4" w:space="0" w:color="FFFFFF"/>
            </w:tcBorders>
            <w:shd w:val="clear" w:color="000000" w:fill="153D64"/>
            <w:noWrap/>
            <w:vAlign w:val="bottom"/>
            <w:hideMark/>
          </w:tcPr>
          <w:p w14:paraId="2EAE3B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D1A5F3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7C4AB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EE526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7F22C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09A3C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80DBD5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225FAA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60E24D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7A8718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418E4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9F35D9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85925E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F10829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76E82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596B8B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23987A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4168B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FF777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3B160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F3C9F11"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DE0B560"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2.5.1 Обуке за припрему за полагање испита за службенике за јавне набавке</w:t>
            </w:r>
          </w:p>
        </w:tc>
        <w:tc>
          <w:tcPr>
            <w:tcW w:w="410" w:type="dxa"/>
            <w:tcBorders>
              <w:top w:val="nil"/>
              <w:left w:val="nil"/>
              <w:bottom w:val="single" w:sz="4" w:space="0" w:color="FFFFFF"/>
              <w:right w:val="single" w:sz="4" w:space="0" w:color="FFFFFF"/>
            </w:tcBorders>
            <w:shd w:val="clear" w:color="000000" w:fill="A6C9EC"/>
            <w:noWrap/>
            <w:vAlign w:val="bottom"/>
            <w:hideMark/>
          </w:tcPr>
          <w:p w14:paraId="509AF7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412B2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C441DB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C35D72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88B67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6FF474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A5E722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44DB8F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4BD355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9B530F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7252B9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805CC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183D88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17183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30A1B4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5C640D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1B1AF0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8955BB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4ED4F9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12CC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624EE9F"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3AF5B71"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2.5.2 Израда практичних алата за службенике за јавне набавке за примену Закона о јавним набавкама и коришћење Портала јавних набавки</w:t>
            </w:r>
          </w:p>
        </w:tc>
        <w:tc>
          <w:tcPr>
            <w:tcW w:w="410" w:type="dxa"/>
            <w:tcBorders>
              <w:top w:val="nil"/>
              <w:left w:val="nil"/>
              <w:bottom w:val="single" w:sz="4" w:space="0" w:color="FFFFFF"/>
              <w:right w:val="single" w:sz="4" w:space="0" w:color="FFFFFF"/>
            </w:tcBorders>
            <w:shd w:val="clear" w:color="000000" w:fill="A6C9EC"/>
            <w:noWrap/>
            <w:vAlign w:val="bottom"/>
            <w:hideMark/>
          </w:tcPr>
          <w:p w14:paraId="0953D9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0BC15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A8F012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B2B965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234A1B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82BBB5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0BF1A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E58357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90761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B41E9A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AAE40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9EE5B2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82CA8E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458CB4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D7B84C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6A2082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11ED6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71881C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238C5B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7056C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37EB5E3"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1E321F5"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2.5.3 Обуке и радионице за службенике за јавне набавке на тему планирања и истраживања тржишта</w:t>
            </w:r>
          </w:p>
        </w:tc>
        <w:tc>
          <w:tcPr>
            <w:tcW w:w="410" w:type="dxa"/>
            <w:tcBorders>
              <w:top w:val="nil"/>
              <w:left w:val="nil"/>
              <w:bottom w:val="single" w:sz="4" w:space="0" w:color="FFFFFF"/>
              <w:right w:val="single" w:sz="4" w:space="0" w:color="FFFFFF"/>
            </w:tcBorders>
            <w:shd w:val="clear" w:color="000000" w:fill="A6C9EC"/>
            <w:noWrap/>
            <w:vAlign w:val="bottom"/>
            <w:hideMark/>
          </w:tcPr>
          <w:p w14:paraId="519A5F7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A4D193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ACC592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C84D34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EAB42B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B2AFE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B7C2C9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5C8A8E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E056B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104AFC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BD809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9FC29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9C4964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5C660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67BD8E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83E217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296A7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8A4A8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FD1B5A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B338B9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96409C2"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F148887"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2.5.4 Спровођење годишњих обука и радионица за службенике за јавне набавке на тему спречавања сукоба интереса и корупције </w:t>
            </w:r>
          </w:p>
        </w:tc>
        <w:tc>
          <w:tcPr>
            <w:tcW w:w="410" w:type="dxa"/>
            <w:tcBorders>
              <w:top w:val="nil"/>
              <w:left w:val="nil"/>
              <w:bottom w:val="single" w:sz="4" w:space="0" w:color="FFFFFF"/>
              <w:right w:val="single" w:sz="4" w:space="0" w:color="FFFFFF"/>
            </w:tcBorders>
            <w:shd w:val="clear" w:color="000000" w:fill="A6C9EC"/>
            <w:noWrap/>
            <w:vAlign w:val="bottom"/>
            <w:hideMark/>
          </w:tcPr>
          <w:p w14:paraId="71C66C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436785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8B40A8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E05DF1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24BAE8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C7418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CCDCF8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EA024D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B25D6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5B5A6E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4D018F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E5ADF6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F38345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A3C34C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2C2CF2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692D3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9C314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BE3B2A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948F5E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F0F4F5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B34FDCF" w14:textId="77777777" w:rsidTr="006B65DC">
        <w:trPr>
          <w:trHeight w:val="1425"/>
        </w:trPr>
        <w:tc>
          <w:tcPr>
            <w:tcW w:w="4480" w:type="dxa"/>
            <w:tcBorders>
              <w:top w:val="nil"/>
              <w:left w:val="single" w:sz="4" w:space="0" w:color="FFFFFF"/>
              <w:bottom w:val="single" w:sz="4" w:space="0" w:color="FFFFFF"/>
              <w:right w:val="single" w:sz="4" w:space="0" w:color="FFFFFF"/>
            </w:tcBorders>
            <w:shd w:val="clear" w:color="000000" w:fill="153D64"/>
            <w:hideMark/>
          </w:tcPr>
          <w:p w14:paraId="6DD73E0D"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lastRenderedPageBreak/>
              <w:t>Мера 3.1: Проширење обухвата ревизије и развој нове ревизорске методологије у надлежности Канцеларије за ревизију система управљања средствима ЕУ</w:t>
            </w:r>
          </w:p>
        </w:tc>
        <w:tc>
          <w:tcPr>
            <w:tcW w:w="410" w:type="dxa"/>
            <w:tcBorders>
              <w:top w:val="nil"/>
              <w:left w:val="nil"/>
              <w:bottom w:val="single" w:sz="4" w:space="0" w:color="FFFFFF"/>
              <w:right w:val="single" w:sz="4" w:space="0" w:color="FFFFFF"/>
            </w:tcBorders>
            <w:shd w:val="clear" w:color="000000" w:fill="153D64"/>
            <w:noWrap/>
            <w:vAlign w:val="bottom"/>
            <w:hideMark/>
          </w:tcPr>
          <w:p w14:paraId="75746C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E6463E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C58BCB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34D0D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1F3864" w:themeFill="accent5" w:themeFillShade="80"/>
            <w:noWrap/>
            <w:vAlign w:val="bottom"/>
            <w:hideMark/>
          </w:tcPr>
          <w:p w14:paraId="2E08F0F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1F3864" w:themeFill="accent5" w:themeFillShade="80"/>
            <w:noWrap/>
            <w:vAlign w:val="bottom"/>
            <w:hideMark/>
          </w:tcPr>
          <w:p w14:paraId="2811939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1F3864" w:themeFill="accent5" w:themeFillShade="80"/>
            <w:noWrap/>
            <w:vAlign w:val="bottom"/>
            <w:hideMark/>
          </w:tcPr>
          <w:p w14:paraId="4558E45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1F3864" w:themeFill="accent5" w:themeFillShade="80"/>
            <w:noWrap/>
            <w:vAlign w:val="bottom"/>
            <w:hideMark/>
          </w:tcPr>
          <w:p w14:paraId="7E3CFC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4BF0A3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FF730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8FD2CA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3A739B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15E180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1CC38E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2B0D6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51D31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C0EB0F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AA8081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B4B26B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D18CB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A0D1E16" w14:textId="77777777" w:rsidTr="006B65DC">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6AF9EC27"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3.1.1 Попуњавање групе за интерну ревизију Генералног секретаријата и служби Владе запошљавањем интерних ревизора</w:t>
            </w:r>
          </w:p>
        </w:tc>
        <w:tc>
          <w:tcPr>
            <w:tcW w:w="410" w:type="dxa"/>
            <w:tcBorders>
              <w:top w:val="nil"/>
              <w:left w:val="nil"/>
              <w:bottom w:val="single" w:sz="4" w:space="0" w:color="FFFFFF"/>
              <w:right w:val="single" w:sz="4" w:space="0" w:color="FFFFFF"/>
            </w:tcBorders>
            <w:shd w:val="clear" w:color="000000" w:fill="A6C9EC"/>
            <w:noWrap/>
            <w:vAlign w:val="bottom"/>
            <w:hideMark/>
          </w:tcPr>
          <w:p w14:paraId="10E57B0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EAE3DF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D8C3F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864DEC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9CC2E5" w:themeFill="accent1" w:themeFillTint="99"/>
            <w:noWrap/>
            <w:vAlign w:val="bottom"/>
            <w:hideMark/>
          </w:tcPr>
          <w:p w14:paraId="30C49EB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9CC2E5" w:themeFill="accent1" w:themeFillTint="99"/>
            <w:noWrap/>
            <w:vAlign w:val="bottom"/>
            <w:hideMark/>
          </w:tcPr>
          <w:p w14:paraId="020A95F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9CC2E5" w:themeFill="accent1" w:themeFillTint="99"/>
            <w:noWrap/>
            <w:vAlign w:val="bottom"/>
            <w:hideMark/>
          </w:tcPr>
          <w:p w14:paraId="6B27443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9CC2E5" w:themeFill="accent1" w:themeFillTint="99"/>
            <w:noWrap/>
            <w:vAlign w:val="bottom"/>
            <w:hideMark/>
          </w:tcPr>
          <w:p w14:paraId="5C711A5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A0C986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040947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88C97A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4A20C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7B70AA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4206DE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B250A7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70F3F0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EF1306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5D9CE5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FCE601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B48FC8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2EB6313"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44817D3" w14:textId="6797AD2E"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3.1.2  Развој методолошког оквира за ревизију IPARD III (мере 4 и 6) у складу са захтевима ЕУ</w:t>
            </w:r>
          </w:p>
        </w:tc>
        <w:tc>
          <w:tcPr>
            <w:tcW w:w="410" w:type="dxa"/>
            <w:tcBorders>
              <w:top w:val="nil"/>
              <w:left w:val="nil"/>
              <w:bottom w:val="single" w:sz="4" w:space="0" w:color="FFFFFF"/>
              <w:right w:val="single" w:sz="4" w:space="0" w:color="FFFFFF"/>
            </w:tcBorders>
            <w:shd w:val="clear" w:color="000000" w:fill="A6C9EC"/>
            <w:noWrap/>
            <w:vAlign w:val="bottom"/>
            <w:hideMark/>
          </w:tcPr>
          <w:p w14:paraId="2CC6A7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C0F469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114FF3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D8F45A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C6F263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F1A58C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0CBF4A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B756CF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2E2A98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C8DAF4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28A027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38DB7F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ED7810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C7DE4E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4C23E7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AE333F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94CA72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CB54D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70A1E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60041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4F7CB18"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B4494B0"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3.1.3  Развој методолошког оквира за ревизију Инструмента за реформе и раст</w:t>
            </w:r>
          </w:p>
        </w:tc>
        <w:tc>
          <w:tcPr>
            <w:tcW w:w="410" w:type="dxa"/>
            <w:tcBorders>
              <w:top w:val="nil"/>
              <w:left w:val="nil"/>
              <w:bottom w:val="single" w:sz="4" w:space="0" w:color="FFFFFF"/>
              <w:right w:val="single" w:sz="4" w:space="0" w:color="FFFFFF"/>
            </w:tcBorders>
            <w:shd w:val="clear" w:color="000000" w:fill="A6C9EC"/>
            <w:noWrap/>
            <w:vAlign w:val="bottom"/>
            <w:hideMark/>
          </w:tcPr>
          <w:p w14:paraId="5108F40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F86DD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3F6F3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3E1EE2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D79313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D61106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FBEEC9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8797B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ED494D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C5F910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94C13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69B0A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4FFA38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E30718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380A7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9ABA5E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909582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687AEF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E4F97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E81CF3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D7B65C7"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1374E8F"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3.1.4 Развој капацитета за контролу и ревизију инструмента за реформу и раст кроз циљане обуке</w:t>
            </w:r>
          </w:p>
        </w:tc>
        <w:tc>
          <w:tcPr>
            <w:tcW w:w="410" w:type="dxa"/>
            <w:tcBorders>
              <w:top w:val="nil"/>
              <w:left w:val="nil"/>
              <w:bottom w:val="single" w:sz="4" w:space="0" w:color="FFFFFF"/>
              <w:right w:val="single" w:sz="4" w:space="0" w:color="FFFFFF"/>
            </w:tcBorders>
            <w:shd w:val="clear" w:color="000000" w:fill="A6C9EC"/>
            <w:noWrap/>
            <w:vAlign w:val="bottom"/>
            <w:hideMark/>
          </w:tcPr>
          <w:p w14:paraId="11CD7A9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2E41CD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43329D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9D9E13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6A2FF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6248AF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F4C86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3B7FB3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42C6B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72232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5FD11E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8A45C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46A55B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677F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8DCE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237FBC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8C32E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2D9E93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CD4AAF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5B074B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AD76973" w14:textId="77777777" w:rsidTr="00924D5A">
        <w:trPr>
          <w:trHeight w:val="1425"/>
        </w:trPr>
        <w:tc>
          <w:tcPr>
            <w:tcW w:w="4480" w:type="dxa"/>
            <w:tcBorders>
              <w:top w:val="nil"/>
              <w:left w:val="single" w:sz="4" w:space="0" w:color="FFFFFF"/>
              <w:bottom w:val="single" w:sz="4" w:space="0" w:color="FFFFFF"/>
              <w:right w:val="single" w:sz="4" w:space="0" w:color="FFFFFF"/>
            </w:tcBorders>
            <w:shd w:val="clear" w:color="000000" w:fill="153D64"/>
            <w:hideMark/>
          </w:tcPr>
          <w:p w14:paraId="31FC6B72"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3.2: Јачање система за ефикасније и делотворније управљање средствима ЕУ и оснаживање капацитета надлежних институција у области заштите финансијских интереса ЕУ</w:t>
            </w:r>
          </w:p>
        </w:tc>
        <w:tc>
          <w:tcPr>
            <w:tcW w:w="410" w:type="dxa"/>
            <w:tcBorders>
              <w:top w:val="nil"/>
              <w:left w:val="nil"/>
              <w:bottom w:val="single" w:sz="4" w:space="0" w:color="FFFFFF"/>
              <w:right w:val="single" w:sz="4" w:space="0" w:color="FFFFFF"/>
            </w:tcBorders>
            <w:shd w:val="clear" w:color="000000" w:fill="153D64"/>
            <w:noWrap/>
            <w:vAlign w:val="bottom"/>
            <w:hideMark/>
          </w:tcPr>
          <w:p w14:paraId="3BB2BA7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2A8876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66047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6AE555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90CBF5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915A3E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4E3CD3F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E9C93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7E10C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FA2CF3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3F3CB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ADEE72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457391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135BA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52DE7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D1E730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42EB0F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E472DF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BBB7F4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30D934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89D5FA3" w14:textId="77777777" w:rsidTr="00924D5A">
        <w:trPr>
          <w:trHeight w:val="127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64F54135"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3.2.1 Координација израде плана за спровођење континуираних стручних обука везаних за управљање и надзор у оквиру система за индиректно управљање средствима инструмента за претприступну помоћ ЕУ. </w:t>
            </w:r>
          </w:p>
        </w:tc>
        <w:tc>
          <w:tcPr>
            <w:tcW w:w="410" w:type="dxa"/>
            <w:tcBorders>
              <w:top w:val="nil"/>
              <w:left w:val="nil"/>
              <w:bottom w:val="single" w:sz="4" w:space="0" w:color="FFFFFF"/>
              <w:right w:val="single" w:sz="4" w:space="0" w:color="FFFFFF"/>
            </w:tcBorders>
            <w:shd w:val="clear" w:color="000000" w:fill="A6C9EC"/>
            <w:noWrap/>
            <w:vAlign w:val="bottom"/>
            <w:hideMark/>
          </w:tcPr>
          <w:p w14:paraId="2FD385C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0BF7F2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D7ECC6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475145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A9B18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B04724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49FCF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1ED06D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D2B43A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FCF8C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83BB6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5C2B0C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904059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A57B9F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286FEF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FF044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F87F08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D24182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CC0771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EA4F02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2A51131" w14:textId="77777777" w:rsidTr="00924D5A">
        <w:trPr>
          <w:trHeight w:val="102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86A996E"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3.2.2 Осигуравање одговарајућег броја државних службеника и унапређење капацитета свих учесника у процесу управљања средствима Европске уније. </w:t>
            </w:r>
          </w:p>
        </w:tc>
        <w:tc>
          <w:tcPr>
            <w:tcW w:w="410" w:type="dxa"/>
            <w:tcBorders>
              <w:top w:val="nil"/>
              <w:left w:val="nil"/>
              <w:bottom w:val="single" w:sz="4" w:space="0" w:color="FFFFFF"/>
              <w:right w:val="single" w:sz="4" w:space="0" w:color="FFFFFF"/>
            </w:tcBorders>
            <w:shd w:val="clear" w:color="000000" w:fill="A6C9EC"/>
            <w:noWrap/>
            <w:vAlign w:val="bottom"/>
            <w:hideMark/>
          </w:tcPr>
          <w:p w14:paraId="4C8CC0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EC914D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330CA4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1CCE7A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CDFADB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C16FF5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94FAF7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10B14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11ECCD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5A5397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E9B1AB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F5DDCE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EF0DA7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8F90E4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5A64D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7E4FF9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72D669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3C4C36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E895AD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66F30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CF04CD4" w14:textId="77777777" w:rsidTr="006B65DC">
        <w:trPr>
          <w:trHeight w:val="127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71916B73"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3.2.3 Допуна и измена релевантних националних прописа у вези са коришћењем Смерница за примену финансијских корекција и усвајање  Смерница за примену финансијских корекција у вези са коришћењем ЕУ средстава</w:t>
            </w:r>
          </w:p>
        </w:tc>
        <w:tc>
          <w:tcPr>
            <w:tcW w:w="410" w:type="dxa"/>
            <w:tcBorders>
              <w:top w:val="nil"/>
              <w:left w:val="nil"/>
              <w:bottom w:val="single" w:sz="4" w:space="0" w:color="FFFFFF"/>
              <w:right w:val="single" w:sz="4" w:space="0" w:color="FFFFFF"/>
            </w:tcBorders>
            <w:shd w:val="clear" w:color="000000" w:fill="A6C9EC"/>
            <w:noWrap/>
            <w:vAlign w:val="bottom"/>
            <w:hideMark/>
          </w:tcPr>
          <w:p w14:paraId="72D4152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D3BAB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51CA76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74FB4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9CC2E5" w:themeFill="accent1" w:themeFillTint="99"/>
            <w:noWrap/>
            <w:vAlign w:val="bottom"/>
            <w:hideMark/>
          </w:tcPr>
          <w:p w14:paraId="07CA6DE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auto" w:fill="9CC2E5" w:themeFill="accent1" w:themeFillTint="99"/>
            <w:noWrap/>
            <w:vAlign w:val="bottom"/>
            <w:hideMark/>
          </w:tcPr>
          <w:p w14:paraId="7BE808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F9128F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DE2C2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C4FCCF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C7838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B2680C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F2760B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4B6CB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9FACD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FB5969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45F99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96008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9FB7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D5A1A9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4BC0A9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89FFF04" w14:textId="77777777" w:rsidTr="00924D5A">
        <w:trPr>
          <w:trHeight w:val="102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9C03D68" w14:textId="6D2AAF35"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3.2.4 Израдa и усвајање Стратешког плана 2028 – 2030</w:t>
            </w:r>
            <w:r w:rsidR="00713D3C" w:rsidRPr="00AA19A8">
              <w:rPr>
                <w:rFonts w:ascii="Times New Roman" w:eastAsia="Times New Roman" w:hAnsi="Times New Roman" w:cs="Times New Roman"/>
                <w:i/>
                <w:iCs/>
                <w:lang w:val="sr-Cyrl-CS"/>
              </w:rPr>
              <w:t>.</w:t>
            </w:r>
            <w:r w:rsidRPr="00AA19A8">
              <w:rPr>
                <w:rFonts w:ascii="Times New Roman" w:eastAsia="Times New Roman" w:hAnsi="Times New Roman" w:cs="Times New Roman"/>
                <w:i/>
                <w:iCs/>
                <w:lang w:val="sr-Cyrl-CS"/>
              </w:rPr>
              <w:t xml:space="preserve"> ради унапређења рада националних институција релевантних за област заштите финансијских интереса ЕУ</w:t>
            </w:r>
          </w:p>
        </w:tc>
        <w:tc>
          <w:tcPr>
            <w:tcW w:w="410" w:type="dxa"/>
            <w:tcBorders>
              <w:top w:val="nil"/>
              <w:left w:val="nil"/>
              <w:bottom w:val="single" w:sz="4" w:space="0" w:color="FFFFFF"/>
              <w:right w:val="single" w:sz="4" w:space="0" w:color="FFFFFF"/>
            </w:tcBorders>
            <w:shd w:val="clear" w:color="000000" w:fill="A6C9EC"/>
            <w:noWrap/>
            <w:vAlign w:val="bottom"/>
            <w:hideMark/>
          </w:tcPr>
          <w:p w14:paraId="2F0070D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EF582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B8D20C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02F130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8FA28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FF61CC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FB9F7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C5E657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C68192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09964D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7BED2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EAA6AA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ACB45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237FF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3F04A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463CD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3C03D4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0FCB18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93359D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0B5A9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12B0377B"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D072F51"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3.2.5 Одржавање регионалне конференције / семинара ради размене искустава у борби против превара</w:t>
            </w:r>
          </w:p>
        </w:tc>
        <w:tc>
          <w:tcPr>
            <w:tcW w:w="410" w:type="dxa"/>
            <w:tcBorders>
              <w:top w:val="nil"/>
              <w:left w:val="nil"/>
              <w:bottom w:val="single" w:sz="4" w:space="0" w:color="FFFFFF"/>
              <w:right w:val="single" w:sz="4" w:space="0" w:color="FFFFFF"/>
            </w:tcBorders>
            <w:shd w:val="clear" w:color="000000" w:fill="A6C9EC"/>
            <w:noWrap/>
            <w:vAlign w:val="bottom"/>
            <w:hideMark/>
          </w:tcPr>
          <w:p w14:paraId="77AF21B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4AD943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1CE6D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9D18C0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6F661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4F729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8FA9A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0FC250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42626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690D77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DA6BB3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069BFE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3F3788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639F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EF242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EEF579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EFF08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8EF504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FE6FA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B2C6F2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9630BBD"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0D4D3225"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3.3: Повећање ефикасности и делотворности инспекцијског надзора</w:t>
            </w:r>
          </w:p>
        </w:tc>
        <w:tc>
          <w:tcPr>
            <w:tcW w:w="410" w:type="dxa"/>
            <w:tcBorders>
              <w:top w:val="nil"/>
              <w:left w:val="nil"/>
              <w:bottom w:val="single" w:sz="4" w:space="0" w:color="FFFFFF"/>
              <w:right w:val="single" w:sz="4" w:space="0" w:color="FFFFFF"/>
            </w:tcBorders>
            <w:shd w:val="clear" w:color="000000" w:fill="153D64"/>
            <w:noWrap/>
            <w:vAlign w:val="bottom"/>
            <w:hideMark/>
          </w:tcPr>
          <w:p w14:paraId="65895B5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18288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7B98E2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4902B7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9E13DC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10B5C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BE85B3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C010A9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F008EE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376653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016E02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8A20FD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C464C4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FE9EB5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BF6E38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9840B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9AB134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30E758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CBFE93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96240F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68E1AB8" w14:textId="77777777" w:rsidTr="006B65DC">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27C61A7E"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3.3.1 Доношење Водича кроз планирање и надзор буџетске инспекције (Стандарди рада буџетске инспекције)</w:t>
            </w:r>
          </w:p>
        </w:tc>
        <w:tc>
          <w:tcPr>
            <w:tcW w:w="410" w:type="dxa"/>
            <w:tcBorders>
              <w:top w:val="nil"/>
              <w:left w:val="nil"/>
              <w:bottom w:val="single" w:sz="4" w:space="0" w:color="FFFFFF"/>
              <w:right w:val="single" w:sz="4" w:space="0" w:color="FFFFFF"/>
            </w:tcBorders>
            <w:shd w:val="clear" w:color="000000" w:fill="A6C9EC"/>
            <w:noWrap/>
            <w:vAlign w:val="bottom"/>
            <w:hideMark/>
          </w:tcPr>
          <w:p w14:paraId="75F31C8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auto" w:fill="9CC2E5" w:themeFill="accent1" w:themeFillTint="99"/>
            <w:noWrap/>
            <w:vAlign w:val="bottom"/>
            <w:hideMark/>
          </w:tcPr>
          <w:p w14:paraId="0A9A4F3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auto" w:fill="9CC2E5" w:themeFill="accent1" w:themeFillTint="99"/>
            <w:noWrap/>
            <w:vAlign w:val="bottom"/>
            <w:hideMark/>
          </w:tcPr>
          <w:p w14:paraId="5CDCF73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auto" w:fill="9CC2E5" w:themeFill="accent1" w:themeFillTint="99"/>
            <w:noWrap/>
            <w:vAlign w:val="bottom"/>
            <w:hideMark/>
          </w:tcPr>
          <w:p w14:paraId="2405192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A3BA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E3785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2F998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C4CE1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C78C29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FCD26C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C5605C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B294B0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A306FA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F37924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1F2EA4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F12B3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B6E02A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6699EF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D03FD7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D1E82D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788E636"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4A3C98E"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3.3.2 Професионално усавршавање буџетских инспектора и других запослених у буџетској инспекцији континуираном едукацијом</w:t>
            </w:r>
          </w:p>
        </w:tc>
        <w:tc>
          <w:tcPr>
            <w:tcW w:w="410" w:type="dxa"/>
            <w:tcBorders>
              <w:top w:val="nil"/>
              <w:left w:val="nil"/>
              <w:bottom w:val="single" w:sz="4" w:space="0" w:color="FFFFFF"/>
              <w:right w:val="single" w:sz="4" w:space="0" w:color="FFFFFF"/>
            </w:tcBorders>
            <w:shd w:val="clear" w:color="000000" w:fill="A6C9EC"/>
            <w:noWrap/>
            <w:vAlign w:val="bottom"/>
            <w:hideMark/>
          </w:tcPr>
          <w:p w14:paraId="6A7815B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BE5F2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F85F3D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E8468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9E5ED6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4D14B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C54F67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27F557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9FFBA1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291B1E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A61FC2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C1412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9110CE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E286CE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FE5DCD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056DE0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F919BC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011C8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5535E3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A512F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DEAA15F"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9F4A9CA"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3.3.3 Обезбеђивање потребног броја запослених - 66</w:t>
            </w:r>
          </w:p>
        </w:tc>
        <w:tc>
          <w:tcPr>
            <w:tcW w:w="410" w:type="dxa"/>
            <w:tcBorders>
              <w:top w:val="nil"/>
              <w:left w:val="nil"/>
              <w:bottom w:val="single" w:sz="4" w:space="0" w:color="FFFFFF"/>
              <w:right w:val="single" w:sz="4" w:space="0" w:color="FFFFFF"/>
            </w:tcBorders>
            <w:shd w:val="clear" w:color="000000" w:fill="A6C9EC"/>
            <w:noWrap/>
            <w:vAlign w:val="bottom"/>
            <w:hideMark/>
          </w:tcPr>
          <w:p w14:paraId="1A2294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B98B4F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C63237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253C3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2878A7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4D7A1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F6C628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C0DD0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90F51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BB3114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FAB56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B22F1D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6A5014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32DD1E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FDAB3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42270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83D346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0FB84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91DF8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DD4205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B7F1FBC" w14:textId="77777777" w:rsidTr="00924D5A">
        <w:trPr>
          <w:trHeight w:val="570"/>
        </w:trPr>
        <w:tc>
          <w:tcPr>
            <w:tcW w:w="4480" w:type="dxa"/>
            <w:tcBorders>
              <w:top w:val="nil"/>
              <w:left w:val="single" w:sz="4" w:space="0" w:color="FFFFFF"/>
              <w:bottom w:val="single" w:sz="4" w:space="0" w:color="FFFFFF"/>
              <w:right w:val="single" w:sz="4" w:space="0" w:color="FFFFFF"/>
            </w:tcBorders>
            <w:shd w:val="clear" w:color="000000" w:fill="153D64"/>
            <w:hideMark/>
          </w:tcPr>
          <w:p w14:paraId="1D3D9095"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4.1: Унапређење система ФУК у институцијама јавног сектора</w:t>
            </w:r>
          </w:p>
        </w:tc>
        <w:tc>
          <w:tcPr>
            <w:tcW w:w="410" w:type="dxa"/>
            <w:tcBorders>
              <w:top w:val="nil"/>
              <w:left w:val="nil"/>
              <w:bottom w:val="single" w:sz="4" w:space="0" w:color="FFFFFF"/>
              <w:right w:val="single" w:sz="4" w:space="0" w:color="FFFFFF"/>
            </w:tcBorders>
            <w:shd w:val="clear" w:color="000000" w:fill="153D64"/>
            <w:noWrap/>
            <w:vAlign w:val="bottom"/>
            <w:hideMark/>
          </w:tcPr>
          <w:p w14:paraId="5DE05A2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2EF629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4A5D4D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8E3B08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1F7E2C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DC43E9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CA308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57957C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B28705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96987C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08B9C0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6EDF9E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29A189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CAF5A9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E3309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70536D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E1679F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F514BE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CDA854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6371DC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3318695"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26F1361B"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4.1.1 Унапређење примене управљања ризицима кроз подршку КЈС</w:t>
            </w:r>
          </w:p>
        </w:tc>
        <w:tc>
          <w:tcPr>
            <w:tcW w:w="410" w:type="dxa"/>
            <w:tcBorders>
              <w:top w:val="nil"/>
              <w:left w:val="nil"/>
              <w:bottom w:val="single" w:sz="4" w:space="0" w:color="FFFFFF"/>
              <w:right w:val="single" w:sz="4" w:space="0" w:color="FFFFFF"/>
            </w:tcBorders>
            <w:shd w:val="clear" w:color="000000" w:fill="A6C9EC"/>
            <w:noWrap/>
            <w:vAlign w:val="bottom"/>
            <w:hideMark/>
          </w:tcPr>
          <w:p w14:paraId="0EB5763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85C02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0286D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A08698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FC5FC2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967F5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43F67C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F7E4AC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B07F20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ADC33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CB59FD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EC130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47635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5DEB8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C60779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BD9413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8A78E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F13D00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62131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279BC1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C11DC78"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4E05063A"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4.1.2 Унапређење упитника за годишње извештавање о ФУК за приоритетну групу КЈС </w:t>
            </w:r>
          </w:p>
        </w:tc>
        <w:tc>
          <w:tcPr>
            <w:tcW w:w="410" w:type="dxa"/>
            <w:tcBorders>
              <w:top w:val="nil"/>
              <w:left w:val="nil"/>
              <w:bottom w:val="single" w:sz="4" w:space="0" w:color="FFFFFF"/>
              <w:right w:val="single" w:sz="4" w:space="0" w:color="FFFFFF"/>
            </w:tcBorders>
            <w:shd w:val="clear" w:color="000000" w:fill="A6C9EC"/>
            <w:noWrap/>
            <w:vAlign w:val="bottom"/>
            <w:hideMark/>
          </w:tcPr>
          <w:p w14:paraId="31CCC1E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73784C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7EE63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F73787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BE1F83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6FB9D7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DD5798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1A44E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75C5E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DA9CF7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68A062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81A66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7CBB0C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C4AEC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5971E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F72F8B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8BC69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F35ED8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2E6D86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D0962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752C820"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443BE83"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4.1.3 Израда модела интерног акта – модел за управљање неправилностима</w:t>
            </w:r>
          </w:p>
        </w:tc>
        <w:tc>
          <w:tcPr>
            <w:tcW w:w="410" w:type="dxa"/>
            <w:tcBorders>
              <w:top w:val="nil"/>
              <w:left w:val="nil"/>
              <w:bottom w:val="single" w:sz="4" w:space="0" w:color="FFFFFF"/>
              <w:right w:val="single" w:sz="4" w:space="0" w:color="FFFFFF"/>
            </w:tcBorders>
            <w:shd w:val="clear" w:color="000000" w:fill="A6C9EC"/>
            <w:noWrap/>
            <w:vAlign w:val="bottom"/>
            <w:hideMark/>
          </w:tcPr>
          <w:p w14:paraId="05F0760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4ED3E4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C7B82D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95814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3043B4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4633FF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E9944B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8EDFF7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D6F448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0A52BB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B8ACD3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6EEB62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ECFD3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5EB4EC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F3AF0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31A094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8E308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8C2DA4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63BA66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96AF55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D4422C4"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DD42BF9"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4.1.4 Промоција ФУК – примена добре праксе код КЈС</w:t>
            </w:r>
          </w:p>
        </w:tc>
        <w:tc>
          <w:tcPr>
            <w:tcW w:w="410" w:type="dxa"/>
            <w:tcBorders>
              <w:top w:val="nil"/>
              <w:left w:val="nil"/>
              <w:bottom w:val="single" w:sz="4" w:space="0" w:color="FFFFFF"/>
              <w:right w:val="single" w:sz="4" w:space="0" w:color="FFFFFF"/>
            </w:tcBorders>
            <w:shd w:val="clear" w:color="000000" w:fill="A6C9EC"/>
            <w:noWrap/>
            <w:vAlign w:val="bottom"/>
            <w:hideMark/>
          </w:tcPr>
          <w:p w14:paraId="1FA7B9B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08C55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2ACAC4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55A5FE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71E48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FD0000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99D3E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07AF0B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771128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7E025B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D14126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612894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028CC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834AE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81EFB9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7A6C5A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F913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55E7CD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4E877B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54543B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C6EC3C3" w14:textId="77777777" w:rsidTr="00924D5A">
        <w:trPr>
          <w:trHeight w:val="1140"/>
        </w:trPr>
        <w:tc>
          <w:tcPr>
            <w:tcW w:w="4480" w:type="dxa"/>
            <w:tcBorders>
              <w:top w:val="nil"/>
              <w:left w:val="single" w:sz="4" w:space="0" w:color="FFFFFF"/>
              <w:bottom w:val="single" w:sz="4" w:space="0" w:color="FFFFFF"/>
              <w:right w:val="single" w:sz="4" w:space="0" w:color="FFFFFF"/>
            </w:tcBorders>
            <w:shd w:val="clear" w:color="000000" w:fill="153D64"/>
            <w:hideMark/>
          </w:tcPr>
          <w:p w14:paraId="69F69E21"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lastRenderedPageBreak/>
              <w:t>Мера 4.2: Унапређена функција интерне ревизије у јавном сектору у складу са међународним стандардима и начелима</w:t>
            </w:r>
          </w:p>
        </w:tc>
        <w:tc>
          <w:tcPr>
            <w:tcW w:w="410" w:type="dxa"/>
            <w:tcBorders>
              <w:top w:val="nil"/>
              <w:left w:val="nil"/>
              <w:bottom w:val="single" w:sz="4" w:space="0" w:color="FFFFFF"/>
              <w:right w:val="single" w:sz="4" w:space="0" w:color="FFFFFF"/>
            </w:tcBorders>
            <w:shd w:val="clear" w:color="000000" w:fill="153D64"/>
            <w:noWrap/>
            <w:vAlign w:val="bottom"/>
            <w:hideMark/>
          </w:tcPr>
          <w:p w14:paraId="351D4B9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FEA373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7547AB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EF49A7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8D7AFB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57CAE1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4B2F5B1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2C60D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2FDA5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7B2B6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2E14E1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20C9F7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94FD16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6216FC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BCAF05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728CB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C8D769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A0C43F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98604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7B16B5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FB99DC0" w14:textId="77777777" w:rsidTr="00924D5A">
        <w:trPr>
          <w:trHeight w:val="102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7058F8A9"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4.2.1 Унапређење регулаторног оквира и методолошких материјала (правилника и приручника) у складу са новим међународним стандардима</w:t>
            </w:r>
          </w:p>
        </w:tc>
        <w:tc>
          <w:tcPr>
            <w:tcW w:w="410" w:type="dxa"/>
            <w:tcBorders>
              <w:top w:val="nil"/>
              <w:left w:val="nil"/>
              <w:bottom w:val="single" w:sz="4" w:space="0" w:color="FFFFFF"/>
              <w:right w:val="single" w:sz="4" w:space="0" w:color="FFFFFF"/>
            </w:tcBorders>
            <w:shd w:val="clear" w:color="000000" w:fill="A6C9EC"/>
            <w:noWrap/>
            <w:vAlign w:val="bottom"/>
            <w:hideMark/>
          </w:tcPr>
          <w:p w14:paraId="204870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601169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2CBAE5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AEB13A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75D7FF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902736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E12265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9567F7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666107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49188B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E36506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4B8938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7FFAC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683050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B63E6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282655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F77041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3E4AA6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669AC7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F0A786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A520216" w14:textId="77777777" w:rsidTr="00924D5A">
        <w:trPr>
          <w:trHeight w:val="525"/>
        </w:trPr>
        <w:tc>
          <w:tcPr>
            <w:tcW w:w="4480" w:type="dxa"/>
            <w:tcBorders>
              <w:top w:val="nil"/>
              <w:left w:val="single" w:sz="4" w:space="0" w:color="FFFFFF"/>
              <w:bottom w:val="single" w:sz="4" w:space="0" w:color="FFFFFF"/>
              <w:right w:val="single" w:sz="4" w:space="0" w:color="FFFFFF"/>
            </w:tcBorders>
            <w:shd w:val="clear" w:color="000000" w:fill="A6C9EC"/>
            <w:vAlign w:val="bottom"/>
            <w:hideMark/>
          </w:tcPr>
          <w:p w14:paraId="5EE5872B"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4.2.2 Унапређење процеса сертификације за стицање звања ОИР у ЈС</w:t>
            </w:r>
          </w:p>
        </w:tc>
        <w:tc>
          <w:tcPr>
            <w:tcW w:w="410" w:type="dxa"/>
            <w:tcBorders>
              <w:top w:val="nil"/>
              <w:left w:val="nil"/>
              <w:bottom w:val="single" w:sz="4" w:space="0" w:color="FFFFFF"/>
              <w:right w:val="single" w:sz="4" w:space="0" w:color="FFFFFF"/>
            </w:tcBorders>
            <w:shd w:val="clear" w:color="000000" w:fill="A6C9EC"/>
            <w:noWrap/>
            <w:vAlign w:val="bottom"/>
            <w:hideMark/>
          </w:tcPr>
          <w:p w14:paraId="267F743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299EB3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5E0C4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AD07C6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B4173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8F9E27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572336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92A71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58A8E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055A88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12FE6E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5B97F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84E3D8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C9BFEA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785EC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7BC460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D61AB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CC62A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7F0AD8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73D00B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31C68FD" w14:textId="77777777" w:rsidTr="00924D5A">
        <w:trPr>
          <w:trHeight w:val="3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6727055E"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4.2.3 Тематске радионице из области ИР</w:t>
            </w:r>
          </w:p>
        </w:tc>
        <w:tc>
          <w:tcPr>
            <w:tcW w:w="410" w:type="dxa"/>
            <w:tcBorders>
              <w:top w:val="nil"/>
              <w:left w:val="nil"/>
              <w:bottom w:val="single" w:sz="4" w:space="0" w:color="FFFFFF"/>
              <w:right w:val="single" w:sz="4" w:space="0" w:color="FFFFFF"/>
            </w:tcBorders>
            <w:shd w:val="clear" w:color="000000" w:fill="A6C9EC"/>
            <w:noWrap/>
            <w:vAlign w:val="bottom"/>
            <w:hideMark/>
          </w:tcPr>
          <w:p w14:paraId="5F05DF4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F52C7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5B5F85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1053A8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0A3693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8076B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FACFF8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AD4D17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17484C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E1638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57FBD0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082F46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E7FFB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14A151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17750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8F0B84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5DA3A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00928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A537A6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F8CAED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6D3ABD73" w14:textId="77777777" w:rsidTr="00924D5A">
        <w:trPr>
          <w:trHeight w:val="1035"/>
        </w:trPr>
        <w:tc>
          <w:tcPr>
            <w:tcW w:w="4480" w:type="dxa"/>
            <w:tcBorders>
              <w:top w:val="nil"/>
              <w:left w:val="single" w:sz="4" w:space="0" w:color="FFFFFF"/>
              <w:bottom w:val="single" w:sz="4" w:space="0" w:color="FFFFFF"/>
              <w:right w:val="single" w:sz="4" w:space="0" w:color="FFFFFF"/>
            </w:tcBorders>
            <w:shd w:val="clear" w:color="000000" w:fill="A6C9EC"/>
            <w:vAlign w:val="bottom"/>
            <w:hideMark/>
          </w:tcPr>
          <w:p w14:paraId="63F4878D"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bookmarkStart w:id="61" w:name="RANGE!A90"/>
            <w:r w:rsidRPr="00AA19A8">
              <w:rPr>
                <w:rFonts w:ascii="Times New Roman" w:eastAsia="Times New Roman" w:hAnsi="Times New Roman" w:cs="Times New Roman"/>
                <w:i/>
                <w:iCs/>
                <w:lang w:val="sr-Cyrl-CS"/>
              </w:rPr>
              <w:t>4.2.4 Израда модела Повеље, Стратешког и Годишњег плана на бази матрице ризика за ревизорски универзум, извођење хоризонталних ревизија</w:t>
            </w:r>
            <w:bookmarkEnd w:id="61"/>
          </w:p>
        </w:tc>
        <w:tc>
          <w:tcPr>
            <w:tcW w:w="410" w:type="dxa"/>
            <w:tcBorders>
              <w:top w:val="nil"/>
              <w:left w:val="nil"/>
              <w:bottom w:val="single" w:sz="4" w:space="0" w:color="FFFFFF"/>
              <w:right w:val="single" w:sz="4" w:space="0" w:color="FFFFFF"/>
            </w:tcBorders>
            <w:shd w:val="clear" w:color="000000" w:fill="A6C9EC"/>
            <w:noWrap/>
            <w:vAlign w:val="bottom"/>
            <w:hideMark/>
          </w:tcPr>
          <w:p w14:paraId="37011DA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0DBDCB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DB06AF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40589C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383B2F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76A55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8B2107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22E637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8ABD6C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35C643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A7E7C5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174B29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4F4A31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821D82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56E94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E37892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9521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B338D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3B941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5237B3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74D1BB6" w14:textId="77777777" w:rsidTr="00924D5A">
        <w:trPr>
          <w:trHeight w:val="855"/>
        </w:trPr>
        <w:tc>
          <w:tcPr>
            <w:tcW w:w="4480" w:type="dxa"/>
            <w:tcBorders>
              <w:top w:val="nil"/>
              <w:left w:val="single" w:sz="4" w:space="0" w:color="FFFFFF"/>
              <w:bottom w:val="single" w:sz="4" w:space="0" w:color="FFFFFF"/>
              <w:right w:val="single" w:sz="4" w:space="0" w:color="FFFFFF"/>
            </w:tcBorders>
            <w:shd w:val="clear" w:color="000000" w:fill="153D64"/>
            <w:hideMark/>
          </w:tcPr>
          <w:p w14:paraId="0182E848"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4.3: Унапређење ИТ система ради укључивања модула за интерну контролу и интерну ревизију</w:t>
            </w:r>
          </w:p>
        </w:tc>
        <w:tc>
          <w:tcPr>
            <w:tcW w:w="410" w:type="dxa"/>
            <w:tcBorders>
              <w:top w:val="nil"/>
              <w:left w:val="nil"/>
              <w:bottom w:val="single" w:sz="4" w:space="0" w:color="FFFFFF"/>
              <w:right w:val="single" w:sz="4" w:space="0" w:color="FFFFFF"/>
            </w:tcBorders>
            <w:shd w:val="clear" w:color="000000" w:fill="153D64"/>
            <w:noWrap/>
            <w:vAlign w:val="bottom"/>
            <w:hideMark/>
          </w:tcPr>
          <w:p w14:paraId="1615BD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B09B80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EE50AD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3DCCD3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8BA8A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76AEA8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BB42F0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3A7C442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C4E8F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CD51F4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71ED0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41F44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E8775E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DC3B71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85333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AF1B9A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66B2A2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83D24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9F2F7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1EC0A1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5C7E1BD"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342CBD81"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4.3.1 Унапређење апликације за извештавање и развој софтвера за ИР</w:t>
            </w:r>
          </w:p>
        </w:tc>
        <w:tc>
          <w:tcPr>
            <w:tcW w:w="410" w:type="dxa"/>
            <w:tcBorders>
              <w:top w:val="nil"/>
              <w:left w:val="nil"/>
              <w:bottom w:val="single" w:sz="4" w:space="0" w:color="FFFFFF"/>
              <w:right w:val="single" w:sz="4" w:space="0" w:color="FFFFFF"/>
            </w:tcBorders>
            <w:shd w:val="clear" w:color="000000" w:fill="A6C9EC"/>
            <w:noWrap/>
            <w:vAlign w:val="bottom"/>
            <w:hideMark/>
          </w:tcPr>
          <w:p w14:paraId="336ED40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DC90C6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4ED888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79CB82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2529B9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627083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273914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69851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C8C508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DFA644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9E5967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7C92B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B9DF97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677639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D34049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FA147A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945FAD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CB45CD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E5AD5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DC7670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12EE6A7" w14:textId="77777777" w:rsidTr="00924D5A">
        <w:trPr>
          <w:trHeight w:val="855"/>
        </w:trPr>
        <w:tc>
          <w:tcPr>
            <w:tcW w:w="4480" w:type="dxa"/>
            <w:tcBorders>
              <w:top w:val="nil"/>
              <w:left w:val="single" w:sz="4" w:space="0" w:color="FFFFFF"/>
              <w:bottom w:val="single" w:sz="4" w:space="0" w:color="FFFFFF"/>
              <w:right w:val="single" w:sz="4" w:space="0" w:color="FFFFFF"/>
            </w:tcBorders>
            <w:shd w:val="clear" w:color="000000" w:fill="153D64"/>
            <w:hideMark/>
          </w:tcPr>
          <w:p w14:paraId="502BEEF8"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5.1: Примена IPSAS стандарда на готовинској основи за све буџетске кориснике</w:t>
            </w:r>
          </w:p>
        </w:tc>
        <w:tc>
          <w:tcPr>
            <w:tcW w:w="410" w:type="dxa"/>
            <w:tcBorders>
              <w:top w:val="nil"/>
              <w:left w:val="nil"/>
              <w:bottom w:val="single" w:sz="4" w:space="0" w:color="FFFFFF"/>
              <w:right w:val="single" w:sz="4" w:space="0" w:color="FFFFFF"/>
            </w:tcBorders>
            <w:shd w:val="clear" w:color="000000" w:fill="153D64"/>
            <w:noWrap/>
            <w:vAlign w:val="bottom"/>
            <w:hideMark/>
          </w:tcPr>
          <w:p w14:paraId="407B7BB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C46946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AB7A9E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2FDDA2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FA634A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63FA1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21124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6AA252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860A6E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EEEF1C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FBE830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AB4DF8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7EF5AC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479D14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05E032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ABED1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BB4A50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C2D38B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DE6BA7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78B970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D923B5E"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6F536417"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5.1.1 Припрема и достављање финансијских извештаја у складу са IPSAS на готовинској основи</w:t>
            </w:r>
          </w:p>
        </w:tc>
        <w:tc>
          <w:tcPr>
            <w:tcW w:w="410" w:type="dxa"/>
            <w:tcBorders>
              <w:top w:val="nil"/>
              <w:left w:val="nil"/>
              <w:bottom w:val="single" w:sz="4" w:space="0" w:color="FFFFFF"/>
              <w:right w:val="single" w:sz="4" w:space="0" w:color="FFFFFF"/>
            </w:tcBorders>
            <w:shd w:val="clear" w:color="000000" w:fill="A6C9EC"/>
            <w:noWrap/>
            <w:vAlign w:val="bottom"/>
            <w:hideMark/>
          </w:tcPr>
          <w:p w14:paraId="6D33B4D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3AECC3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3DD47E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B1C2E6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32C01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A3BAEE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EB2E24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FA0E8A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B0A6D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A23BD4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820F1C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2E961B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55DF2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F5EAD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E3F02D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25BE83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AE93D9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0ED4E2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ADC2F1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0882E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055B597B"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4DFC7D7C"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5.1.2 Припрема напомена и додатних објашњења, која прате финансијске извештаје у складу са IPSАS на готовинској основи</w:t>
            </w:r>
          </w:p>
        </w:tc>
        <w:tc>
          <w:tcPr>
            <w:tcW w:w="410" w:type="dxa"/>
            <w:tcBorders>
              <w:top w:val="nil"/>
              <w:left w:val="nil"/>
              <w:bottom w:val="single" w:sz="4" w:space="0" w:color="FFFFFF"/>
              <w:right w:val="single" w:sz="4" w:space="0" w:color="FFFFFF"/>
            </w:tcBorders>
            <w:shd w:val="clear" w:color="000000" w:fill="A6C9EC"/>
            <w:noWrap/>
            <w:vAlign w:val="bottom"/>
            <w:hideMark/>
          </w:tcPr>
          <w:p w14:paraId="6A66CCF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4D144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B2B41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56C0D6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D4C104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A1A1D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6EFAA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36D5B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563C2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F251A1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D65F0A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4ACE989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C032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24F864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FDE786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4BDECD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534FE9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D1840B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678C1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19D29D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F268BDA" w14:textId="77777777" w:rsidTr="00924D5A">
        <w:trPr>
          <w:trHeight w:val="178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C846987"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5.1.3 Спровођење обука у циљу унапређења професионалне компетентности рачуновођа у јавном сектору у складу са Програмом  стручног оспособљавања за вођење пословних књига, састављање и презентацију финансијских извештаја у складу са IPSAS на готовинској основи</w:t>
            </w:r>
          </w:p>
        </w:tc>
        <w:tc>
          <w:tcPr>
            <w:tcW w:w="410" w:type="dxa"/>
            <w:tcBorders>
              <w:top w:val="nil"/>
              <w:left w:val="nil"/>
              <w:bottom w:val="single" w:sz="4" w:space="0" w:color="FFFFFF"/>
              <w:right w:val="single" w:sz="4" w:space="0" w:color="FFFFFF"/>
            </w:tcBorders>
            <w:shd w:val="clear" w:color="000000" w:fill="A6C9EC"/>
            <w:noWrap/>
            <w:vAlign w:val="bottom"/>
            <w:hideMark/>
          </w:tcPr>
          <w:p w14:paraId="1ED1149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61027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4B9201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D12173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A1227B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589BBC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FF541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EEAD34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1B746C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F22CB7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4E423D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F3EDA5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94C596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10FD8F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802FC7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59CCD7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B83B68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6FD765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4B29F2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390A5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9EC19BE" w14:textId="77777777" w:rsidTr="00924D5A">
        <w:trPr>
          <w:trHeight w:val="1140"/>
        </w:trPr>
        <w:tc>
          <w:tcPr>
            <w:tcW w:w="4480" w:type="dxa"/>
            <w:tcBorders>
              <w:top w:val="nil"/>
              <w:left w:val="single" w:sz="4" w:space="0" w:color="FFFFFF"/>
              <w:bottom w:val="single" w:sz="4" w:space="0" w:color="FFFFFF"/>
              <w:right w:val="single" w:sz="4" w:space="0" w:color="FFFFFF"/>
            </w:tcBorders>
            <w:shd w:val="clear" w:color="000000" w:fill="153D64"/>
            <w:hideMark/>
          </w:tcPr>
          <w:p w14:paraId="04D01AD1"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5.2: Даља унапређења буџетског рачуноводства према Плану унапређења рачуноводства у јавном сектору у складу са IPSAS</w:t>
            </w:r>
          </w:p>
        </w:tc>
        <w:tc>
          <w:tcPr>
            <w:tcW w:w="410" w:type="dxa"/>
            <w:tcBorders>
              <w:top w:val="nil"/>
              <w:left w:val="nil"/>
              <w:bottom w:val="single" w:sz="4" w:space="0" w:color="FFFFFF"/>
              <w:right w:val="single" w:sz="4" w:space="0" w:color="FFFFFF"/>
            </w:tcBorders>
            <w:shd w:val="clear" w:color="000000" w:fill="153D64"/>
            <w:noWrap/>
            <w:vAlign w:val="bottom"/>
            <w:hideMark/>
          </w:tcPr>
          <w:p w14:paraId="3EA177B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379FB9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9B4FF5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FB349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C14984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D222F0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037441C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E0CDF7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EE4AB9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597D33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C8FB01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6F632F8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B2351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501D2B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1FC662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AE8CE0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0358C4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154866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2B4A66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760DC3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BC24724"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71A474F9"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5.2.1 Израда Плана унапређења  рачуноводства у јавном сектору у складу са IPSAS, укључујући план унапређења ИТ система</w:t>
            </w:r>
          </w:p>
        </w:tc>
        <w:tc>
          <w:tcPr>
            <w:tcW w:w="410" w:type="dxa"/>
            <w:tcBorders>
              <w:top w:val="nil"/>
              <w:left w:val="nil"/>
              <w:bottom w:val="single" w:sz="4" w:space="0" w:color="FFFFFF"/>
              <w:right w:val="single" w:sz="4" w:space="0" w:color="FFFFFF"/>
            </w:tcBorders>
            <w:shd w:val="clear" w:color="000000" w:fill="A6C9EC"/>
            <w:noWrap/>
            <w:vAlign w:val="bottom"/>
            <w:hideMark/>
          </w:tcPr>
          <w:p w14:paraId="4D28647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1A3651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469720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4948F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282242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5B2750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A40DE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59CBF0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959834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A0F024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CD8424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F74674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FA9F5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64CE3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EBD0A3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53D96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6B07CC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BAFC50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1262B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06A5E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464691CF" w14:textId="77777777" w:rsidTr="00924D5A">
        <w:trPr>
          <w:trHeight w:val="30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273003ED"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5.2.2 Обезбеђивање превода IPSAS</w:t>
            </w:r>
          </w:p>
        </w:tc>
        <w:tc>
          <w:tcPr>
            <w:tcW w:w="410" w:type="dxa"/>
            <w:tcBorders>
              <w:top w:val="nil"/>
              <w:left w:val="nil"/>
              <w:bottom w:val="single" w:sz="4" w:space="0" w:color="FFFFFF"/>
              <w:right w:val="single" w:sz="4" w:space="0" w:color="FFFFFF"/>
            </w:tcBorders>
            <w:shd w:val="clear" w:color="000000" w:fill="A6C9EC"/>
            <w:noWrap/>
            <w:vAlign w:val="bottom"/>
            <w:hideMark/>
          </w:tcPr>
          <w:p w14:paraId="7813586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932BE2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AB4F50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B2986E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32938F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F7A340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E2B503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EB0BC6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D376E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93B38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75BCFE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844E80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685429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582E4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EF39B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2B0C56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292148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92B430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BB773A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7DBCCA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DABF4C7"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1C549123"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5.2.3 Унапређење капацитета запослених у Управи за трезор за примену IPSAS и студијске посете земљама које успешно примењују IPSAS</w:t>
            </w:r>
          </w:p>
        </w:tc>
        <w:tc>
          <w:tcPr>
            <w:tcW w:w="410" w:type="dxa"/>
            <w:tcBorders>
              <w:top w:val="nil"/>
              <w:left w:val="nil"/>
              <w:bottom w:val="single" w:sz="4" w:space="0" w:color="FFFFFF"/>
              <w:right w:val="single" w:sz="4" w:space="0" w:color="FFFFFF"/>
            </w:tcBorders>
            <w:shd w:val="clear" w:color="000000" w:fill="A6C9EC"/>
            <w:noWrap/>
            <w:vAlign w:val="bottom"/>
            <w:hideMark/>
          </w:tcPr>
          <w:p w14:paraId="7350A48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7C4034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5BF15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EAEBDE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0B801A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E2499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D2DD69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428D6B6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65DB8B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4831E3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52AFB8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CFF16F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1210E2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C288A6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A52F0B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AE90E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9D72CF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EE4DD0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CFFC1C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AB9317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7EB06A8C" w14:textId="77777777" w:rsidTr="00924D5A">
        <w:trPr>
          <w:trHeight w:val="1710"/>
        </w:trPr>
        <w:tc>
          <w:tcPr>
            <w:tcW w:w="4480" w:type="dxa"/>
            <w:tcBorders>
              <w:top w:val="nil"/>
              <w:left w:val="single" w:sz="4" w:space="0" w:color="FFFFFF"/>
              <w:bottom w:val="single" w:sz="4" w:space="0" w:color="FFFFFF"/>
              <w:right w:val="single" w:sz="4" w:space="0" w:color="FFFFFF"/>
            </w:tcBorders>
            <w:shd w:val="clear" w:color="000000" w:fill="153D64"/>
            <w:hideMark/>
          </w:tcPr>
          <w:p w14:paraId="28DA5FDE"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6.1: Јачање ефикасности и утицаја екстерне ревизије кроз интеграцију савремених методологија, унапређење методологије и комуникације са заинтересованим странама</w:t>
            </w:r>
          </w:p>
        </w:tc>
        <w:tc>
          <w:tcPr>
            <w:tcW w:w="410" w:type="dxa"/>
            <w:tcBorders>
              <w:top w:val="nil"/>
              <w:left w:val="nil"/>
              <w:bottom w:val="single" w:sz="4" w:space="0" w:color="FFFFFF"/>
              <w:right w:val="single" w:sz="4" w:space="0" w:color="FFFFFF"/>
            </w:tcBorders>
            <w:shd w:val="clear" w:color="000000" w:fill="153D64"/>
            <w:noWrap/>
            <w:vAlign w:val="bottom"/>
            <w:hideMark/>
          </w:tcPr>
          <w:p w14:paraId="5C9C9ED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F876E9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9AB26D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5FE141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7F55BE9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77CEFC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2F07B88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63EE9F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6A250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5C03429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41E34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15C1D1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79B08E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1B084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BD001F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5E76C7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A38087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2AA6A4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EBC92A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3527DC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753F77B" w14:textId="77777777" w:rsidTr="00924D5A">
        <w:trPr>
          <w:trHeight w:val="102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0F47797"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6.1.1 Израда и усвајање смерница за ревизију  сврсисходности и правилности, уз спровођење редовних обука за ревизоре у области ревизија сврсисходности</w:t>
            </w:r>
          </w:p>
        </w:tc>
        <w:tc>
          <w:tcPr>
            <w:tcW w:w="410" w:type="dxa"/>
            <w:tcBorders>
              <w:top w:val="nil"/>
              <w:left w:val="nil"/>
              <w:bottom w:val="single" w:sz="4" w:space="0" w:color="FFFFFF"/>
              <w:right w:val="single" w:sz="4" w:space="0" w:color="FFFFFF"/>
            </w:tcBorders>
            <w:shd w:val="clear" w:color="000000" w:fill="A6C9EC"/>
            <w:noWrap/>
            <w:vAlign w:val="bottom"/>
            <w:hideMark/>
          </w:tcPr>
          <w:p w14:paraId="4D9CCA1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3011C2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A221E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2FB0F3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48417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81F95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74790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F84BE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127D626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F33FD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38A0588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7A70927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BAF1F1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848A2F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5A120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170184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45FCD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A4C6DF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122490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B59991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9D4A086"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B49EC85"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6.1.2 Развој методологије за избор и                           вршење ревизија праћења спровођења препорука (follow-up audits)</w:t>
            </w:r>
          </w:p>
        </w:tc>
        <w:tc>
          <w:tcPr>
            <w:tcW w:w="410" w:type="dxa"/>
            <w:tcBorders>
              <w:top w:val="nil"/>
              <w:left w:val="nil"/>
              <w:bottom w:val="single" w:sz="4" w:space="0" w:color="FFFFFF"/>
              <w:right w:val="single" w:sz="4" w:space="0" w:color="FFFFFF"/>
            </w:tcBorders>
            <w:shd w:val="clear" w:color="000000" w:fill="A6C9EC"/>
            <w:noWrap/>
            <w:vAlign w:val="bottom"/>
            <w:hideMark/>
          </w:tcPr>
          <w:p w14:paraId="3E03850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81442A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C4DCEF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009D2D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3E963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BA5D0E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34C720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6BE77C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405672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E5331E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8AEA3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2EBC350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54AA51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BABED2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DB682F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4DCABFE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630E50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CCEE4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81E344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9C8DD0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AFB8BCA" w14:textId="77777777" w:rsidTr="00924D5A">
        <w:trPr>
          <w:trHeight w:val="51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D1F1111"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lastRenderedPageBreak/>
              <w:t>6.1.3 Израда интерне базе добрих пракси и типичних налаза</w:t>
            </w:r>
          </w:p>
        </w:tc>
        <w:tc>
          <w:tcPr>
            <w:tcW w:w="410" w:type="dxa"/>
            <w:tcBorders>
              <w:top w:val="nil"/>
              <w:left w:val="nil"/>
              <w:bottom w:val="single" w:sz="4" w:space="0" w:color="FFFFFF"/>
              <w:right w:val="single" w:sz="4" w:space="0" w:color="FFFFFF"/>
            </w:tcBorders>
            <w:shd w:val="clear" w:color="000000" w:fill="A6C9EC"/>
            <w:noWrap/>
            <w:vAlign w:val="bottom"/>
            <w:hideMark/>
          </w:tcPr>
          <w:p w14:paraId="0BDE919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484349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EE213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20346F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2C6B4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C0EDC4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12501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3A851E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0B5C119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61BD0E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542A223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F2F2F2"/>
            <w:noWrap/>
            <w:vAlign w:val="bottom"/>
            <w:hideMark/>
          </w:tcPr>
          <w:p w14:paraId="6F6F217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564E19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A2F8A1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CD26B1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F62B1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83B013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3AA9AEC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AA323C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FA012B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3C2B439E" w14:textId="77777777" w:rsidTr="00924D5A">
        <w:trPr>
          <w:trHeight w:val="178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5F2EA7F6"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6.1.4 Интегрисање савремених технологија у ревизију кроз развој и имплементацију аутоматизованих ревизорских тестова, пилотирање вештачке интелигенције у ревизији и увођење дигиталних платформи за колаборацију и размену података у ревизорским тимовима</w:t>
            </w:r>
          </w:p>
        </w:tc>
        <w:tc>
          <w:tcPr>
            <w:tcW w:w="410" w:type="dxa"/>
            <w:tcBorders>
              <w:top w:val="nil"/>
              <w:left w:val="nil"/>
              <w:bottom w:val="single" w:sz="4" w:space="0" w:color="FFFFFF"/>
              <w:right w:val="single" w:sz="4" w:space="0" w:color="FFFFFF"/>
            </w:tcBorders>
            <w:shd w:val="clear" w:color="000000" w:fill="A6C9EC"/>
            <w:noWrap/>
            <w:vAlign w:val="bottom"/>
            <w:hideMark/>
          </w:tcPr>
          <w:p w14:paraId="1BEE719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587A26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5F6E951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59C83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F62459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8155FE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70C8F2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67DCEFE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1ED8E1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170381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9254F6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7641C5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69F8A4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1895F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E30CFA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319BE08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400D223"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E8A6CA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F77C1C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40529BA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E121950" w14:textId="77777777" w:rsidTr="00924D5A">
        <w:trPr>
          <w:trHeight w:val="855"/>
        </w:trPr>
        <w:tc>
          <w:tcPr>
            <w:tcW w:w="4480" w:type="dxa"/>
            <w:tcBorders>
              <w:top w:val="nil"/>
              <w:left w:val="single" w:sz="4" w:space="0" w:color="FFFFFF"/>
              <w:bottom w:val="single" w:sz="4" w:space="0" w:color="FFFFFF"/>
              <w:right w:val="single" w:sz="4" w:space="0" w:color="FFFFFF"/>
            </w:tcBorders>
            <w:shd w:val="clear" w:color="000000" w:fill="153D64"/>
            <w:hideMark/>
          </w:tcPr>
          <w:p w14:paraId="62CDE355" w14:textId="77777777" w:rsidR="004D635C" w:rsidRPr="00AA19A8" w:rsidRDefault="004D635C" w:rsidP="004D635C">
            <w:pPr>
              <w:spacing w:before="0" w:after="0" w:line="240" w:lineRule="auto"/>
              <w:rPr>
                <w:rFonts w:ascii="Times New Roman" w:eastAsia="Times New Roman" w:hAnsi="Times New Roman" w:cs="Times New Roman"/>
                <w:b/>
                <w:bCs/>
                <w:lang w:val="sr-Cyrl-CS"/>
              </w:rPr>
            </w:pPr>
            <w:r w:rsidRPr="00AA19A8">
              <w:rPr>
                <w:rFonts w:ascii="Times New Roman" w:eastAsia="Times New Roman" w:hAnsi="Times New Roman" w:cs="Times New Roman"/>
                <w:b/>
                <w:bCs/>
                <w:lang w:val="sr-Cyrl-CS"/>
              </w:rPr>
              <w:t>Мера 6.2: Обезбеђивање ефикасног скупштинског надзора над јавним финансијама</w:t>
            </w:r>
          </w:p>
        </w:tc>
        <w:tc>
          <w:tcPr>
            <w:tcW w:w="410" w:type="dxa"/>
            <w:tcBorders>
              <w:top w:val="nil"/>
              <w:left w:val="nil"/>
              <w:bottom w:val="single" w:sz="4" w:space="0" w:color="FFFFFF"/>
              <w:right w:val="single" w:sz="4" w:space="0" w:color="FFFFFF"/>
            </w:tcBorders>
            <w:shd w:val="clear" w:color="000000" w:fill="153D64"/>
            <w:noWrap/>
            <w:vAlign w:val="bottom"/>
            <w:hideMark/>
          </w:tcPr>
          <w:p w14:paraId="0F97130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1C2345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025E889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FAA7E9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4AC7451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9B36DC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5387825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153D64"/>
            <w:noWrap/>
            <w:vAlign w:val="bottom"/>
            <w:hideMark/>
          </w:tcPr>
          <w:p w14:paraId="10A0715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7629DF3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F661AE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4B23C20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153D64"/>
            <w:noWrap/>
            <w:vAlign w:val="bottom"/>
            <w:hideMark/>
          </w:tcPr>
          <w:p w14:paraId="35D653E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A5E10A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5B1859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65E272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510D95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26E8DB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64048C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B35C2B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87B525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DD2B447" w14:textId="77777777" w:rsidTr="00924D5A">
        <w:trPr>
          <w:trHeight w:val="102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761DFEB"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6.2.1 Одржавање седница Одбора и Пододбора за разматрање извештаја о обављеним ревизијама ДРИ, ван седишта Народне скупштине</w:t>
            </w:r>
          </w:p>
        </w:tc>
        <w:tc>
          <w:tcPr>
            <w:tcW w:w="410" w:type="dxa"/>
            <w:tcBorders>
              <w:top w:val="nil"/>
              <w:left w:val="nil"/>
              <w:bottom w:val="single" w:sz="4" w:space="0" w:color="FFFFFF"/>
              <w:right w:val="single" w:sz="4" w:space="0" w:color="FFFFFF"/>
            </w:tcBorders>
            <w:shd w:val="clear" w:color="000000" w:fill="A6C9EC"/>
            <w:noWrap/>
            <w:vAlign w:val="bottom"/>
            <w:hideMark/>
          </w:tcPr>
          <w:p w14:paraId="50D7E34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53721B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F162EA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1093C4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A592CD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A19A91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578C82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5A2354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AE229A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1659FB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2AC656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AB9FB6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BEF6AF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AE83A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A20AB8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72617DA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11F976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3FF91B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E85469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29F2AC8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23FED597" w14:textId="77777777" w:rsidTr="00924D5A">
        <w:trPr>
          <w:trHeight w:val="1020"/>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775AE8D2"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 xml:space="preserve">6.2.2 Одржавање заједничких седница надлежних скупштинских одбора за разматрање извештаја о ревизијама сврсисходности </w:t>
            </w:r>
          </w:p>
        </w:tc>
        <w:tc>
          <w:tcPr>
            <w:tcW w:w="410" w:type="dxa"/>
            <w:tcBorders>
              <w:top w:val="nil"/>
              <w:left w:val="nil"/>
              <w:bottom w:val="single" w:sz="4" w:space="0" w:color="FFFFFF"/>
              <w:right w:val="single" w:sz="4" w:space="0" w:color="FFFFFF"/>
            </w:tcBorders>
            <w:shd w:val="clear" w:color="000000" w:fill="A6C9EC"/>
            <w:noWrap/>
            <w:vAlign w:val="bottom"/>
            <w:hideMark/>
          </w:tcPr>
          <w:p w14:paraId="75A2C91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10A04B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864070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06F290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385FCD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36416AE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06AF96A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19338A5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94F073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7D5B4F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7C8CEAC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516EBB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1B5CCF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295FD4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5F23341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49203E9"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0ACEC44"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14F0D8C1"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76B814BD"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F00927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r w:rsidR="00D30238" w:rsidRPr="00AA19A8" w14:paraId="5606409E" w14:textId="77777777" w:rsidTr="00924D5A">
        <w:trPr>
          <w:trHeight w:val="765"/>
        </w:trPr>
        <w:tc>
          <w:tcPr>
            <w:tcW w:w="4480" w:type="dxa"/>
            <w:tcBorders>
              <w:top w:val="nil"/>
              <w:left w:val="single" w:sz="4" w:space="0" w:color="FFFFFF"/>
              <w:bottom w:val="single" w:sz="4" w:space="0" w:color="FFFFFF"/>
              <w:right w:val="single" w:sz="4" w:space="0" w:color="FFFFFF"/>
            </w:tcBorders>
            <w:shd w:val="clear" w:color="000000" w:fill="A6C9EC"/>
            <w:vAlign w:val="center"/>
            <w:hideMark/>
          </w:tcPr>
          <w:p w14:paraId="0254C1D9" w14:textId="77777777" w:rsidR="004D635C" w:rsidRPr="00AA19A8" w:rsidRDefault="004D635C" w:rsidP="004D635C">
            <w:pPr>
              <w:spacing w:before="0" w:after="0" w:line="240" w:lineRule="auto"/>
              <w:rPr>
                <w:rFonts w:ascii="Times New Roman" w:eastAsia="Times New Roman" w:hAnsi="Times New Roman" w:cs="Times New Roman"/>
                <w:i/>
                <w:iCs/>
                <w:lang w:val="sr-Cyrl-CS"/>
              </w:rPr>
            </w:pPr>
            <w:r w:rsidRPr="00AA19A8">
              <w:rPr>
                <w:rFonts w:ascii="Times New Roman" w:eastAsia="Times New Roman" w:hAnsi="Times New Roman" w:cs="Times New Roman"/>
                <w:i/>
                <w:iCs/>
                <w:lang w:val="sr-Cyrl-CS"/>
              </w:rPr>
              <w:t>6.2.3 Организовање јавног слушања поводом представљања Предлога закона о буџету и Предлога закона о завршном рачуну буџета</w:t>
            </w:r>
          </w:p>
        </w:tc>
        <w:tc>
          <w:tcPr>
            <w:tcW w:w="410" w:type="dxa"/>
            <w:tcBorders>
              <w:top w:val="nil"/>
              <w:left w:val="nil"/>
              <w:bottom w:val="single" w:sz="4" w:space="0" w:color="FFFFFF"/>
              <w:right w:val="single" w:sz="4" w:space="0" w:color="FFFFFF"/>
            </w:tcBorders>
            <w:shd w:val="clear" w:color="000000" w:fill="A6C9EC"/>
            <w:noWrap/>
            <w:vAlign w:val="bottom"/>
            <w:hideMark/>
          </w:tcPr>
          <w:p w14:paraId="089D59F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790C15C"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2756971E"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3FF0270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7B16714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270398D7"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00B3BDB"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A6C9EC"/>
            <w:noWrap/>
            <w:vAlign w:val="bottom"/>
            <w:hideMark/>
          </w:tcPr>
          <w:p w14:paraId="5A0432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6E21826F"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1695D73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0D6DE1E6"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0" w:type="dxa"/>
            <w:tcBorders>
              <w:top w:val="nil"/>
              <w:left w:val="nil"/>
              <w:bottom w:val="single" w:sz="4" w:space="0" w:color="FFFFFF"/>
              <w:right w:val="single" w:sz="4" w:space="0" w:color="FFFFFF"/>
            </w:tcBorders>
            <w:shd w:val="clear" w:color="000000" w:fill="A6C9EC"/>
            <w:noWrap/>
            <w:vAlign w:val="bottom"/>
            <w:hideMark/>
          </w:tcPr>
          <w:p w14:paraId="4B7FFFA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87EC3D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022BEEB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6A71B3A0"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15" w:type="dxa"/>
            <w:tcBorders>
              <w:top w:val="nil"/>
              <w:left w:val="nil"/>
              <w:bottom w:val="single" w:sz="4" w:space="0" w:color="FFFFFF"/>
              <w:right w:val="single" w:sz="4" w:space="0" w:color="FFFFFF"/>
            </w:tcBorders>
            <w:shd w:val="clear" w:color="000000" w:fill="F2F2F2"/>
            <w:noWrap/>
            <w:vAlign w:val="bottom"/>
            <w:hideMark/>
          </w:tcPr>
          <w:p w14:paraId="2704F678"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04700EF2"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59FA19FA"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AC3714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c>
          <w:tcPr>
            <w:tcW w:w="420" w:type="dxa"/>
            <w:tcBorders>
              <w:top w:val="nil"/>
              <w:left w:val="nil"/>
              <w:bottom w:val="single" w:sz="4" w:space="0" w:color="FFFFFF"/>
              <w:right w:val="single" w:sz="4" w:space="0" w:color="FFFFFF"/>
            </w:tcBorders>
            <w:shd w:val="clear" w:color="000000" w:fill="F2F2F2"/>
            <w:noWrap/>
            <w:vAlign w:val="bottom"/>
            <w:hideMark/>
          </w:tcPr>
          <w:p w14:paraId="66DD6205" w14:textId="77777777" w:rsidR="004D635C" w:rsidRPr="00AA19A8" w:rsidRDefault="004D635C" w:rsidP="004D635C">
            <w:pPr>
              <w:spacing w:before="0" w:after="0" w:line="240" w:lineRule="auto"/>
              <w:rPr>
                <w:rFonts w:ascii="Aptos Narrow" w:eastAsia="Times New Roman" w:hAnsi="Aptos Narrow" w:cs="Times New Roman"/>
                <w:lang w:val="sr-Cyrl-CS"/>
              </w:rPr>
            </w:pPr>
            <w:r w:rsidRPr="00AA19A8">
              <w:rPr>
                <w:rFonts w:ascii="Aptos Narrow" w:eastAsia="Times New Roman" w:hAnsi="Aptos Narrow" w:cs="Times New Roman"/>
                <w:lang w:val="sr-Cyrl-CS"/>
              </w:rPr>
              <w:t> </w:t>
            </w:r>
          </w:p>
        </w:tc>
      </w:tr>
    </w:tbl>
    <w:p w14:paraId="48E9CF54" w14:textId="77777777" w:rsidR="005F2469" w:rsidRPr="00AA19A8" w:rsidRDefault="005F2469" w:rsidP="005F2469">
      <w:pPr>
        <w:spacing w:before="0" w:after="160" w:line="278" w:lineRule="auto"/>
        <w:rPr>
          <w:rFonts w:ascii="Aptos" w:eastAsia="Aptos" w:hAnsi="Aptos" w:cs="Times New Roman"/>
          <w:kern w:val="2"/>
          <w:lang w:val="sr-Cyrl-CS"/>
          <w14:ligatures w14:val="standardContextual"/>
        </w:rPr>
      </w:pPr>
    </w:p>
    <w:p w14:paraId="4CC3B2DD" w14:textId="77777777" w:rsidR="00146165" w:rsidRPr="00AA19A8" w:rsidRDefault="00146165" w:rsidP="00AA7FD3">
      <w:pPr>
        <w:spacing w:after="100" w:afterAutospacing="1" w:line="240" w:lineRule="auto"/>
        <w:jc w:val="both"/>
        <w:rPr>
          <w:rFonts w:ascii="Times New Roman" w:eastAsia="Calibri" w:hAnsi="Times New Roman" w:cs="Times New Roman"/>
          <w:lang w:val="sr-Cyrl-CS"/>
        </w:rPr>
      </w:pPr>
    </w:p>
    <w:p w14:paraId="0AB1B0F7" w14:textId="77777777" w:rsidR="00146165" w:rsidRPr="00AA19A8" w:rsidRDefault="00146165" w:rsidP="00AA7FD3">
      <w:pPr>
        <w:spacing w:after="100" w:afterAutospacing="1" w:line="240" w:lineRule="auto"/>
        <w:jc w:val="both"/>
        <w:rPr>
          <w:rFonts w:ascii="Times New Roman" w:eastAsia="Calibri" w:hAnsi="Times New Roman" w:cs="Times New Roman"/>
          <w:lang w:val="sr-Cyrl-CS"/>
        </w:rPr>
      </w:pPr>
    </w:p>
    <w:p w14:paraId="5DDE9DB0" w14:textId="77777777" w:rsidR="00146165" w:rsidRPr="00AA19A8" w:rsidRDefault="00146165" w:rsidP="00AA7FD3">
      <w:pPr>
        <w:spacing w:after="100" w:afterAutospacing="1" w:line="240" w:lineRule="auto"/>
        <w:jc w:val="both"/>
        <w:rPr>
          <w:rFonts w:ascii="Times New Roman" w:eastAsia="Calibri" w:hAnsi="Times New Roman" w:cs="Times New Roman"/>
          <w:lang w:val="sr-Cyrl-CS"/>
        </w:rPr>
      </w:pPr>
    </w:p>
    <w:p w14:paraId="40545E5A" w14:textId="77777777" w:rsidR="00146165" w:rsidRPr="00AA19A8" w:rsidRDefault="00146165" w:rsidP="00AA7FD3">
      <w:pPr>
        <w:spacing w:after="100" w:afterAutospacing="1" w:line="240" w:lineRule="auto"/>
        <w:jc w:val="both"/>
        <w:rPr>
          <w:rFonts w:ascii="Times New Roman" w:eastAsia="Calibri" w:hAnsi="Times New Roman" w:cs="Times New Roman"/>
          <w:lang w:val="sr-Cyrl-CS"/>
        </w:rPr>
      </w:pPr>
    </w:p>
    <w:p w14:paraId="07B64C2F" w14:textId="77777777" w:rsidR="00146165" w:rsidRPr="00AA19A8" w:rsidRDefault="00146165" w:rsidP="00AA7FD3">
      <w:pPr>
        <w:spacing w:after="100" w:afterAutospacing="1" w:line="240" w:lineRule="auto"/>
        <w:jc w:val="both"/>
        <w:rPr>
          <w:rFonts w:ascii="Times New Roman" w:eastAsia="Calibri" w:hAnsi="Times New Roman" w:cs="Times New Roman"/>
          <w:lang w:val="sr-Cyrl-CS"/>
        </w:rPr>
        <w:sectPr w:rsidR="00146165" w:rsidRPr="00AA19A8" w:rsidSect="00CB0D8C">
          <w:pgSz w:w="16838" w:h="11906" w:orient="landscape" w:code="9"/>
          <w:pgMar w:top="1440" w:right="1440" w:bottom="1440" w:left="1440" w:header="431" w:footer="720" w:gutter="0"/>
          <w:cols w:space="720"/>
          <w:docGrid w:linePitch="360"/>
        </w:sectPr>
      </w:pPr>
    </w:p>
    <w:p w14:paraId="77955BD2" w14:textId="77777777" w:rsidR="00146165" w:rsidRPr="00AA19A8" w:rsidRDefault="00146165" w:rsidP="00AA7FD3">
      <w:pPr>
        <w:spacing w:after="100" w:afterAutospacing="1" w:line="240" w:lineRule="auto"/>
        <w:jc w:val="both"/>
        <w:rPr>
          <w:rFonts w:ascii="Times New Roman" w:eastAsia="Calibri" w:hAnsi="Times New Roman" w:cs="Times New Roman"/>
          <w:lang w:val="sr-Cyrl-CS"/>
        </w:rPr>
      </w:pPr>
    </w:p>
    <w:p w14:paraId="37F082B2" w14:textId="77777777" w:rsidR="00146165" w:rsidRPr="00AA19A8" w:rsidRDefault="00FD5BCE" w:rsidP="00146165">
      <w:pPr>
        <w:pStyle w:val="Heading1"/>
        <w:jc w:val="center"/>
        <w:rPr>
          <w:rFonts w:ascii="Times New Roman" w:hAnsi="Times New Roman" w:cs="Times New Roman"/>
          <w:color w:val="auto"/>
          <w:sz w:val="20"/>
          <w:szCs w:val="20"/>
          <w:lang w:val="sr-Cyrl-CS"/>
        </w:rPr>
      </w:pPr>
      <w:r w:rsidRPr="00AA19A8">
        <w:rPr>
          <w:rFonts w:ascii="Times New Roman" w:hAnsi="Times New Roman" w:cs="Times New Roman"/>
          <w:color w:val="auto"/>
          <w:sz w:val="20"/>
          <w:szCs w:val="20"/>
          <w:lang w:val="sr-Cyrl-CS"/>
        </w:rPr>
        <w:t xml:space="preserve">Анекс 2: </w:t>
      </w:r>
      <w:r w:rsidR="00146165" w:rsidRPr="00AA19A8">
        <w:rPr>
          <w:rFonts w:ascii="Times New Roman" w:hAnsi="Times New Roman" w:cs="Times New Roman"/>
          <w:color w:val="auto"/>
          <w:sz w:val="20"/>
          <w:szCs w:val="20"/>
          <w:lang w:val="sr-Cyrl-CS"/>
        </w:rPr>
        <w:t>Пасоши показатеља ефеката, исхода и резултата</w:t>
      </w:r>
    </w:p>
    <w:p w14:paraId="20D2C6CD"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општег циља</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92"/>
        <w:gridCol w:w="1310"/>
        <w:gridCol w:w="1426"/>
        <w:gridCol w:w="386"/>
        <w:gridCol w:w="916"/>
        <w:gridCol w:w="1301"/>
        <w:gridCol w:w="1441"/>
      </w:tblGrid>
      <w:tr w:rsidR="00D30238" w:rsidRPr="00AA19A8" w14:paraId="6C0D1726" w14:textId="77777777" w:rsidTr="00924D5A">
        <w:tc>
          <w:tcPr>
            <w:tcW w:w="1263" w:type="pct"/>
            <w:tcBorders>
              <w:top w:val="single" w:sz="4" w:space="0" w:color="auto"/>
              <w:left w:val="single" w:sz="4" w:space="0" w:color="auto"/>
            </w:tcBorders>
            <w:vAlign w:val="center"/>
          </w:tcPr>
          <w:p w14:paraId="51215BA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37" w:type="pct"/>
            <w:gridSpan w:val="6"/>
            <w:tcBorders>
              <w:top w:val="single" w:sz="4" w:space="0" w:color="auto"/>
              <w:right w:val="single" w:sz="4" w:space="0" w:color="auto"/>
            </w:tcBorders>
            <w:vAlign w:val="center"/>
          </w:tcPr>
          <w:p w14:paraId="07C6ADFA"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Times New Roman" w:hAnsi="Calibri" w:cs="Times New Roman"/>
                <w:b/>
                <w:lang w:val="sr-Cyrl-CS"/>
              </w:rPr>
              <w:t>Реални раст БДП</w:t>
            </w:r>
          </w:p>
        </w:tc>
      </w:tr>
      <w:tr w:rsidR="00D30238" w:rsidRPr="00AA19A8" w14:paraId="4EA791B0" w14:textId="77777777" w:rsidTr="00924D5A">
        <w:tc>
          <w:tcPr>
            <w:tcW w:w="1263" w:type="pct"/>
            <w:tcBorders>
              <w:top w:val="single" w:sz="4" w:space="0" w:color="auto"/>
              <w:left w:val="single" w:sz="4" w:space="0" w:color="auto"/>
            </w:tcBorders>
          </w:tcPr>
          <w:p w14:paraId="4D3E0A0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37" w:type="pct"/>
            <w:gridSpan w:val="6"/>
            <w:tcBorders>
              <w:top w:val="single" w:sz="4" w:space="0" w:color="auto"/>
              <w:right w:val="single" w:sz="4" w:space="0" w:color="auto"/>
            </w:tcBorders>
          </w:tcPr>
          <w:p w14:paraId="6012DCA5"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Општи циљ</w:t>
            </w:r>
            <w:r w:rsidRPr="00AA19A8">
              <w:rPr>
                <w:rFonts w:ascii="Calibri" w:eastAsia="Calibri" w:hAnsi="Calibri" w:cs="Times New Roman"/>
                <w:bCs/>
                <w:lang w:val="sr-Cyrl-CS"/>
              </w:rPr>
              <w:t xml:space="preserve">: </w:t>
            </w:r>
            <w:r w:rsidRPr="00AA19A8">
              <w:rPr>
                <w:rFonts w:ascii="Calibri" w:eastAsia="Times New Roman" w:hAnsi="Calibri" w:cs="Times New Roman"/>
                <w:lang w:val="sr-Cyrl-CS"/>
              </w:rPr>
              <w:t>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p>
        </w:tc>
      </w:tr>
      <w:tr w:rsidR="00D30238" w:rsidRPr="00AA19A8" w14:paraId="08A62A3F" w14:textId="77777777" w:rsidTr="00924D5A">
        <w:tc>
          <w:tcPr>
            <w:tcW w:w="1263" w:type="pct"/>
            <w:tcBorders>
              <w:left w:val="single" w:sz="4" w:space="0" w:color="auto"/>
            </w:tcBorders>
          </w:tcPr>
          <w:p w14:paraId="0D8CEE6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721" w:type="pct"/>
            <w:gridSpan w:val="3"/>
            <w:tcBorders>
              <w:right w:val="single" w:sz="4" w:space="0" w:color="auto"/>
            </w:tcBorders>
          </w:tcPr>
          <w:p w14:paraId="72A364C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Квантитативни</w:t>
            </w:r>
          </w:p>
        </w:tc>
        <w:tc>
          <w:tcPr>
            <w:tcW w:w="2016" w:type="pct"/>
            <w:gridSpan w:val="3"/>
            <w:tcBorders>
              <w:right w:val="single" w:sz="4" w:space="0" w:color="auto"/>
            </w:tcBorders>
          </w:tcPr>
          <w:p w14:paraId="015DDAF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Показатељ ефекта</w:t>
            </w:r>
          </w:p>
        </w:tc>
      </w:tr>
      <w:tr w:rsidR="00D30238" w:rsidRPr="00AA19A8" w14:paraId="42503068" w14:textId="77777777" w:rsidTr="00924D5A">
        <w:tc>
          <w:tcPr>
            <w:tcW w:w="1263" w:type="pct"/>
            <w:tcBorders>
              <w:left w:val="single" w:sz="4" w:space="0" w:color="auto"/>
            </w:tcBorders>
          </w:tcPr>
          <w:p w14:paraId="69AF77A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721" w:type="pct"/>
            <w:gridSpan w:val="3"/>
            <w:tcBorders>
              <w:right w:val="single" w:sz="4" w:space="0" w:color="auto"/>
            </w:tcBorders>
          </w:tcPr>
          <w:p w14:paraId="0B8EDD16"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Проценат </w:t>
            </w:r>
          </w:p>
        </w:tc>
        <w:tc>
          <w:tcPr>
            <w:tcW w:w="2016" w:type="pct"/>
            <w:gridSpan w:val="3"/>
            <w:tcBorders>
              <w:right w:val="single" w:sz="4" w:space="0" w:color="auto"/>
            </w:tcBorders>
            <w:vAlign w:val="center"/>
          </w:tcPr>
          <w:p w14:paraId="02C45DD4"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Виша вредност је боља</w:t>
            </w:r>
          </w:p>
        </w:tc>
      </w:tr>
      <w:tr w:rsidR="00D30238" w:rsidRPr="00AA19A8" w14:paraId="4B3DFD20" w14:textId="77777777" w:rsidTr="00924D5A">
        <w:tc>
          <w:tcPr>
            <w:tcW w:w="1263" w:type="pct"/>
            <w:tcBorders>
              <w:left w:val="single" w:sz="4" w:space="0" w:color="auto"/>
              <w:bottom w:val="single" w:sz="4" w:space="0" w:color="auto"/>
            </w:tcBorders>
          </w:tcPr>
          <w:p w14:paraId="195DEDF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37" w:type="pct"/>
            <w:gridSpan w:val="6"/>
            <w:tcBorders>
              <w:bottom w:val="single" w:sz="4" w:space="0" w:color="auto"/>
              <w:right w:val="single" w:sz="4" w:space="0" w:color="auto"/>
            </w:tcBorders>
          </w:tcPr>
          <w:p w14:paraId="437DC6B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Ревидирана Фискална стратегија - </w:t>
            </w:r>
            <w:hyperlink r:id="rId9" w:history="1">
              <w:r w:rsidRPr="00AA19A8">
                <w:rPr>
                  <w:rFonts w:ascii="Calibri" w:eastAsia="Times New Roman" w:hAnsi="Calibri" w:cs="Times New Roman"/>
                  <w:bCs/>
                  <w:u w:val="single"/>
                  <w:lang w:val="sr-Cyrl-CS"/>
                </w:rPr>
                <w:t>https://www.mfin.gov.rs/dokumenti2/fiskalna-strategija</w:t>
              </w:r>
            </w:hyperlink>
            <w:r w:rsidRPr="00AA19A8">
              <w:rPr>
                <w:rFonts w:ascii="Calibri" w:eastAsia="Times New Roman" w:hAnsi="Calibri" w:cs="Times New Roman"/>
                <w:bCs/>
                <w:lang w:val="sr-Cyrl-CS"/>
              </w:rPr>
              <w:t xml:space="preserve"> ; Програм економских реформи - </w:t>
            </w:r>
            <w:hyperlink r:id="rId10" w:history="1">
              <w:r w:rsidRPr="00AA19A8">
                <w:rPr>
                  <w:rFonts w:ascii="Calibri" w:eastAsia="Times New Roman" w:hAnsi="Calibri" w:cs="Times New Roman"/>
                  <w:bCs/>
                  <w:u w:val="single"/>
                  <w:lang w:val="sr-Cyrl-CS"/>
                </w:rPr>
                <w:t>https://www.mfin.gov.rs/dokumenti2/program-ekonomskih-reformi-erp</w:t>
              </w:r>
            </w:hyperlink>
            <w:r w:rsidRPr="00AA19A8">
              <w:rPr>
                <w:rFonts w:ascii="Calibri" w:eastAsia="Times New Roman" w:hAnsi="Calibri" w:cs="Times New Roman"/>
                <w:bCs/>
                <w:lang w:val="sr-Cyrl-CS"/>
              </w:rPr>
              <w:t xml:space="preserve"> </w:t>
            </w:r>
          </w:p>
        </w:tc>
      </w:tr>
      <w:tr w:rsidR="00D30238" w:rsidRPr="00AA19A8" w14:paraId="1DBCF09E" w14:textId="77777777" w:rsidTr="00924D5A">
        <w:tc>
          <w:tcPr>
            <w:tcW w:w="1263" w:type="pct"/>
            <w:tcBorders>
              <w:left w:val="single" w:sz="4" w:space="0" w:color="auto"/>
              <w:bottom w:val="single" w:sz="4" w:space="0" w:color="auto"/>
            </w:tcBorders>
          </w:tcPr>
          <w:p w14:paraId="2424A4D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37" w:type="pct"/>
            <w:gridSpan w:val="6"/>
            <w:tcBorders>
              <w:bottom w:val="single" w:sz="4" w:space="0" w:color="auto"/>
              <w:right w:val="single" w:sz="4" w:space="0" w:color="auto"/>
            </w:tcBorders>
          </w:tcPr>
          <w:p w14:paraId="2CD5B63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w:t>
            </w:r>
          </w:p>
        </w:tc>
      </w:tr>
      <w:tr w:rsidR="00D30238" w:rsidRPr="00AA19A8" w14:paraId="6B4261F4" w14:textId="77777777" w:rsidTr="00924D5A">
        <w:tc>
          <w:tcPr>
            <w:tcW w:w="1263" w:type="pct"/>
            <w:tcBorders>
              <w:top w:val="single" w:sz="4" w:space="0" w:color="auto"/>
              <w:left w:val="single" w:sz="4" w:space="0" w:color="auto"/>
            </w:tcBorders>
          </w:tcPr>
          <w:p w14:paraId="7467A88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37" w:type="pct"/>
            <w:gridSpan w:val="6"/>
            <w:tcBorders>
              <w:top w:val="single" w:sz="4" w:space="0" w:color="auto"/>
              <w:right w:val="single" w:sz="4" w:space="0" w:color="auto"/>
            </w:tcBorders>
          </w:tcPr>
          <w:p w14:paraId="47BA0A2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Квартална и годишња.</w:t>
            </w:r>
          </w:p>
          <w:p w14:paraId="4725625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Прелиминарна процена кварталне вредности показатеља се објављује у текућем кварталу за претходни квартал. </w:t>
            </w:r>
          </w:p>
          <w:p w14:paraId="003ACFC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lang w:val="sr-Cyrl-CS"/>
              </w:rPr>
              <w:t>Прелиминарна процена годишње вредности показатеља се објављује у октобру текуће године за претходну годину, а коначна процена годишње вредности показатеља се објављује у октобру текуће године за две године уназад</w:t>
            </w:r>
          </w:p>
        </w:tc>
      </w:tr>
      <w:tr w:rsidR="00D30238" w:rsidRPr="00AA19A8" w14:paraId="40F154AD" w14:textId="77777777" w:rsidTr="00924D5A">
        <w:trPr>
          <w:trHeight w:val="1181"/>
        </w:trPr>
        <w:tc>
          <w:tcPr>
            <w:tcW w:w="1263" w:type="pct"/>
            <w:tcBorders>
              <w:left w:val="single" w:sz="4" w:space="0" w:color="auto"/>
              <w:bottom w:val="single" w:sz="6" w:space="0" w:color="auto"/>
            </w:tcBorders>
          </w:tcPr>
          <w:p w14:paraId="6CB4CB38"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6EE51C0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37" w:type="pct"/>
            <w:gridSpan w:val="6"/>
            <w:tcBorders>
              <w:right w:val="single" w:sz="4" w:space="0" w:color="auto"/>
            </w:tcBorders>
          </w:tcPr>
          <w:p w14:paraId="6672108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Реални раст бруто домаћег производа се рачуна као стопа промене бруто домаћег производа (БДП) у сталним ценама (ценама претходне године) и у ланчаним мерама обима, и има за циљ да покаже реалне динамичке и структурне промене БДП, настале независно од утицаја цена.</w:t>
            </w:r>
          </w:p>
        </w:tc>
      </w:tr>
      <w:tr w:rsidR="00D30238" w:rsidRPr="00AA19A8" w14:paraId="6FBD4BBF" w14:textId="77777777" w:rsidTr="00924D5A">
        <w:tc>
          <w:tcPr>
            <w:tcW w:w="1263" w:type="pct"/>
            <w:vMerge w:val="restart"/>
            <w:tcBorders>
              <w:top w:val="single" w:sz="6" w:space="0" w:color="auto"/>
              <w:left w:val="single" w:sz="4" w:space="0" w:color="auto"/>
            </w:tcBorders>
          </w:tcPr>
          <w:p w14:paraId="054A42D3"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226" w:type="pct"/>
            <w:gridSpan w:val="4"/>
            <w:tcBorders>
              <w:top w:val="single" w:sz="6" w:space="0" w:color="auto"/>
            </w:tcBorders>
            <w:vAlign w:val="center"/>
          </w:tcPr>
          <w:p w14:paraId="0CF24131"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511" w:type="pct"/>
            <w:gridSpan w:val="2"/>
            <w:tcBorders>
              <w:top w:val="single" w:sz="6" w:space="0" w:color="auto"/>
              <w:right w:val="single" w:sz="4" w:space="0" w:color="auto"/>
            </w:tcBorders>
            <w:vAlign w:val="center"/>
          </w:tcPr>
          <w:p w14:paraId="44BBB28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21681D6F" w14:textId="77777777" w:rsidTr="00924D5A">
        <w:tc>
          <w:tcPr>
            <w:tcW w:w="1263" w:type="pct"/>
            <w:vMerge/>
            <w:tcBorders>
              <w:left w:val="single" w:sz="4" w:space="0" w:color="auto"/>
            </w:tcBorders>
          </w:tcPr>
          <w:p w14:paraId="4C0FC2A4" w14:textId="77777777" w:rsidR="00146165" w:rsidRPr="00AA19A8" w:rsidRDefault="00146165" w:rsidP="00146165">
            <w:pPr>
              <w:spacing w:before="0"/>
              <w:rPr>
                <w:rFonts w:ascii="Calibri" w:eastAsia="Calibri" w:hAnsi="Calibri" w:cs="Times New Roman"/>
                <w:b/>
                <w:lang w:val="sr-Cyrl-CS"/>
              </w:rPr>
            </w:pPr>
          </w:p>
        </w:tc>
        <w:tc>
          <w:tcPr>
            <w:tcW w:w="722" w:type="pct"/>
          </w:tcPr>
          <w:p w14:paraId="13AAE8E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86" w:type="pct"/>
          </w:tcPr>
          <w:p w14:paraId="1EB642F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17" w:type="pct"/>
            <w:gridSpan w:val="2"/>
          </w:tcPr>
          <w:p w14:paraId="513384B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511" w:type="pct"/>
            <w:gridSpan w:val="2"/>
            <w:tcBorders>
              <w:right w:val="single" w:sz="4" w:space="0" w:color="auto"/>
            </w:tcBorders>
          </w:tcPr>
          <w:p w14:paraId="40769CB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r>
      <w:tr w:rsidR="00D30238" w:rsidRPr="00AA19A8" w14:paraId="1BF1BAD9" w14:textId="77777777" w:rsidTr="00924D5A">
        <w:tc>
          <w:tcPr>
            <w:tcW w:w="1263" w:type="pct"/>
            <w:vMerge/>
            <w:tcBorders>
              <w:left w:val="single" w:sz="4" w:space="0" w:color="auto"/>
            </w:tcBorders>
          </w:tcPr>
          <w:p w14:paraId="323E0131" w14:textId="77777777" w:rsidR="00146165" w:rsidRPr="00AA19A8" w:rsidRDefault="00146165" w:rsidP="00146165">
            <w:pPr>
              <w:spacing w:before="0"/>
              <w:rPr>
                <w:rFonts w:ascii="Calibri" w:eastAsia="Calibri" w:hAnsi="Calibri" w:cs="Times New Roman"/>
                <w:b/>
                <w:lang w:val="sr-Cyrl-CS"/>
              </w:rPr>
            </w:pPr>
          </w:p>
        </w:tc>
        <w:tc>
          <w:tcPr>
            <w:tcW w:w="722" w:type="pct"/>
          </w:tcPr>
          <w:p w14:paraId="0FC094C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7,9%</w:t>
            </w:r>
          </w:p>
        </w:tc>
        <w:tc>
          <w:tcPr>
            <w:tcW w:w="786" w:type="pct"/>
          </w:tcPr>
          <w:p w14:paraId="6A18B0A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2,7%</w:t>
            </w:r>
          </w:p>
        </w:tc>
        <w:tc>
          <w:tcPr>
            <w:tcW w:w="717" w:type="pct"/>
            <w:gridSpan w:val="2"/>
          </w:tcPr>
          <w:p w14:paraId="503D8AA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3,7%</w:t>
            </w:r>
          </w:p>
        </w:tc>
        <w:tc>
          <w:tcPr>
            <w:tcW w:w="1511" w:type="pct"/>
            <w:gridSpan w:val="2"/>
            <w:tcBorders>
              <w:right w:val="single" w:sz="4" w:space="0" w:color="auto"/>
            </w:tcBorders>
          </w:tcPr>
          <w:p w14:paraId="63FDD56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3,9%</w:t>
            </w:r>
          </w:p>
        </w:tc>
      </w:tr>
      <w:tr w:rsidR="00D30238" w:rsidRPr="00AA19A8" w14:paraId="4CFBE912" w14:textId="77777777" w:rsidTr="00924D5A">
        <w:tc>
          <w:tcPr>
            <w:tcW w:w="1263" w:type="pct"/>
            <w:vMerge w:val="restart"/>
            <w:tcBorders>
              <w:left w:val="single" w:sz="4" w:space="0" w:color="auto"/>
            </w:tcBorders>
          </w:tcPr>
          <w:p w14:paraId="2399E12A"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22" w:type="pct"/>
          </w:tcPr>
          <w:p w14:paraId="615FC2E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86" w:type="pct"/>
          </w:tcPr>
          <w:p w14:paraId="31C5E08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17" w:type="pct"/>
            <w:gridSpan w:val="2"/>
          </w:tcPr>
          <w:p w14:paraId="0F4474F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17" w:type="pct"/>
          </w:tcPr>
          <w:p w14:paraId="5048D9B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94" w:type="pct"/>
            <w:tcBorders>
              <w:right w:val="single" w:sz="4" w:space="0" w:color="auto"/>
            </w:tcBorders>
          </w:tcPr>
          <w:p w14:paraId="15D5FA9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1E3D0EAE" w14:textId="77777777" w:rsidTr="00924D5A">
        <w:tc>
          <w:tcPr>
            <w:tcW w:w="1263" w:type="pct"/>
            <w:vMerge/>
            <w:tcBorders>
              <w:left w:val="single" w:sz="4" w:space="0" w:color="auto"/>
            </w:tcBorders>
          </w:tcPr>
          <w:p w14:paraId="77292C6E" w14:textId="77777777" w:rsidR="00146165" w:rsidRPr="00AA19A8" w:rsidRDefault="00146165" w:rsidP="00146165">
            <w:pPr>
              <w:spacing w:before="0"/>
              <w:rPr>
                <w:rFonts w:ascii="Calibri" w:eastAsia="Calibri" w:hAnsi="Calibri" w:cs="Times New Roman"/>
                <w:b/>
                <w:lang w:val="sr-Cyrl-CS"/>
              </w:rPr>
            </w:pPr>
          </w:p>
        </w:tc>
        <w:tc>
          <w:tcPr>
            <w:tcW w:w="722" w:type="pct"/>
            <w:vAlign w:val="center"/>
          </w:tcPr>
          <w:p w14:paraId="019A7073"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3%</w:t>
            </w:r>
          </w:p>
        </w:tc>
        <w:tc>
          <w:tcPr>
            <w:tcW w:w="786" w:type="pct"/>
            <w:vAlign w:val="center"/>
          </w:tcPr>
          <w:p w14:paraId="1CD8A24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5%</w:t>
            </w:r>
          </w:p>
        </w:tc>
        <w:tc>
          <w:tcPr>
            <w:tcW w:w="717" w:type="pct"/>
            <w:gridSpan w:val="2"/>
            <w:vAlign w:val="center"/>
          </w:tcPr>
          <w:p w14:paraId="3DD54D1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3,5%</w:t>
            </w:r>
          </w:p>
        </w:tc>
        <w:tc>
          <w:tcPr>
            <w:tcW w:w="717" w:type="pct"/>
            <w:vAlign w:val="center"/>
          </w:tcPr>
          <w:p w14:paraId="3AFC2B0A" w14:textId="77777777" w:rsidR="00146165" w:rsidRPr="00AA19A8" w:rsidRDefault="00146165" w:rsidP="00146165">
            <w:pPr>
              <w:spacing w:before="0"/>
              <w:jc w:val="center"/>
              <w:rPr>
                <w:rFonts w:ascii="Calibri" w:eastAsia="Calibri" w:hAnsi="Calibri" w:cs="Times New Roman"/>
                <w:bCs/>
                <w:lang w:val="sr-Cyrl-CS"/>
              </w:rPr>
            </w:pPr>
          </w:p>
        </w:tc>
        <w:tc>
          <w:tcPr>
            <w:tcW w:w="794" w:type="pct"/>
            <w:tcBorders>
              <w:right w:val="single" w:sz="4" w:space="0" w:color="auto"/>
            </w:tcBorders>
            <w:vAlign w:val="center"/>
          </w:tcPr>
          <w:p w14:paraId="770BE42A"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2FB54561" w14:textId="77777777" w:rsidTr="00924D5A">
        <w:tc>
          <w:tcPr>
            <w:tcW w:w="1263" w:type="pct"/>
            <w:tcBorders>
              <w:left w:val="single" w:sz="4" w:space="0" w:color="auto"/>
              <w:bottom w:val="single" w:sz="4" w:space="0" w:color="auto"/>
            </w:tcBorders>
          </w:tcPr>
          <w:p w14:paraId="2768E096"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lastRenderedPageBreak/>
              <w:t>Процена успешности:</w:t>
            </w:r>
          </w:p>
        </w:tc>
        <w:tc>
          <w:tcPr>
            <w:tcW w:w="3737" w:type="pct"/>
            <w:gridSpan w:val="6"/>
            <w:tcBorders>
              <w:bottom w:val="single" w:sz="4" w:space="0" w:color="auto"/>
              <w:right w:val="single" w:sz="4" w:space="0" w:color="auto"/>
            </w:tcBorders>
          </w:tcPr>
          <w:p w14:paraId="7D7C96E2"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реализоване од циљане стопе реалног раста БДП у износу до 0.8 процентних поена.</w:t>
            </w:r>
          </w:p>
        </w:tc>
      </w:tr>
    </w:tbl>
    <w:p w14:paraId="583355A8" w14:textId="77777777" w:rsidR="00146165" w:rsidRPr="00AA19A8" w:rsidRDefault="00146165" w:rsidP="00146165">
      <w:pPr>
        <w:spacing w:after="120"/>
        <w:rPr>
          <w:rFonts w:ascii="Calibri" w:eastAsia="Times New Roman" w:hAnsi="Calibri" w:cs="Times New Roman"/>
          <w:b/>
          <w:bCs/>
          <w:lang w:val="sr-Cyrl-CS"/>
        </w:rPr>
      </w:pP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80"/>
        <w:gridCol w:w="1305"/>
        <w:gridCol w:w="1315"/>
        <w:gridCol w:w="474"/>
        <w:gridCol w:w="688"/>
        <w:gridCol w:w="1506"/>
        <w:gridCol w:w="1504"/>
      </w:tblGrid>
      <w:tr w:rsidR="00D30238" w:rsidRPr="00AA19A8" w14:paraId="2352EDAB" w14:textId="77777777" w:rsidTr="00924D5A">
        <w:tc>
          <w:tcPr>
            <w:tcW w:w="1257" w:type="pct"/>
            <w:tcBorders>
              <w:top w:val="single" w:sz="4" w:space="0" w:color="auto"/>
              <w:left w:val="single" w:sz="4" w:space="0" w:color="auto"/>
            </w:tcBorders>
            <w:vAlign w:val="center"/>
          </w:tcPr>
          <w:p w14:paraId="4469E97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43" w:type="pct"/>
            <w:gridSpan w:val="6"/>
            <w:tcBorders>
              <w:top w:val="single" w:sz="4" w:space="0" w:color="auto"/>
              <w:right w:val="single" w:sz="4" w:space="0" w:color="auto"/>
            </w:tcBorders>
            <w:vAlign w:val="center"/>
          </w:tcPr>
          <w:p w14:paraId="2E2D84F8"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Times New Roman" w:hAnsi="Calibri" w:cs="Times New Roman"/>
                <w:b/>
                <w:lang w:val="sr-Cyrl-CS"/>
              </w:rPr>
              <w:t>Ниво дуга сектора државе у БДП</w:t>
            </w:r>
          </w:p>
        </w:tc>
      </w:tr>
      <w:tr w:rsidR="00D30238" w:rsidRPr="00AA19A8" w14:paraId="22A4DF7E" w14:textId="77777777" w:rsidTr="00924D5A">
        <w:tc>
          <w:tcPr>
            <w:tcW w:w="1257" w:type="pct"/>
            <w:tcBorders>
              <w:top w:val="single" w:sz="4" w:space="0" w:color="auto"/>
              <w:left w:val="single" w:sz="4" w:space="0" w:color="auto"/>
            </w:tcBorders>
          </w:tcPr>
          <w:p w14:paraId="3F748F3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43" w:type="pct"/>
            <w:gridSpan w:val="6"/>
            <w:tcBorders>
              <w:top w:val="single" w:sz="4" w:space="0" w:color="auto"/>
              <w:right w:val="single" w:sz="4" w:space="0" w:color="auto"/>
            </w:tcBorders>
          </w:tcPr>
          <w:p w14:paraId="75A6FF81"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Општи циљ</w:t>
            </w:r>
            <w:r w:rsidRPr="00AA19A8">
              <w:rPr>
                <w:rFonts w:ascii="Calibri" w:eastAsia="Calibri" w:hAnsi="Calibri" w:cs="Times New Roman"/>
                <w:bCs/>
                <w:lang w:val="sr-Cyrl-CS"/>
              </w:rPr>
              <w:t xml:space="preserve">: </w:t>
            </w:r>
            <w:r w:rsidRPr="00AA19A8">
              <w:rPr>
                <w:rFonts w:ascii="Calibri" w:eastAsia="Times New Roman" w:hAnsi="Calibri" w:cs="Times New Roman"/>
                <w:lang w:val="sr-Cyrl-CS"/>
              </w:rPr>
              <w:t>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p>
        </w:tc>
      </w:tr>
      <w:tr w:rsidR="00D30238" w:rsidRPr="00AA19A8" w14:paraId="70AA0AD2" w14:textId="77777777" w:rsidTr="00924D5A">
        <w:tc>
          <w:tcPr>
            <w:tcW w:w="1257" w:type="pct"/>
            <w:tcBorders>
              <w:left w:val="single" w:sz="4" w:space="0" w:color="auto"/>
            </w:tcBorders>
          </w:tcPr>
          <w:p w14:paraId="2A1EA05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705" w:type="pct"/>
            <w:gridSpan w:val="3"/>
            <w:tcBorders>
              <w:right w:val="single" w:sz="4" w:space="0" w:color="auto"/>
            </w:tcBorders>
          </w:tcPr>
          <w:p w14:paraId="73FA12F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Квантитативни</w:t>
            </w:r>
          </w:p>
        </w:tc>
        <w:tc>
          <w:tcPr>
            <w:tcW w:w="2038" w:type="pct"/>
            <w:gridSpan w:val="3"/>
            <w:tcBorders>
              <w:right w:val="single" w:sz="4" w:space="0" w:color="auto"/>
            </w:tcBorders>
          </w:tcPr>
          <w:p w14:paraId="5BB6035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Показатељ ефекта</w:t>
            </w:r>
          </w:p>
        </w:tc>
      </w:tr>
      <w:tr w:rsidR="00D30238" w:rsidRPr="00AA19A8" w14:paraId="50AC35B8" w14:textId="77777777" w:rsidTr="00924D5A">
        <w:tc>
          <w:tcPr>
            <w:tcW w:w="1257" w:type="pct"/>
            <w:tcBorders>
              <w:left w:val="single" w:sz="4" w:space="0" w:color="auto"/>
            </w:tcBorders>
          </w:tcPr>
          <w:p w14:paraId="466E16A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705" w:type="pct"/>
            <w:gridSpan w:val="3"/>
            <w:tcBorders>
              <w:right w:val="single" w:sz="4" w:space="0" w:color="auto"/>
            </w:tcBorders>
          </w:tcPr>
          <w:p w14:paraId="08688C0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038" w:type="pct"/>
            <w:gridSpan w:val="3"/>
            <w:tcBorders>
              <w:right w:val="single" w:sz="4" w:space="0" w:color="auto"/>
            </w:tcBorders>
            <w:vAlign w:val="center"/>
          </w:tcPr>
          <w:p w14:paraId="2DD14762"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Нижа вредност је боља</w:t>
            </w:r>
          </w:p>
        </w:tc>
      </w:tr>
      <w:tr w:rsidR="00D30238" w:rsidRPr="00AA19A8" w14:paraId="1408A88A" w14:textId="77777777" w:rsidTr="00924D5A">
        <w:tc>
          <w:tcPr>
            <w:tcW w:w="1257" w:type="pct"/>
            <w:tcBorders>
              <w:left w:val="single" w:sz="4" w:space="0" w:color="auto"/>
              <w:bottom w:val="single" w:sz="4" w:space="0" w:color="auto"/>
            </w:tcBorders>
          </w:tcPr>
          <w:p w14:paraId="7995B9B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43" w:type="pct"/>
            <w:gridSpan w:val="6"/>
            <w:tcBorders>
              <w:bottom w:val="single" w:sz="4" w:space="0" w:color="auto"/>
              <w:right w:val="single" w:sz="4" w:space="0" w:color="auto"/>
            </w:tcBorders>
          </w:tcPr>
          <w:p w14:paraId="0003AF6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Ревидирана Фискална стратегија (план) и УЈД (извршење)</w:t>
            </w:r>
            <w:r w:rsidRPr="00AA19A8">
              <w:rPr>
                <w:rFonts w:ascii="Calibri" w:eastAsia="Times New Roman" w:hAnsi="Calibri" w:cs="Times New Roman"/>
                <w:lang w:val="sr-Cyrl-CS"/>
              </w:rPr>
              <w:t xml:space="preserve"> </w:t>
            </w:r>
            <w:hyperlink r:id="rId11" w:history="1">
              <w:r w:rsidRPr="00AA19A8">
                <w:rPr>
                  <w:rFonts w:ascii="Calibri" w:eastAsia="Times New Roman" w:hAnsi="Calibri" w:cs="Times New Roman"/>
                  <w:u w:val="single"/>
                  <w:lang w:val="sr-Cyrl-CS"/>
                </w:rPr>
                <w:t>https://mfin.gov.rs/dokumenti2/fiskalna-strategija</w:t>
              </w:r>
            </w:hyperlink>
            <w:r w:rsidRPr="00AA19A8">
              <w:rPr>
                <w:rFonts w:ascii="Calibri" w:eastAsia="Times New Roman" w:hAnsi="Calibri" w:cs="Times New Roman"/>
                <w:lang w:val="sr-Cyrl-CS"/>
              </w:rPr>
              <w:t xml:space="preserve"> </w:t>
            </w:r>
          </w:p>
          <w:p w14:paraId="286DB6C0" w14:textId="77777777" w:rsidR="00146165" w:rsidRPr="00AA19A8" w:rsidRDefault="00146165" w:rsidP="00146165">
            <w:pPr>
              <w:spacing w:line="256" w:lineRule="auto"/>
              <w:rPr>
                <w:rFonts w:ascii="Calibri" w:eastAsia="Times New Roman" w:hAnsi="Calibri" w:cs="Times New Roman"/>
                <w:bCs/>
                <w:lang w:val="sr-Cyrl-CS"/>
              </w:rPr>
            </w:pPr>
            <w:hyperlink r:id="rId12" w:history="1">
              <w:r w:rsidRPr="00AA19A8">
                <w:rPr>
                  <w:rFonts w:ascii="Calibri" w:eastAsia="Times New Roman" w:hAnsi="Calibri" w:cs="Times New Roman"/>
                  <w:bCs/>
                  <w:u w:val="single"/>
                  <w:lang w:val="sr-Cyrl-CS"/>
                </w:rPr>
                <w:t>https://javnidug.gov.rs/rsc</w:t>
              </w:r>
            </w:hyperlink>
            <w:r w:rsidRPr="00AA19A8">
              <w:rPr>
                <w:rFonts w:ascii="Calibri" w:eastAsia="Times New Roman" w:hAnsi="Calibri" w:cs="Times New Roman"/>
                <w:bCs/>
                <w:lang w:val="sr-Cyrl-CS"/>
              </w:rPr>
              <w:t xml:space="preserve">  </w:t>
            </w:r>
          </w:p>
        </w:tc>
      </w:tr>
      <w:tr w:rsidR="00D30238" w:rsidRPr="00AA19A8" w14:paraId="40E72F66" w14:textId="77777777" w:rsidTr="00924D5A">
        <w:tc>
          <w:tcPr>
            <w:tcW w:w="1257" w:type="pct"/>
            <w:tcBorders>
              <w:left w:val="single" w:sz="4" w:space="0" w:color="auto"/>
              <w:bottom w:val="single" w:sz="4" w:space="0" w:color="auto"/>
            </w:tcBorders>
          </w:tcPr>
          <w:p w14:paraId="2B366DB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43" w:type="pct"/>
            <w:gridSpan w:val="6"/>
            <w:tcBorders>
              <w:bottom w:val="single" w:sz="4" w:space="0" w:color="auto"/>
              <w:right w:val="single" w:sz="4" w:space="0" w:color="auto"/>
            </w:tcBorders>
          </w:tcPr>
          <w:p w14:paraId="621B004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w:t>
            </w:r>
          </w:p>
        </w:tc>
      </w:tr>
      <w:tr w:rsidR="00D30238" w:rsidRPr="00AA19A8" w14:paraId="6AF453E2" w14:textId="77777777" w:rsidTr="00924D5A">
        <w:tc>
          <w:tcPr>
            <w:tcW w:w="1257" w:type="pct"/>
            <w:tcBorders>
              <w:top w:val="single" w:sz="4" w:space="0" w:color="auto"/>
              <w:left w:val="single" w:sz="4" w:space="0" w:color="auto"/>
            </w:tcBorders>
          </w:tcPr>
          <w:p w14:paraId="00123EA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43" w:type="pct"/>
            <w:gridSpan w:val="6"/>
            <w:tcBorders>
              <w:top w:val="single" w:sz="4" w:space="0" w:color="auto"/>
              <w:right w:val="single" w:sz="4" w:space="0" w:color="auto"/>
            </w:tcBorders>
          </w:tcPr>
          <w:p w14:paraId="56FAB4B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lang w:val="sr-Cyrl-CS"/>
              </w:rPr>
              <w:t>Квартална, годишња Процена кварталне вредности показатеља се објављује у текућем кварталу за претходни квартал. Стање дуга сектора државе на дан 31.12. текуће године објављује Управа за јавни дуг у својим месечним и кварталним извештајима.</w:t>
            </w:r>
          </w:p>
        </w:tc>
      </w:tr>
      <w:tr w:rsidR="00D30238" w:rsidRPr="00AA19A8" w14:paraId="6D34F021" w14:textId="77777777" w:rsidTr="00924D5A">
        <w:trPr>
          <w:trHeight w:val="1181"/>
        </w:trPr>
        <w:tc>
          <w:tcPr>
            <w:tcW w:w="1257" w:type="pct"/>
            <w:tcBorders>
              <w:left w:val="single" w:sz="4" w:space="0" w:color="auto"/>
              <w:bottom w:val="single" w:sz="6" w:space="0" w:color="auto"/>
            </w:tcBorders>
          </w:tcPr>
          <w:p w14:paraId="3A42E66F"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338F085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43" w:type="pct"/>
            <w:gridSpan w:val="6"/>
            <w:tcBorders>
              <w:right w:val="single" w:sz="4" w:space="0" w:color="auto"/>
            </w:tcBorders>
          </w:tcPr>
          <w:p w14:paraId="1140C20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Учешће дуга сектора државе у БДП се израчунава као однос номиналне вредности дуга сектора државе и номиналне вредности бруто домаћег производа (изражено у %). </w:t>
            </w:r>
          </w:p>
          <w:p w14:paraId="7C609C7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По ЗБС, дуг сектора државе обухвата директни дуг сектора државе и издате гаранције државе (индиректни дуг), према домаћим и страним повериоцима. </w:t>
            </w:r>
          </w:p>
          <w:p w14:paraId="215FB98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Дуг сектора државе се алтернативно може рачунати по методологији ЕУ – Мастрихтска дефиниција. </w:t>
            </w:r>
          </w:p>
          <w:p w14:paraId="705E502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Управа за јавни дуг паралелно обрачунава и објављује податке о уделу дуга сектора државе у БДП-у на основу ЕУ и ЗБС дефиниције.</w:t>
            </w:r>
          </w:p>
        </w:tc>
      </w:tr>
      <w:tr w:rsidR="00D30238" w:rsidRPr="00AA19A8" w14:paraId="4A911A38" w14:textId="77777777" w:rsidTr="00924D5A">
        <w:tc>
          <w:tcPr>
            <w:tcW w:w="1257" w:type="pct"/>
            <w:vMerge w:val="restart"/>
            <w:tcBorders>
              <w:top w:val="single" w:sz="6" w:space="0" w:color="auto"/>
              <w:left w:val="single" w:sz="4" w:space="0" w:color="auto"/>
            </w:tcBorders>
          </w:tcPr>
          <w:p w14:paraId="22ED22CB"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084" w:type="pct"/>
            <w:gridSpan w:val="4"/>
            <w:tcBorders>
              <w:top w:val="single" w:sz="6" w:space="0" w:color="auto"/>
            </w:tcBorders>
            <w:vAlign w:val="center"/>
          </w:tcPr>
          <w:p w14:paraId="7E5C8282"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659" w:type="pct"/>
            <w:gridSpan w:val="2"/>
            <w:tcBorders>
              <w:top w:val="single" w:sz="6" w:space="0" w:color="auto"/>
              <w:right w:val="single" w:sz="4" w:space="0" w:color="auto"/>
            </w:tcBorders>
            <w:vAlign w:val="center"/>
          </w:tcPr>
          <w:p w14:paraId="3E07C15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3B74E883" w14:textId="77777777" w:rsidTr="00924D5A">
        <w:tc>
          <w:tcPr>
            <w:tcW w:w="1257" w:type="pct"/>
            <w:vMerge/>
            <w:tcBorders>
              <w:left w:val="single" w:sz="4" w:space="0" w:color="auto"/>
            </w:tcBorders>
          </w:tcPr>
          <w:p w14:paraId="3BA7BA99" w14:textId="77777777" w:rsidR="00146165" w:rsidRPr="00AA19A8" w:rsidRDefault="00146165" w:rsidP="00146165">
            <w:pPr>
              <w:spacing w:before="0"/>
              <w:rPr>
                <w:rFonts w:ascii="Calibri" w:eastAsia="Calibri" w:hAnsi="Calibri" w:cs="Times New Roman"/>
                <w:b/>
                <w:lang w:val="sr-Cyrl-CS"/>
              </w:rPr>
            </w:pPr>
          </w:p>
        </w:tc>
        <w:tc>
          <w:tcPr>
            <w:tcW w:w="719" w:type="pct"/>
          </w:tcPr>
          <w:p w14:paraId="2CAE5AC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25" w:type="pct"/>
          </w:tcPr>
          <w:p w14:paraId="37DD139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640" w:type="pct"/>
            <w:gridSpan w:val="2"/>
          </w:tcPr>
          <w:p w14:paraId="3744F0B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659" w:type="pct"/>
            <w:gridSpan w:val="2"/>
          </w:tcPr>
          <w:p w14:paraId="6AD2FE5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r>
      <w:tr w:rsidR="00D30238" w:rsidRPr="00AA19A8" w14:paraId="052A0128" w14:textId="77777777" w:rsidTr="00924D5A">
        <w:tc>
          <w:tcPr>
            <w:tcW w:w="1257" w:type="pct"/>
            <w:vMerge/>
            <w:tcBorders>
              <w:left w:val="single" w:sz="4" w:space="0" w:color="auto"/>
            </w:tcBorders>
          </w:tcPr>
          <w:p w14:paraId="0F08C262" w14:textId="77777777" w:rsidR="00146165" w:rsidRPr="00AA19A8" w:rsidRDefault="00146165" w:rsidP="00146165">
            <w:pPr>
              <w:spacing w:before="0"/>
              <w:rPr>
                <w:rFonts w:ascii="Calibri" w:eastAsia="Calibri" w:hAnsi="Calibri" w:cs="Times New Roman"/>
                <w:b/>
                <w:lang w:val="sr-Cyrl-CS"/>
              </w:rPr>
            </w:pPr>
          </w:p>
        </w:tc>
        <w:tc>
          <w:tcPr>
            <w:tcW w:w="719" w:type="pct"/>
          </w:tcPr>
          <w:p w14:paraId="5E15E67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54,5%</w:t>
            </w:r>
          </w:p>
        </w:tc>
        <w:tc>
          <w:tcPr>
            <w:tcW w:w="725" w:type="pct"/>
          </w:tcPr>
          <w:p w14:paraId="093669C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52,9%</w:t>
            </w:r>
          </w:p>
        </w:tc>
        <w:tc>
          <w:tcPr>
            <w:tcW w:w="640" w:type="pct"/>
            <w:gridSpan w:val="2"/>
          </w:tcPr>
          <w:p w14:paraId="078499E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48,4%</w:t>
            </w:r>
          </w:p>
        </w:tc>
        <w:tc>
          <w:tcPr>
            <w:tcW w:w="1659" w:type="pct"/>
            <w:gridSpan w:val="2"/>
          </w:tcPr>
          <w:p w14:paraId="0511565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46,9%</w:t>
            </w:r>
          </w:p>
        </w:tc>
      </w:tr>
      <w:tr w:rsidR="00D30238" w:rsidRPr="00AA19A8" w14:paraId="6252F7E6" w14:textId="77777777" w:rsidTr="00924D5A">
        <w:tc>
          <w:tcPr>
            <w:tcW w:w="1257" w:type="pct"/>
            <w:vMerge w:val="restart"/>
            <w:tcBorders>
              <w:left w:val="single" w:sz="4" w:space="0" w:color="auto"/>
            </w:tcBorders>
          </w:tcPr>
          <w:p w14:paraId="377AFBD4"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19" w:type="pct"/>
          </w:tcPr>
          <w:p w14:paraId="041BB28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25" w:type="pct"/>
          </w:tcPr>
          <w:p w14:paraId="359BEB6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640" w:type="pct"/>
            <w:gridSpan w:val="2"/>
          </w:tcPr>
          <w:p w14:paraId="39A3E2B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830" w:type="pct"/>
            <w:tcBorders>
              <w:right w:val="single" w:sz="4" w:space="0" w:color="auto"/>
            </w:tcBorders>
          </w:tcPr>
          <w:p w14:paraId="5F3DFED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830" w:type="pct"/>
            <w:tcBorders>
              <w:right w:val="single" w:sz="4" w:space="0" w:color="auto"/>
            </w:tcBorders>
          </w:tcPr>
          <w:p w14:paraId="686769C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28132AAF" w14:textId="77777777" w:rsidTr="00924D5A">
        <w:tc>
          <w:tcPr>
            <w:tcW w:w="1257" w:type="pct"/>
            <w:vMerge/>
            <w:tcBorders>
              <w:left w:val="single" w:sz="4" w:space="0" w:color="auto"/>
            </w:tcBorders>
          </w:tcPr>
          <w:p w14:paraId="23FD1A42" w14:textId="77777777" w:rsidR="00146165" w:rsidRPr="00AA19A8" w:rsidRDefault="00146165" w:rsidP="00146165">
            <w:pPr>
              <w:spacing w:before="0"/>
              <w:rPr>
                <w:rFonts w:ascii="Calibri" w:eastAsia="Calibri" w:hAnsi="Calibri" w:cs="Times New Roman"/>
                <w:b/>
                <w:lang w:val="sr-Cyrl-CS"/>
              </w:rPr>
            </w:pPr>
          </w:p>
        </w:tc>
        <w:tc>
          <w:tcPr>
            <w:tcW w:w="719" w:type="pct"/>
            <w:vAlign w:val="center"/>
          </w:tcPr>
          <w:p w14:paraId="3FE51870"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44,5%</w:t>
            </w:r>
          </w:p>
        </w:tc>
        <w:tc>
          <w:tcPr>
            <w:tcW w:w="725" w:type="pct"/>
            <w:vAlign w:val="center"/>
          </w:tcPr>
          <w:p w14:paraId="52E75EF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44,3%</w:t>
            </w:r>
          </w:p>
        </w:tc>
        <w:tc>
          <w:tcPr>
            <w:tcW w:w="640" w:type="pct"/>
            <w:gridSpan w:val="2"/>
            <w:vAlign w:val="center"/>
          </w:tcPr>
          <w:p w14:paraId="1132571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44,1%</w:t>
            </w:r>
          </w:p>
        </w:tc>
        <w:tc>
          <w:tcPr>
            <w:tcW w:w="830" w:type="pct"/>
            <w:tcBorders>
              <w:right w:val="single" w:sz="4" w:space="0" w:color="auto"/>
            </w:tcBorders>
            <w:vAlign w:val="center"/>
          </w:tcPr>
          <w:p w14:paraId="5343B36B" w14:textId="77777777" w:rsidR="00146165" w:rsidRPr="00AA19A8" w:rsidRDefault="00146165" w:rsidP="00146165">
            <w:pPr>
              <w:spacing w:before="0"/>
              <w:jc w:val="center"/>
              <w:rPr>
                <w:rFonts w:ascii="Calibri" w:eastAsia="Calibri" w:hAnsi="Calibri" w:cs="Times New Roman"/>
                <w:bCs/>
                <w:lang w:val="sr-Cyrl-CS"/>
              </w:rPr>
            </w:pPr>
          </w:p>
        </w:tc>
        <w:tc>
          <w:tcPr>
            <w:tcW w:w="830" w:type="pct"/>
            <w:tcBorders>
              <w:right w:val="single" w:sz="4" w:space="0" w:color="auto"/>
            </w:tcBorders>
            <w:vAlign w:val="center"/>
          </w:tcPr>
          <w:p w14:paraId="6746F433"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3AF71DF2" w14:textId="77777777" w:rsidTr="00924D5A">
        <w:tc>
          <w:tcPr>
            <w:tcW w:w="1257" w:type="pct"/>
            <w:tcBorders>
              <w:left w:val="single" w:sz="4" w:space="0" w:color="auto"/>
              <w:bottom w:val="single" w:sz="4" w:space="0" w:color="auto"/>
            </w:tcBorders>
          </w:tcPr>
          <w:p w14:paraId="0259537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43" w:type="pct"/>
            <w:gridSpan w:val="6"/>
            <w:tcBorders>
              <w:bottom w:val="single" w:sz="4" w:space="0" w:color="auto"/>
              <w:right w:val="single" w:sz="4" w:space="0" w:color="auto"/>
            </w:tcBorders>
          </w:tcPr>
          <w:p w14:paraId="37E3D88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оствареног од циљаног учешћа дуга опште државе у БДП у износу до 2 процентна поена.</w:t>
            </w:r>
          </w:p>
        </w:tc>
      </w:tr>
    </w:tbl>
    <w:p w14:paraId="3544A867" w14:textId="77777777" w:rsidR="00146165" w:rsidRPr="00AA19A8" w:rsidRDefault="00146165" w:rsidP="00146165">
      <w:pPr>
        <w:spacing w:after="120"/>
        <w:rPr>
          <w:rFonts w:ascii="Calibri" w:eastAsia="Times New Roman" w:hAnsi="Calibri" w:cs="Times New Roman"/>
          <w:b/>
          <w:bCs/>
          <w:lang w:val="sr-Cyrl-CS"/>
        </w:rPr>
      </w:pPr>
    </w:p>
    <w:p w14:paraId="25FD48F1"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посебног циља 1</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81"/>
        <w:gridCol w:w="1299"/>
        <w:gridCol w:w="1537"/>
        <w:gridCol w:w="256"/>
        <w:gridCol w:w="1219"/>
        <w:gridCol w:w="1239"/>
        <w:gridCol w:w="1241"/>
      </w:tblGrid>
      <w:tr w:rsidR="00D30238" w:rsidRPr="00AA19A8" w14:paraId="1EEA9B63" w14:textId="77777777" w:rsidTr="00924D5A">
        <w:tc>
          <w:tcPr>
            <w:tcW w:w="1257" w:type="pct"/>
            <w:tcBorders>
              <w:top w:val="single" w:sz="4" w:space="0" w:color="auto"/>
              <w:left w:val="single" w:sz="4" w:space="0" w:color="auto"/>
            </w:tcBorders>
            <w:vAlign w:val="center"/>
          </w:tcPr>
          <w:p w14:paraId="00E4110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43" w:type="pct"/>
            <w:gridSpan w:val="6"/>
            <w:tcBorders>
              <w:top w:val="single" w:sz="4" w:space="0" w:color="auto"/>
              <w:right w:val="single" w:sz="4" w:space="0" w:color="auto"/>
            </w:tcBorders>
            <w:vAlign w:val="center"/>
          </w:tcPr>
          <w:p w14:paraId="486D29D5"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Times New Roman" w:hAnsi="Calibri" w:cs="Times New Roman"/>
                <w:b/>
                <w:lang w:val="sr-Cyrl-CS"/>
              </w:rPr>
              <w:t>Дефицит сектора државе до 3% БДП</w:t>
            </w:r>
          </w:p>
        </w:tc>
      </w:tr>
      <w:tr w:rsidR="00D30238" w:rsidRPr="00AA19A8" w14:paraId="0CF58FD2" w14:textId="77777777" w:rsidTr="00924D5A">
        <w:tc>
          <w:tcPr>
            <w:tcW w:w="1257" w:type="pct"/>
            <w:tcBorders>
              <w:top w:val="single" w:sz="4" w:space="0" w:color="auto"/>
              <w:left w:val="single" w:sz="4" w:space="0" w:color="auto"/>
            </w:tcBorders>
          </w:tcPr>
          <w:p w14:paraId="2957DD1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43" w:type="pct"/>
            <w:gridSpan w:val="6"/>
            <w:tcBorders>
              <w:top w:val="single" w:sz="4" w:space="0" w:color="auto"/>
              <w:right w:val="single" w:sz="4" w:space="0" w:color="auto"/>
            </w:tcBorders>
          </w:tcPr>
          <w:p w14:paraId="2AC970B5"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Посебни циљ 1</w:t>
            </w:r>
            <w:r w:rsidRPr="00AA19A8">
              <w:rPr>
                <w:rFonts w:ascii="Calibri" w:eastAsia="Calibri" w:hAnsi="Calibri" w:cs="Times New Roman"/>
                <w:bCs/>
                <w:lang w:val="sr-Cyrl-CS"/>
              </w:rPr>
              <w:t xml:space="preserve">: </w:t>
            </w:r>
            <w:r w:rsidRPr="00AA19A8">
              <w:rPr>
                <w:rFonts w:ascii="Calibri" w:eastAsia="Times New Roman" w:hAnsi="Calibri" w:cs="Times New Roman"/>
                <w:lang w:val="sr-Cyrl-CS"/>
              </w:rPr>
              <w:t>Унапређени капацитети за буџетско планирање и управљање јавним инвестицијама</w:t>
            </w:r>
          </w:p>
        </w:tc>
      </w:tr>
      <w:tr w:rsidR="00D30238" w:rsidRPr="00AA19A8" w14:paraId="62FE84DB" w14:textId="77777777" w:rsidTr="00924D5A">
        <w:tc>
          <w:tcPr>
            <w:tcW w:w="1257" w:type="pct"/>
            <w:tcBorders>
              <w:left w:val="single" w:sz="4" w:space="0" w:color="auto"/>
            </w:tcBorders>
          </w:tcPr>
          <w:p w14:paraId="439B2A6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704" w:type="pct"/>
            <w:gridSpan w:val="3"/>
            <w:tcBorders>
              <w:right w:val="single" w:sz="4" w:space="0" w:color="auto"/>
            </w:tcBorders>
          </w:tcPr>
          <w:p w14:paraId="32B5A2D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Квантитативни</w:t>
            </w:r>
          </w:p>
        </w:tc>
        <w:tc>
          <w:tcPr>
            <w:tcW w:w="2039" w:type="pct"/>
            <w:gridSpan w:val="3"/>
            <w:tcBorders>
              <w:right w:val="single" w:sz="4" w:space="0" w:color="auto"/>
            </w:tcBorders>
          </w:tcPr>
          <w:p w14:paraId="7D3485D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 xml:space="preserve">Показатељ исхода </w:t>
            </w:r>
          </w:p>
        </w:tc>
      </w:tr>
      <w:tr w:rsidR="00D30238" w:rsidRPr="00AA19A8" w14:paraId="7FF232C4" w14:textId="77777777" w:rsidTr="00924D5A">
        <w:tc>
          <w:tcPr>
            <w:tcW w:w="1257" w:type="pct"/>
            <w:tcBorders>
              <w:left w:val="single" w:sz="4" w:space="0" w:color="auto"/>
            </w:tcBorders>
          </w:tcPr>
          <w:p w14:paraId="593BAEF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704" w:type="pct"/>
            <w:gridSpan w:val="3"/>
            <w:tcBorders>
              <w:right w:val="single" w:sz="4" w:space="0" w:color="auto"/>
            </w:tcBorders>
          </w:tcPr>
          <w:p w14:paraId="61B4C2D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039" w:type="pct"/>
            <w:gridSpan w:val="3"/>
            <w:tcBorders>
              <w:right w:val="single" w:sz="4" w:space="0" w:color="auto"/>
            </w:tcBorders>
            <w:vAlign w:val="center"/>
          </w:tcPr>
          <w:p w14:paraId="6EA30B37"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Нижа вредност је боља.</w:t>
            </w:r>
          </w:p>
        </w:tc>
      </w:tr>
      <w:tr w:rsidR="00D30238" w:rsidRPr="00AA19A8" w14:paraId="0607A4AC" w14:textId="77777777" w:rsidTr="00924D5A">
        <w:tc>
          <w:tcPr>
            <w:tcW w:w="1257" w:type="pct"/>
            <w:tcBorders>
              <w:left w:val="single" w:sz="4" w:space="0" w:color="auto"/>
              <w:bottom w:val="single" w:sz="4" w:space="0" w:color="auto"/>
            </w:tcBorders>
          </w:tcPr>
          <w:p w14:paraId="099277B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43" w:type="pct"/>
            <w:gridSpan w:val="6"/>
            <w:tcBorders>
              <w:bottom w:val="single" w:sz="4" w:space="0" w:color="auto"/>
              <w:right w:val="single" w:sz="4" w:space="0" w:color="auto"/>
            </w:tcBorders>
          </w:tcPr>
          <w:p w14:paraId="5307CB0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Ревидирана Фискална стратегија и макроекономски и фискални подаци (интернет страница Министарства финансија) - </w:t>
            </w:r>
            <w:hyperlink r:id="rId13" w:history="1">
              <w:r w:rsidRPr="00AA19A8">
                <w:rPr>
                  <w:rFonts w:ascii="Calibri" w:eastAsia="Times New Roman" w:hAnsi="Calibri" w:cs="Times New Roman"/>
                  <w:bCs/>
                  <w:u w:val="single"/>
                  <w:lang w:val="sr-Cyrl-CS"/>
                </w:rPr>
                <w:t>https://www.mfin.gov.rs/dokumenti2/fiskalna-strategija</w:t>
              </w:r>
            </w:hyperlink>
            <w:r w:rsidRPr="00AA19A8">
              <w:rPr>
                <w:rFonts w:ascii="Calibri" w:eastAsia="Times New Roman" w:hAnsi="Calibri" w:cs="Times New Roman"/>
                <w:bCs/>
                <w:lang w:val="sr-Cyrl-CS"/>
              </w:rPr>
              <w:t xml:space="preserve"> </w:t>
            </w:r>
          </w:p>
          <w:p w14:paraId="6D057934" w14:textId="77777777" w:rsidR="00146165" w:rsidRPr="00AA19A8" w:rsidRDefault="00146165" w:rsidP="00146165">
            <w:pPr>
              <w:spacing w:line="256" w:lineRule="auto"/>
              <w:rPr>
                <w:rFonts w:ascii="Calibri" w:eastAsia="Times New Roman" w:hAnsi="Calibri" w:cs="Times New Roman"/>
                <w:bCs/>
                <w:lang w:val="sr-Cyrl-CS"/>
              </w:rPr>
            </w:pPr>
            <w:hyperlink r:id="rId14" w:history="1">
              <w:r w:rsidRPr="00AA19A8">
                <w:rPr>
                  <w:rFonts w:ascii="Calibri" w:eastAsia="Times New Roman" w:hAnsi="Calibri" w:cs="Times New Roman"/>
                  <w:bCs/>
                  <w:u w:val="single"/>
                  <w:lang w:val="sr-Cyrl-CS"/>
                </w:rPr>
                <w:t>https://www.mfin.gov.rs/dokumenti2/makroekonomski-podaci</w:t>
              </w:r>
            </w:hyperlink>
            <w:r w:rsidRPr="00AA19A8">
              <w:rPr>
                <w:rFonts w:ascii="Calibri" w:eastAsia="Times New Roman" w:hAnsi="Calibri" w:cs="Times New Roman"/>
                <w:bCs/>
                <w:lang w:val="sr-Cyrl-CS"/>
              </w:rPr>
              <w:t xml:space="preserve"> </w:t>
            </w:r>
          </w:p>
        </w:tc>
      </w:tr>
      <w:tr w:rsidR="00D30238" w:rsidRPr="00AA19A8" w14:paraId="2D5A7BC0" w14:textId="77777777" w:rsidTr="00924D5A">
        <w:tc>
          <w:tcPr>
            <w:tcW w:w="1257" w:type="pct"/>
            <w:tcBorders>
              <w:left w:val="single" w:sz="4" w:space="0" w:color="auto"/>
              <w:bottom w:val="single" w:sz="4" w:space="0" w:color="auto"/>
            </w:tcBorders>
          </w:tcPr>
          <w:p w14:paraId="6E4519C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43" w:type="pct"/>
            <w:gridSpan w:val="6"/>
            <w:tcBorders>
              <w:bottom w:val="single" w:sz="4" w:space="0" w:color="auto"/>
              <w:right w:val="single" w:sz="4" w:space="0" w:color="auto"/>
            </w:tcBorders>
          </w:tcPr>
          <w:p w14:paraId="6BFB939A" w14:textId="525F6503"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w:t>
            </w:r>
            <w:r w:rsidR="004F1556" w:rsidRPr="00AA19A8">
              <w:rPr>
                <w:rFonts w:ascii="Calibri" w:eastAsia="Times New Roman" w:hAnsi="Calibri" w:cs="Times New Roman"/>
                <w:bCs/>
                <w:lang w:val="sr-Cyrl-CS"/>
              </w:rPr>
              <w:t>н</w:t>
            </w:r>
            <w:r w:rsidRPr="00AA19A8">
              <w:rPr>
                <w:rFonts w:ascii="Calibri" w:eastAsia="Times New Roman" w:hAnsi="Calibri" w:cs="Times New Roman"/>
                <w:bCs/>
                <w:lang w:val="sr-Cyrl-CS"/>
              </w:rPr>
              <w:t>сија, Сектор буџета</w:t>
            </w:r>
          </w:p>
        </w:tc>
      </w:tr>
      <w:tr w:rsidR="00D30238" w:rsidRPr="00AA19A8" w14:paraId="3A223EDC" w14:textId="77777777" w:rsidTr="00924D5A">
        <w:tc>
          <w:tcPr>
            <w:tcW w:w="1257" w:type="pct"/>
            <w:tcBorders>
              <w:top w:val="single" w:sz="4" w:space="0" w:color="auto"/>
              <w:left w:val="single" w:sz="4" w:space="0" w:color="auto"/>
            </w:tcBorders>
          </w:tcPr>
          <w:p w14:paraId="034A318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43" w:type="pct"/>
            <w:gridSpan w:val="6"/>
            <w:tcBorders>
              <w:top w:val="single" w:sz="4" w:space="0" w:color="auto"/>
              <w:right w:val="single" w:sz="4" w:space="0" w:color="auto"/>
            </w:tcBorders>
          </w:tcPr>
          <w:p w14:paraId="505A7AB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подаци о извршењу за претходну годину се објављују почетком фебруара. Плански подаци се налазе у Ревидираној Фискалној стратегији за годину на коју се односи.</w:t>
            </w:r>
          </w:p>
        </w:tc>
      </w:tr>
      <w:tr w:rsidR="00D30238" w:rsidRPr="00AA19A8" w14:paraId="6F735762" w14:textId="77777777" w:rsidTr="00924D5A">
        <w:trPr>
          <w:trHeight w:val="1181"/>
        </w:trPr>
        <w:tc>
          <w:tcPr>
            <w:tcW w:w="1257" w:type="pct"/>
            <w:tcBorders>
              <w:left w:val="single" w:sz="4" w:space="0" w:color="auto"/>
              <w:bottom w:val="single" w:sz="6" w:space="0" w:color="auto"/>
            </w:tcBorders>
          </w:tcPr>
          <w:p w14:paraId="4ED244E1"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73A9461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43" w:type="pct"/>
            <w:gridSpan w:val="6"/>
            <w:tcBorders>
              <w:right w:val="single" w:sz="4" w:space="0" w:color="auto"/>
            </w:tcBorders>
          </w:tcPr>
          <w:p w14:paraId="3FF32F8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приказује дефицит сектора државе за сваку појединачну годину и објављује се у ревидираној фискалној стратегији која се, у складу са буџетским календаром и Законом о буџетском систему, усваја до 15. октобра.</w:t>
            </w:r>
          </w:p>
        </w:tc>
      </w:tr>
      <w:tr w:rsidR="00D30238" w:rsidRPr="00AA19A8" w14:paraId="79F92C25" w14:textId="77777777" w:rsidTr="00924D5A">
        <w:tc>
          <w:tcPr>
            <w:tcW w:w="1257" w:type="pct"/>
            <w:vMerge w:val="restart"/>
            <w:tcBorders>
              <w:top w:val="single" w:sz="6" w:space="0" w:color="auto"/>
              <w:left w:val="single" w:sz="4" w:space="0" w:color="auto"/>
            </w:tcBorders>
          </w:tcPr>
          <w:p w14:paraId="36EC48C8"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376" w:type="pct"/>
            <w:gridSpan w:val="4"/>
            <w:tcBorders>
              <w:top w:val="single" w:sz="6" w:space="0" w:color="auto"/>
            </w:tcBorders>
            <w:vAlign w:val="center"/>
          </w:tcPr>
          <w:p w14:paraId="21B0F60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367" w:type="pct"/>
            <w:gridSpan w:val="2"/>
            <w:tcBorders>
              <w:top w:val="single" w:sz="6" w:space="0" w:color="auto"/>
              <w:right w:val="single" w:sz="4" w:space="0" w:color="auto"/>
            </w:tcBorders>
            <w:vAlign w:val="center"/>
          </w:tcPr>
          <w:p w14:paraId="1CDA339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33149A6D" w14:textId="77777777" w:rsidTr="00924D5A">
        <w:tc>
          <w:tcPr>
            <w:tcW w:w="1257" w:type="pct"/>
            <w:vMerge/>
            <w:tcBorders>
              <w:left w:val="single" w:sz="4" w:space="0" w:color="auto"/>
            </w:tcBorders>
          </w:tcPr>
          <w:p w14:paraId="671F8BEA" w14:textId="77777777" w:rsidR="00146165" w:rsidRPr="00AA19A8" w:rsidRDefault="00146165" w:rsidP="00146165">
            <w:pPr>
              <w:spacing w:before="0"/>
              <w:rPr>
                <w:rFonts w:ascii="Calibri" w:eastAsia="Calibri" w:hAnsi="Calibri" w:cs="Times New Roman"/>
                <w:b/>
                <w:lang w:val="sr-Cyrl-CS"/>
              </w:rPr>
            </w:pPr>
          </w:p>
        </w:tc>
        <w:tc>
          <w:tcPr>
            <w:tcW w:w="716" w:type="pct"/>
          </w:tcPr>
          <w:p w14:paraId="40476F3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847" w:type="pct"/>
          </w:tcPr>
          <w:p w14:paraId="0F83723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813" w:type="pct"/>
            <w:gridSpan w:val="2"/>
          </w:tcPr>
          <w:p w14:paraId="40C0A56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367" w:type="pct"/>
            <w:gridSpan w:val="2"/>
            <w:tcBorders>
              <w:right w:val="single" w:sz="4" w:space="0" w:color="auto"/>
            </w:tcBorders>
          </w:tcPr>
          <w:p w14:paraId="3995637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r>
      <w:tr w:rsidR="00D30238" w:rsidRPr="00AA19A8" w14:paraId="03DA7F54" w14:textId="77777777" w:rsidTr="00924D5A">
        <w:tc>
          <w:tcPr>
            <w:tcW w:w="1257" w:type="pct"/>
            <w:vMerge/>
            <w:tcBorders>
              <w:left w:val="single" w:sz="4" w:space="0" w:color="auto"/>
            </w:tcBorders>
          </w:tcPr>
          <w:p w14:paraId="3875202A" w14:textId="77777777" w:rsidR="00146165" w:rsidRPr="00AA19A8" w:rsidRDefault="00146165" w:rsidP="00146165">
            <w:pPr>
              <w:spacing w:before="0"/>
              <w:rPr>
                <w:rFonts w:ascii="Calibri" w:eastAsia="Calibri" w:hAnsi="Calibri" w:cs="Times New Roman"/>
                <w:b/>
                <w:lang w:val="sr-Cyrl-CS"/>
              </w:rPr>
            </w:pPr>
          </w:p>
        </w:tc>
        <w:tc>
          <w:tcPr>
            <w:tcW w:w="716" w:type="pct"/>
          </w:tcPr>
          <w:p w14:paraId="005FB99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3,9%</w:t>
            </w:r>
          </w:p>
        </w:tc>
        <w:tc>
          <w:tcPr>
            <w:tcW w:w="847" w:type="pct"/>
          </w:tcPr>
          <w:p w14:paraId="735E75A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w:t>
            </w:r>
          </w:p>
        </w:tc>
        <w:tc>
          <w:tcPr>
            <w:tcW w:w="813" w:type="pct"/>
            <w:gridSpan w:val="2"/>
          </w:tcPr>
          <w:p w14:paraId="09D50F5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2,1%</w:t>
            </w:r>
          </w:p>
        </w:tc>
        <w:tc>
          <w:tcPr>
            <w:tcW w:w="1367" w:type="pct"/>
            <w:gridSpan w:val="2"/>
            <w:tcBorders>
              <w:right w:val="single" w:sz="4" w:space="0" w:color="auto"/>
            </w:tcBorders>
          </w:tcPr>
          <w:p w14:paraId="4DBA6C5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w:t>
            </w:r>
          </w:p>
        </w:tc>
      </w:tr>
      <w:tr w:rsidR="00D30238" w:rsidRPr="00AA19A8" w14:paraId="2EC64EF5" w14:textId="77777777" w:rsidTr="00924D5A">
        <w:tc>
          <w:tcPr>
            <w:tcW w:w="1257" w:type="pct"/>
            <w:vMerge w:val="restart"/>
            <w:tcBorders>
              <w:left w:val="single" w:sz="4" w:space="0" w:color="auto"/>
            </w:tcBorders>
          </w:tcPr>
          <w:p w14:paraId="70535E74"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16" w:type="pct"/>
          </w:tcPr>
          <w:p w14:paraId="495B770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847" w:type="pct"/>
          </w:tcPr>
          <w:p w14:paraId="54F2678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813" w:type="pct"/>
            <w:gridSpan w:val="2"/>
          </w:tcPr>
          <w:p w14:paraId="727A053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683" w:type="pct"/>
            <w:tcBorders>
              <w:right w:val="single" w:sz="4" w:space="0" w:color="auto"/>
            </w:tcBorders>
          </w:tcPr>
          <w:p w14:paraId="4E27467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683" w:type="pct"/>
            <w:tcBorders>
              <w:right w:val="single" w:sz="4" w:space="0" w:color="auto"/>
            </w:tcBorders>
          </w:tcPr>
          <w:p w14:paraId="53C7B06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017CE327" w14:textId="77777777" w:rsidTr="00924D5A">
        <w:tc>
          <w:tcPr>
            <w:tcW w:w="1257" w:type="pct"/>
            <w:vMerge/>
            <w:tcBorders>
              <w:left w:val="single" w:sz="4" w:space="0" w:color="auto"/>
            </w:tcBorders>
          </w:tcPr>
          <w:p w14:paraId="08CFDF0E" w14:textId="77777777" w:rsidR="00146165" w:rsidRPr="00AA19A8" w:rsidRDefault="00146165" w:rsidP="00146165">
            <w:pPr>
              <w:spacing w:before="0"/>
              <w:rPr>
                <w:rFonts w:ascii="Calibri" w:eastAsia="Calibri" w:hAnsi="Calibri" w:cs="Times New Roman"/>
                <w:b/>
                <w:lang w:val="sr-Cyrl-CS"/>
              </w:rPr>
            </w:pPr>
          </w:p>
        </w:tc>
        <w:tc>
          <w:tcPr>
            <w:tcW w:w="716" w:type="pct"/>
            <w:vAlign w:val="center"/>
          </w:tcPr>
          <w:p w14:paraId="29ACCB9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          3%</w:t>
            </w:r>
          </w:p>
        </w:tc>
        <w:tc>
          <w:tcPr>
            <w:tcW w:w="847" w:type="pct"/>
            <w:vAlign w:val="center"/>
          </w:tcPr>
          <w:p w14:paraId="650B3FD6"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3%</w:t>
            </w:r>
          </w:p>
        </w:tc>
        <w:tc>
          <w:tcPr>
            <w:tcW w:w="813" w:type="pct"/>
            <w:gridSpan w:val="2"/>
            <w:vAlign w:val="center"/>
          </w:tcPr>
          <w:p w14:paraId="7B9CE8B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2,5%</w:t>
            </w:r>
          </w:p>
        </w:tc>
        <w:tc>
          <w:tcPr>
            <w:tcW w:w="683" w:type="pct"/>
            <w:tcBorders>
              <w:right w:val="single" w:sz="4" w:space="0" w:color="auto"/>
            </w:tcBorders>
            <w:vAlign w:val="center"/>
          </w:tcPr>
          <w:p w14:paraId="4D992EAA" w14:textId="77777777" w:rsidR="00146165" w:rsidRPr="00AA19A8" w:rsidRDefault="00146165" w:rsidP="00146165">
            <w:pPr>
              <w:spacing w:before="0"/>
              <w:jc w:val="center"/>
              <w:rPr>
                <w:rFonts w:ascii="Calibri" w:eastAsia="Calibri" w:hAnsi="Calibri" w:cs="Times New Roman"/>
                <w:bCs/>
                <w:lang w:val="sr-Cyrl-CS"/>
              </w:rPr>
            </w:pPr>
          </w:p>
        </w:tc>
        <w:tc>
          <w:tcPr>
            <w:tcW w:w="683" w:type="pct"/>
            <w:tcBorders>
              <w:right w:val="single" w:sz="4" w:space="0" w:color="auto"/>
            </w:tcBorders>
            <w:vAlign w:val="center"/>
          </w:tcPr>
          <w:p w14:paraId="08A01CC8"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07501D93" w14:textId="77777777" w:rsidTr="00924D5A">
        <w:tc>
          <w:tcPr>
            <w:tcW w:w="1257" w:type="pct"/>
            <w:tcBorders>
              <w:left w:val="single" w:sz="4" w:space="0" w:color="auto"/>
              <w:bottom w:val="single" w:sz="4" w:space="0" w:color="auto"/>
            </w:tcBorders>
          </w:tcPr>
          <w:p w14:paraId="2F22EF04"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lastRenderedPageBreak/>
              <w:t>Процена успешности:</w:t>
            </w:r>
          </w:p>
        </w:tc>
        <w:tc>
          <w:tcPr>
            <w:tcW w:w="3743" w:type="pct"/>
            <w:gridSpan w:val="6"/>
            <w:tcBorders>
              <w:bottom w:val="single" w:sz="4" w:space="0" w:color="auto"/>
              <w:right w:val="single" w:sz="4" w:space="0" w:color="auto"/>
            </w:tcBorders>
          </w:tcPr>
          <w:p w14:paraId="6A38277F"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278B57E3" w14:textId="77777777" w:rsidR="00146165" w:rsidRPr="00AA19A8" w:rsidRDefault="00146165" w:rsidP="00146165">
      <w:pPr>
        <w:spacing w:after="120"/>
        <w:rPr>
          <w:rFonts w:ascii="Calibri" w:eastAsia="Times New Roman" w:hAnsi="Calibri" w:cs="Times New Roman"/>
          <w:b/>
          <w:bCs/>
          <w:lang w:val="sr-Cyrl-CS"/>
        </w:rPr>
      </w:pPr>
    </w:p>
    <w:p w14:paraId="27B75DE2"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посебног циља 2</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1"/>
        <w:gridCol w:w="1370"/>
        <w:gridCol w:w="1481"/>
        <w:gridCol w:w="455"/>
        <w:gridCol w:w="846"/>
        <w:gridCol w:w="1303"/>
        <w:gridCol w:w="1266"/>
      </w:tblGrid>
      <w:tr w:rsidR="00D30238" w:rsidRPr="00AA19A8" w14:paraId="5FB6DFE9" w14:textId="77777777" w:rsidTr="00924D5A">
        <w:tc>
          <w:tcPr>
            <w:tcW w:w="1296" w:type="pct"/>
            <w:tcBorders>
              <w:top w:val="single" w:sz="4" w:space="0" w:color="auto"/>
              <w:left w:val="single" w:sz="4" w:space="0" w:color="auto"/>
            </w:tcBorders>
            <w:vAlign w:val="center"/>
          </w:tcPr>
          <w:p w14:paraId="4099665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57F7FD22"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Times New Roman" w:hAnsi="Calibri" w:cs="Times New Roman"/>
                <w:b/>
                <w:lang w:val="sr-Cyrl-CS"/>
              </w:rPr>
              <w:t>Стварни приходи и расходи буџета сектора државе на годишњем нивоу су у опсегу 5% од пројектованих у фискалној стратегији</w:t>
            </w:r>
          </w:p>
        </w:tc>
      </w:tr>
      <w:tr w:rsidR="00D30238" w:rsidRPr="00AA19A8" w14:paraId="55288855" w14:textId="77777777" w:rsidTr="00924D5A">
        <w:tc>
          <w:tcPr>
            <w:tcW w:w="1296" w:type="pct"/>
            <w:tcBorders>
              <w:top w:val="single" w:sz="4" w:space="0" w:color="auto"/>
              <w:left w:val="single" w:sz="4" w:space="0" w:color="auto"/>
            </w:tcBorders>
          </w:tcPr>
          <w:p w14:paraId="05B8D05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1E1CE276"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 xml:space="preserve">Посебни циљ 2: </w:t>
            </w:r>
            <w:r w:rsidRPr="00AA19A8">
              <w:rPr>
                <w:rFonts w:ascii="Calibri" w:eastAsia="Calibri" w:hAnsi="Calibri" w:cs="Times New Roman"/>
                <w:bCs/>
                <w:lang w:val="sr-Cyrl-CS"/>
              </w:rPr>
              <w:t>Ефикасно прикупљање и управљање буџетским средствима</w:t>
            </w:r>
          </w:p>
        </w:tc>
      </w:tr>
      <w:tr w:rsidR="00D30238" w:rsidRPr="00AA19A8" w14:paraId="0BEFD596" w14:textId="77777777" w:rsidTr="00924D5A">
        <w:tc>
          <w:tcPr>
            <w:tcW w:w="1296" w:type="pct"/>
            <w:tcBorders>
              <w:left w:val="single" w:sz="4" w:space="0" w:color="auto"/>
            </w:tcBorders>
          </w:tcPr>
          <w:p w14:paraId="0F02F8F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015547A"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Квалитативни</w:t>
            </w:r>
            <w:r w:rsidRPr="00AA19A8">
              <w:rPr>
                <w:rFonts w:ascii="Calibri" w:eastAsia="Times New Roman" w:hAnsi="Calibri" w:cs="Times New Roman"/>
                <w:lang w:val="sr-Cyrl-CS"/>
              </w:rPr>
              <w:t xml:space="preserve"> </w:t>
            </w:r>
          </w:p>
        </w:tc>
        <w:tc>
          <w:tcPr>
            <w:tcW w:w="1882" w:type="pct"/>
            <w:gridSpan w:val="3"/>
            <w:tcBorders>
              <w:right w:val="single" w:sz="4" w:space="0" w:color="auto"/>
            </w:tcBorders>
          </w:tcPr>
          <w:p w14:paraId="4D5689C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 xml:space="preserve">Показатељ исхода </w:t>
            </w:r>
          </w:p>
        </w:tc>
      </w:tr>
      <w:tr w:rsidR="00D30238" w:rsidRPr="00AA19A8" w14:paraId="1A53DC54" w14:textId="77777777" w:rsidTr="00924D5A">
        <w:tc>
          <w:tcPr>
            <w:tcW w:w="1296" w:type="pct"/>
            <w:tcBorders>
              <w:left w:val="single" w:sz="4" w:space="0" w:color="auto"/>
            </w:tcBorders>
          </w:tcPr>
          <w:p w14:paraId="0AE1912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0A89EE0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 (%)</w:t>
            </w:r>
          </w:p>
        </w:tc>
        <w:tc>
          <w:tcPr>
            <w:tcW w:w="1882" w:type="pct"/>
            <w:gridSpan w:val="3"/>
            <w:tcBorders>
              <w:right w:val="single" w:sz="4" w:space="0" w:color="auto"/>
            </w:tcBorders>
            <w:vAlign w:val="center"/>
          </w:tcPr>
          <w:p w14:paraId="687CE46B" w14:textId="77777777" w:rsidR="00146165" w:rsidRPr="00AA19A8" w:rsidRDefault="00146165" w:rsidP="00146165">
            <w:pPr>
              <w:rPr>
                <w:rFonts w:ascii="Calibri" w:eastAsia="Times New Roman" w:hAnsi="Calibri" w:cs="Times New Roman"/>
                <w:lang w:val="sr-Cyrl-CS"/>
              </w:rPr>
            </w:pPr>
            <w:r w:rsidRPr="00AA19A8">
              <w:rPr>
                <w:rFonts w:ascii="Calibri" w:eastAsia="Times New Roman" w:hAnsi="Calibri" w:cs="Times New Roman"/>
                <w:lang w:val="sr-Cyrl-CS"/>
              </w:rPr>
              <w:t>Побољшано планирање и управљање буџетским средствима.</w:t>
            </w:r>
          </w:p>
        </w:tc>
      </w:tr>
      <w:tr w:rsidR="00D30238" w:rsidRPr="00AA19A8" w14:paraId="583542F1" w14:textId="77777777" w:rsidTr="00924D5A">
        <w:tc>
          <w:tcPr>
            <w:tcW w:w="1296" w:type="pct"/>
            <w:tcBorders>
              <w:left w:val="single" w:sz="4" w:space="0" w:color="auto"/>
              <w:bottom w:val="single" w:sz="4" w:space="0" w:color="auto"/>
            </w:tcBorders>
          </w:tcPr>
          <w:p w14:paraId="1E3834D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6D5104E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Ревидирана Фискална стратегија и макроекономски и фискални подаци (интернет страница МФ) - </w:t>
            </w:r>
            <w:hyperlink r:id="rId15" w:history="1">
              <w:r w:rsidRPr="00AA19A8">
                <w:rPr>
                  <w:rFonts w:ascii="Calibri" w:eastAsia="Times New Roman" w:hAnsi="Calibri" w:cs="Times New Roman"/>
                  <w:bCs/>
                  <w:u w:val="single"/>
                  <w:lang w:val="sr-Cyrl-CS"/>
                </w:rPr>
                <w:t>https://www.mfin.gov.rs/dokumenti2/makroekonomski-podaci</w:t>
              </w:r>
            </w:hyperlink>
            <w:r w:rsidRPr="00AA19A8">
              <w:rPr>
                <w:rFonts w:ascii="Calibri" w:eastAsia="Times New Roman" w:hAnsi="Calibri" w:cs="Times New Roman"/>
                <w:bCs/>
                <w:lang w:val="sr-Cyrl-CS"/>
              </w:rPr>
              <w:t xml:space="preserve">  и </w:t>
            </w:r>
            <w:hyperlink r:id="rId16" w:history="1">
              <w:r w:rsidRPr="00AA19A8">
                <w:rPr>
                  <w:rFonts w:ascii="Calibri" w:eastAsia="Times New Roman" w:hAnsi="Calibri" w:cs="Times New Roman"/>
                  <w:bCs/>
                  <w:u w:val="single"/>
                  <w:lang w:val="sr-Cyrl-CS"/>
                </w:rPr>
                <w:t>https://www.mfin.gov.rs/dokumenti2/fiskalna-strategija</w:t>
              </w:r>
            </w:hyperlink>
            <w:r w:rsidRPr="00AA19A8">
              <w:rPr>
                <w:rFonts w:ascii="Calibri" w:eastAsia="Times New Roman" w:hAnsi="Calibri" w:cs="Times New Roman"/>
                <w:bCs/>
                <w:lang w:val="sr-Cyrl-CS"/>
              </w:rPr>
              <w:t xml:space="preserve">  </w:t>
            </w:r>
          </w:p>
        </w:tc>
      </w:tr>
      <w:tr w:rsidR="00D30238" w:rsidRPr="00AA19A8" w14:paraId="6E3F6156" w14:textId="77777777" w:rsidTr="00924D5A">
        <w:tc>
          <w:tcPr>
            <w:tcW w:w="1296" w:type="pct"/>
            <w:tcBorders>
              <w:left w:val="single" w:sz="4" w:space="0" w:color="auto"/>
              <w:bottom w:val="single" w:sz="4" w:space="0" w:color="auto"/>
            </w:tcBorders>
          </w:tcPr>
          <w:p w14:paraId="0E5606A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154AB646" w14:textId="5DE0DF83"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w:t>
            </w:r>
            <w:r w:rsidR="004F1556" w:rsidRPr="00AA19A8">
              <w:rPr>
                <w:rFonts w:ascii="Calibri" w:eastAsia="Times New Roman" w:hAnsi="Calibri" w:cs="Times New Roman"/>
                <w:bCs/>
                <w:lang w:val="sr-Cyrl-CS"/>
              </w:rPr>
              <w:t>н</w:t>
            </w:r>
            <w:r w:rsidRPr="00AA19A8">
              <w:rPr>
                <w:rFonts w:ascii="Calibri" w:eastAsia="Times New Roman" w:hAnsi="Calibri" w:cs="Times New Roman"/>
                <w:bCs/>
                <w:lang w:val="sr-Cyrl-CS"/>
              </w:rPr>
              <w:t>сија, Сектор за макроекономске и фискалне анализе и пројекције</w:t>
            </w:r>
          </w:p>
        </w:tc>
      </w:tr>
      <w:tr w:rsidR="00D30238" w:rsidRPr="00AA19A8" w14:paraId="079C1804" w14:textId="77777777" w:rsidTr="00924D5A">
        <w:tc>
          <w:tcPr>
            <w:tcW w:w="1296" w:type="pct"/>
            <w:tcBorders>
              <w:top w:val="single" w:sz="4" w:space="0" w:color="auto"/>
              <w:left w:val="single" w:sz="4" w:space="0" w:color="auto"/>
            </w:tcBorders>
          </w:tcPr>
          <w:p w14:paraId="10860C2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018C8A2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фебруару за претходну годину.</w:t>
            </w:r>
          </w:p>
        </w:tc>
      </w:tr>
      <w:tr w:rsidR="00D30238" w:rsidRPr="00AA19A8" w14:paraId="4AC3E7BD" w14:textId="77777777" w:rsidTr="00924D5A">
        <w:trPr>
          <w:trHeight w:val="1181"/>
        </w:trPr>
        <w:tc>
          <w:tcPr>
            <w:tcW w:w="1296" w:type="pct"/>
            <w:tcBorders>
              <w:left w:val="single" w:sz="4" w:space="0" w:color="auto"/>
              <w:bottom w:val="single" w:sz="6" w:space="0" w:color="auto"/>
            </w:tcBorders>
          </w:tcPr>
          <w:p w14:paraId="0A5206E2"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07DEB84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06501F0D"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Times New Roman"/>
                <w:lang w:val="sr-Cyrl-CS"/>
              </w:rPr>
              <w:t>Показатељ прати фискалне пројекције стварних прихода и расхода приказаних у Ревидираној Фискалној стратегији чиме се мери и унапређује планирање јавних прихода и расхода, као и кредибилитет фискалних пројекција. Због разлике између резултата стварног прихода и расхода и пројектованих појединачних цифара у Ревидираној Фискалној стратегији, предвиђено је да ће стварни приходи и расходи од 2026. до 2030. године години бити у распону одступања од +/- 5% у односу на пројектоване износе у Ревидираној Фискалној стратегији која се усваја на годишњем нивоу.</w:t>
            </w:r>
          </w:p>
        </w:tc>
      </w:tr>
      <w:tr w:rsidR="00D30238" w:rsidRPr="00AA19A8" w14:paraId="3ADC0396" w14:textId="77777777" w:rsidTr="00924D5A">
        <w:tc>
          <w:tcPr>
            <w:tcW w:w="1296" w:type="pct"/>
            <w:vMerge w:val="restart"/>
            <w:tcBorders>
              <w:top w:val="single" w:sz="6" w:space="0" w:color="auto"/>
              <w:left w:val="single" w:sz="4" w:space="0" w:color="auto"/>
            </w:tcBorders>
          </w:tcPr>
          <w:p w14:paraId="589E0DB8"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3006" w:type="pct"/>
            <w:gridSpan w:val="5"/>
            <w:tcBorders>
              <w:top w:val="single" w:sz="6" w:space="0" w:color="auto"/>
            </w:tcBorders>
            <w:vAlign w:val="center"/>
          </w:tcPr>
          <w:p w14:paraId="42813C1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698" w:type="pct"/>
            <w:tcBorders>
              <w:top w:val="single" w:sz="6" w:space="0" w:color="auto"/>
              <w:right w:val="single" w:sz="4" w:space="0" w:color="auto"/>
            </w:tcBorders>
            <w:vAlign w:val="center"/>
          </w:tcPr>
          <w:p w14:paraId="72EAF59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100A7547" w14:textId="77777777" w:rsidTr="00924D5A">
        <w:tc>
          <w:tcPr>
            <w:tcW w:w="1296" w:type="pct"/>
            <w:vMerge/>
            <w:tcBorders>
              <w:left w:val="single" w:sz="4" w:space="0" w:color="auto"/>
            </w:tcBorders>
          </w:tcPr>
          <w:p w14:paraId="25825CA6" w14:textId="77777777" w:rsidR="00146165" w:rsidRPr="00AA19A8" w:rsidRDefault="00146165" w:rsidP="00146165">
            <w:pPr>
              <w:spacing w:before="0"/>
              <w:rPr>
                <w:rFonts w:ascii="Calibri" w:eastAsia="Calibri" w:hAnsi="Calibri" w:cs="Times New Roman"/>
                <w:b/>
                <w:lang w:val="sr-Cyrl-CS"/>
              </w:rPr>
            </w:pPr>
          </w:p>
        </w:tc>
        <w:tc>
          <w:tcPr>
            <w:tcW w:w="755" w:type="pct"/>
          </w:tcPr>
          <w:p w14:paraId="152906E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816" w:type="pct"/>
          </w:tcPr>
          <w:p w14:paraId="61FA810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17" w:type="pct"/>
            <w:gridSpan w:val="2"/>
          </w:tcPr>
          <w:p w14:paraId="6235548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718" w:type="pct"/>
          </w:tcPr>
          <w:p w14:paraId="32F83DC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698" w:type="pct"/>
            <w:tcBorders>
              <w:right w:val="single" w:sz="4" w:space="0" w:color="auto"/>
            </w:tcBorders>
          </w:tcPr>
          <w:p w14:paraId="7866850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3D137CDD" w14:textId="77777777" w:rsidTr="00924D5A">
        <w:tc>
          <w:tcPr>
            <w:tcW w:w="1296" w:type="pct"/>
            <w:vMerge/>
            <w:tcBorders>
              <w:left w:val="single" w:sz="4" w:space="0" w:color="auto"/>
            </w:tcBorders>
          </w:tcPr>
          <w:p w14:paraId="7C41D186" w14:textId="77777777" w:rsidR="00146165" w:rsidRPr="00AA19A8" w:rsidRDefault="00146165" w:rsidP="00146165">
            <w:pPr>
              <w:spacing w:before="0"/>
              <w:rPr>
                <w:rFonts w:ascii="Calibri" w:eastAsia="Calibri" w:hAnsi="Calibri" w:cs="Times New Roman"/>
                <w:b/>
                <w:lang w:val="sr-Cyrl-CS"/>
              </w:rPr>
            </w:pPr>
          </w:p>
        </w:tc>
        <w:tc>
          <w:tcPr>
            <w:tcW w:w="755" w:type="pct"/>
          </w:tcPr>
          <w:p w14:paraId="040FEC6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w:t>
            </w:r>
          </w:p>
        </w:tc>
        <w:tc>
          <w:tcPr>
            <w:tcW w:w="816" w:type="pct"/>
          </w:tcPr>
          <w:p w14:paraId="71EC11E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w:t>
            </w:r>
          </w:p>
        </w:tc>
        <w:tc>
          <w:tcPr>
            <w:tcW w:w="717" w:type="pct"/>
            <w:gridSpan w:val="2"/>
          </w:tcPr>
          <w:p w14:paraId="08772AB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w:t>
            </w:r>
          </w:p>
        </w:tc>
        <w:tc>
          <w:tcPr>
            <w:tcW w:w="718" w:type="pct"/>
          </w:tcPr>
          <w:p w14:paraId="5EADEAF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w:t>
            </w:r>
          </w:p>
        </w:tc>
        <w:tc>
          <w:tcPr>
            <w:tcW w:w="698" w:type="pct"/>
            <w:tcBorders>
              <w:right w:val="single" w:sz="4" w:space="0" w:color="auto"/>
            </w:tcBorders>
          </w:tcPr>
          <w:p w14:paraId="511C130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w:t>
            </w:r>
          </w:p>
        </w:tc>
      </w:tr>
      <w:tr w:rsidR="00D30238" w:rsidRPr="00AA19A8" w14:paraId="3E443E5A" w14:textId="77777777" w:rsidTr="00924D5A">
        <w:tc>
          <w:tcPr>
            <w:tcW w:w="1296" w:type="pct"/>
            <w:vMerge w:val="restart"/>
            <w:tcBorders>
              <w:left w:val="single" w:sz="4" w:space="0" w:color="auto"/>
            </w:tcBorders>
          </w:tcPr>
          <w:p w14:paraId="2FAA0B65"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2983E4C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816" w:type="pct"/>
          </w:tcPr>
          <w:p w14:paraId="43EB896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17" w:type="pct"/>
            <w:gridSpan w:val="2"/>
          </w:tcPr>
          <w:p w14:paraId="3E02B3E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18" w:type="pct"/>
          </w:tcPr>
          <w:p w14:paraId="08BC279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698" w:type="pct"/>
            <w:tcBorders>
              <w:right w:val="single" w:sz="4" w:space="0" w:color="auto"/>
            </w:tcBorders>
          </w:tcPr>
          <w:p w14:paraId="3548A08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2BBA5C5F" w14:textId="77777777" w:rsidTr="00924D5A">
        <w:tc>
          <w:tcPr>
            <w:tcW w:w="1296" w:type="pct"/>
            <w:vMerge/>
            <w:tcBorders>
              <w:left w:val="single" w:sz="4" w:space="0" w:color="auto"/>
            </w:tcBorders>
          </w:tcPr>
          <w:p w14:paraId="5B18E992"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65C56EF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          5%</w:t>
            </w:r>
          </w:p>
        </w:tc>
        <w:tc>
          <w:tcPr>
            <w:tcW w:w="816" w:type="pct"/>
            <w:vAlign w:val="center"/>
          </w:tcPr>
          <w:p w14:paraId="623DD26A"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5%</w:t>
            </w:r>
          </w:p>
        </w:tc>
        <w:tc>
          <w:tcPr>
            <w:tcW w:w="717" w:type="pct"/>
            <w:gridSpan w:val="2"/>
            <w:vAlign w:val="center"/>
          </w:tcPr>
          <w:p w14:paraId="78BE158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5%</w:t>
            </w:r>
          </w:p>
        </w:tc>
        <w:tc>
          <w:tcPr>
            <w:tcW w:w="718" w:type="pct"/>
            <w:vAlign w:val="center"/>
          </w:tcPr>
          <w:p w14:paraId="2F4DDBC1" w14:textId="77777777" w:rsidR="00146165" w:rsidRPr="00AA19A8" w:rsidRDefault="00146165" w:rsidP="00146165">
            <w:pPr>
              <w:spacing w:before="0"/>
              <w:jc w:val="center"/>
              <w:rPr>
                <w:rFonts w:ascii="Calibri" w:eastAsia="Calibri" w:hAnsi="Calibri" w:cs="Times New Roman"/>
                <w:bCs/>
                <w:lang w:val="sr-Cyrl-CS"/>
              </w:rPr>
            </w:pPr>
          </w:p>
        </w:tc>
        <w:tc>
          <w:tcPr>
            <w:tcW w:w="698" w:type="pct"/>
            <w:tcBorders>
              <w:right w:val="single" w:sz="4" w:space="0" w:color="auto"/>
            </w:tcBorders>
            <w:vAlign w:val="center"/>
          </w:tcPr>
          <w:p w14:paraId="58F435A2"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33DC2DA9" w14:textId="77777777" w:rsidTr="00924D5A">
        <w:tc>
          <w:tcPr>
            <w:tcW w:w="1296" w:type="pct"/>
            <w:tcBorders>
              <w:left w:val="single" w:sz="4" w:space="0" w:color="auto"/>
              <w:bottom w:val="single" w:sz="4" w:space="0" w:color="auto"/>
            </w:tcBorders>
          </w:tcPr>
          <w:p w14:paraId="27767E2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07D28F9D"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20D08C01" w14:textId="77777777" w:rsidR="00146165" w:rsidRPr="00AA19A8" w:rsidRDefault="00146165" w:rsidP="00146165">
      <w:pPr>
        <w:spacing w:after="120"/>
        <w:rPr>
          <w:rFonts w:ascii="Calibri" w:eastAsia="Times New Roman" w:hAnsi="Calibri" w:cs="Times New Roman"/>
          <w:b/>
          <w:bCs/>
          <w:lang w:val="sr-Cyrl-CS"/>
        </w:rPr>
      </w:pPr>
    </w:p>
    <w:p w14:paraId="7B97D382"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lastRenderedPageBreak/>
        <w:t>Показатељ на нивоу посебног циља 3</w:t>
      </w:r>
    </w:p>
    <w:tbl>
      <w:tblPr>
        <w:tblW w:w="5795" w:type="pct"/>
        <w:tblInd w:w="-8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15"/>
        <w:gridCol w:w="1710"/>
        <w:gridCol w:w="1710"/>
        <w:gridCol w:w="1056"/>
        <w:gridCol w:w="654"/>
        <w:gridCol w:w="1710"/>
        <w:gridCol w:w="1710"/>
      </w:tblGrid>
      <w:tr w:rsidR="00D30238" w:rsidRPr="00AA19A8" w14:paraId="547A90D6" w14:textId="77777777" w:rsidTr="006B65DC">
        <w:tc>
          <w:tcPr>
            <w:tcW w:w="1012" w:type="pct"/>
            <w:tcBorders>
              <w:top w:val="single" w:sz="4" w:space="0" w:color="auto"/>
              <w:left w:val="single" w:sz="4" w:space="0" w:color="auto"/>
            </w:tcBorders>
            <w:vAlign w:val="center"/>
          </w:tcPr>
          <w:p w14:paraId="0A9A179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988" w:type="pct"/>
            <w:gridSpan w:val="6"/>
            <w:tcBorders>
              <w:top w:val="single" w:sz="4" w:space="0" w:color="auto"/>
              <w:right w:val="single" w:sz="4" w:space="0" w:color="auto"/>
            </w:tcBorders>
            <w:vAlign w:val="center"/>
          </w:tcPr>
          <w:p w14:paraId="5486DA89"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Times New Roman" w:hAnsi="Calibri" w:cs="Times New Roman"/>
                <w:b/>
                <w:lang w:val="sr-Cyrl-CS"/>
              </w:rPr>
              <w:t>Ниво припремљености у оквиру преговарачког поглавља 22</w:t>
            </w:r>
          </w:p>
        </w:tc>
      </w:tr>
      <w:tr w:rsidR="00D30238" w:rsidRPr="00AA19A8" w14:paraId="3F706625" w14:textId="77777777" w:rsidTr="006B65DC">
        <w:tc>
          <w:tcPr>
            <w:tcW w:w="1012" w:type="pct"/>
            <w:tcBorders>
              <w:top w:val="single" w:sz="4" w:space="0" w:color="auto"/>
              <w:left w:val="single" w:sz="4" w:space="0" w:color="auto"/>
            </w:tcBorders>
          </w:tcPr>
          <w:p w14:paraId="7D133E2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988" w:type="pct"/>
            <w:gridSpan w:val="6"/>
            <w:tcBorders>
              <w:top w:val="single" w:sz="4" w:space="0" w:color="auto"/>
              <w:right w:val="single" w:sz="4" w:space="0" w:color="auto"/>
            </w:tcBorders>
          </w:tcPr>
          <w:p w14:paraId="66435067"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Посебни циљ 3</w:t>
            </w:r>
            <w:r w:rsidRPr="00AA19A8">
              <w:rPr>
                <w:rFonts w:ascii="Calibri" w:eastAsia="Calibri" w:hAnsi="Calibri" w:cs="Times New Roman"/>
                <w:bCs/>
                <w:lang w:val="sr-Cyrl-CS"/>
              </w:rPr>
              <w:t xml:space="preserve">: </w:t>
            </w:r>
            <w:r w:rsidRPr="00AA19A8">
              <w:rPr>
                <w:rFonts w:ascii="Calibri" w:eastAsia="Times New Roman" w:hAnsi="Calibri" w:cs="Times New Roman"/>
                <w:lang w:val="sr-Cyrl-CS"/>
              </w:rPr>
              <w:t>Унапређење буџетске дисциплине и транспарентније коришћење јавних средстава</w:t>
            </w:r>
          </w:p>
        </w:tc>
      </w:tr>
      <w:tr w:rsidR="00D30238" w:rsidRPr="00AA19A8" w14:paraId="0C476F0D" w14:textId="77777777" w:rsidTr="006B65DC">
        <w:tc>
          <w:tcPr>
            <w:tcW w:w="1012" w:type="pct"/>
            <w:tcBorders>
              <w:left w:val="single" w:sz="4" w:space="0" w:color="auto"/>
            </w:tcBorders>
          </w:tcPr>
          <w:p w14:paraId="560B746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2141" w:type="pct"/>
            <w:gridSpan w:val="3"/>
            <w:tcBorders>
              <w:right w:val="single" w:sz="4" w:space="0" w:color="auto"/>
            </w:tcBorders>
          </w:tcPr>
          <w:p w14:paraId="107D80E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Квалитативни</w:t>
            </w:r>
            <w:r w:rsidRPr="00AA19A8">
              <w:rPr>
                <w:rFonts w:ascii="Calibri" w:eastAsia="Times New Roman" w:hAnsi="Calibri" w:cs="Times New Roman"/>
                <w:lang w:val="sr-Cyrl-CS"/>
              </w:rPr>
              <w:t xml:space="preserve"> </w:t>
            </w:r>
          </w:p>
        </w:tc>
        <w:tc>
          <w:tcPr>
            <w:tcW w:w="1847" w:type="pct"/>
            <w:gridSpan w:val="3"/>
            <w:tcBorders>
              <w:right w:val="single" w:sz="4" w:space="0" w:color="auto"/>
            </w:tcBorders>
          </w:tcPr>
          <w:p w14:paraId="39C66CC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 xml:space="preserve">Показатељ исхода </w:t>
            </w:r>
          </w:p>
        </w:tc>
      </w:tr>
      <w:tr w:rsidR="00D30238" w:rsidRPr="00AA19A8" w14:paraId="035EFC2A" w14:textId="77777777" w:rsidTr="006B65DC">
        <w:tc>
          <w:tcPr>
            <w:tcW w:w="1012" w:type="pct"/>
            <w:tcBorders>
              <w:left w:val="single" w:sz="4" w:space="0" w:color="auto"/>
            </w:tcBorders>
          </w:tcPr>
          <w:p w14:paraId="2B7C030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2141" w:type="pct"/>
            <w:gridSpan w:val="3"/>
            <w:tcBorders>
              <w:right w:val="single" w:sz="4" w:space="0" w:color="auto"/>
            </w:tcBorders>
          </w:tcPr>
          <w:p w14:paraId="4F8C7A4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 ЕК са вредносном скалом</w:t>
            </w:r>
          </w:p>
        </w:tc>
        <w:tc>
          <w:tcPr>
            <w:tcW w:w="1847" w:type="pct"/>
            <w:gridSpan w:val="3"/>
            <w:tcBorders>
              <w:right w:val="single" w:sz="4" w:space="0" w:color="auto"/>
            </w:tcBorders>
            <w:vAlign w:val="center"/>
          </w:tcPr>
          <w:p w14:paraId="5B3B0C98"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Описни показатељ</w:t>
            </w:r>
          </w:p>
        </w:tc>
      </w:tr>
      <w:tr w:rsidR="00D30238" w:rsidRPr="00AA19A8" w14:paraId="3C852289" w14:textId="77777777" w:rsidTr="006B65DC">
        <w:tc>
          <w:tcPr>
            <w:tcW w:w="1012" w:type="pct"/>
            <w:tcBorders>
              <w:left w:val="single" w:sz="4" w:space="0" w:color="auto"/>
              <w:bottom w:val="single" w:sz="4" w:space="0" w:color="auto"/>
            </w:tcBorders>
          </w:tcPr>
          <w:p w14:paraId="6DFC7BA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988" w:type="pct"/>
            <w:gridSpan w:val="6"/>
            <w:tcBorders>
              <w:bottom w:val="single" w:sz="4" w:space="0" w:color="auto"/>
              <w:right w:val="single" w:sz="4" w:space="0" w:color="auto"/>
            </w:tcBorders>
          </w:tcPr>
          <w:p w14:paraId="0A2159F8"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Годишњи извештај Европске комисије</w:t>
            </w:r>
          </w:p>
        </w:tc>
      </w:tr>
      <w:tr w:rsidR="00D30238" w:rsidRPr="00AA19A8" w14:paraId="58D43D0F" w14:textId="77777777" w:rsidTr="006B65DC">
        <w:tc>
          <w:tcPr>
            <w:tcW w:w="1012" w:type="pct"/>
            <w:tcBorders>
              <w:left w:val="single" w:sz="4" w:space="0" w:color="auto"/>
              <w:bottom w:val="single" w:sz="4" w:space="0" w:color="auto"/>
            </w:tcBorders>
          </w:tcPr>
          <w:p w14:paraId="5A8AB86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988" w:type="pct"/>
            <w:gridSpan w:val="6"/>
            <w:tcBorders>
              <w:bottom w:val="single" w:sz="4" w:space="0" w:color="auto"/>
              <w:right w:val="single" w:sz="4" w:space="0" w:color="auto"/>
            </w:tcBorders>
          </w:tcPr>
          <w:p w14:paraId="16D086E8"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 Сектор за управљање средствима ЕУ</w:t>
            </w:r>
          </w:p>
        </w:tc>
      </w:tr>
      <w:tr w:rsidR="00D30238" w:rsidRPr="00AA19A8" w14:paraId="086CF774" w14:textId="77777777" w:rsidTr="006B65DC">
        <w:tc>
          <w:tcPr>
            <w:tcW w:w="1012" w:type="pct"/>
            <w:tcBorders>
              <w:top w:val="single" w:sz="4" w:space="0" w:color="auto"/>
              <w:left w:val="single" w:sz="4" w:space="0" w:color="auto"/>
            </w:tcBorders>
          </w:tcPr>
          <w:p w14:paraId="61374CE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988" w:type="pct"/>
            <w:gridSpan w:val="6"/>
            <w:tcBorders>
              <w:top w:val="single" w:sz="4" w:space="0" w:color="auto"/>
              <w:right w:val="single" w:sz="4" w:space="0" w:color="auto"/>
            </w:tcBorders>
          </w:tcPr>
          <w:p w14:paraId="218F1031"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четвртом кварталу текуће године за годину у којој се објављује.</w:t>
            </w:r>
          </w:p>
        </w:tc>
      </w:tr>
      <w:tr w:rsidR="00D30238" w:rsidRPr="00AA19A8" w14:paraId="32D7999C" w14:textId="77777777" w:rsidTr="006B65DC">
        <w:trPr>
          <w:trHeight w:val="1181"/>
        </w:trPr>
        <w:tc>
          <w:tcPr>
            <w:tcW w:w="1012" w:type="pct"/>
            <w:tcBorders>
              <w:left w:val="single" w:sz="4" w:space="0" w:color="auto"/>
              <w:bottom w:val="single" w:sz="6" w:space="0" w:color="auto"/>
            </w:tcBorders>
          </w:tcPr>
          <w:p w14:paraId="575DD3D6"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4594A98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988" w:type="pct"/>
            <w:gridSpan w:val="6"/>
            <w:tcBorders>
              <w:right w:val="single" w:sz="4" w:space="0" w:color="auto"/>
            </w:tcBorders>
          </w:tcPr>
          <w:p w14:paraId="7337C83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прати напредак у оквиру преговарачког процеса за поглавље 22 и мери се на основу годишњег извештаја Европске комисије о напретку Републике Србије у процесу европских интеграција.</w:t>
            </w:r>
          </w:p>
          <w:p w14:paraId="3E09376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Вредносна скала:</w:t>
            </w:r>
          </w:p>
          <w:p w14:paraId="029F5EA3" w14:textId="77777777" w:rsidR="00146165" w:rsidRPr="00AA19A8" w:rsidRDefault="00146165" w:rsidP="00146165">
            <w:pPr>
              <w:numPr>
                <w:ilvl w:val="0"/>
                <w:numId w:val="35"/>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Рана фаза припремљености</w:t>
            </w:r>
          </w:p>
          <w:p w14:paraId="36FE3C20" w14:textId="77777777" w:rsidR="00146165" w:rsidRPr="00AA19A8" w:rsidRDefault="00146165" w:rsidP="00146165">
            <w:pPr>
              <w:numPr>
                <w:ilvl w:val="0"/>
                <w:numId w:val="35"/>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Известан ниво припремљености</w:t>
            </w:r>
          </w:p>
          <w:p w14:paraId="52557836" w14:textId="77777777" w:rsidR="00146165" w:rsidRPr="00AA19A8" w:rsidRDefault="00146165" w:rsidP="00146165">
            <w:pPr>
              <w:numPr>
                <w:ilvl w:val="0"/>
                <w:numId w:val="35"/>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Умерен ниво припремљености</w:t>
            </w:r>
          </w:p>
          <w:p w14:paraId="33F17F44" w14:textId="77777777" w:rsidR="00146165" w:rsidRPr="00AA19A8" w:rsidRDefault="00146165" w:rsidP="00146165">
            <w:pPr>
              <w:numPr>
                <w:ilvl w:val="0"/>
                <w:numId w:val="35"/>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Добар ниво припремљености</w:t>
            </w:r>
          </w:p>
          <w:p w14:paraId="52AC30C3" w14:textId="77777777" w:rsidR="00146165" w:rsidRPr="00AA19A8" w:rsidRDefault="00146165" w:rsidP="00146165">
            <w:pPr>
              <w:numPr>
                <w:ilvl w:val="0"/>
                <w:numId w:val="35"/>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Напредан ниво припремљености</w:t>
            </w:r>
          </w:p>
        </w:tc>
      </w:tr>
      <w:tr w:rsidR="00D30238" w:rsidRPr="00AA19A8" w14:paraId="40DB6FAA" w14:textId="77777777" w:rsidTr="006B65DC">
        <w:tc>
          <w:tcPr>
            <w:tcW w:w="1012" w:type="pct"/>
            <w:vMerge w:val="restart"/>
            <w:tcBorders>
              <w:top w:val="single" w:sz="6" w:space="0" w:color="auto"/>
              <w:left w:val="single" w:sz="4" w:space="0" w:color="auto"/>
            </w:tcBorders>
          </w:tcPr>
          <w:p w14:paraId="142CB75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3273" w:type="pct"/>
            <w:gridSpan w:val="5"/>
            <w:tcBorders>
              <w:top w:val="single" w:sz="6" w:space="0" w:color="auto"/>
            </w:tcBorders>
            <w:vAlign w:val="center"/>
          </w:tcPr>
          <w:p w14:paraId="1281300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715" w:type="pct"/>
            <w:tcBorders>
              <w:top w:val="single" w:sz="6" w:space="0" w:color="auto"/>
              <w:right w:val="single" w:sz="4" w:space="0" w:color="auto"/>
            </w:tcBorders>
            <w:vAlign w:val="center"/>
          </w:tcPr>
          <w:p w14:paraId="011C970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32A7440D" w14:textId="77777777" w:rsidTr="006B65DC">
        <w:tc>
          <w:tcPr>
            <w:tcW w:w="1012" w:type="pct"/>
            <w:vMerge/>
            <w:tcBorders>
              <w:left w:val="single" w:sz="4" w:space="0" w:color="auto"/>
            </w:tcBorders>
          </w:tcPr>
          <w:p w14:paraId="3D57B177" w14:textId="77777777" w:rsidR="00146165" w:rsidRPr="00AA19A8" w:rsidRDefault="00146165" w:rsidP="00146165">
            <w:pPr>
              <w:spacing w:before="0"/>
              <w:rPr>
                <w:rFonts w:ascii="Calibri" w:eastAsia="Calibri" w:hAnsi="Calibri" w:cs="Times New Roman"/>
                <w:b/>
                <w:lang w:val="sr-Cyrl-CS"/>
              </w:rPr>
            </w:pPr>
          </w:p>
        </w:tc>
        <w:tc>
          <w:tcPr>
            <w:tcW w:w="818" w:type="pct"/>
          </w:tcPr>
          <w:p w14:paraId="683FE5F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818" w:type="pct"/>
          </w:tcPr>
          <w:p w14:paraId="7666165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818" w:type="pct"/>
            <w:gridSpan w:val="2"/>
          </w:tcPr>
          <w:p w14:paraId="4574BB4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818" w:type="pct"/>
          </w:tcPr>
          <w:p w14:paraId="2A40CC4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715" w:type="pct"/>
            <w:tcBorders>
              <w:right w:val="single" w:sz="4" w:space="0" w:color="auto"/>
            </w:tcBorders>
          </w:tcPr>
          <w:p w14:paraId="12E9E94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1DA54667" w14:textId="77777777" w:rsidTr="006B65DC">
        <w:tc>
          <w:tcPr>
            <w:tcW w:w="1012" w:type="pct"/>
            <w:vMerge/>
            <w:tcBorders>
              <w:left w:val="single" w:sz="4" w:space="0" w:color="auto"/>
            </w:tcBorders>
          </w:tcPr>
          <w:p w14:paraId="55EA78D8" w14:textId="77777777" w:rsidR="00146165" w:rsidRPr="00AA19A8" w:rsidRDefault="00146165" w:rsidP="00146165">
            <w:pPr>
              <w:spacing w:before="0"/>
              <w:rPr>
                <w:rFonts w:ascii="Calibri" w:eastAsia="Calibri" w:hAnsi="Calibri" w:cs="Times New Roman"/>
                <w:b/>
                <w:lang w:val="sr-Cyrl-CS"/>
              </w:rPr>
            </w:pPr>
          </w:p>
        </w:tc>
        <w:tc>
          <w:tcPr>
            <w:tcW w:w="818" w:type="pct"/>
          </w:tcPr>
          <w:p w14:paraId="1F2AD34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Умерен ниво припремљености</w:t>
            </w:r>
          </w:p>
        </w:tc>
        <w:tc>
          <w:tcPr>
            <w:tcW w:w="818" w:type="pct"/>
          </w:tcPr>
          <w:p w14:paraId="48F9333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Умерен ниво припремљености</w:t>
            </w:r>
          </w:p>
        </w:tc>
        <w:tc>
          <w:tcPr>
            <w:tcW w:w="818" w:type="pct"/>
            <w:gridSpan w:val="2"/>
          </w:tcPr>
          <w:p w14:paraId="1B2DF98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 Умерен ниво припремљености</w:t>
            </w:r>
          </w:p>
        </w:tc>
        <w:tc>
          <w:tcPr>
            <w:tcW w:w="818" w:type="pct"/>
          </w:tcPr>
          <w:p w14:paraId="4DCA8D4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Умерен ниво припремљености</w:t>
            </w:r>
          </w:p>
        </w:tc>
        <w:tc>
          <w:tcPr>
            <w:tcW w:w="715" w:type="pct"/>
            <w:tcBorders>
              <w:right w:val="single" w:sz="4" w:space="0" w:color="auto"/>
            </w:tcBorders>
          </w:tcPr>
          <w:p w14:paraId="6E99CEF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Умерен ниво припремљености</w:t>
            </w:r>
          </w:p>
        </w:tc>
      </w:tr>
      <w:tr w:rsidR="00D30238" w:rsidRPr="00AA19A8" w14:paraId="57E449BB" w14:textId="77777777" w:rsidTr="006B65DC">
        <w:tc>
          <w:tcPr>
            <w:tcW w:w="1012" w:type="pct"/>
            <w:vMerge w:val="restart"/>
            <w:tcBorders>
              <w:left w:val="single" w:sz="4" w:space="0" w:color="auto"/>
            </w:tcBorders>
          </w:tcPr>
          <w:p w14:paraId="688A9649"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818" w:type="pct"/>
          </w:tcPr>
          <w:p w14:paraId="27B4698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818" w:type="pct"/>
          </w:tcPr>
          <w:p w14:paraId="4F4229C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818" w:type="pct"/>
            <w:gridSpan w:val="2"/>
          </w:tcPr>
          <w:p w14:paraId="384A86A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818" w:type="pct"/>
          </w:tcPr>
          <w:p w14:paraId="1E1D4F3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15" w:type="pct"/>
            <w:tcBorders>
              <w:right w:val="single" w:sz="4" w:space="0" w:color="auto"/>
            </w:tcBorders>
          </w:tcPr>
          <w:p w14:paraId="6575164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713B1C0E" w14:textId="77777777" w:rsidTr="006B65DC">
        <w:tc>
          <w:tcPr>
            <w:tcW w:w="1012" w:type="pct"/>
            <w:vMerge/>
            <w:tcBorders>
              <w:left w:val="single" w:sz="4" w:space="0" w:color="auto"/>
            </w:tcBorders>
          </w:tcPr>
          <w:p w14:paraId="6BED5DA7" w14:textId="77777777" w:rsidR="00146165" w:rsidRPr="00AA19A8" w:rsidRDefault="00146165" w:rsidP="00146165">
            <w:pPr>
              <w:spacing w:before="0"/>
              <w:rPr>
                <w:rFonts w:ascii="Calibri" w:eastAsia="Calibri" w:hAnsi="Calibri" w:cs="Times New Roman"/>
                <w:b/>
                <w:lang w:val="sr-Cyrl-CS"/>
              </w:rPr>
            </w:pPr>
          </w:p>
        </w:tc>
        <w:tc>
          <w:tcPr>
            <w:tcW w:w="818" w:type="pct"/>
            <w:vAlign w:val="center"/>
          </w:tcPr>
          <w:p w14:paraId="0C2EBDE4"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Умерен ниво припремљености</w:t>
            </w:r>
          </w:p>
        </w:tc>
        <w:tc>
          <w:tcPr>
            <w:tcW w:w="818" w:type="pct"/>
            <w:vAlign w:val="center"/>
          </w:tcPr>
          <w:p w14:paraId="78378ECB"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Умерен ниво припремљености</w:t>
            </w:r>
          </w:p>
        </w:tc>
        <w:tc>
          <w:tcPr>
            <w:tcW w:w="818" w:type="pct"/>
            <w:gridSpan w:val="2"/>
            <w:vAlign w:val="center"/>
          </w:tcPr>
          <w:p w14:paraId="066E001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Times New Roman" w:hAnsi="Calibri" w:cs="Times New Roman"/>
                <w:lang w:val="sr-Cyrl-CS"/>
              </w:rPr>
              <w:t>Добар ниво припремљености</w:t>
            </w:r>
          </w:p>
        </w:tc>
        <w:tc>
          <w:tcPr>
            <w:tcW w:w="818" w:type="pct"/>
            <w:vAlign w:val="center"/>
          </w:tcPr>
          <w:p w14:paraId="4505BC55" w14:textId="77777777" w:rsidR="00146165" w:rsidRPr="00AA19A8" w:rsidRDefault="00146165" w:rsidP="00146165">
            <w:pPr>
              <w:spacing w:before="0"/>
              <w:jc w:val="center"/>
              <w:rPr>
                <w:rFonts w:ascii="Calibri" w:eastAsia="Calibri" w:hAnsi="Calibri" w:cs="Times New Roman"/>
                <w:bCs/>
                <w:lang w:val="sr-Cyrl-CS"/>
              </w:rPr>
            </w:pPr>
          </w:p>
        </w:tc>
        <w:tc>
          <w:tcPr>
            <w:tcW w:w="715" w:type="pct"/>
            <w:tcBorders>
              <w:right w:val="single" w:sz="4" w:space="0" w:color="auto"/>
            </w:tcBorders>
            <w:vAlign w:val="center"/>
          </w:tcPr>
          <w:p w14:paraId="0816E425" w14:textId="77777777" w:rsidR="00146165" w:rsidRPr="00AA19A8" w:rsidRDefault="00146165" w:rsidP="00146165">
            <w:pPr>
              <w:spacing w:before="0"/>
              <w:jc w:val="center"/>
              <w:rPr>
                <w:rFonts w:ascii="Calibri" w:eastAsia="Calibri" w:hAnsi="Calibri" w:cs="Times New Roman"/>
                <w:bCs/>
                <w:lang w:val="sr-Cyrl-CS"/>
              </w:rPr>
            </w:pPr>
          </w:p>
        </w:tc>
      </w:tr>
      <w:tr w:rsidR="00D30238" w:rsidRPr="00AA19A8" w14:paraId="612B6AED" w14:textId="77777777" w:rsidTr="006B65DC">
        <w:tc>
          <w:tcPr>
            <w:tcW w:w="1012" w:type="pct"/>
            <w:tcBorders>
              <w:left w:val="single" w:sz="4" w:space="0" w:color="auto"/>
              <w:bottom w:val="single" w:sz="4" w:space="0" w:color="auto"/>
            </w:tcBorders>
          </w:tcPr>
          <w:p w14:paraId="03B04345"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988" w:type="pct"/>
            <w:gridSpan w:val="6"/>
            <w:tcBorders>
              <w:bottom w:val="single" w:sz="4" w:space="0" w:color="auto"/>
              <w:right w:val="single" w:sz="4" w:space="0" w:color="auto"/>
            </w:tcBorders>
          </w:tcPr>
          <w:p w14:paraId="1C115D0D"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59B1F092" w14:textId="77777777" w:rsidR="00146165" w:rsidRPr="00AA19A8" w:rsidRDefault="00146165" w:rsidP="00146165">
      <w:pPr>
        <w:spacing w:after="120"/>
        <w:rPr>
          <w:rFonts w:ascii="Calibri" w:eastAsia="Times New Roman" w:hAnsi="Calibri" w:cs="Times New Roman"/>
          <w:b/>
          <w:bCs/>
          <w:lang w:val="sr-Cyrl-CS"/>
        </w:rPr>
      </w:pPr>
    </w:p>
    <w:p w14:paraId="1A66EF27" w14:textId="77777777" w:rsidR="00F331B0" w:rsidRPr="00AA19A8" w:rsidRDefault="00F331B0" w:rsidP="00146165">
      <w:pPr>
        <w:spacing w:after="120"/>
        <w:rPr>
          <w:rFonts w:ascii="Calibri" w:eastAsia="Times New Roman" w:hAnsi="Calibri" w:cs="Times New Roman"/>
          <w:b/>
          <w:bCs/>
          <w:lang w:val="sr-Cyrl-CS"/>
        </w:rPr>
      </w:pPr>
    </w:p>
    <w:p w14:paraId="79F16409" w14:textId="77777777" w:rsidR="00F331B0" w:rsidRPr="00AA19A8" w:rsidRDefault="00F331B0" w:rsidP="00146165">
      <w:pPr>
        <w:spacing w:after="120"/>
        <w:rPr>
          <w:rFonts w:ascii="Calibri" w:eastAsia="Times New Roman" w:hAnsi="Calibri" w:cs="Times New Roman"/>
          <w:b/>
          <w:bCs/>
          <w:lang w:val="sr-Cyrl-CS"/>
        </w:rPr>
      </w:pPr>
    </w:p>
    <w:p w14:paraId="3C97A84D"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lastRenderedPageBreak/>
        <w:t>Показатељ на нивоу посебног циља 4</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1"/>
        <w:gridCol w:w="1370"/>
        <w:gridCol w:w="1481"/>
        <w:gridCol w:w="455"/>
        <w:gridCol w:w="846"/>
        <w:gridCol w:w="1303"/>
        <w:gridCol w:w="1266"/>
      </w:tblGrid>
      <w:tr w:rsidR="00D30238" w:rsidRPr="00AA19A8" w14:paraId="24605CC2" w14:textId="77777777" w:rsidTr="00924D5A">
        <w:tc>
          <w:tcPr>
            <w:tcW w:w="1296" w:type="pct"/>
            <w:tcBorders>
              <w:top w:val="single" w:sz="4" w:space="0" w:color="auto"/>
              <w:left w:val="single" w:sz="4" w:space="0" w:color="auto"/>
            </w:tcBorders>
            <w:vAlign w:val="center"/>
          </w:tcPr>
          <w:p w14:paraId="212075B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75504B29"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Times New Roman" w:hAnsi="Calibri" w:cs="Times New Roman"/>
                <w:b/>
                <w:lang w:val="sr-Cyrl-CS"/>
              </w:rPr>
              <w:t>Идентификован напредак који се односи на ИФКЈ у оквиру ЕК извештаја о напретку Републике Србије за одређену годину</w:t>
            </w:r>
          </w:p>
        </w:tc>
      </w:tr>
      <w:tr w:rsidR="00D30238" w:rsidRPr="00AA19A8" w14:paraId="31ED6E1C" w14:textId="77777777" w:rsidTr="00924D5A">
        <w:tc>
          <w:tcPr>
            <w:tcW w:w="1296" w:type="pct"/>
            <w:tcBorders>
              <w:top w:val="single" w:sz="4" w:space="0" w:color="auto"/>
              <w:left w:val="single" w:sz="4" w:space="0" w:color="auto"/>
            </w:tcBorders>
          </w:tcPr>
          <w:p w14:paraId="1FD3318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041EF018"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Посебни циљ 4</w:t>
            </w:r>
            <w:r w:rsidRPr="00AA19A8">
              <w:rPr>
                <w:rFonts w:ascii="Calibri" w:eastAsia="Calibri" w:hAnsi="Calibri" w:cs="Times New Roman"/>
                <w:bCs/>
                <w:lang w:val="sr-Cyrl-CS"/>
              </w:rPr>
              <w:t xml:space="preserve">: </w:t>
            </w:r>
            <w:r w:rsidRPr="00AA19A8">
              <w:rPr>
                <w:rFonts w:ascii="Calibri" w:eastAsia="Times New Roman" w:hAnsi="Calibri" w:cs="Times New Roman"/>
                <w:lang w:val="sr-Cyrl-CS"/>
              </w:rPr>
              <w:t>Унапређење примене система интерне финансијске контроле у јавном сектору</w:t>
            </w:r>
          </w:p>
        </w:tc>
      </w:tr>
      <w:tr w:rsidR="00D30238" w:rsidRPr="00AA19A8" w14:paraId="61538804" w14:textId="77777777" w:rsidTr="00924D5A">
        <w:tc>
          <w:tcPr>
            <w:tcW w:w="1296" w:type="pct"/>
            <w:tcBorders>
              <w:left w:val="single" w:sz="4" w:space="0" w:color="auto"/>
            </w:tcBorders>
          </w:tcPr>
          <w:p w14:paraId="7CA5F42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59436B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Квалитативни</w:t>
            </w:r>
            <w:r w:rsidRPr="00AA19A8">
              <w:rPr>
                <w:rFonts w:ascii="Calibri" w:eastAsia="Times New Roman" w:hAnsi="Calibri" w:cs="Times New Roman"/>
                <w:lang w:val="sr-Cyrl-CS"/>
              </w:rPr>
              <w:t xml:space="preserve"> </w:t>
            </w:r>
          </w:p>
        </w:tc>
        <w:tc>
          <w:tcPr>
            <w:tcW w:w="1882" w:type="pct"/>
            <w:gridSpan w:val="3"/>
            <w:tcBorders>
              <w:right w:val="single" w:sz="4" w:space="0" w:color="auto"/>
            </w:tcBorders>
          </w:tcPr>
          <w:p w14:paraId="2202D28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Показатељ исхода</w:t>
            </w:r>
          </w:p>
        </w:tc>
      </w:tr>
      <w:tr w:rsidR="00D30238" w:rsidRPr="00AA19A8" w14:paraId="54BF90DC" w14:textId="77777777" w:rsidTr="00924D5A">
        <w:tc>
          <w:tcPr>
            <w:tcW w:w="1296" w:type="pct"/>
            <w:tcBorders>
              <w:left w:val="single" w:sz="4" w:space="0" w:color="auto"/>
            </w:tcBorders>
          </w:tcPr>
          <w:p w14:paraId="5C95EEC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7EF5FC4A"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 ЕК са вредносном скалом</w:t>
            </w:r>
          </w:p>
        </w:tc>
        <w:tc>
          <w:tcPr>
            <w:tcW w:w="1882" w:type="pct"/>
            <w:gridSpan w:val="3"/>
            <w:tcBorders>
              <w:right w:val="single" w:sz="4" w:space="0" w:color="auto"/>
            </w:tcBorders>
            <w:vAlign w:val="center"/>
          </w:tcPr>
          <w:p w14:paraId="3DDCA555"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Описни показатељ</w:t>
            </w:r>
          </w:p>
        </w:tc>
      </w:tr>
      <w:tr w:rsidR="00D30238" w:rsidRPr="00AA19A8" w14:paraId="2EF8DAEF" w14:textId="77777777" w:rsidTr="00924D5A">
        <w:tc>
          <w:tcPr>
            <w:tcW w:w="1296" w:type="pct"/>
            <w:tcBorders>
              <w:left w:val="single" w:sz="4" w:space="0" w:color="auto"/>
              <w:bottom w:val="single" w:sz="4" w:space="0" w:color="auto"/>
            </w:tcBorders>
          </w:tcPr>
          <w:p w14:paraId="54251FB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2F3F6B01"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Годишњи извештај Европске комисије (поглавље 32)</w:t>
            </w:r>
          </w:p>
        </w:tc>
      </w:tr>
      <w:tr w:rsidR="00D30238" w:rsidRPr="00AA19A8" w14:paraId="5B485C0F" w14:textId="77777777" w:rsidTr="00924D5A">
        <w:tc>
          <w:tcPr>
            <w:tcW w:w="1296" w:type="pct"/>
            <w:tcBorders>
              <w:left w:val="single" w:sz="4" w:space="0" w:color="auto"/>
              <w:bottom w:val="single" w:sz="4" w:space="0" w:color="auto"/>
            </w:tcBorders>
          </w:tcPr>
          <w:p w14:paraId="1BF3C6F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72239CEE" w14:textId="4F67E7F8"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w:t>
            </w:r>
            <w:r w:rsidR="004F1556" w:rsidRPr="00AA19A8">
              <w:rPr>
                <w:rFonts w:ascii="Calibri" w:eastAsia="Times New Roman" w:hAnsi="Calibri" w:cs="Times New Roman"/>
                <w:bCs/>
                <w:lang w:val="sr-Cyrl-CS"/>
              </w:rPr>
              <w:t>н</w:t>
            </w:r>
            <w:r w:rsidRPr="00AA19A8">
              <w:rPr>
                <w:rFonts w:ascii="Calibri" w:eastAsia="Times New Roman" w:hAnsi="Calibri" w:cs="Times New Roman"/>
                <w:bCs/>
                <w:lang w:val="sr-Cyrl-CS"/>
              </w:rPr>
              <w:t>сија, Сектор-Централна јединица за хармонизацију</w:t>
            </w:r>
          </w:p>
        </w:tc>
      </w:tr>
      <w:tr w:rsidR="00D30238" w:rsidRPr="00AA19A8" w14:paraId="6426B569" w14:textId="77777777" w:rsidTr="00924D5A">
        <w:tc>
          <w:tcPr>
            <w:tcW w:w="1296" w:type="pct"/>
            <w:tcBorders>
              <w:top w:val="single" w:sz="4" w:space="0" w:color="auto"/>
              <w:left w:val="single" w:sz="4" w:space="0" w:color="auto"/>
            </w:tcBorders>
          </w:tcPr>
          <w:p w14:paraId="0200803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6842C259"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четвртом кварталу текуће године за годину у којој се објављује.</w:t>
            </w:r>
          </w:p>
        </w:tc>
      </w:tr>
      <w:tr w:rsidR="00D30238" w:rsidRPr="00AA19A8" w14:paraId="5E4E3AD1" w14:textId="77777777" w:rsidTr="00924D5A">
        <w:trPr>
          <w:trHeight w:val="1181"/>
        </w:trPr>
        <w:tc>
          <w:tcPr>
            <w:tcW w:w="1296" w:type="pct"/>
            <w:tcBorders>
              <w:left w:val="single" w:sz="4" w:space="0" w:color="auto"/>
              <w:bottom w:val="single" w:sz="6" w:space="0" w:color="auto"/>
            </w:tcBorders>
          </w:tcPr>
          <w:p w14:paraId="3C0A6F43"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775B295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7F4CE94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 xml:space="preserve">Одабрани показатељ је екстерног типа и описног карактера, а заснива на процени Европске комисије са вредносном скалом Општe оценe припремљености: </w:t>
            </w:r>
          </w:p>
          <w:p w14:paraId="449F504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Вредносна скала:</w:t>
            </w:r>
          </w:p>
          <w:p w14:paraId="2ED829EF" w14:textId="77777777" w:rsidR="00146165" w:rsidRPr="00AA19A8" w:rsidRDefault="00146165" w:rsidP="00146165">
            <w:pPr>
              <w:numPr>
                <w:ilvl w:val="0"/>
                <w:numId w:val="36"/>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Рана фаза припремљености</w:t>
            </w:r>
          </w:p>
          <w:p w14:paraId="35CD83C0" w14:textId="77777777" w:rsidR="00146165" w:rsidRPr="00AA19A8" w:rsidRDefault="00146165" w:rsidP="00146165">
            <w:pPr>
              <w:numPr>
                <w:ilvl w:val="0"/>
                <w:numId w:val="36"/>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Известан ниво припремљености</w:t>
            </w:r>
          </w:p>
          <w:p w14:paraId="284432FF" w14:textId="77777777" w:rsidR="00146165" w:rsidRPr="00AA19A8" w:rsidRDefault="00146165" w:rsidP="00146165">
            <w:pPr>
              <w:numPr>
                <w:ilvl w:val="0"/>
                <w:numId w:val="36"/>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Умерен ниво припремљености</w:t>
            </w:r>
          </w:p>
          <w:p w14:paraId="5B6516BC" w14:textId="77777777" w:rsidR="00146165" w:rsidRPr="00AA19A8" w:rsidRDefault="00146165" w:rsidP="00146165">
            <w:pPr>
              <w:numPr>
                <w:ilvl w:val="0"/>
                <w:numId w:val="36"/>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Добар ниво припремљености</w:t>
            </w:r>
          </w:p>
          <w:p w14:paraId="502609AE" w14:textId="77777777" w:rsidR="00146165" w:rsidRPr="00AA19A8" w:rsidRDefault="00146165" w:rsidP="00146165">
            <w:pPr>
              <w:numPr>
                <w:ilvl w:val="0"/>
                <w:numId w:val="36"/>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Напредан ниво припремљености</w:t>
            </w:r>
          </w:p>
        </w:tc>
      </w:tr>
      <w:tr w:rsidR="00D30238" w:rsidRPr="00AA19A8" w14:paraId="1BF6943A" w14:textId="77777777" w:rsidTr="00924D5A">
        <w:tc>
          <w:tcPr>
            <w:tcW w:w="1296" w:type="pct"/>
            <w:vMerge w:val="restart"/>
            <w:tcBorders>
              <w:top w:val="single" w:sz="6" w:space="0" w:color="auto"/>
              <w:left w:val="single" w:sz="4" w:space="0" w:color="auto"/>
            </w:tcBorders>
          </w:tcPr>
          <w:p w14:paraId="7A333F43"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3006" w:type="pct"/>
            <w:gridSpan w:val="5"/>
            <w:tcBorders>
              <w:top w:val="single" w:sz="6" w:space="0" w:color="auto"/>
            </w:tcBorders>
            <w:vAlign w:val="center"/>
          </w:tcPr>
          <w:p w14:paraId="1B0ED74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698" w:type="pct"/>
            <w:tcBorders>
              <w:top w:val="single" w:sz="6" w:space="0" w:color="auto"/>
              <w:right w:val="single" w:sz="4" w:space="0" w:color="auto"/>
            </w:tcBorders>
            <w:vAlign w:val="center"/>
          </w:tcPr>
          <w:p w14:paraId="236605B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28656BF3" w14:textId="77777777" w:rsidTr="00924D5A">
        <w:tc>
          <w:tcPr>
            <w:tcW w:w="1296" w:type="pct"/>
            <w:vMerge/>
            <w:tcBorders>
              <w:left w:val="single" w:sz="4" w:space="0" w:color="auto"/>
            </w:tcBorders>
          </w:tcPr>
          <w:p w14:paraId="5DA13EE0" w14:textId="77777777" w:rsidR="00146165" w:rsidRPr="00AA19A8" w:rsidRDefault="00146165" w:rsidP="00146165">
            <w:pPr>
              <w:spacing w:before="0"/>
              <w:rPr>
                <w:rFonts w:ascii="Calibri" w:eastAsia="Calibri" w:hAnsi="Calibri" w:cs="Times New Roman"/>
                <w:b/>
                <w:lang w:val="sr-Cyrl-CS"/>
              </w:rPr>
            </w:pPr>
          </w:p>
        </w:tc>
        <w:tc>
          <w:tcPr>
            <w:tcW w:w="755" w:type="pct"/>
          </w:tcPr>
          <w:p w14:paraId="0DF5EDF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816" w:type="pct"/>
          </w:tcPr>
          <w:p w14:paraId="2EB8023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17" w:type="pct"/>
            <w:gridSpan w:val="2"/>
          </w:tcPr>
          <w:p w14:paraId="6439C2C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718" w:type="pct"/>
          </w:tcPr>
          <w:p w14:paraId="16F170F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698" w:type="pct"/>
            <w:tcBorders>
              <w:right w:val="single" w:sz="4" w:space="0" w:color="auto"/>
            </w:tcBorders>
          </w:tcPr>
          <w:p w14:paraId="478730B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45E3CDCF" w14:textId="77777777" w:rsidTr="00924D5A">
        <w:tc>
          <w:tcPr>
            <w:tcW w:w="1296" w:type="pct"/>
            <w:vMerge/>
            <w:tcBorders>
              <w:left w:val="single" w:sz="4" w:space="0" w:color="auto"/>
            </w:tcBorders>
          </w:tcPr>
          <w:p w14:paraId="55EAFFF9" w14:textId="77777777" w:rsidR="00146165" w:rsidRPr="00AA19A8" w:rsidRDefault="00146165" w:rsidP="00146165">
            <w:pPr>
              <w:spacing w:before="0"/>
              <w:rPr>
                <w:rFonts w:ascii="Calibri" w:eastAsia="Calibri" w:hAnsi="Calibri" w:cs="Times New Roman"/>
                <w:b/>
                <w:lang w:val="sr-Cyrl-CS"/>
              </w:rPr>
            </w:pPr>
          </w:p>
        </w:tc>
        <w:tc>
          <w:tcPr>
            <w:tcW w:w="755" w:type="pct"/>
          </w:tcPr>
          <w:p w14:paraId="336AE43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w:t>
            </w:r>
          </w:p>
        </w:tc>
        <w:tc>
          <w:tcPr>
            <w:tcW w:w="816" w:type="pct"/>
          </w:tcPr>
          <w:p w14:paraId="26C246B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w:t>
            </w:r>
          </w:p>
        </w:tc>
        <w:tc>
          <w:tcPr>
            <w:tcW w:w="717" w:type="pct"/>
            <w:gridSpan w:val="2"/>
          </w:tcPr>
          <w:p w14:paraId="061F6C1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w:t>
            </w:r>
          </w:p>
        </w:tc>
        <w:tc>
          <w:tcPr>
            <w:tcW w:w="718" w:type="pct"/>
          </w:tcPr>
          <w:p w14:paraId="7E827C2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w:t>
            </w:r>
          </w:p>
        </w:tc>
        <w:tc>
          <w:tcPr>
            <w:tcW w:w="698" w:type="pct"/>
            <w:tcBorders>
              <w:right w:val="single" w:sz="4" w:space="0" w:color="auto"/>
            </w:tcBorders>
          </w:tcPr>
          <w:p w14:paraId="6EE0ECA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w:t>
            </w:r>
          </w:p>
        </w:tc>
      </w:tr>
      <w:tr w:rsidR="00D30238" w:rsidRPr="00AA19A8" w14:paraId="50E7843B" w14:textId="77777777" w:rsidTr="00924D5A">
        <w:tc>
          <w:tcPr>
            <w:tcW w:w="1296" w:type="pct"/>
            <w:vMerge w:val="restart"/>
            <w:tcBorders>
              <w:left w:val="single" w:sz="4" w:space="0" w:color="auto"/>
            </w:tcBorders>
          </w:tcPr>
          <w:p w14:paraId="4F5B63E0"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001374E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816" w:type="pct"/>
          </w:tcPr>
          <w:p w14:paraId="0577697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17" w:type="pct"/>
            <w:gridSpan w:val="2"/>
          </w:tcPr>
          <w:p w14:paraId="511543D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18" w:type="pct"/>
          </w:tcPr>
          <w:p w14:paraId="37D82ED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698" w:type="pct"/>
            <w:tcBorders>
              <w:right w:val="single" w:sz="4" w:space="0" w:color="auto"/>
            </w:tcBorders>
          </w:tcPr>
          <w:p w14:paraId="7B88F9E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7B9B2B96" w14:textId="77777777" w:rsidTr="00924D5A">
        <w:tc>
          <w:tcPr>
            <w:tcW w:w="1296" w:type="pct"/>
            <w:vMerge/>
            <w:tcBorders>
              <w:left w:val="single" w:sz="4" w:space="0" w:color="auto"/>
            </w:tcBorders>
          </w:tcPr>
          <w:p w14:paraId="5CC8B48E"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1AC3A5B9"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3</w:t>
            </w:r>
          </w:p>
        </w:tc>
        <w:tc>
          <w:tcPr>
            <w:tcW w:w="816" w:type="pct"/>
            <w:vAlign w:val="center"/>
          </w:tcPr>
          <w:p w14:paraId="5EB96087"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4</w:t>
            </w:r>
          </w:p>
        </w:tc>
        <w:tc>
          <w:tcPr>
            <w:tcW w:w="717" w:type="pct"/>
            <w:gridSpan w:val="2"/>
            <w:vAlign w:val="center"/>
          </w:tcPr>
          <w:p w14:paraId="08B90F5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4</w:t>
            </w:r>
          </w:p>
        </w:tc>
        <w:tc>
          <w:tcPr>
            <w:tcW w:w="718" w:type="pct"/>
            <w:vAlign w:val="center"/>
          </w:tcPr>
          <w:p w14:paraId="3E8E061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4</w:t>
            </w:r>
          </w:p>
        </w:tc>
        <w:tc>
          <w:tcPr>
            <w:tcW w:w="698" w:type="pct"/>
            <w:tcBorders>
              <w:right w:val="single" w:sz="4" w:space="0" w:color="auto"/>
            </w:tcBorders>
            <w:vAlign w:val="center"/>
          </w:tcPr>
          <w:p w14:paraId="698DAFB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4</w:t>
            </w:r>
          </w:p>
        </w:tc>
      </w:tr>
      <w:tr w:rsidR="00146165" w:rsidRPr="00AA19A8" w14:paraId="55E188D7" w14:textId="77777777" w:rsidTr="00924D5A">
        <w:tc>
          <w:tcPr>
            <w:tcW w:w="1296" w:type="pct"/>
            <w:tcBorders>
              <w:left w:val="single" w:sz="4" w:space="0" w:color="auto"/>
              <w:bottom w:val="single" w:sz="4" w:space="0" w:color="auto"/>
            </w:tcBorders>
          </w:tcPr>
          <w:p w14:paraId="0AE42277"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6D0AE434"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Times New Roman" w:hAnsi="Calibri" w:cs="Times New Roman"/>
                <w:lang w:val="sr-Cyrl-CS"/>
              </w:rPr>
              <w:t>Крајњи циљ за 2030. годину је оцена ЕК да је Преговарачко поглавље 32 Финансијски надзор постигло добар ниво припремљености и да су испуњена мерила за затварање преговора. Одступање није прихватљиво.</w:t>
            </w:r>
          </w:p>
        </w:tc>
      </w:tr>
    </w:tbl>
    <w:p w14:paraId="484B73F3" w14:textId="77777777" w:rsidR="00146165" w:rsidRPr="00AA19A8" w:rsidRDefault="00146165" w:rsidP="00146165">
      <w:pPr>
        <w:spacing w:after="120"/>
        <w:rPr>
          <w:rFonts w:ascii="Calibri" w:eastAsia="Times New Roman" w:hAnsi="Calibri" w:cs="Times New Roman"/>
          <w:b/>
          <w:bCs/>
          <w:lang w:val="sr-Cyrl-CS"/>
        </w:rPr>
      </w:pPr>
    </w:p>
    <w:p w14:paraId="11AC14EF" w14:textId="77777777" w:rsidR="00F331B0" w:rsidRPr="00AA19A8" w:rsidRDefault="00F331B0" w:rsidP="00146165">
      <w:pPr>
        <w:spacing w:after="120"/>
        <w:rPr>
          <w:rFonts w:ascii="Calibri" w:eastAsia="Times New Roman" w:hAnsi="Calibri" w:cs="Times New Roman"/>
          <w:b/>
          <w:bCs/>
          <w:lang w:val="sr-Cyrl-CS"/>
        </w:rPr>
      </w:pPr>
    </w:p>
    <w:p w14:paraId="11ABDEA2"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lastRenderedPageBreak/>
        <w:t>Показатељ на нивоу посебног циља 5</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66"/>
        <w:gridCol w:w="1377"/>
        <w:gridCol w:w="9"/>
        <w:gridCol w:w="1386"/>
        <w:gridCol w:w="579"/>
        <w:gridCol w:w="773"/>
        <w:gridCol w:w="1288"/>
        <w:gridCol w:w="1294"/>
      </w:tblGrid>
      <w:tr w:rsidR="00D30238" w:rsidRPr="00AA19A8" w14:paraId="6D50A987" w14:textId="77777777" w:rsidTr="00924D5A">
        <w:tc>
          <w:tcPr>
            <w:tcW w:w="1304" w:type="pct"/>
            <w:tcBorders>
              <w:top w:val="single" w:sz="4" w:space="0" w:color="auto"/>
              <w:left w:val="single" w:sz="4" w:space="0" w:color="auto"/>
            </w:tcBorders>
            <w:vAlign w:val="center"/>
          </w:tcPr>
          <w:p w14:paraId="09889D1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696" w:type="pct"/>
            <w:gridSpan w:val="7"/>
            <w:tcBorders>
              <w:top w:val="single" w:sz="4" w:space="0" w:color="auto"/>
              <w:right w:val="single" w:sz="4" w:space="0" w:color="auto"/>
            </w:tcBorders>
            <w:vAlign w:val="center"/>
          </w:tcPr>
          <w:p w14:paraId="58FFEDBF"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Times New Roman" w:hAnsi="Calibri" w:cs="Times New Roman"/>
                <w:b/>
                <w:lang w:val="sr-Cyrl-CS"/>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c>
      </w:tr>
      <w:tr w:rsidR="00D30238" w:rsidRPr="00AA19A8" w14:paraId="2A83B5AA" w14:textId="77777777" w:rsidTr="00924D5A">
        <w:tc>
          <w:tcPr>
            <w:tcW w:w="1304" w:type="pct"/>
            <w:tcBorders>
              <w:top w:val="single" w:sz="4" w:space="0" w:color="auto"/>
              <w:left w:val="single" w:sz="4" w:space="0" w:color="auto"/>
            </w:tcBorders>
          </w:tcPr>
          <w:p w14:paraId="4A84848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696" w:type="pct"/>
            <w:gridSpan w:val="7"/>
            <w:tcBorders>
              <w:top w:val="single" w:sz="4" w:space="0" w:color="auto"/>
              <w:right w:val="single" w:sz="4" w:space="0" w:color="auto"/>
            </w:tcBorders>
          </w:tcPr>
          <w:p w14:paraId="58DCD27C"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Посебни циљ 5</w:t>
            </w:r>
            <w:r w:rsidRPr="00AA19A8">
              <w:rPr>
                <w:rFonts w:ascii="Calibri" w:eastAsia="Calibri" w:hAnsi="Calibri" w:cs="Times New Roman"/>
                <w:bCs/>
                <w:lang w:val="sr-Cyrl-CS"/>
              </w:rPr>
              <w:t xml:space="preserve">: </w:t>
            </w:r>
            <w:r w:rsidRPr="00AA19A8">
              <w:rPr>
                <w:rFonts w:ascii="Calibri" w:eastAsia="Times New Roman" w:hAnsi="Calibri" w:cs="Times New Roman"/>
                <w:lang w:val="sr-Cyrl-CS"/>
              </w:rPr>
              <w:t>Унапређено рачуноводство у јавном сектору применом међународних рачуноводствених стандарда за јавни сектор (ИПСАС)</w:t>
            </w:r>
          </w:p>
        </w:tc>
      </w:tr>
      <w:tr w:rsidR="00D30238" w:rsidRPr="00AA19A8" w14:paraId="0E1D6829" w14:textId="77777777" w:rsidTr="00924D5A">
        <w:tc>
          <w:tcPr>
            <w:tcW w:w="1304" w:type="pct"/>
            <w:tcBorders>
              <w:left w:val="single" w:sz="4" w:space="0" w:color="auto"/>
            </w:tcBorders>
          </w:tcPr>
          <w:p w14:paraId="19DD13B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47" w:type="pct"/>
            <w:gridSpan w:val="4"/>
            <w:tcBorders>
              <w:right w:val="single" w:sz="4" w:space="0" w:color="auto"/>
            </w:tcBorders>
          </w:tcPr>
          <w:p w14:paraId="514984C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Квалитативни</w:t>
            </w:r>
            <w:r w:rsidRPr="00AA19A8">
              <w:rPr>
                <w:rFonts w:ascii="Calibri" w:eastAsia="Times New Roman" w:hAnsi="Calibri" w:cs="Times New Roman"/>
                <w:lang w:val="sr-Cyrl-CS"/>
              </w:rPr>
              <w:t xml:space="preserve"> </w:t>
            </w:r>
          </w:p>
        </w:tc>
        <w:tc>
          <w:tcPr>
            <w:tcW w:w="1849" w:type="pct"/>
            <w:gridSpan w:val="3"/>
            <w:tcBorders>
              <w:right w:val="single" w:sz="4" w:space="0" w:color="auto"/>
            </w:tcBorders>
          </w:tcPr>
          <w:p w14:paraId="0C78B75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Показатељ исхода</w:t>
            </w:r>
          </w:p>
        </w:tc>
      </w:tr>
      <w:tr w:rsidR="00D30238" w:rsidRPr="00AA19A8" w14:paraId="7B31F9E0" w14:textId="77777777" w:rsidTr="00924D5A">
        <w:tc>
          <w:tcPr>
            <w:tcW w:w="1304" w:type="pct"/>
            <w:tcBorders>
              <w:left w:val="single" w:sz="4" w:space="0" w:color="auto"/>
            </w:tcBorders>
          </w:tcPr>
          <w:p w14:paraId="1931962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47" w:type="pct"/>
            <w:gridSpan w:val="4"/>
            <w:tcBorders>
              <w:right w:val="single" w:sz="4" w:space="0" w:color="auto"/>
            </w:tcBorders>
          </w:tcPr>
          <w:p w14:paraId="1E5B3FC6"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Да/Не</w:t>
            </w:r>
          </w:p>
        </w:tc>
        <w:tc>
          <w:tcPr>
            <w:tcW w:w="1849" w:type="pct"/>
            <w:gridSpan w:val="3"/>
            <w:tcBorders>
              <w:right w:val="single" w:sz="4" w:space="0" w:color="auto"/>
            </w:tcBorders>
            <w:vAlign w:val="center"/>
          </w:tcPr>
          <w:p w14:paraId="2DAA5956" w14:textId="77777777" w:rsidR="00146165" w:rsidRPr="00AA19A8" w:rsidRDefault="00146165" w:rsidP="00146165">
            <w:pPr>
              <w:spacing w:beforeAutospacing="1" w:after="100" w:afterAutospacing="1" w:line="256" w:lineRule="auto"/>
              <w:rPr>
                <w:rFonts w:ascii="Calibri" w:eastAsia="Times New Roman" w:hAnsi="Calibri" w:cs="Times New Roman"/>
                <w:lang w:val="sr-Cyrl-CS"/>
              </w:rPr>
            </w:pPr>
            <w:r w:rsidRPr="00AA19A8">
              <w:rPr>
                <w:rFonts w:ascii="Calibri" w:eastAsia="Times New Roman" w:hAnsi="Calibri" w:cs="Times New Roman"/>
                <w:lang w:val="sr-Cyrl-CS"/>
              </w:rPr>
              <w:t>Да је најбоља вредност</w:t>
            </w:r>
          </w:p>
        </w:tc>
      </w:tr>
      <w:tr w:rsidR="00D30238" w:rsidRPr="00AA19A8" w14:paraId="1650AC64" w14:textId="77777777" w:rsidTr="00924D5A">
        <w:tc>
          <w:tcPr>
            <w:tcW w:w="1304" w:type="pct"/>
            <w:tcBorders>
              <w:left w:val="single" w:sz="4" w:space="0" w:color="auto"/>
              <w:bottom w:val="single" w:sz="4" w:space="0" w:color="auto"/>
            </w:tcBorders>
          </w:tcPr>
          <w:p w14:paraId="474C0B1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696" w:type="pct"/>
            <w:gridSpan w:val="7"/>
            <w:tcBorders>
              <w:bottom w:val="single" w:sz="4" w:space="0" w:color="auto"/>
              <w:right w:val="single" w:sz="4" w:space="0" w:color="auto"/>
            </w:tcBorders>
          </w:tcPr>
          <w:p w14:paraId="4B51A5C1"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Годишњи извештај ДРИ или Извештај ДРИ о ревизији завршног рачуна буџета Републике Србије - </w:t>
            </w:r>
            <w:hyperlink r:id="rId17" w:history="1">
              <w:r w:rsidRPr="00AA19A8">
                <w:rPr>
                  <w:rFonts w:ascii="Calibri" w:eastAsia="Times New Roman" w:hAnsi="Calibri" w:cs="Times New Roman"/>
                  <w:bCs/>
                  <w:u w:val="single"/>
                  <w:lang w:val="sr-Cyrl-CS"/>
                </w:rPr>
                <w:t>https://www.dri.rs/izvestaji</w:t>
              </w:r>
            </w:hyperlink>
            <w:r w:rsidRPr="00AA19A8">
              <w:rPr>
                <w:rFonts w:ascii="Calibri" w:eastAsia="Times New Roman" w:hAnsi="Calibri" w:cs="Times New Roman"/>
                <w:bCs/>
                <w:lang w:val="sr-Cyrl-CS"/>
              </w:rPr>
              <w:t xml:space="preserve"> </w:t>
            </w:r>
          </w:p>
        </w:tc>
      </w:tr>
      <w:tr w:rsidR="00D30238" w:rsidRPr="00AA19A8" w14:paraId="3EC341C7" w14:textId="77777777" w:rsidTr="00924D5A">
        <w:tc>
          <w:tcPr>
            <w:tcW w:w="1304" w:type="pct"/>
            <w:tcBorders>
              <w:left w:val="single" w:sz="4" w:space="0" w:color="auto"/>
              <w:bottom w:val="single" w:sz="4" w:space="0" w:color="auto"/>
            </w:tcBorders>
          </w:tcPr>
          <w:p w14:paraId="2FF2328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696" w:type="pct"/>
            <w:gridSpan w:val="7"/>
            <w:tcBorders>
              <w:bottom w:val="single" w:sz="4" w:space="0" w:color="auto"/>
              <w:right w:val="single" w:sz="4" w:space="0" w:color="auto"/>
            </w:tcBorders>
          </w:tcPr>
          <w:p w14:paraId="798A03DE"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за трезор</w:t>
            </w:r>
          </w:p>
        </w:tc>
      </w:tr>
      <w:tr w:rsidR="00D30238" w:rsidRPr="00AA19A8" w14:paraId="0EF7BA30" w14:textId="77777777" w:rsidTr="00924D5A">
        <w:tc>
          <w:tcPr>
            <w:tcW w:w="1304" w:type="pct"/>
            <w:tcBorders>
              <w:top w:val="single" w:sz="4" w:space="0" w:color="auto"/>
              <w:left w:val="single" w:sz="4" w:space="0" w:color="auto"/>
            </w:tcBorders>
          </w:tcPr>
          <w:p w14:paraId="63BF38F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696" w:type="pct"/>
            <w:gridSpan w:val="7"/>
            <w:tcBorders>
              <w:top w:val="single" w:sz="4" w:space="0" w:color="auto"/>
              <w:right w:val="single" w:sz="4" w:space="0" w:color="auto"/>
            </w:tcBorders>
          </w:tcPr>
          <w:p w14:paraId="39F88AF5"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1214AB35" w14:textId="77777777" w:rsidTr="00924D5A">
        <w:trPr>
          <w:trHeight w:val="1181"/>
        </w:trPr>
        <w:tc>
          <w:tcPr>
            <w:tcW w:w="1304" w:type="pct"/>
            <w:tcBorders>
              <w:left w:val="single" w:sz="4" w:space="0" w:color="auto"/>
              <w:bottom w:val="single" w:sz="6" w:space="0" w:color="auto"/>
            </w:tcBorders>
          </w:tcPr>
          <w:p w14:paraId="50AE8D77"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5375F9C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696" w:type="pct"/>
            <w:gridSpan w:val="7"/>
            <w:tcBorders>
              <w:right w:val="single" w:sz="4" w:space="0" w:color="auto"/>
            </w:tcBorders>
          </w:tcPr>
          <w:p w14:paraId="6FFB2DB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мери квалитет финансијских извештаја у погледу примене ИПСАС на готовинској основи.</w:t>
            </w:r>
          </w:p>
        </w:tc>
      </w:tr>
      <w:tr w:rsidR="00D30238" w:rsidRPr="00AA19A8" w14:paraId="02ACC6A9" w14:textId="77777777" w:rsidTr="00924D5A">
        <w:tc>
          <w:tcPr>
            <w:tcW w:w="1304" w:type="pct"/>
            <w:vMerge w:val="restart"/>
            <w:tcBorders>
              <w:top w:val="single" w:sz="6" w:space="0" w:color="auto"/>
              <w:left w:val="single" w:sz="4" w:space="0" w:color="auto"/>
            </w:tcBorders>
          </w:tcPr>
          <w:p w14:paraId="3DF8C3E1"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983" w:type="pct"/>
            <w:gridSpan w:val="6"/>
            <w:tcBorders>
              <w:top w:val="single" w:sz="6" w:space="0" w:color="auto"/>
            </w:tcBorders>
            <w:vAlign w:val="center"/>
          </w:tcPr>
          <w:p w14:paraId="0B7F6E5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713" w:type="pct"/>
            <w:tcBorders>
              <w:top w:val="single" w:sz="6" w:space="0" w:color="auto"/>
              <w:right w:val="single" w:sz="4" w:space="0" w:color="auto"/>
            </w:tcBorders>
            <w:vAlign w:val="center"/>
          </w:tcPr>
          <w:p w14:paraId="32B91D7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2A8D11CA" w14:textId="77777777" w:rsidTr="00924D5A">
        <w:tc>
          <w:tcPr>
            <w:tcW w:w="1304" w:type="pct"/>
            <w:vMerge/>
            <w:tcBorders>
              <w:left w:val="single" w:sz="4" w:space="0" w:color="auto"/>
            </w:tcBorders>
          </w:tcPr>
          <w:p w14:paraId="394E061B" w14:textId="77777777" w:rsidR="00146165" w:rsidRPr="00AA19A8" w:rsidRDefault="00146165" w:rsidP="00146165">
            <w:pPr>
              <w:spacing w:before="0"/>
              <w:rPr>
                <w:rFonts w:ascii="Calibri" w:eastAsia="Calibri" w:hAnsi="Calibri" w:cs="Times New Roman"/>
                <w:b/>
                <w:lang w:val="sr-Cyrl-CS"/>
              </w:rPr>
            </w:pPr>
          </w:p>
        </w:tc>
        <w:tc>
          <w:tcPr>
            <w:tcW w:w="764" w:type="pct"/>
            <w:gridSpan w:val="2"/>
          </w:tcPr>
          <w:p w14:paraId="014D02F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64" w:type="pct"/>
          </w:tcPr>
          <w:p w14:paraId="0276ACD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45" w:type="pct"/>
            <w:gridSpan w:val="2"/>
          </w:tcPr>
          <w:p w14:paraId="1DD0C2E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710" w:type="pct"/>
          </w:tcPr>
          <w:p w14:paraId="6CD1788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713" w:type="pct"/>
            <w:tcBorders>
              <w:right w:val="single" w:sz="4" w:space="0" w:color="auto"/>
            </w:tcBorders>
          </w:tcPr>
          <w:p w14:paraId="3B0ADB5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2D43AC07" w14:textId="77777777" w:rsidTr="00924D5A">
        <w:tc>
          <w:tcPr>
            <w:tcW w:w="1304" w:type="pct"/>
            <w:vMerge/>
            <w:tcBorders>
              <w:left w:val="single" w:sz="4" w:space="0" w:color="auto"/>
            </w:tcBorders>
          </w:tcPr>
          <w:p w14:paraId="00F037EC" w14:textId="77777777" w:rsidR="00146165" w:rsidRPr="00AA19A8" w:rsidRDefault="00146165" w:rsidP="00146165">
            <w:pPr>
              <w:spacing w:before="0"/>
              <w:rPr>
                <w:rFonts w:ascii="Calibri" w:eastAsia="Calibri" w:hAnsi="Calibri" w:cs="Times New Roman"/>
                <w:b/>
                <w:lang w:val="sr-Cyrl-CS"/>
              </w:rPr>
            </w:pPr>
          </w:p>
        </w:tc>
        <w:tc>
          <w:tcPr>
            <w:tcW w:w="764" w:type="pct"/>
            <w:gridSpan w:val="2"/>
          </w:tcPr>
          <w:p w14:paraId="1A9DFB6E" w14:textId="77777777" w:rsidR="00146165" w:rsidRPr="00AA19A8" w:rsidRDefault="00146165" w:rsidP="00146165">
            <w:pPr>
              <w:tabs>
                <w:tab w:val="right" w:pos="2140"/>
              </w:tabs>
              <w:spacing w:before="0"/>
              <w:jc w:val="center"/>
              <w:rPr>
                <w:rFonts w:ascii="Calibri" w:eastAsia="Calibri" w:hAnsi="Calibri" w:cs="Times New Roman"/>
                <w:bCs/>
                <w:lang w:val="sr-Cyrl-CS"/>
              </w:rPr>
            </w:pPr>
          </w:p>
        </w:tc>
        <w:tc>
          <w:tcPr>
            <w:tcW w:w="764" w:type="pct"/>
          </w:tcPr>
          <w:p w14:paraId="39C36243" w14:textId="77777777" w:rsidR="00146165" w:rsidRPr="00AA19A8" w:rsidRDefault="00146165" w:rsidP="00146165">
            <w:pPr>
              <w:tabs>
                <w:tab w:val="right" w:pos="2140"/>
              </w:tabs>
              <w:spacing w:before="0"/>
              <w:jc w:val="center"/>
              <w:rPr>
                <w:rFonts w:ascii="Calibri" w:eastAsia="Calibri" w:hAnsi="Calibri" w:cs="Times New Roman"/>
                <w:bCs/>
                <w:lang w:val="sr-Cyrl-CS"/>
              </w:rPr>
            </w:pPr>
          </w:p>
        </w:tc>
        <w:tc>
          <w:tcPr>
            <w:tcW w:w="745" w:type="pct"/>
            <w:gridSpan w:val="2"/>
          </w:tcPr>
          <w:p w14:paraId="179D6545" w14:textId="77777777" w:rsidR="00146165" w:rsidRPr="00AA19A8" w:rsidRDefault="00146165" w:rsidP="00146165">
            <w:pPr>
              <w:tabs>
                <w:tab w:val="right" w:pos="2140"/>
              </w:tabs>
              <w:spacing w:before="0"/>
              <w:jc w:val="center"/>
              <w:rPr>
                <w:rFonts w:ascii="Calibri" w:eastAsia="Calibri" w:hAnsi="Calibri" w:cs="Times New Roman"/>
                <w:bCs/>
                <w:lang w:val="sr-Cyrl-CS"/>
              </w:rPr>
            </w:pPr>
          </w:p>
        </w:tc>
        <w:tc>
          <w:tcPr>
            <w:tcW w:w="710" w:type="pct"/>
          </w:tcPr>
          <w:p w14:paraId="0C42B76D" w14:textId="77777777" w:rsidR="00146165" w:rsidRPr="00AA19A8" w:rsidRDefault="00146165" w:rsidP="00146165">
            <w:pPr>
              <w:tabs>
                <w:tab w:val="right" w:pos="2140"/>
              </w:tabs>
              <w:spacing w:before="0"/>
              <w:jc w:val="center"/>
              <w:rPr>
                <w:rFonts w:ascii="Calibri" w:eastAsia="Calibri" w:hAnsi="Calibri" w:cs="Times New Roman"/>
                <w:bCs/>
                <w:lang w:val="sr-Cyrl-CS"/>
              </w:rPr>
            </w:pPr>
          </w:p>
        </w:tc>
        <w:tc>
          <w:tcPr>
            <w:tcW w:w="713" w:type="pct"/>
            <w:tcBorders>
              <w:right w:val="single" w:sz="4" w:space="0" w:color="auto"/>
            </w:tcBorders>
          </w:tcPr>
          <w:p w14:paraId="76837C4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Не</w:t>
            </w:r>
          </w:p>
        </w:tc>
      </w:tr>
      <w:tr w:rsidR="00D30238" w:rsidRPr="00AA19A8" w14:paraId="363801B6" w14:textId="77777777" w:rsidTr="00924D5A">
        <w:tc>
          <w:tcPr>
            <w:tcW w:w="1304" w:type="pct"/>
            <w:vMerge w:val="restart"/>
            <w:tcBorders>
              <w:left w:val="single" w:sz="4" w:space="0" w:color="auto"/>
            </w:tcBorders>
          </w:tcPr>
          <w:p w14:paraId="182B4251"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9" w:type="pct"/>
          </w:tcPr>
          <w:p w14:paraId="4E9BD2A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69" w:type="pct"/>
            <w:gridSpan w:val="2"/>
          </w:tcPr>
          <w:p w14:paraId="4AEC1C9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45" w:type="pct"/>
            <w:gridSpan w:val="2"/>
          </w:tcPr>
          <w:p w14:paraId="5F12A0B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10" w:type="pct"/>
          </w:tcPr>
          <w:p w14:paraId="68ACFCC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13" w:type="pct"/>
            <w:tcBorders>
              <w:right w:val="single" w:sz="4" w:space="0" w:color="auto"/>
            </w:tcBorders>
          </w:tcPr>
          <w:p w14:paraId="4F6A25C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501ED557" w14:textId="77777777" w:rsidTr="00924D5A">
        <w:tc>
          <w:tcPr>
            <w:tcW w:w="1304" w:type="pct"/>
            <w:vMerge/>
            <w:tcBorders>
              <w:left w:val="single" w:sz="4" w:space="0" w:color="auto"/>
            </w:tcBorders>
          </w:tcPr>
          <w:p w14:paraId="1DA6625C" w14:textId="77777777" w:rsidR="00146165" w:rsidRPr="00AA19A8" w:rsidRDefault="00146165" w:rsidP="00146165">
            <w:pPr>
              <w:spacing w:before="0"/>
              <w:rPr>
                <w:rFonts w:ascii="Calibri" w:eastAsia="Calibri" w:hAnsi="Calibri" w:cs="Times New Roman"/>
                <w:b/>
                <w:lang w:val="sr-Cyrl-CS"/>
              </w:rPr>
            </w:pPr>
          </w:p>
        </w:tc>
        <w:tc>
          <w:tcPr>
            <w:tcW w:w="759" w:type="pct"/>
            <w:vAlign w:val="center"/>
          </w:tcPr>
          <w:p w14:paraId="13182297"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Да</w:t>
            </w:r>
          </w:p>
        </w:tc>
        <w:tc>
          <w:tcPr>
            <w:tcW w:w="769" w:type="pct"/>
            <w:gridSpan w:val="2"/>
            <w:vAlign w:val="center"/>
          </w:tcPr>
          <w:p w14:paraId="1FF3B30E"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Да</w:t>
            </w:r>
          </w:p>
        </w:tc>
        <w:tc>
          <w:tcPr>
            <w:tcW w:w="745" w:type="pct"/>
            <w:gridSpan w:val="2"/>
            <w:vAlign w:val="center"/>
          </w:tcPr>
          <w:p w14:paraId="6328DC6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Да</w:t>
            </w:r>
          </w:p>
        </w:tc>
        <w:tc>
          <w:tcPr>
            <w:tcW w:w="710" w:type="pct"/>
            <w:vAlign w:val="center"/>
          </w:tcPr>
          <w:p w14:paraId="319C3DBA" w14:textId="77777777" w:rsidR="00146165" w:rsidRPr="00AA19A8" w:rsidRDefault="00146165" w:rsidP="00146165">
            <w:pPr>
              <w:spacing w:before="0"/>
              <w:jc w:val="center"/>
              <w:rPr>
                <w:rFonts w:ascii="Calibri" w:eastAsia="Calibri" w:hAnsi="Calibri" w:cs="Times New Roman"/>
                <w:bCs/>
                <w:lang w:val="sr-Cyrl-CS"/>
              </w:rPr>
            </w:pPr>
          </w:p>
        </w:tc>
        <w:tc>
          <w:tcPr>
            <w:tcW w:w="713" w:type="pct"/>
            <w:tcBorders>
              <w:right w:val="single" w:sz="4" w:space="0" w:color="auto"/>
            </w:tcBorders>
            <w:vAlign w:val="center"/>
          </w:tcPr>
          <w:p w14:paraId="51F8C809"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06CCAD26" w14:textId="77777777" w:rsidTr="00924D5A">
        <w:tc>
          <w:tcPr>
            <w:tcW w:w="1304" w:type="pct"/>
            <w:tcBorders>
              <w:left w:val="single" w:sz="4" w:space="0" w:color="auto"/>
              <w:bottom w:val="single" w:sz="4" w:space="0" w:color="auto"/>
            </w:tcBorders>
          </w:tcPr>
          <w:p w14:paraId="49EB3CCD"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696" w:type="pct"/>
            <w:gridSpan w:val="7"/>
            <w:tcBorders>
              <w:bottom w:val="single" w:sz="4" w:space="0" w:color="auto"/>
              <w:right w:val="single" w:sz="4" w:space="0" w:color="auto"/>
            </w:tcBorders>
          </w:tcPr>
          <w:p w14:paraId="60886847"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p w14:paraId="6C154388" w14:textId="77777777" w:rsidR="00146165" w:rsidRPr="00AA19A8" w:rsidRDefault="00146165" w:rsidP="00146165">
            <w:pPr>
              <w:tabs>
                <w:tab w:val="right" w:pos="2140"/>
              </w:tabs>
              <w:spacing w:before="0"/>
              <w:rPr>
                <w:rFonts w:ascii="Calibri" w:eastAsia="Calibri" w:hAnsi="Calibri" w:cs="Times New Roman"/>
                <w:bCs/>
                <w:lang w:val="sr-Cyrl-CS"/>
              </w:rPr>
            </w:pPr>
          </w:p>
        </w:tc>
      </w:tr>
    </w:tbl>
    <w:p w14:paraId="751B3E47" w14:textId="77777777" w:rsidR="00341C8E" w:rsidRPr="00AA19A8" w:rsidRDefault="00341C8E" w:rsidP="00146165">
      <w:pPr>
        <w:spacing w:after="120"/>
        <w:rPr>
          <w:rFonts w:ascii="Calibri" w:eastAsia="Times New Roman" w:hAnsi="Calibri" w:cs="Times New Roman"/>
          <w:b/>
          <w:bCs/>
          <w:lang w:val="sr-Cyrl-CS"/>
        </w:rPr>
      </w:pPr>
    </w:p>
    <w:p w14:paraId="313121D4" w14:textId="77777777" w:rsidR="00341C8E" w:rsidRPr="00AA19A8" w:rsidRDefault="00341C8E" w:rsidP="00146165">
      <w:pPr>
        <w:spacing w:after="120"/>
        <w:rPr>
          <w:rFonts w:ascii="Calibri" w:eastAsia="Times New Roman" w:hAnsi="Calibri" w:cs="Times New Roman"/>
          <w:b/>
          <w:bCs/>
          <w:lang w:val="sr-Cyrl-CS"/>
        </w:rPr>
      </w:pPr>
    </w:p>
    <w:p w14:paraId="44EB9B8E" w14:textId="77777777" w:rsidR="00341C8E" w:rsidRPr="00AA19A8" w:rsidRDefault="00341C8E" w:rsidP="00146165">
      <w:pPr>
        <w:spacing w:after="120"/>
        <w:rPr>
          <w:rFonts w:ascii="Calibri" w:eastAsia="Times New Roman" w:hAnsi="Calibri" w:cs="Times New Roman"/>
          <w:b/>
          <w:bCs/>
          <w:lang w:val="sr-Cyrl-CS"/>
        </w:rPr>
      </w:pPr>
    </w:p>
    <w:p w14:paraId="1DBB72C0" w14:textId="77777777" w:rsidR="00341C8E" w:rsidRPr="00AA19A8" w:rsidRDefault="00341C8E" w:rsidP="00146165">
      <w:pPr>
        <w:spacing w:after="120"/>
        <w:rPr>
          <w:rFonts w:ascii="Calibri" w:eastAsia="Times New Roman" w:hAnsi="Calibri" w:cs="Times New Roman"/>
          <w:b/>
          <w:bCs/>
          <w:lang w:val="sr-Cyrl-CS"/>
        </w:rPr>
      </w:pPr>
    </w:p>
    <w:p w14:paraId="3B2DF343" w14:textId="77777777" w:rsidR="00341C8E" w:rsidRPr="00AA19A8" w:rsidRDefault="00341C8E" w:rsidP="00146165">
      <w:pPr>
        <w:spacing w:after="120"/>
        <w:rPr>
          <w:rFonts w:ascii="Calibri" w:eastAsia="Times New Roman" w:hAnsi="Calibri" w:cs="Times New Roman"/>
          <w:b/>
          <w:bCs/>
          <w:lang w:val="sr-Cyrl-CS"/>
        </w:rPr>
      </w:pPr>
    </w:p>
    <w:p w14:paraId="6CDA1E10"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lastRenderedPageBreak/>
        <w:t>Показатељ на нивоу посебног циља 6</w:t>
      </w:r>
    </w:p>
    <w:tbl>
      <w:tblPr>
        <w:tblW w:w="494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35"/>
        <w:gridCol w:w="1320"/>
        <w:gridCol w:w="1390"/>
        <w:gridCol w:w="128"/>
        <w:gridCol w:w="1174"/>
        <w:gridCol w:w="1302"/>
        <w:gridCol w:w="1359"/>
      </w:tblGrid>
      <w:tr w:rsidR="00D30238" w:rsidRPr="00AA19A8" w14:paraId="65EE0FE2" w14:textId="77777777" w:rsidTr="00924D5A">
        <w:tc>
          <w:tcPr>
            <w:tcW w:w="1254" w:type="pct"/>
            <w:tcBorders>
              <w:top w:val="single" w:sz="4" w:space="0" w:color="auto"/>
              <w:left w:val="single" w:sz="4" w:space="0" w:color="auto"/>
            </w:tcBorders>
            <w:vAlign w:val="center"/>
          </w:tcPr>
          <w:p w14:paraId="06C04C0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46" w:type="pct"/>
            <w:gridSpan w:val="6"/>
            <w:tcBorders>
              <w:top w:val="single" w:sz="4" w:space="0" w:color="auto"/>
              <w:right w:val="single" w:sz="4" w:space="0" w:color="auto"/>
            </w:tcBorders>
            <w:vAlign w:val="center"/>
          </w:tcPr>
          <w:p w14:paraId="1A31073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Проценат ревидираних корисника јавних средстава код којих постоје недостаци у систему интерних контрола</w:t>
            </w:r>
          </w:p>
        </w:tc>
      </w:tr>
      <w:tr w:rsidR="00D30238" w:rsidRPr="00AA19A8" w14:paraId="0A8E1C15" w14:textId="77777777" w:rsidTr="00924D5A">
        <w:tc>
          <w:tcPr>
            <w:tcW w:w="1254" w:type="pct"/>
            <w:tcBorders>
              <w:top w:val="single" w:sz="4" w:space="0" w:color="auto"/>
              <w:left w:val="single" w:sz="4" w:space="0" w:color="auto"/>
            </w:tcBorders>
          </w:tcPr>
          <w:p w14:paraId="78E4419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46" w:type="pct"/>
            <w:gridSpan w:val="6"/>
            <w:tcBorders>
              <w:top w:val="single" w:sz="4" w:space="0" w:color="auto"/>
              <w:right w:val="single" w:sz="4" w:space="0" w:color="auto"/>
            </w:tcBorders>
          </w:tcPr>
          <w:p w14:paraId="67B44A2A"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bCs/>
                <w:lang w:val="sr-Cyrl-CS"/>
              </w:rPr>
              <w:t>Посебни циљ 6</w:t>
            </w:r>
            <w:r w:rsidRPr="00AA19A8">
              <w:rPr>
                <w:rFonts w:ascii="Calibri" w:eastAsia="Calibri" w:hAnsi="Calibri" w:cs="Times New Roman"/>
                <w:bCs/>
                <w:lang w:val="sr-Cyrl-CS"/>
              </w:rPr>
              <w:t xml:space="preserve">: </w:t>
            </w:r>
            <w:r w:rsidRPr="00AA19A8">
              <w:rPr>
                <w:rFonts w:ascii="Calibri" w:eastAsia="Times New Roman" w:hAnsi="Calibri" w:cs="Times New Roman"/>
                <w:lang w:val="sr-Cyrl-CS"/>
              </w:rPr>
              <w:t>Јачање спољног надзора над јавним финансијама</w:t>
            </w:r>
          </w:p>
        </w:tc>
      </w:tr>
      <w:tr w:rsidR="00D30238" w:rsidRPr="00AA19A8" w14:paraId="6AAEB86D" w14:textId="77777777" w:rsidTr="00924D5A">
        <w:tc>
          <w:tcPr>
            <w:tcW w:w="1254" w:type="pct"/>
            <w:tcBorders>
              <w:left w:val="single" w:sz="4" w:space="0" w:color="auto"/>
            </w:tcBorders>
          </w:tcPr>
          <w:p w14:paraId="08D7F78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593" w:type="pct"/>
            <w:gridSpan w:val="3"/>
            <w:tcBorders>
              <w:right w:val="single" w:sz="4" w:space="0" w:color="auto"/>
            </w:tcBorders>
          </w:tcPr>
          <w:p w14:paraId="604065E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Квантитативни</w:t>
            </w:r>
          </w:p>
        </w:tc>
        <w:tc>
          <w:tcPr>
            <w:tcW w:w="2153" w:type="pct"/>
            <w:gridSpan w:val="3"/>
            <w:tcBorders>
              <w:right w:val="single" w:sz="4" w:space="0" w:color="auto"/>
            </w:tcBorders>
          </w:tcPr>
          <w:p w14:paraId="21919FDD"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bCs/>
                <w:lang w:val="sr-Cyrl-CS"/>
              </w:rPr>
              <w:t>Показатељ исхода</w:t>
            </w:r>
          </w:p>
        </w:tc>
      </w:tr>
      <w:tr w:rsidR="00D30238" w:rsidRPr="00AA19A8" w14:paraId="0BA6AA8B" w14:textId="77777777" w:rsidTr="00924D5A">
        <w:tc>
          <w:tcPr>
            <w:tcW w:w="1254" w:type="pct"/>
            <w:tcBorders>
              <w:left w:val="single" w:sz="4" w:space="0" w:color="auto"/>
            </w:tcBorders>
          </w:tcPr>
          <w:p w14:paraId="4BE610F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593" w:type="pct"/>
            <w:gridSpan w:val="3"/>
            <w:tcBorders>
              <w:right w:val="single" w:sz="4" w:space="0" w:color="auto"/>
            </w:tcBorders>
          </w:tcPr>
          <w:p w14:paraId="542534EF"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153" w:type="pct"/>
            <w:gridSpan w:val="3"/>
            <w:tcBorders>
              <w:right w:val="single" w:sz="4" w:space="0" w:color="auto"/>
            </w:tcBorders>
            <w:vAlign w:val="center"/>
          </w:tcPr>
          <w:p w14:paraId="326C9BED"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Мања вредност је боља.</w:t>
            </w:r>
          </w:p>
        </w:tc>
      </w:tr>
      <w:tr w:rsidR="00D30238" w:rsidRPr="00AA19A8" w14:paraId="27D015CD" w14:textId="77777777" w:rsidTr="00924D5A">
        <w:tc>
          <w:tcPr>
            <w:tcW w:w="1254" w:type="pct"/>
            <w:tcBorders>
              <w:left w:val="single" w:sz="4" w:space="0" w:color="auto"/>
              <w:bottom w:val="single" w:sz="4" w:space="0" w:color="auto"/>
            </w:tcBorders>
          </w:tcPr>
          <w:p w14:paraId="13E9490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46" w:type="pct"/>
            <w:gridSpan w:val="6"/>
            <w:tcBorders>
              <w:bottom w:val="single" w:sz="4" w:space="0" w:color="auto"/>
              <w:right w:val="single" w:sz="4" w:space="0" w:color="auto"/>
            </w:tcBorders>
          </w:tcPr>
          <w:p w14:paraId="77A248C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Извештај о раду ДРИ - </w:t>
            </w:r>
            <w:hyperlink r:id="rId18" w:history="1">
              <w:r w:rsidRPr="00AA19A8">
                <w:rPr>
                  <w:rFonts w:ascii="Calibri" w:eastAsia="Times New Roman" w:hAnsi="Calibri" w:cs="Times New Roman"/>
                  <w:u w:val="single"/>
                  <w:lang w:val="sr-Cyrl-CS"/>
                </w:rPr>
                <w:t>Годишњи извештаји о раду</w:t>
              </w:r>
            </w:hyperlink>
          </w:p>
        </w:tc>
      </w:tr>
      <w:tr w:rsidR="00D30238" w:rsidRPr="00AA19A8" w14:paraId="71B4E6E3" w14:textId="77777777" w:rsidTr="00924D5A">
        <w:tc>
          <w:tcPr>
            <w:tcW w:w="1254" w:type="pct"/>
            <w:tcBorders>
              <w:left w:val="single" w:sz="4" w:space="0" w:color="auto"/>
              <w:bottom w:val="single" w:sz="4" w:space="0" w:color="auto"/>
            </w:tcBorders>
          </w:tcPr>
          <w:p w14:paraId="74E122D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46" w:type="pct"/>
            <w:gridSpan w:val="6"/>
            <w:tcBorders>
              <w:bottom w:val="single" w:sz="4" w:space="0" w:color="auto"/>
              <w:right w:val="single" w:sz="4" w:space="0" w:color="auto"/>
            </w:tcBorders>
          </w:tcPr>
          <w:p w14:paraId="7C01F22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Државна ревизорска институција</w:t>
            </w:r>
          </w:p>
        </w:tc>
      </w:tr>
      <w:tr w:rsidR="00D30238" w:rsidRPr="00AA19A8" w14:paraId="60E7A0D1" w14:textId="77777777" w:rsidTr="00924D5A">
        <w:tc>
          <w:tcPr>
            <w:tcW w:w="1254" w:type="pct"/>
            <w:tcBorders>
              <w:top w:val="single" w:sz="4" w:space="0" w:color="auto"/>
              <w:left w:val="single" w:sz="4" w:space="0" w:color="auto"/>
            </w:tcBorders>
          </w:tcPr>
          <w:p w14:paraId="440A8F5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46" w:type="pct"/>
            <w:gridSpan w:val="6"/>
            <w:tcBorders>
              <w:top w:val="single" w:sz="4" w:space="0" w:color="auto"/>
              <w:right w:val="single" w:sz="4" w:space="0" w:color="auto"/>
            </w:tcBorders>
          </w:tcPr>
          <w:p w14:paraId="642B018E"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7FB2870D" w14:textId="77777777" w:rsidTr="00924D5A">
        <w:trPr>
          <w:trHeight w:val="1181"/>
        </w:trPr>
        <w:tc>
          <w:tcPr>
            <w:tcW w:w="1254" w:type="pct"/>
            <w:tcBorders>
              <w:left w:val="single" w:sz="4" w:space="0" w:color="auto"/>
              <w:bottom w:val="single" w:sz="6" w:space="0" w:color="auto"/>
            </w:tcBorders>
          </w:tcPr>
          <w:p w14:paraId="311151E9"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0080254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46" w:type="pct"/>
            <w:gridSpan w:val="6"/>
            <w:tcBorders>
              <w:right w:val="single" w:sz="4" w:space="0" w:color="auto"/>
            </w:tcBorders>
          </w:tcPr>
          <w:p w14:paraId="4F22A8CC" w14:textId="40DB990C" w:rsidR="00146165" w:rsidRPr="00AA19A8" w:rsidRDefault="0042798F" w:rsidP="00146165">
            <w:pPr>
              <w:spacing w:line="256" w:lineRule="auto"/>
              <w:jc w:val="both"/>
              <w:rPr>
                <w:rFonts w:ascii="Calibri" w:eastAsia="Times New Roman" w:hAnsi="Calibri" w:cs="Times New Roman"/>
                <w:lang w:val="sr-Cyrl-CS"/>
              </w:rPr>
            </w:pPr>
            <w:r w:rsidRPr="00AA19A8">
              <w:rPr>
                <w:rFonts w:ascii="Calibri" w:eastAsia="Times New Roman" w:hAnsi="Calibri" w:cs="Calibri"/>
                <w:lang w:val="sr-Cyrl-CS"/>
              </w:rPr>
              <w:t>Индикатор се израчунава на крају текуће године као удео у укупном проценту субјеката ревизије – корисника јавних средстава, код којих су утврђени налази у систему интерних контрола.</w:t>
            </w:r>
          </w:p>
        </w:tc>
      </w:tr>
      <w:tr w:rsidR="00D30238" w:rsidRPr="00AA19A8" w14:paraId="5CEDE6ED" w14:textId="77777777" w:rsidTr="00924D5A">
        <w:tc>
          <w:tcPr>
            <w:tcW w:w="1254" w:type="pct"/>
            <w:vMerge w:val="restart"/>
            <w:tcBorders>
              <w:top w:val="single" w:sz="6" w:space="0" w:color="auto"/>
              <w:left w:val="single" w:sz="4" w:space="0" w:color="auto"/>
            </w:tcBorders>
          </w:tcPr>
          <w:p w14:paraId="7EF40D6E"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983" w:type="pct"/>
            <w:gridSpan w:val="5"/>
            <w:tcBorders>
              <w:top w:val="single" w:sz="6" w:space="0" w:color="auto"/>
              <w:right w:val="single" w:sz="4" w:space="0" w:color="auto"/>
            </w:tcBorders>
            <w:vAlign w:val="center"/>
          </w:tcPr>
          <w:p w14:paraId="73B4442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763" w:type="pct"/>
            <w:tcBorders>
              <w:top w:val="single" w:sz="6" w:space="0" w:color="auto"/>
              <w:right w:val="single" w:sz="4" w:space="0" w:color="auto"/>
            </w:tcBorders>
            <w:vAlign w:val="center"/>
          </w:tcPr>
          <w:p w14:paraId="65A7442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Полазна вредност</w:t>
            </w:r>
          </w:p>
        </w:tc>
      </w:tr>
      <w:tr w:rsidR="00D30238" w:rsidRPr="00AA19A8" w14:paraId="16254BBB" w14:textId="77777777" w:rsidTr="00924D5A">
        <w:tc>
          <w:tcPr>
            <w:tcW w:w="1254" w:type="pct"/>
            <w:vMerge/>
            <w:tcBorders>
              <w:left w:val="single" w:sz="4" w:space="0" w:color="auto"/>
            </w:tcBorders>
          </w:tcPr>
          <w:p w14:paraId="2DC107BD" w14:textId="77777777" w:rsidR="00146165" w:rsidRPr="00AA19A8" w:rsidRDefault="00146165" w:rsidP="00146165">
            <w:pPr>
              <w:spacing w:before="0"/>
              <w:rPr>
                <w:rFonts w:ascii="Calibri" w:eastAsia="Calibri" w:hAnsi="Calibri" w:cs="Times New Roman"/>
                <w:b/>
                <w:lang w:val="sr-Cyrl-CS"/>
              </w:rPr>
            </w:pPr>
          </w:p>
        </w:tc>
        <w:tc>
          <w:tcPr>
            <w:tcW w:w="741" w:type="pct"/>
          </w:tcPr>
          <w:p w14:paraId="615297E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80" w:type="pct"/>
          </w:tcPr>
          <w:p w14:paraId="389971C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31" w:type="pct"/>
            <w:gridSpan w:val="2"/>
          </w:tcPr>
          <w:p w14:paraId="71AD928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731" w:type="pct"/>
            <w:tcBorders>
              <w:right w:val="single" w:sz="4" w:space="0" w:color="auto"/>
            </w:tcBorders>
          </w:tcPr>
          <w:p w14:paraId="2ADA9B8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c>
          <w:tcPr>
            <w:tcW w:w="763" w:type="pct"/>
            <w:tcBorders>
              <w:right w:val="single" w:sz="4" w:space="0" w:color="auto"/>
            </w:tcBorders>
          </w:tcPr>
          <w:p w14:paraId="1F8D98A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2025.</w:t>
            </w:r>
          </w:p>
        </w:tc>
      </w:tr>
      <w:tr w:rsidR="00D30238" w:rsidRPr="00AA19A8" w14:paraId="2947373B" w14:textId="77777777" w:rsidTr="00924D5A">
        <w:tc>
          <w:tcPr>
            <w:tcW w:w="1254" w:type="pct"/>
            <w:vMerge/>
            <w:tcBorders>
              <w:left w:val="single" w:sz="4" w:space="0" w:color="auto"/>
            </w:tcBorders>
          </w:tcPr>
          <w:p w14:paraId="2FD70659" w14:textId="77777777" w:rsidR="00146165" w:rsidRPr="00AA19A8" w:rsidRDefault="00146165" w:rsidP="00146165">
            <w:pPr>
              <w:spacing w:before="0"/>
              <w:rPr>
                <w:rFonts w:ascii="Calibri" w:eastAsia="Calibri" w:hAnsi="Calibri" w:cs="Times New Roman"/>
                <w:b/>
                <w:lang w:val="sr-Cyrl-CS"/>
              </w:rPr>
            </w:pPr>
          </w:p>
        </w:tc>
        <w:tc>
          <w:tcPr>
            <w:tcW w:w="741" w:type="pct"/>
          </w:tcPr>
          <w:p w14:paraId="671B4DC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85%</w:t>
            </w:r>
          </w:p>
        </w:tc>
        <w:tc>
          <w:tcPr>
            <w:tcW w:w="780" w:type="pct"/>
          </w:tcPr>
          <w:p w14:paraId="1D830BF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85%</w:t>
            </w:r>
          </w:p>
        </w:tc>
        <w:tc>
          <w:tcPr>
            <w:tcW w:w="731" w:type="pct"/>
            <w:gridSpan w:val="2"/>
          </w:tcPr>
          <w:p w14:paraId="476F635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86%</w:t>
            </w:r>
          </w:p>
        </w:tc>
        <w:tc>
          <w:tcPr>
            <w:tcW w:w="731" w:type="pct"/>
            <w:tcBorders>
              <w:right w:val="single" w:sz="4" w:space="0" w:color="auto"/>
            </w:tcBorders>
          </w:tcPr>
          <w:p w14:paraId="1743D60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85%</w:t>
            </w:r>
          </w:p>
        </w:tc>
        <w:tc>
          <w:tcPr>
            <w:tcW w:w="763" w:type="pct"/>
            <w:tcBorders>
              <w:right w:val="single" w:sz="4" w:space="0" w:color="auto"/>
            </w:tcBorders>
          </w:tcPr>
          <w:p w14:paraId="2077A6D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85%</w:t>
            </w:r>
          </w:p>
        </w:tc>
      </w:tr>
      <w:tr w:rsidR="00D30238" w:rsidRPr="00AA19A8" w14:paraId="3300D2D8" w14:textId="77777777" w:rsidTr="00924D5A">
        <w:tc>
          <w:tcPr>
            <w:tcW w:w="1254" w:type="pct"/>
            <w:vMerge w:val="restart"/>
            <w:tcBorders>
              <w:left w:val="single" w:sz="4" w:space="0" w:color="auto"/>
            </w:tcBorders>
          </w:tcPr>
          <w:p w14:paraId="2C1E98B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41" w:type="pct"/>
          </w:tcPr>
          <w:p w14:paraId="2CD58CD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80" w:type="pct"/>
          </w:tcPr>
          <w:p w14:paraId="1789886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31" w:type="pct"/>
            <w:gridSpan w:val="2"/>
          </w:tcPr>
          <w:p w14:paraId="1241840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31" w:type="pct"/>
            <w:tcBorders>
              <w:right w:val="single" w:sz="4" w:space="0" w:color="auto"/>
            </w:tcBorders>
          </w:tcPr>
          <w:p w14:paraId="76738A8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63" w:type="pct"/>
            <w:tcBorders>
              <w:right w:val="single" w:sz="4" w:space="0" w:color="auto"/>
            </w:tcBorders>
          </w:tcPr>
          <w:p w14:paraId="4996A33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4E2DA524" w14:textId="77777777" w:rsidTr="00924D5A">
        <w:tc>
          <w:tcPr>
            <w:tcW w:w="1254" w:type="pct"/>
            <w:vMerge/>
            <w:tcBorders>
              <w:left w:val="single" w:sz="4" w:space="0" w:color="auto"/>
            </w:tcBorders>
          </w:tcPr>
          <w:p w14:paraId="41A57C17" w14:textId="77777777" w:rsidR="00146165" w:rsidRPr="00AA19A8" w:rsidRDefault="00146165" w:rsidP="00146165">
            <w:pPr>
              <w:spacing w:before="0"/>
              <w:rPr>
                <w:rFonts w:ascii="Calibri" w:eastAsia="Calibri" w:hAnsi="Calibri" w:cs="Times New Roman"/>
                <w:b/>
                <w:lang w:val="sr-Cyrl-CS"/>
              </w:rPr>
            </w:pPr>
          </w:p>
        </w:tc>
        <w:tc>
          <w:tcPr>
            <w:tcW w:w="741" w:type="pct"/>
            <w:vAlign w:val="center"/>
          </w:tcPr>
          <w:p w14:paraId="04964D1C"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84%</w:t>
            </w:r>
          </w:p>
        </w:tc>
        <w:tc>
          <w:tcPr>
            <w:tcW w:w="780" w:type="pct"/>
            <w:vAlign w:val="center"/>
          </w:tcPr>
          <w:p w14:paraId="1518DAFB"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83%</w:t>
            </w:r>
          </w:p>
        </w:tc>
        <w:tc>
          <w:tcPr>
            <w:tcW w:w="731" w:type="pct"/>
            <w:gridSpan w:val="2"/>
            <w:vAlign w:val="center"/>
          </w:tcPr>
          <w:p w14:paraId="75957E5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82%</w:t>
            </w:r>
          </w:p>
        </w:tc>
        <w:tc>
          <w:tcPr>
            <w:tcW w:w="731" w:type="pct"/>
            <w:tcBorders>
              <w:right w:val="single" w:sz="4" w:space="0" w:color="auto"/>
            </w:tcBorders>
            <w:vAlign w:val="center"/>
          </w:tcPr>
          <w:p w14:paraId="031BA692" w14:textId="77777777" w:rsidR="00146165" w:rsidRPr="00AA19A8" w:rsidRDefault="00146165" w:rsidP="00146165">
            <w:pPr>
              <w:spacing w:before="0"/>
              <w:jc w:val="center"/>
              <w:rPr>
                <w:rFonts w:ascii="Calibri" w:eastAsia="Calibri" w:hAnsi="Calibri" w:cs="Times New Roman"/>
                <w:bCs/>
                <w:lang w:val="sr-Cyrl-CS"/>
              </w:rPr>
            </w:pPr>
          </w:p>
        </w:tc>
        <w:tc>
          <w:tcPr>
            <w:tcW w:w="763" w:type="pct"/>
            <w:tcBorders>
              <w:right w:val="single" w:sz="4" w:space="0" w:color="auto"/>
            </w:tcBorders>
            <w:vAlign w:val="center"/>
          </w:tcPr>
          <w:p w14:paraId="56D1EAE8"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0B208E3A" w14:textId="77777777" w:rsidTr="00924D5A">
        <w:tc>
          <w:tcPr>
            <w:tcW w:w="1254" w:type="pct"/>
            <w:tcBorders>
              <w:left w:val="single" w:sz="4" w:space="0" w:color="auto"/>
              <w:bottom w:val="single" w:sz="4" w:space="0" w:color="auto"/>
            </w:tcBorders>
          </w:tcPr>
          <w:p w14:paraId="48254546"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46" w:type="pct"/>
            <w:gridSpan w:val="6"/>
            <w:tcBorders>
              <w:bottom w:val="single" w:sz="4" w:space="0" w:color="auto"/>
              <w:right w:val="single" w:sz="4" w:space="0" w:color="auto"/>
            </w:tcBorders>
          </w:tcPr>
          <w:p w14:paraId="58DF572F"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 у односу на циљану вредност.</w:t>
            </w:r>
          </w:p>
        </w:tc>
      </w:tr>
    </w:tbl>
    <w:p w14:paraId="7AFD0CFA" w14:textId="77777777" w:rsidR="00146165" w:rsidRPr="00AA19A8" w:rsidRDefault="00146165" w:rsidP="00146165">
      <w:pPr>
        <w:spacing w:after="120"/>
        <w:jc w:val="center"/>
        <w:rPr>
          <w:rFonts w:ascii="Calibri" w:eastAsia="Times New Roman" w:hAnsi="Calibri" w:cs="Times New Roman"/>
          <w:b/>
          <w:bCs/>
          <w:lang w:val="sr-Cyrl-CS"/>
        </w:rPr>
      </w:pPr>
    </w:p>
    <w:p w14:paraId="58E7BEB7" w14:textId="77777777" w:rsidR="00341C8E" w:rsidRPr="00AA19A8" w:rsidRDefault="00341C8E" w:rsidP="00146165">
      <w:pPr>
        <w:spacing w:after="120"/>
        <w:jc w:val="center"/>
        <w:rPr>
          <w:rFonts w:ascii="Calibri" w:eastAsia="Times New Roman" w:hAnsi="Calibri" w:cs="Times New Roman"/>
          <w:b/>
          <w:bCs/>
          <w:lang w:val="sr-Cyrl-CS"/>
        </w:rPr>
      </w:pPr>
    </w:p>
    <w:p w14:paraId="4D8C61E6" w14:textId="77777777" w:rsidR="00341C8E" w:rsidRPr="00AA19A8" w:rsidRDefault="00341C8E" w:rsidP="00146165">
      <w:pPr>
        <w:spacing w:after="120"/>
        <w:jc w:val="center"/>
        <w:rPr>
          <w:rFonts w:ascii="Calibri" w:eastAsia="Times New Roman" w:hAnsi="Calibri" w:cs="Times New Roman"/>
          <w:b/>
          <w:bCs/>
          <w:lang w:val="sr-Cyrl-CS"/>
        </w:rPr>
      </w:pPr>
    </w:p>
    <w:p w14:paraId="1D949238" w14:textId="77777777" w:rsidR="00341C8E" w:rsidRPr="00AA19A8" w:rsidRDefault="00341C8E" w:rsidP="00146165">
      <w:pPr>
        <w:spacing w:after="120"/>
        <w:jc w:val="center"/>
        <w:rPr>
          <w:rFonts w:ascii="Calibri" w:eastAsia="Times New Roman" w:hAnsi="Calibri" w:cs="Times New Roman"/>
          <w:b/>
          <w:bCs/>
          <w:lang w:val="sr-Cyrl-CS"/>
        </w:rPr>
      </w:pPr>
    </w:p>
    <w:p w14:paraId="67BA23C4" w14:textId="77777777" w:rsidR="00341C8E" w:rsidRPr="00AA19A8" w:rsidRDefault="00341C8E" w:rsidP="00146165">
      <w:pPr>
        <w:spacing w:after="120"/>
        <w:jc w:val="center"/>
        <w:rPr>
          <w:rFonts w:ascii="Calibri" w:eastAsia="Times New Roman" w:hAnsi="Calibri" w:cs="Times New Roman"/>
          <w:b/>
          <w:bCs/>
          <w:lang w:val="sr-Cyrl-CS"/>
        </w:rPr>
      </w:pPr>
    </w:p>
    <w:p w14:paraId="6AFB0399" w14:textId="77777777" w:rsidR="00341C8E" w:rsidRPr="00AA19A8" w:rsidRDefault="00341C8E" w:rsidP="00146165">
      <w:pPr>
        <w:spacing w:after="120"/>
        <w:jc w:val="center"/>
        <w:rPr>
          <w:rFonts w:ascii="Calibri" w:eastAsia="Times New Roman" w:hAnsi="Calibri" w:cs="Times New Roman"/>
          <w:b/>
          <w:bCs/>
          <w:lang w:val="sr-Cyrl-CS"/>
        </w:rPr>
      </w:pPr>
    </w:p>
    <w:p w14:paraId="3AC5E5EA" w14:textId="77777777" w:rsidR="00341C8E" w:rsidRPr="00AA19A8" w:rsidRDefault="00341C8E" w:rsidP="00146165">
      <w:pPr>
        <w:spacing w:after="120"/>
        <w:jc w:val="center"/>
        <w:rPr>
          <w:rFonts w:ascii="Calibri" w:eastAsia="Times New Roman" w:hAnsi="Calibri" w:cs="Times New Roman"/>
          <w:b/>
          <w:bCs/>
          <w:lang w:val="sr-Cyrl-CS"/>
        </w:rPr>
      </w:pPr>
    </w:p>
    <w:p w14:paraId="55121A0C" w14:textId="77777777" w:rsidR="00146165" w:rsidRPr="00AA19A8" w:rsidRDefault="00146165" w:rsidP="00146165">
      <w:pPr>
        <w:spacing w:after="120"/>
        <w:jc w:val="center"/>
        <w:rPr>
          <w:rFonts w:ascii="Calibri" w:eastAsia="Times New Roman" w:hAnsi="Calibri" w:cs="Times New Roman"/>
          <w:b/>
          <w:bCs/>
          <w:lang w:val="sr-Cyrl-CS"/>
        </w:rPr>
      </w:pPr>
      <w:r w:rsidRPr="00AA19A8">
        <w:rPr>
          <w:rFonts w:ascii="Calibri" w:eastAsia="Times New Roman" w:hAnsi="Calibri" w:cs="Times New Roman"/>
          <w:b/>
          <w:bCs/>
          <w:lang w:val="sr-Cyrl-CS"/>
        </w:rPr>
        <w:lastRenderedPageBreak/>
        <w:t>ПОКАЗАТЕЉИ НА НИВОУ МЕРА</w:t>
      </w:r>
    </w:p>
    <w:p w14:paraId="327E289C"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1.1</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7DDD2900" w14:textId="77777777" w:rsidTr="00924D5A">
        <w:tc>
          <w:tcPr>
            <w:tcW w:w="1296" w:type="pct"/>
            <w:tcBorders>
              <w:top w:val="single" w:sz="4" w:space="0" w:color="auto"/>
              <w:left w:val="single" w:sz="4" w:space="0" w:color="auto"/>
            </w:tcBorders>
            <w:vAlign w:val="center"/>
          </w:tcPr>
          <w:p w14:paraId="2CE8B1E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75FCC9F8"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здравствених установа које примењују програмски буџет</w:t>
            </w:r>
          </w:p>
        </w:tc>
      </w:tr>
      <w:tr w:rsidR="00D30238" w:rsidRPr="00AA19A8" w14:paraId="7D5580CF" w14:textId="77777777" w:rsidTr="00924D5A">
        <w:tc>
          <w:tcPr>
            <w:tcW w:w="1296" w:type="pct"/>
            <w:tcBorders>
              <w:top w:val="single" w:sz="4" w:space="0" w:color="auto"/>
              <w:left w:val="single" w:sz="4" w:space="0" w:color="auto"/>
            </w:tcBorders>
          </w:tcPr>
          <w:p w14:paraId="287AD33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0B05ECAE"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1.1</w:t>
            </w:r>
            <w:r w:rsidRPr="00AA19A8">
              <w:rPr>
                <w:rFonts w:ascii="Calibri" w:eastAsia="Calibri" w:hAnsi="Calibri" w:cs="Times New Roman"/>
                <w:lang w:val="sr-Cyrl-CS"/>
              </w:rPr>
              <w:t xml:space="preserve"> - Унапређење програмског буџета и средњорочног оквира расхода</w:t>
            </w:r>
          </w:p>
        </w:tc>
      </w:tr>
      <w:tr w:rsidR="00D30238" w:rsidRPr="00AA19A8" w14:paraId="514A320D" w14:textId="77777777" w:rsidTr="00924D5A">
        <w:tc>
          <w:tcPr>
            <w:tcW w:w="1296" w:type="pct"/>
            <w:tcBorders>
              <w:left w:val="single" w:sz="4" w:space="0" w:color="auto"/>
            </w:tcBorders>
          </w:tcPr>
          <w:p w14:paraId="543B8ED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BE3C1E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3B9153D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4048C452" w14:textId="77777777" w:rsidTr="00924D5A">
        <w:tc>
          <w:tcPr>
            <w:tcW w:w="1296" w:type="pct"/>
            <w:tcBorders>
              <w:left w:val="single" w:sz="4" w:space="0" w:color="auto"/>
            </w:tcBorders>
          </w:tcPr>
          <w:p w14:paraId="266EF97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0A65DEF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012695AD"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2FAF2E8C" w14:textId="77777777" w:rsidTr="00924D5A">
        <w:tc>
          <w:tcPr>
            <w:tcW w:w="1296" w:type="pct"/>
            <w:tcBorders>
              <w:left w:val="single" w:sz="4" w:space="0" w:color="auto"/>
              <w:bottom w:val="single" w:sz="4" w:space="0" w:color="auto"/>
            </w:tcBorders>
          </w:tcPr>
          <w:p w14:paraId="42A059A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1C9C352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Интерни извештај Министарства финансија</w:t>
            </w:r>
          </w:p>
        </w:tc>
      </w:tr>
      <w:tr w:rsidR="00D30238" w:rsidRPr="00AA19A8" w14:paraId="557F170F" w14:textId="77777777" w:rsidTr="00924D5A">
        <w:tc>
          <w:tcPr>
            <w:tcW w:w="1296" w:type="pct"/>
            <w:tcBorders>
              <w:left w:val="single" w:sz="4" w:space="0" w:color="auto"/>
              <w:bottom w:val="single" w:sz="4" w:space="0" w:color="auto"/>
            </w:tcBorders>
          </w:tcPr>
          <w:p w14:paraId="6E99787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10B04621"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буџета</w:t>
            </w:r>
          </w:p>
        </w:tc>
      </w:tr>
      <w:tr w:rsidR="00D30238" w:rsidRPr="00AA19A8" w14:paraId="06419EA9" w14:textId="77777777" w:rsidTr="00924D5A">
        <w:tc>
          <w:tcPr>
            <w:tcW w:w="1296" w:type="pct"/>
            <w:tcBorders>
              <w:top w:val="single" w:sz="4" w:space="0" w:color="auto"/>
              <w:left w:val="single" w:sz="4" w:space="0" w:color="auto"/>
            </w:tcBorders>
          </w:tcPr>
          <w:p w14:paraId="07A487B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4DF68B0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првом кварталу текуће године за претходну.</w:t>
            </w:r>
          </w:p>
        </w:tc>
      </w:tr>
      <w:tr w:rsidR="00D30238" w:rsidRPr="00AA19A8" w14:paraId="71CEEB79" w14:textId="77777777" w:rsidTr="00924D5A">
        <w:trPr>
          <w:trHeight w:val="1181"/>
        </w:trPr>
        <w:tc>
          <w:tcPr>
            <w:tcW w:w="1296" w:type="pct"/>
            <w:tcBorders>
              <w:left w:val="single" w:sz="4" w:space="0" w:color="auto"/>
              <w:bottom w:val="single" w:sz="6" w:space="0" w:color="auto"/>
            </w:tcBorders>
          </w:tcPr>
          <w:p w14:paraId="1E70759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5B5AE9A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49C3A64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Индикатор се односи на проценат здравствених установа које су припремиле своје финансијске планове у складу са методологијом за припрему програмског буџета.</w:t>
            </w:r>
          </w:p>
        </w:tc>
      </w:tr>
      <w:tr w:rsidR="00D30238" w:rsidRPr="00AA19A8" w14:paraId="22A2B1AC" w14:textId="77777777" w:rsidTr="00924D5A">
        <w:tc>
          <w:tcPr>
            <w:tcW w:w="1296" w:type="pct"/>
            <w:vMerge w:val="restart"/>
            <w:tcBorders>
              <w:top w:val="single" w:sz="6" w:space="0" w:color="auto"/>
              <w:left w:val="single" w:sz="4" w:space="0" w:color="auto"/>
            </w:tcBorders>
          </w:tcPr>
          <w:p w14:paraId="2A2C809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084CD4AE"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0687CBD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51173414" w14:textId="77777777" w:rsidTr="00924D5A">
        <w:tc>
          <w:tcPr>
            <w:tcW w:w="1296" w:type="pct"/>
            <w:vMerge/>
            <w:tcBorders>
              <w:left w:val="single" w:sz="4" w:space="0" w:color="auto"/>
            </w:tcBorders>
          </w:tcPr>
          <w:p w14:paraId="5686D56C" w14:textId="77777777" w:rsidR="00146165" w:rsidRPr="00AA19A8" w:rsidRDefault="00146165" w:rsidP="00146165">
            <w:pPr>
              <w:spacing w:before="0"/>
              <w:rPr>
                <w:rFonts w:ascii="Calibri" w:eastAsia="Calibri" w:hAnsi="Calibri" w:cs="Times New Roman"/>
                <w:b/>
                <w:lang w:val="sr-Cyrl-CS"/>
              </w:rPr>
            </w:pPr>
          </w:p>
        </w:tc>
        <w:tc>
          <w:tcPr>
            <w:tcW w:w="755" w:type="pct"/>
          </w:tcPr>
          <w:p w14:paraId="0DB6641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292A36E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5389C58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676C15B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388B3FB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09C63425" w14:textId="77777777" w:rsidTr="00924D5A">
        <w:tc>
          <w:tcPr>
            <w:tcW w:w="1296" w:type="pct"/>
            <w:vMerge/>
            <w:tcBorders>
              <w:left w:val="single" w:sz="4" w:space="0" w:color="auto"/>
            </w:tcBorders>
          </w:tcPr>
          <w:p w14:paraId="0235C7C0" w14:textId="77777777" w:rsidR="00146165" w:rsidRPr="00AA19A8" w:rsidRDefault="00146165" w:rsidP="00146165">
            <w:pPr>
              <w:spacing w:before="0"/>
              <w:rPr>
                <w:rFonts w:ascii="Calibri" w:eastAsia="Calibri" w:hAnsi="Calibri" w:cs="Times New Roman"/>
                <w:b/>
                <w:lang w:val="sr-Cyrl-CS"/>
              </w:rPr>
            </w:pPr>
          </w:p>
        </w:tc>
        <w:tc>
          <w:tcPr>
            <w:tcW w:w="755" w:type="pct"/>
          </w:tcPr>
          <w:p w14:paraId="643CB41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07D6B28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528C98E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76D37D6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2A7FF42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0</w:t>
            </w:r>
          </w:p>
        </w:tc>
      </w:tr>
      <w:tr w:rsidR="00D30238" w:rsidRPr="00AA19A8" w14:paraId="27128854" w14:textId="77777777" w:rsidTr="00924D5A">
        <w:tc>
          <w:tcPr>
            <w:tcW w:w="1296" w:type="pct"/>
            <w:vMerge w:val="restart"/>
            <w:tcBorders>
              <w:left w:val="single" w:sz="4" w:space="0" w:color="auto"/>
            </w:tcBorders>
          </w:tcPr>
          <w:p w14:paraId="13CB16DB"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713897D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2326DDF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251F118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33F0EB2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3C79C8A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2E5005FB" w14:textId="77777777" w:rsidTr="00924D5A">
        <w:tc>
          <w:tcPr>
            <w:tcW w:w="1296" w:type="pct"/>
            <w:vMerge/>
            <w:tcBorders>
              <w:left w:val="single" w:sz="4" w:space="0" w:color="auto"/>
            </w:tcBorders>
          </w:tcPr>
          <w:p w14:paraId="0D04CF11"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0C887CC5"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w:t>
            </w:r>
          </w:p>
        </w:tc>
        <w:tc>
          <w:tcPr>
            <w:tcW w:w="673" w:type="pct"/>
            <w:vAlign w:val="center"/>
          </w:tcPr>
          <w:p w14:paraId="6B2750E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70%</w:t>
            </w:r>
          </w:p>
        </w:tc>
        <w:tc>
          <w:tcPr>
            <w:tcW w:w="582" w:type="pct"/>
            <w:gridSpan w:val="2"/>
            <w:vAlign w:val="center"/>
          </w:tcPr>
          <w:p w14:paraId="5E56B43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585" w:type="pct"/>
            <w:vAlign w:val="center"/>
          </w:tcPr>
          <w:p w14:paraId="3F4D3C3C"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110CACDB"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5EA3F628" w14:textId="77777777" w:rsidTr="00924D5A">
        <w:tc>
          <w:tcPr>
            <w:tcW w:w="1296" w:type="pct"/>
            <w:tcBorders>
              <w:left w:val="single" w:sz="4" w:space="0" w:color="auto"/>
              <w:bottom w:val="single" w:sz="4" w:space="0" w:color="auto"/>
            </w:tcBorders>
          </w:tcPr>
          <w:p w14:paraId="4F023F6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24474EBA"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10%.</w:t>
            </w:r>
          </w:p>
        </w:tc>
      </w:tr>
    </w:tbl>
    <w:p w14:paraId="53274C66" w14:textId="77777777" w:rsidR="00146165" w:rsidRPr="00AA19A8" w:rsidRDefault="00146165" w:rsidP="00146165">
      <w:pPr>
        <w:spacing w:after="120"/>
        <w:rPr>
          <w:rFonts w:ascii="Calibri" w:eastAsia="Times New Roman" w:hAnsi="Calibri" w:cs="Times New Roman"/>
          <w:b/>
          <w:bCs/>
          <w:lang w:val="sr-Cyrl-CS"/>
        </w:rPr>
      </w:pPr>
    </w:p>
    <w:p w14:paraId="25AAC62A"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1.2</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4A4F41BE" w14:textId="77777777" w:rsidTr="00924D5A">
        <w:tc>
          <w:tcPr>
            <w:tcW w:w="1296" w:type="pct"/>
            <w:tcBorders>
              <w:top w:val="single" w:sz="4" w:space="0" w:color="auto"/>
              <w:left w:val="single" w:sz="4" w:space="0" w:color="auto"/>
            </w:tcBorders>
            <w:vAlign w:val="center"/>
          </w:tcPr>
          <w:p w14:paraId="2380FC5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265C9F12"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Обухват примене методологије за зелено буџетирање за све нивое власти</w:t>
            </w:r>
          </w:p>
        </w:tc>
      </w:tr>
      <w:tr w:rsidR="00D30238" w:rsidRPr="00AA19A8" w14:paraId="606F8B97" w14:textId="77777777" w:rsidTr="00924D5A">
        <w:tc>
          <w:tcPr>
            <w:tcW w:w="1296" w:type="pct"/>
            <w:tcBorders>
              <w:top w:val="single" w:sz="4" w:space="0" w:color="auto"/>
              <w:left w:val="single" w:sz="4" w:space="0" w:color="auto"/>
            </w:tcBorders>
          </w:tcPr>
          <w:p w14:paraId="5D99E57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740434EE"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1.2</w:t>
            </w:r>
            <w:r w:rsidRPr="00AA19A8">
              <w:rPr>
                <w:rFonts w:ascii="Calibri" w:eastAsia="Calibri" w:hAnsi="Calibri" w:cs="Times New Roman"/>
                <w:lang w:val="sr-Cyrl-CS"/>
              </w:rPr>
              <w:t xml:space="preserve"> - Јачање институционалних капацитета и унапређење методолошког оквира за зелено буџетирање</w:t>
            </w:r>
          </w:p>
        </w:tc>
      </w:tr>
      <w:tr w:rsidR="00D30238" w:rsidRPr="00AA19A8" w14:paraId="4EE44FC4" w14:textId="77777777" w:rsidTr="00924D5A">
        <w:tc>
          <w:tcPr>
            <w:tcW w:w="1296" w:type="pct"/>
            <w:tcBorders>
              <w:left w:val="single" w:sz="4" w:space="0" w:color="auto"/>
            </w:tcBorders>
          </w:tcPr>
          <w:p w14:paraId="324B06E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353DC9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4341D06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076FA7BA" w14:textId="77777777" w:rsidTr="00924D5A">
        <w:tc>
          <w:tcPr>
            <w:tcW w:w="1296" w:type="pct"/>
            <w:tcBorders>
              <w:left w:val="single" w:sz="4" w:space="0" w:color="auto"/>
            </w:tcBorders>
          </w:tcPr>
          <w:p w14:paraId="27D4EEF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Јединица мере и природа</w:t>
            </w:r>
          </w:p>
        </w:tc>
        <w:tc>
          <w:tcPr>
            <w:tcW w:w="1822" w:type="pct"/>
            <w:gridSpan w:val="3"/>
            <w:tcBorders>
              <w:right w:val="single" w:sz="4" w:space="0" w:color="auto"/>
            </w:tcBorders>
          </w:tcPr>
          <w:p w14:paraId="2EE04EA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6E35223E"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238DB53D" w14:textId="77777777" w:rsidTr="00924D5A">
        <w:tc>
          <w:tcPr>
            <w:tcW w:w="1296" w:type="pct"/>
            <w:tcBorders>
              <w:left w:val="single" w:sz="4" w:space="0" w:color="auto"/>
              <w:bottom w:val="single" w:sz="4" w:space="0" w:color="auto"/>
            </w:tcBorders>
          </w:tcPr>
          <w:p w14:paraId="6182402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5CE3A069"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Интерни извештај Министарства финансија</w:t>
            </w:r>
          </w:p>
        </w:tc>
      </w:tr>
      <w:tr w:rsidR="00D30238" w:rsidRPr="00AA19A8" w14:paraId="6BD7877E" w14:textId="77777777" w:rsidTr="00924D5A">
        <w:tc>
          <w:tcPr>
            <w:tcW w:w="1296" w:type="pct"/>
            <w:tcBorders>
              <w:left w:val="single" w:sz="4" w:space="0" w:color="auto"/>
              <w:bottom w:val="single" w:sz="4" w:space="0" w:color="auto"/>
            </w:tcBorders>
          </w:tcPr>
          <w:p w14:paraId="0E6E978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43B758D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буџета</w:t>
            </w:r>
          </w:p>
        </w:tc>
      </w:tr>
      <w:tr w:rsidR="00D30238" w:rsidRPr="00AA19A8" w14:paraId="55A5EC2E" w14:textId="77777777" w:rsidTr="00924D5A">
        <w:tc>
          <w:tcPr>
            <w:tcW w:w="1296" w:type="pct"/>
            <w:tcBorders>
              <w:top w:val="single" w:sz="4" w:space="0" w:color="auto"/>
              <w:left w:val="single" w:sz="4" w:space="0" w:color="auto"/>
            </w:tcBorders>
          </w:tcPr>
          <w:p w14:paraId="4675DBB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327BE250"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првом кварталу текуће године за претходну.</w:t>
            </w:r>
          </w:p>
        </w:tc>
      </w:tr>
      <w:tr w:rsidR="00D30238" w:rsidRPr="00AA19A8" w14:paraId="6785EC0A" w14:textId="77777777" w:rsidTr="00924D5A">
        <w:trPr>
          <w:trHeight w:val="1181"/>
        </w:trPr>
        <w:tc>
          <w:tcPr>
            <w:tcW w:w="1296" w:type="pct"/>
            <w:tcBorders>
              <w:left w:val="single" w:sz="4" w:space="0" w:color="auto"/>
              <w:bottom w:val="single" w:sz="6" w:space="0" w:color="auto"/>
            </w:tcBorders>
          </w:tcPr>
          <w:p w14:paraId="596287BC"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33FE2E2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393CAB5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Индикатор се односи на нивое власти које су у процесу израде буџета применили методологију за означавање зелених пројеката.</w:t>
            </w:r>
          </w:p>
        </w:tc>
      </w:tr>
      <w:tr w:rsidR="00D30238" w:rsidRPr="00AA19A8" w14:paraId="091CA071" w14:textId="77777777" w:rsidTr="00924D5A">
        <w:tc>
          <w:tcPr>
            <w:tcW w:w="1296" w:type="pct"/>
            <w:vMerge w:val="restart"/>
            <w:tcBorders>
              <w:top w:val="single" w:sz="6" w:space="0" w:color="auto"/>
              <w:left w:val="single" w:sz="4" w:space="0" w:color="auto"/>
            </w:tcBorders>
          </w:tcPr>
          <w:p w14:paraId="17BD27C2"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4EAAF513"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0F88AB3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33CE4243" w14:textId="77777777" w:rsidTr="00924D5A">
        <w:tc>
          <w:tcPr>
            <w:tcW w:w="1296" w:type="pct"/>
            <w:vMerge/>
            <w:tcBorders>
              <w:left w:val="single" w:sz="4" w:space="0" w:color="auto"/>
            </w:tcBorders>
          </w:tcPr>
          <w:p w14:paraId="2A43CB85" w14:textId="77777777" w:rsidR="00146165" w:rsidRPr="00AA19A8" w:rsidRDefault="00146165" w:rsidP="00146165">
            <w:pPr>
              <w:spacing w:before="0"/>
              <w:rPr>
                <w:rFonts w:ascii="Calibri" w:eastAsia="Calibri" w:hAnsi="Calibri" w:cs="Times New Roman"/>
                <w:b/>
                <w:lang w:val="sr-Cyrl-CS"/>
              </w:rPr>
            </w:pPr>
          </w:p>
        </w:tc>
        <w:tc>
          <w:tcPr>
            <w:tcW w:w="755" w:type="pct"/>
          </w:tcPr>
          <w:p w14:paraId="05E3773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026096C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4E84189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3CAF643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2FA3A3C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70890B4A" w14:textId="77777777" w:rsidTr="00924D5A">
        <w:tc>
          <w:tcPr>
            <w:tcW w:w="1296" w:type="pct"/>
            <w:vMerge/>
            <w:tcBorders>
              <w:left w:val="single" w:sz="4" w:space="0" w:color="auto"/>
            </w:tcBorders>
          </w:tcPr>
          <w:p w14:paraId="0AD0D6B1" w14:textId="77777777" w:rsidR="00146165" w:rsidRPr="00AA19A8" w:rsidRDefault="00146165" w:rsidP="00146165">
            <w:pPr>
              <w:spacing w:before="0"/>
              <w:rPr>
                <w:rFonts w:ascii="Calibri" w:eastAsia="Calibri" w:hAnsi="Calibri" w:cs="Times New Roman"/>
                <w:b/>
                <w:lang w:val="sr-Cyrl-CS"/>
              </w:rPr>
            </w:pPr>
          </w:p>
        </w:tc>
        <w:tc>
          <w:tcPr>
            <w:tcW w:w="755" w:type="pct"/>
          </w:tcPr>
          <w:p w14:paraId="08C8E95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1EAB97E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37F02E3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142A135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2D354AF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50%</w:t>
            </w:r>
          </w:p>
        </w:tc>
      </w:tr>
      <w:tr w:rsidR="00D30238" w:rsidRPr="00AA19A8" w14:paraId="4D07BD65" w14:textId="77777777" w:rsidTr="00924D5A">
        <w:tc>
          <w:tcPr>
            <w:tcW w:w="1296" w:type="pct"/>
            <w:vMerge w:val="restart"/>
            <w:tcBorders>
              <w:left w:val="single" w:sz="4" w:space="0" w:color="auto"/>
            </w:tcBorders>
          </w:tcPr>
          <w:p w14:paraId="54830CDE"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42918B9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64A4419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0C75511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0BB4B64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2EC169E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160BFF34" w14:textId="77777777" w:rsidTr="00924D5A">
        <w:tc>
          <w:tcPr>
            <w:tcW w:w="1296" w:type="pct"/>
            <w:vMerge/>
            <w:tcBorders>
              <w:left w:val="single" w:sz="4" w:space="0" w:color="auto"/>
            </w:tcBorders>
          </w:tcPr>
          <w:p w14:paraId="3CF9B1AB"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5221CF20"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50%</w:t>
            </w:r>
          </w:p>
        </w:tc>
        <w:tc>
          <w:tcPr>
            <w:tcW w:w="673" w:type="pct"/>
            <w:vAlign w:val="center"/>
          </w:tcPr>
          <w:p w14:paraId="7613EEF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582" w:type="pct"/>
            <w:gridSpan w:val="2"/>
            <w:vAlign w:val="center"/>
          </w:tcPr>
          <w:p w14:paraId="75C2781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585" w:type="pct"/>
            <w:vAlign w:val="center"/>
          </w:tcPr>
          <w:p w14:paraId="408674A8"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01362A93"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0362E665" w14:textId="77777777" w:rsidTr="00924D5A">
        <w:tc>
          <w:tcPr>
            <w:tcW w:w="1296" w:type="pct"/>
            <w:tcBorders>
              <w:left w:val="single" w:sz="4" w:space="0" w:color="auto"/>
              <w:bottom w:val="single" w:sz="4" w:space="0" w:color="auto"/>
            </w:tcBorders>
          </w:tcPr>
          <w:p w14:paraId="654A3166"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6A5614A5"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10%.</w:t>
            </w:r>
          </w:p>
        </w:tc>
      </w:tr>
    </w:tbl>
    <w:p w14:paraId="042D6C1D" w14:textId="77777777" w:rsidR="00146165" w:rsidRPr="00AA19A8" w:rsidRDefault="00146165" w:rsidP="00146165">
      <w:pPr>
        <w:spacing w:after="120"/>
        <w:rPr>
          <w:rFonts w:ascii="Calibri" w:eastAsia="Times New Roman" w:hAnsi="Calibri" w:cs="Times New Roman"/>
          <w:b/>
          <w:bCs/>
          <w:lang w:val="sr-Cyrl-CS"/>
        </w:rPr>
      </w:pPr>
    </w:p>
    <w:p w14:paraId="5D994995"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1.3</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2E298FEB" w14:textId="77777777" w:rsidTr="00924D5A">
        <w:tc>
          <w:tcPr>
            <w:tcW w:w="1296" w:type="pct"/>
            <w:tcBorders>
              <w:top w:val="single" w:sz="4" w:space="0" w:color="auto"/>
              <w:left w:val="single" w:sz="4" w:space="0" w:color="auto"/>
            </w:tcBorders>
            <w:vAlign w:val="center"/>
          </w:tcPr>
          <w:p w14:paraId="5CA8CA0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525BFDEF"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обучених буџетских аналитичара у Министарству финансија</w:t>
            </w:r>
          </w:p>
        </w:tc>
      </w:tr>
      <w:tr w:rsidR="00D30238" w:rsidRPr="00AA19A8" w14:paraId="409043C8" w14:textId="77777777" w:rsidTr="00924D5A">
        <w:tc>
          <w:tcPr>
            <w:tcW w:w="1296" w:type="pct"/>
            <w:tcBorders>
              <w:top w:val="single" w:sz="4" w:space="0" w:color="auto"/>
              <w:left w:val="single" w:sz="4" w:space="0" w:color="auto"/>
            </w:tcBorders>
          </w:tcPr>
          <w:p w14:paraId="0B82F8E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3A9350D1"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1.3</w:t>
            </w:r>
            <w:r w:rsidRPr="00AA19A8">
              <w:rPr>
                <w:rFonts w:ascii="Calibri" w:eastAsia="Calibri" w:hAnsi="Calibri" w:cs="Times New Roman"/>
                <w:lang w:val="sr-Cyrl-CS"/>
              </w:rPr>
              <w:t xml:space="preserve"> - Усклађивање буџетског процеса у Републици Србији са буџетским процесом у Европској унији</w:t>
            </w:r>
          </w:p>
        </w:tc>
      </w:tr>
      <w:tr w:rsidR="00D30238" w:rsidRPr="00AA19A8" w14:paraId="5DDAFA32" w14:textId="77777777" w:rsidTr="00924D5A">
        <w:tc>
          <w:tcPr>
            <w:tcW w:w="1296" w:type="pct"/>
            <w:tcBorders>
              <w:left w:val="single" w:sz="4" w:space="0" w:color="auto"/>
            </w:tcBorders>
          </w:tcPr>
          <w:p w14:paraId="7985320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5DD701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1B210C2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D25C70E" w14:textId="77777777" w:rsidTr="00924D5A">
        <w:tc>
          <w:tcPr>
            <w:tcW w:w="1296" w:type="pct"/>
            <w:tcBorders>
              <w:left w:val="single" w:sz="4" w:space="0" w:color="auto"/>
            </w:tcBorders>
          </w:tcPr>
          <w:p w14:paraId="34BD307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58F86EE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4DC3D741"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боља</w:t>
            </w:r>
          </w:p>
        </w:tc>
      </w:tr>
      <w:tr w:rsidR="00D30238" w:rsidRPr="00AA19A8" w14:paraId="7BED5F7E" w14:textId="77777777" w:rsidTr="00924D5A">
        <w:tc>
          <w:tcPr>
            <w:tcW w:w="1296" w:type="pct"/>
            <w:tcBorders>
              <w:left w:val="single" w:sz="4" w:space="0" w:color="auto"/>
              <w:bottom w:val="single" w:sz="4" w:space="0" w:color="auto"/>
            </w:tcBorders>
          </w:tcPr>
          <w:p w14:paraId="5D525A3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3B5D0DF6"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Интерни извештај Министарства финансија</w:t>
            </w:r>
          </w:p>
        </w:tc>
      </w:tr>
      <w:tr w:rsidR="00D30238" w:rsidRPr="00AA19A8" w14:paraId="59B1D74A" w14:textId="77777777" w:rsidTr="00924D5A">
        <w:tc>
          <w:tcPr>
            <w:tcW w:w="1296" w:type="pct"/>
            <w:tcBorders>
              <w:left w:val="single" w:sz="4" w:space="0" w:color="auto"/>
              <w:bottom w:val="single" w:sz="4" w:space="0" w:color="auto"/>
            </w:tcBorders>
          </w:tcPr>
          <w:p w14:paraId="5C756FC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204D89F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буџета</w:t>
            </w:r>
          </w:p>
        </w:tc>
      </w:tr>
      <w:tr w:rsidR="00D30238" w:rsidRPr="00AA19A8" w14:paraId="0844825A" w14:textId="77777777" w:rsidTr="00924D5A">
        <w:tc>
          <w:tcPr>
            <w:tcW w:w="1296" w:type="pct"/>
            <w:tcBorders>
              <w:top w:val="single" w:sz="4" w:space="0" w:color="auto"/>
              <w:left w:val="single" w:sz="4" w:space="0" w:color="auto"/>
            </w:tcBorders>
          </w:tcPr>
          <w:p w14:paraId="169D0B9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21D1CA2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првом кварталу текуће године за претходну.</w:t>
            </w:r>
          </w:p>
        </w:tc>
      </w:tr>
      <w:tr w:rsidR="00D30238" w:rsidRPr="00AA19A8" w14:paraId="07A2FD02" w14:textId="77777777" w:rsidTr="00924D5A">
        <w:trPr>
          <w:trHeight w:val="1181"/>
        </w:trPr>
        <w:tc>
          <w:tcPr>
            <w:tcW w:w="1296" w:type="pct"/>
            <w:tcBorders>
              <w:left w:val="single" w:sz="4" w:space="0" w:color="auto"/>
              <w:bottom w:val="single" w:sz="6" w:space="0" w:color="auto"/>
            </w:tcBorders>
          </w:tcPr>
          <w:p w14:paraId="47495DCF"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lastRenderedPageBreak/>
              <w:t>Кратак опис показатеља и методологије израчунавања</w:t>
            </w:r>
          </w:p>
          <w:p w14:paraId="64A0A0F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014D257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Индикатор се односи на проценат буџетских аналитичара који су прошли обуку за припрему буџета у складу са буџетским процесом у Европској унији.</w:t>
            </w:r>
          </w:p>
        </w:tc>
      </w:tr>
      <w:tr w:rsidR="00D30238" w:rsidRPr="00AA19A8" w14:paraId="3AD780F5" w14:textId="77777777" w:rsidTr="00924D5A">
        <w:tc>
          <w:tcPr>
            <w:tcW w:w="1296" w:type="pct"/>
            <w:vMerge w:val="restart"/>
            <w:tcBorders>
              <w:top w:val="single" w:sz="6" w:space="0" w:color="auto"/>
              <w:left w:val="single" w:sz="4" w:space="0" w:color="auto"/>
            </w:tcBorders>
          </w:tcPr>
          <w:p w14:paraId="12D0E0BD"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724A7BAD"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2E77893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35BAC38" w14:textId="77777777" w:rsidTr="00924D5A">
        <w:tc>
          <w:tcPr>
            <w:tcW w:w="1296" w:type="pct"/>
            <w:vMerge/>
            <w:tcBorders>
              <w:left w:val="single" w:sz="4" w:space="0" w:color="auto"/>
            </w:tcBorders>
          </w:tcPr>
          <w:p w14:paraId="787B1483" w14:textId="77777777" w:rsidR="00146165" w:rsidRPr="00AA19A8" w:rsidRDefault="00146165" w:rsidP="00146165">
            <w:pPr>
              <w:spacing w:before="0"/>
              <w:rPr>
                <w:rFonts w:ascii="Calibri" w:eastAsia="Calibri" w:hAnsi="Calibri" w:cs="Times New Roman"/>
                <w:b/>
                <w:lang w:val="sr-Cyrl-CS"/>
              </w:rPr>
            </w:pPr>
          </w:p>
        </w:tc>
        <w:tc>
          <w:tcPr>
            <w:tcW w:w="755" w:type="pct"/>
          </w:tcPr>
          <w:p w14:paraId="24CED9C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2E86833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7963899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7AA39A0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71584BA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52390EAF" w14:textId="77777777" w:rsidTr="00924D5A">
        <w:tc>
          <w:tcPr>
            <w:tcW w:w="1296" w:type="pct"/>
            <w:vMerge/>
            <w:tcBorders>
              <w:left w:val="single" w:sz="4" w:space="0" w:color="auto"/>
            </w:tcBorders>
          </w:tcPr>
          <w:p w14:paraId="4EEADD19" w14:textId="77777777" w:rsidR="00146165" w:rsidRPr="00AA19A8" w:rsidRDefault="00146165" w:rsidP="00146165">
            <w:pPr>
              <w:spacing w:before="0"/>
              <w:rPr>
                <w:rFonts w:ascii="Calibri" w:eastAsia="Calibri" w:hAnsi="Calibri" w:cs="Times New Roman"/>
                <w:b/>
                <w:lang w:val="sr-Cyrl-CS"/>
              </w:rPr>
            </w:pPr>
          </w:p>
        </w:tc>
        <w:tc>
          <w:tcPr>
            <w:tcW w:w="755" w:type="pct"/>
          </w:tcPr>
          <w:p w14:paraId="2330F27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27D32FD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6BDE950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5507420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127CA0F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0</w:t>
            </w:r>
          </w:p>
        </w:tc>
      </w:tr>
      <w:tr w:rsidR="00D30238" w:rsidRPr="00AA19A8" w14:paraId="32C7AB9D" w14:textId="77777777" w:rsidTr="00924D5A">
        <w:tc>
          <w:tcPr>
            <w:tcW w:w="1296" w:type="pct"/>
            <w:vMerge w:val="restart"/>
            <w:tcBorders>
              <w:left w:val="single" w:sz="4" w:space="0" w:color="auto"/>
            </w:tcBorders>
          </w:tcPr>
          <w:p w14:paraId="71F52451"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647F21F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7C4732A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52704C9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3938631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433DBEA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3F9DB067" w14:textId="77777777" w:rsidTr="00924D5A">
        <w:tc>
          <w:tcPr>
            <w:tcW w:w="1296" w:type="pct"/>
            <w:vMerge/>
            <w:tcBorders>
              <w:left w:val="single" w:sz="4" w:space="0" w:color="auto"/>
            </w:tcBorders>
          </w:tcPr>
          <w:p w14:paraId="310F808D"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3AC364E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80%</w:t>
            </w:r>
          </w:p>
        </w:tc>
        <w:tc>
          <w:tcPr>
            <w:tcW w:w="673" w:type="pct"/>
            <w:vAlign w:val="center"/>
          </w:tcPr>
          <w:p w14:paraId="75020CC3"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582" w:type="pct"/>
            <w:gridSpan w:val="2"/>
            <w:vAlign w:val="center"/>
          </w:tcPr>
          <w:p w14:paraId="6AB08CC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vAlign w:val="center"/>
          </w:tcPr>
          <w:p w14:paraId="121666F9"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0079116A"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2A150473" w14:textId="77777777" w:rsidTr="00924D5A">
        <w:tc>
          <w:tcPr>
            <w:tcW w:w="1296" w:type="pct"/>
            <w:tcBorders>
              <w:left w:val="single" w:sz="4" w:space="0" w:color="auto"/>
              <w:bottom w:val="single" w:sz="4" w:space="0" w:color="auto"/>
            </w:tcBorders>
          </w:tcPr>
          <w:p w14:paraId="1F852F4C"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53742750"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10%.</w:t>
            </w:r>
          </w:p>
        </w:tc>
      </w:tr>
    </w:tbl>
    <w:p w14:paraId="03588832" w14:textId="77777777" w:rsidR="00146165" w:rsidRPr="00AA19A8" w:rsidRDefault="00146165" w:rsidP="00146165">
      <w:pPr>
        <w:spacing w:after="120"/>
        <w:rPr>
          <w:rFonts w:ascii="Calibri" w:eastAsia="Times New Roman" w:hAnsi="Calibri" w:cs="Times New Roman"/>
          <w:b/>
          <w:bCs/>
          <w:lang w:val="sr-Cyrl-CS"/>
        </w:rPr>
      </w:pPr>
    </w:p>
    <w:p w14:paraId="766DA686"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1.4</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4FD0FE6B" w14:textId="77777777" w:rsidTr="00924D5A">
        <w:tc>
          <w:tcPr>
            <w:tcW w:w="1296" w:type="pct"/>
            <w:tcBorders>
              <w:top w:val="single" w:sz="4" w:space="0" w:color="auto"/>
              <w:left w:val="single" w:sz="4" w:space="0" w:color="auto"/>
            </w:tcBorders>
            <w:vAlign w:val="center"/>
          </w:tcPr>
          <w:p w14:paraId="679A640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28FB67FC"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капиталних пројеката који су укључени у буџет, који подлежу оцени и који су оцењени у складу са методологијом која уређује капиталне пројекте</w:t>
            </w:r>
          </w:p>
        </w:tc>
      </w:tr>
      <w:tr w:rsidR="00D30238" w:rsidRPr="00AA19A8" w14:paraId="0AC31292" w14:textId="77777777" w:rsidTr="00924D5A">
        <w:tc>
          <w:tcPr>
            <w:tcW w:w="1296" w:type="pct"/>
            <w:tcBorders>
              <w:top w:val="single" w:sz="4" w:space="0" w:color="auto"/>
              <w:left w:val="single" w:sz="4" w:space="0" w:color="auto"/>
            </w:tcBorders>
          </w:tcPr>
          <w:p w14:paraId="1FBD40D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3A6D3626"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1.4</w:t>
            </w:r>
            <w:r w:rsidRPr="00AA19A8">
              <w:rPr>
                <w:rFonts w:ascii="Calibri" w:eastAsia="Calibri" w:hAnsi="Calibri" w:cs="Times New Roman"/>
                <w:lang w:val="sr-Cyrl-CS"/>
              </w:rPr>
              <w:t xml:space="preserve"> - Унапређење окружења за ефикасно управљање капиталним пројектима</w:t>
            </w:r>
          </w:p>
        </w:tc>
      </w:tr>
      <w:tr w:rsidR="00D30238" w:rsidRPr="00AA19A8" w14:paraId="750A73B2" w14:textId="77777777" w:rsidTr="00924D5A">
        <w:tc>
          <w:tcPr>
            <w:tcW w:w="1296" w:type="pct"/>
            <w:tcBorders>
              <w:left w:val="single" w:sz="4" w:space="0" w:color="auto"/>
            </w:tcBorders>
          </w:tcPr>
          <w:p w14:paraId="78AC187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7D32AA1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1BB4757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528ACDBD" w14:textId="77777777" w:rsidTr="00924D5A">
        <w:tc>
          <w:tcPr>
            <w:tcW w:w="1296" w:type="pct"/>
            <w:tcBorders>
              <w:left w:val="single" w:sz="4" w:space="0" w:color="auto"/>
            </w:tcBorders>
          </w:tcPr>
          <w:p w14:paraId="2D05795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460CB3E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705D9E32"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2106EE18" w14:textId="77777777" w:rsidTr="00924D5A">
        <w:tc>
          <w:tcPr>
            <w:tcW w:w="1296" w:type="pct"/>
            <w:tcBorders>
              <w:left w:val="single" w:sz="4" w:space="0" w:color="auto"/>
              <w:bottom w:val="single" w:sz="4" w:space="0" w:color="auto"/>
            </w:tcBorders>
          </w:tcPr>
          <w:p w14:paraId="3203A2F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508F3591"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Закон о буџету/Листе Комисије за капиталне инвестиције - </w:t>
            </w:r>
            <w:hyperlink r:id="rId19" w:history="1">
              <w:r w:rsidRPr="00AA19A8">
                <w:rPr>
                  <w:rFonts w:ascii="Calibri" w:eastAsia="Times New Roman" w:hAnsi="Calibri" w:cs="Times New Roman"/>
                  <w:bCs/>
                  <w:u w:val="single"/>
                  <w:lang w:val="sr-Cyrl-CS"/>
                </w:rPr>
                <w:t>https://mfin.gov.rs/propisi/zakoni/1</w:t>
              </w:r>
            </w:hyperlink>
            <w:r w:rsidRPr="00AA19A8">
              <w:rPr>
                <w:rFonts w:ascii="Calibri" w:eastAsia="Times New Roman" w:hAnsi="Calibri" w:cs="Times New Roman"/>
                <w:bCs/>
                <w:lang w:val="sr-Cyrl-CS"/>
              </w:rPr>
              <w:t xml:space="preserve"> </w:t>
            </w:r>
          </w:p>
        </w:tc>
      </w:tr>
      <w:tr w:rsidR="00D30238" w:rsidRPr="00AA19A8" w14:paraId="37B149B0" w14:textId="77777777" w:rsidTr="00924D5A">
        <w:tc>
          <w:tcPr>
            <w:tcW w:w="1296" w:type="pct"/>
            <w:tcBorders>
              <w:left w:val="single" w:sz="4" w:space="0" w:color="auto"/>
              <w:bottom w:val="single" w:sz="4" w:space="0" w:color="auto"/>
            </w:tcBorders>
          </w:tcPr>
          <w:p w14:paraId="21E8D03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7B8851A6"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за капиталне пројекте</w:t>
            </w:r>
          </w:p>
        </w:tc>
      </w:tr>
      <w:tr w:rsidR="00D30238" w:rsidRPr="00AA19A8" w14:paraId="432354CC" w14:textId="77777777" w:rsidTr="00924D5A">
        <w:tc>
          <w:tcPr>
            <w:tcW w:w="1296" w:type="pct"/>
            <w:tcBorders>
              <w:top w:val="single" w:sz="4" w:space="0" w:color="auto"/>
              <w:left w:val="single" w:sz="4" w:space="0" w:color="auto"/>
            </w:tcBorders>
          </w:tcPr>
          <w:p w14:paraId="2764AC7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5C3A4985"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након усвајања Закона о буџету</w:t>
            </w:r>
          </w:p>
        </w:tc>
      </w:tr>
      <w:tr w:rsidR="00D30238" w:rsidRPr="00AA19A8" w14:paraId="414733FE" w14:textId="77777777" w:rsidTr="00924D5A">
        <w:trPr>
          <w:trHeight w:val="1181"/>
        </w:trPr>
        <w:tc>
          <w:tcPr>
            <w:tcW w:w="1296" w:type="pct"/>
            <w:tcBorders>
              <w:left w:val="single" w:sz="4" w:space="0" w:color="auto"/>
              <w:bottom w:val="single" w:sz="6" w:space="0" w:color="auto"/>
            </w:tcBorders>
          </w:tcPr>
          <w:p w14:paraId="3D78FC03"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6568DA2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0284F211"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Times New Roman"/>
                <w:lang w:val="sr-Cyrl-CS"/>
              </w:rPr>
              <w:t>Показатељ се односи на капиталне пројекте који су прошли фазу припреме сходно Уредби о капиталним пројектима, а укључени су у буџет Републике Србије, а нису проглашени пројектима од посебног значаја за Републику Србију (где су ресорна министарства у својству овлашћених предлагача).</w:t>
            </w:r>
          </w:p>
        </w:tc>
      </w:tr>
      <w:tr w:rsidR="00D30238" w:rsidRPr="00AA19A8" w14:paraId="0EB49665" w14:textId="77777777" w:rsidTr="00924D5A">
        <w:tc>
          <w:tcPr>
            <w:tcW w:w="1296" w:type="pct"/>
            <w:vMerge w:val="restart"/>
            <w:tcBorders>
              <w:top w:val="single" w:sz="6" w:space="0" w:color="auto"/>
              <w:left w:val="single" w:sz="4" w:space="0" w:color="auto"/>
            </w:tcBorders>
          </w:tcPr>
          <w:p w14:paraId="63A26B7E"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6902B7E8"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2856382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54683917" w14:textId="77777777" w:rsidTr="00924D5A">
        <w:tc>
          <w:tcPr>
            <w:tcW w:w="1296" w:type="pct"/>
            <w:vMerge/>
            <w:tcBorders>
              <w:left w:val="single" w:sz="4" w:space="0" w:color="auto"/>
            </w:tcBorders>
          </w:tcPr>
          <w:p w14:paraId="40FA67F3" w14:textId="77777777" w:rsidR="00146165" w:rsidRPr="00AA19A8" w:rsidRDefault="00146165" w:rsidP="00146165">
            <w:pPr>
              <w:spacing w:before="0"/>
              <w:rPr>
                <w:rFonts w:ascii="Calibri" w:eastAsia="Calibri" w:hAnsi="Calibri" w:cs="Times New Roman"/>
                <w:b/>
                <w:lang w:val="sr-Cyrl-CS"/>
              </w:rPr>
            </w:pPr>
          </w:p>
        </w:tc>
        <w:tc>
          <w:tcPr>
            <w:tcW w:w="755" w:type="pct"/>
          </w:tcPr>
          <w:p w14:paraId="6172A52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063694C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76F62DF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5D4E6C3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249A743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58987428" w14:textId="77777777" w:rsidTr="00924D5A">
        <w:tc>
          <w:tcPr>
            <w:tcW w:w="1296" w:type="pct"/>
            <w:vMerge/>
            <w:tcBorders>
              <w:left w:val="single" w:sz="4" w:space="0" w:color="auto"/>
            </w:tcBorders>
          </w:tcPr>
          <w:p w14:paraId="3D631786" w14:textId="77777777" w:rsidR="00146165" w:rsidRPr="00AA19A8" w:rsidRDefault="00146165" w:rsidP="00146165">
            <w:pPr>
              <w:spacing w:before="0"/>
              <w:rPr>
                <w:rFonts w:ascii="Calibri" w:eastAsia="Calibri" w:hAnsi="Calibri" w:cs="Times New Roman"/>
                <w:b/>
                <w:lang w:val="sr-Cyrl-CS"/>
              </w:rPr>
            </w:pPr>
          </w:p>
        </w:tc>
        <w:tc>
          <w:tcPr>
            <w:tcW w:w="755" w:type="pct"/>
          </w:tcPr>
          <w:p w14:paraId="1D8A464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5CB7AA8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0D16AE0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3A1E1A7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40%</w:t>
            </w:r>
          </w:p>
        </w:tc>
        <w:tc>
          <w:tcPr>
            <w:tcW w:w="1109" w:type="pct"/>
            <w:tcBorders>
              <w:right w:val="single" w:sz="4" w:space="0" w:color="auto"/>
            </w:tcBorders>
          </w:tcPr>
          <w:p w14:paraId="2FEAAA6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60%</w:t>
            </w:r>
          </w:p>
        </w:tc>
      </w:tr>
      <w:tr w:rsidR="00D30238" w:rsidRPr="00AA19A8" w14:paraId="413CFB89" w14:textId="77777777" w:rsidTr="00924D5A">
        <w:tc>
          <w:tcPr>
            <w:tcW w:w="1296" w:type="pct"/>
            <w:vMerge w:val="restart"/>
            <w:tcBorders>
              <w:left w:val="single" w:sz="4" w:space="0" w:color="auto"/>
            </w:tcBorders>
          </w:tcPr>
          <w:p w14:paraId="6BACFF97"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66D6349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42AD9FD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19D9BA0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50C3280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69E2EA2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3764274C" w14:textId="77777777" w:rsidTr="00924D5A">
        <w:tc>
          <w:tcPr>
            <w:tcW w:w="1296" w:type="pct"/>
            <w:vMerge/>
            <w:tcBorders>
              <w:left w:val="single" w:sz="4" w:space="0" w:color="auto"/>
            </w:tcBorders>
          </w:tcPr>
          <w:p w14:paraId="5B8A80CC"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6B7BFDA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70%</w:t>
            </w:r>
          </w:p>
        </w:tc>
        <w:tc>
          <w:tcPr>
            <w:tcW w:w="673" w:type="pct"/>
            <w:vAlign w:val="center"/>
          </w:tcPr>
          <w:p w14:paraId="0EBDFC6E" w14:textId="438B4B4F" w:rsidR="00146165" w:rsidRPr="00AA19A8" w:rsidRDefault="00BA7E6D"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80</w:t>
            </w:r>
            <w:r w:rsidR="00146165" w:rsidRPr="00AA19A8">
              <w:rPr>
                <w:rFonts w:ascii="Calibri" w:eastAsia="Times New Roman" w:hAnsi="Calibri" w:cs="Times New Roman"/>
                <w:lang w:val="sr-Cyrl-CS"/>
              </w:rPr>
              <w:t>%</w:t>
            </w:r>
          </w:p>
        </w:tc>
        <w:tc>
          <w:tcPr>
            <w:tcW w:w="582" w:type="pct"/>
            <w:gridSpan w:val="2"/>
            <w:vAlign w:val="center"/>
          </w:tcPr>
          <w:p w14:paraId="2989D404" w14:textId="51D4E965" w:rsidR="00146165" w:rsidRPr="00AA19A8" w:rsidRDefault="00BA7E6D"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w:t>
            </w:r>
            <w:r w:rsidR="00146165" w:rsidRPr="00AA19A8">
              <w:rPr>
                <w:rFonts w:ascii="Calibri" w:eastAsia="Calibri" w:hAnsi="Calibri" w:cs="Times New Roman"/>
                <w:bCs/>
                <w:lang w:val="sr-Cyrl-CS"/>
              </w:rPr>
              <w:t>0%</w:t>
            </w:r>
          </w:p>
        </w:tc>
        <w:tc>
          <w:tcPr>
            <w:tcW w:w="585" w:type="pct"/>
            <w:vAlign w:val="center"/>
          </w:tcPr>
          <w:p w14:paraId="27975EF1"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752213F2"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765788D8" w14:textId="77777777" w:rsidTr="00924D5A">
        <w:tc>
          <w:tcPr>
            <w:tcW w:w="1296" w:type="pct"/>
            <w:tcBorders>
              <w:left w:val="single" w:sz="4" w:space="0" w:color="auto"/>
              <w:bottom w:val="single" w:sz="4" w:space="0" w:color="auto"/>
            </w:tcBorders>
          </w:tcPr>
          <w:p w14:paraId="1844562B"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10AA7502"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до 5% је прихватљиво.</w:t>
            </w:r>
          </w:p>
        </w:tc>
      </w:tr>
    </w:tbl>
    <w:p w14:paraId="1729AC60" w14:textId="77777777" w:rsidR="00146165" w:rsidRPr="00AA19A8" w:rsidRDefault="00146165" w:rsidP="00146165">
      <w:pPr>
        <w:spacing w:after="120"/>
        <w:rPr>
          <w:rFonts w:ascii="Calibri" w:eastAsia="Times New Roman" w:hAnsi="Calibri" w:cs="Times New Roman"/>
          <w:b/>
          <w:bCs/>
          <w:lang w:val="sr-Cyrl-CS"/>
        </w:rPr>
      </w:pPr>
    </w:p>
    <w:p w14:paraId="34C6938D"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1.5</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31"/>
        <w:gridCol w:w="1350"/>
        <w:gridCol w:w="1201"/>
        <w:gridCol w:w="784"/>
        <w:gridCol w:w="373"/>
        <w:gridCol w:w="1041"/>
        <w:gridCol w:w="1992"/>
      </w:tblGrid>
      <w:tr w:rsidR="00D30238" w:rsidRPr="00AA19A8" w14:paraId="0D576A9B" w14:textId="77777777" w:rsidTr="00924D5A">
        <w:tc>
          <w:tcPr>
            <w:tcW w:w="1296" w:type="pct"/>
            <w:tcBorders>
              <w:top w:val="single" w:sz="4" w:space="0" w:color="auto"/>
              <w:left w:val="single" w:sz="4" w:space="0" w:color="auto"/>
            </w:tcBorders>
            <w:vAlign w:val="center"/>
          </w:tcPr>
          <w:p w14:paraId="4117564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375685CA"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Објављен извештај о фискалним ризицима</w:t>
            </w:r>
          </w:p>
        </w:tc>
      </w:tr>
      <w:tr w:rsidR="00D30238" w:rsidRPr="00AA19A8" w14:paraId="1C2E75A9" w14:textId="77777777" w:rsidTr="00924D5A">
        <w:tc>
          <w:tcPr>
            <w:tcW w:w="1296" w:type="pct"/>
            <w:tcBorders>
              <w:top w:val="single" w:sz="4" w:space="0" w:color="auto"/>
              <w:left w:val="single" w:sz="4" w:space="0" w:color="auto"/>
            </w:tcBorders>
          </w:tcPr>
          <w:p w14:paraId="6DA1761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663BB8D3"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1.5</w:t>
            </w:r>
            <w:r w:rsidRPr="00AA19A8">
              <w:rPr>
                <w:rFonts w:ascii="Calibri" w:eastAsia="Calibri" w:hAnsi="Calibri" w:cs="Times New Roman"/>
                <w:lang w:val="sr-Cyrl-CS"/>
              </w:rPr>
              <w:t xml:space="preserve"> - Јачање капацитета Одељења за праћење фискалних ризика</w:t>
            </w:r>
          </w:p>
        </w:tc>
      </w:tr>
      <w:tr w:rsidR="00D30238" w:rsidRPr="00AA19A8" w14:paraId="3AE7FE96" w14:textId="77777777" w:rsidTr="00924D5A">
        <w:tc>
          <w:tcPr>
            <w:tcW w:w="1296" w:type="pct"/>
            <w:tcBorders>
              <w:left w:val="single" w:sz="4" w:space="0" w:color="auto"/>
            </w:tcBorders>
          </w:tcPr>
          <w:p w14:paraId="3D64834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540DEF9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Квалитативни</w:t>
            </w:r>
          </w:p>
        </w:tc>
        <w:tc>
          <w:tcPr>
            <w:tcW w:w="1882" w:type="pct"/>
            <w:gridSpan w:val="3"/>
            <w:tcBorders>
              <w:right w:val="single" w:sz="4" w:space="0" w:color="auto"/>
            </w:tcBorders>
          </w:tcPr>
          <w:p w14:paraId="35ACA2A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2CE3CF43" w14:textId="77777777" w:rsidTr="00924D5A">
        <w:tc>
          <w:tcPr>
            <w:tcW w:w="1296" w:type="pct"/>
            <w:tcBorders>
              <w:left w:val="single" w:sz="4" w:space="0" w:color="auto"/>
            </w:tcBorders>
          </w:tcPr>
          <w:p w14:paraId="711EA33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3F69912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Објављено/Није објављено</w:t>
            </w:r>
          </w:p>
        </w:tc>
        <w:tc>
          <w:tcPr>
            <w:tcW w:w="1882" w:type="pct"/>
            <w:gridSpan w:val="3"/>
            <w:tcBorders>
              <w:right w:val="single" w:sz="4" w:space="0" w:color="auto"/>
            </w:tcBorders>
            <w:vAlign w:val="center"/>
          </w:tcPr>
          <w:p w14:paraId="4FF2B3AD"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Објављено је боља вредност</w:t>
            </w:r>
          </w:p>
        </w:tc>
      </w:tr>
      <w:tr w:rsidR="00D30238" w:rsidRPr="00AA19A8" w14:paraId="3CA4544C" w14:textId="77777777" w:rsidTr="00924D5A">
        <w:tc>
          <w:tcPr>
            <w:tcW w:w="1296" w:type="pct"/>
            <w:tcBorders>
              <w:left w:val="single" w:sz="4" w:space="0" w:color="auto"/>
              <w:bottom w:val="single" w:sz="4" w:space="0" w:color="auto"/>
            </w:tcBorders>
          </w:tcPr>
          <w:p w14:paraId="3A9307E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35A2ABC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Интернет страница Министарства финансија - </w:t>
            </w:r>
            <w:hyperlink r:id="rId20" w:history="1">
              <w:r w:rsidRPr="00AA19A8">
                <w:rPr>
                  <w:rFonts w:ascii="Calibri" w:eastAsia="Times New Roman" w:hAnsi="Calibri" w:cs="Times New Roman"/>
                  <w:bCs/>
                  <w:u w:val="single"/>
                  <w:lang w:val="sr-Cyrl-CS"/>
                </w:rPr>
                <w:t>https://www.mfin.gov.rs/</w:t>
              </w:r>
            </w:hyperlink>
            <w:r w:rsidRPr="00AA19A8">
              <w:rPr>
                <w:rFonts w:ascii="Calibri" w:eastAsia="Times New Roman" w:hAnsi="Calibri" w:cs="Times New Roman"/>
                <w:bCs/>
                <w:lang w:val="sr-Cyrl-CS"/>
              </w:rPr>
              <w:t xml:space="preserve"> </w:t>
            </w:r>
          </w:p>
        </w:tc>
      </w:tr>
      <w:tr w:rsidR="00D30238" w:rsidRPr="00AA19A8" w14:paraId="5A54E1AD" w14:textId="77777777" w:rsidTr="00924D5A">
        <w:tc>
          <w:tcPr>
            <w:tcW w:w="1296" w:type="pct"/>
            <w:tcBorders>
              <w:left w:val="single" w:sz="4" w:space="0" w:color="auto"/>
              <w:bottom w:val="single" w:sz="4" w:space="0" w:color="auto"/>
            </w:tcBorders>
          </w:tcPr>
          <w:p w14:paraId="0742B62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25521DF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буџета – Одељење за праћење фискалних ризика</w:t>
            </w:r>
          </w:p>
        </w:tc>
      </w:tr>
      <w:tr w:rsidR="00D30238" w:rsidRPr="00AA19A8" w14:paraId="1712099A" w14:textId="77777777" w:rsidTr="00924D5A">
        <w:tc>
          <w:tcPr>
            <w:tcW w:w="1296" w:type="pct"/>
            <w:tcBorders>
              <w:top w:val="single" w:sz="4" w:space="0" w:color="auto"/>
              <w:left w:val="single" w:sz="4" w:space="0" w:color="auto"/>
            </w:tcBorders>
          </w:tcPr>
          <w:p w14:paraId="05628C3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30AA79DE"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 Једном годишње</w:t>
            </w:r>
          </w:p>
        </w:tc>
      </w:tr>
      <w:tr w:rsidR="00D30238" w:rsidRPr="00AA19A8" w14:paraId="371E760B" w14:textId="77777777" w:rsidTr="00924D5A">
        <w:trPr>
          <w:trHeight w:val="1181"/>
        </w:trPr>
        <w:tc>
          <w:tcPr>
            <w:tcW w:w="1296" w:type="pct"/>
            <w:tcBorders>
              <w:left w:val="single" w:sz="4" w:space="0" w:color="auto"/>
              <w:bottom w:val="single" w:sz="6" w:space="0" w:color="auto"/>
            </w:tcBorders>
          </w:tcPr>
          <w:p w14:paraId="2A070528"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6A5D897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216EEA4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мери да ли је извештај о фискалним ризицима припремљен и јавно објављен. Провера се врши на интернет страници Министарства финансија.</w:t>
            </w:r>
          </w:p>
        </w:tc>
      </w:tr>
      <w:tr w:rsidR="00D30238" w:rsidRPr="00AA19A8" w14:paraId="0A6900BA" w14:textId="77777777" w:rsidTr="00924D5A">
        <w:tc>
          <w:tcPr>
            <w:tcW w:w="1296" w:type="pct"/>
            <w:vMerge w:val="restart"/>
            <w:tcBorders>
              <w:top w:val="single" w:sz="6" w:space="0" w:color="auto"/>
              <w:left w:val="single" w:sz="4" w:space="0" w:color="auto"/>
            </w:tcBorders>
          </w:tcPr>
          <w:p w14:paraId="26A34C14"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61AA6B10"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61DA2FC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34DE5AAD" w14:textId="77777777" w:rsidTr="00924D5A">
        <w:tc>
          <w:tcPr>
            <w:tcW w:w="1296" w:type="pct"/>
            <w:vMerge/>
            <w:tcBorders>
              <w:left w:val="single" w:sz="4" w:space="0" w:color="auto"/>
            </w:tcBorders>
          </w:tcPr>
          <w:p w14:paraId="794DA1F4" w14:textId="77777777" w:rsidR="00146165" w:rsidRPr="00AA19A8" w:rsidRDefault="00146165" w:rsidP="00146165">
            <w:pPr>
              <w:spacing w:before="0"/>
              <w:rPr>
                <w:rFonts w:ascii="Calibri" w:eastAsia="Calibri" w:hAnsi="Calibri" w:cs="Times New Roman"/>
                <w:b/>
                <w:lang w:val="sr-Cyrl-CS"/>
              </w:rPr>
            </w:pPr>
          </w:p>
        </w:tc>
        <w:tc>
          <w:tcPr>
            <w:tcW w:w="755" w:type="pct"/>
          </w:tcPr>
          <w:p w14:paraId="324B0B4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03FD2D9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22CBB30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7BA103D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6B1C39B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22959E28" w14:textId="77777777" w:rsidTr="00924D5A">
        <w:tc>
          <w:tcPr>
            <w:tcW w:w="1296" w:type="pct"/>
            <w:vMerge/>
            <w:tcBorders>
              <w:left w:val="single" w:sz="4" w:space="0" w:color="auto"/>
            </w:tcBorders>
          </w:tcPr>
          <w:p w14:paraId="51495FCF" w14:textId="77777777" w:rsidR="00146165" w:rsidRPr="00AA19A8" w:rsidRDefault="00146165" w:rsidP="00146165">
            <w:pPr>
              <w:spacing w:before="0"/>
              <w:rPr>
                <w:rFonts w:ascii="Calibri" w:eastAsia="Calibri" w:hAnsi="Calibri" w:cs="Times New Roman"/>
                <w:b/>
                <w:lang w:val="sr-Cyrl-CS"/>
              </w:rPr>
            </w:pPr>
          </w:p>
        </w:tc>
        <w:tc>
          <w:tcPr>
            <w:tcW w:w="755" w:type="pct"/>
          </w:tcPr>
          <w:p w14:paraId="06ED748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5E9CEB5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44FE13B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624757E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66032B0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0</w:t>
            </w:r>
          </w:p>
        </w:tc>
      </w:tr>
      <w:tr w:rsidR="00D30238" w:rsidRPr="00AA19A8" w14:paraId="2F7BD3C0" w14:textId="77777777" w:rsidTr="00924D5A">
        <w:tc>
          <w:tcPr>
            <w:tcW w:w="1296" w:type="pct"/>
            <w:vMerge w:val="restart"/>
            <w:tcBorders>
              <w:left w:val="single" w:sz="4" w:space="0" w:color="auto"/>
            </w:tcBorders>
          </w:tcPr>
          <w:p w14:paraId="60E1215F"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37CA263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612994C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133D6CF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368ADF7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08AB522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0609F487" w14:textId="77777777" w:rsidTr="00924D5A">
        <w:tc>
          <w:tcPr>
            <w:tcW w:w="1296" w:type="pct"/>
            <w:vMerge/>
            <w:tcBorders>
              <w:left w:val="single" w:sz="4" w:space="0" w:color="auto"/>
            </w:tcBorders>
          </w:tcPr>
          <w:p w14:paraId="3C7732F5"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43EAC269"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Објављено</w:t>
            </w:r>
          </w:p>
        </w:tc>
        <w:tc>
          <w:tcPr>
            <w:tcW w:w="673" w:type="pct"/>
            <w:vAlign w:val="center"/>
          </w:tcPr>
          <w:p w14:paraId="20311515"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Објављено</w:t>
            </w:r>
          </w:p>
        </w:tc>
        <w:tc>
          <w:tcPr>
            <w:tcW w:w="582" w:type="pct"/>
            <w:gridSpan w:val="2"/>
            <w:vAlign w:val="center"/>
          </w:tcPr>
          <w:p w14:paraId="16027F6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Објављено</w:t>
            </w:r>
          </w:p>
        </w:tc>
        <w:tc>
          <w:tcPr>
            <w:tcW w:w="585" w:type="pct"/>
            <w:vAlign w:val="center"/>
          </w:tcPr>
          <w:p w14:paraId="78DF464C"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2898B950"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6C0F2FD9" w14:textId="77777777" w:rsidTr="00924D5A">
        <w:tc>
          <w:tcPr>
            <w:tcW w:w="1296" w:type="pct"/>
            <w:tcBorders>
              <w:left w:val="single" w:sz="4" w:space="0" w:color="auto"/>
              <w:bottom w:val="single" w:sz="4" w:space="0" w:color="auto"/>
            </w:tcBorders>
          </w:tcPr>
          <w:p w14:paraId="46F696F0"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7D09625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1DAB7C2A" w14:textId="77777777" w:rsidR="00146165" w:rsidRPr="00AA19A8" w:rsidRDefault="00146165" w:rsidP="00146165">
      <w:pPr>
        <w:spacing w:after="120"/>
        <w:rPr>
          <w:rFonts w:ascii="Calibri" w:eastAsia="Times New Roman" w:hAnsi="Calibri" w:cs="Times New Roman"/>
          <w:b/>
          <w:bCs/>
          <w:lang w:val="sr-Cyrl-CS"/>
        </w:rPr>
      </w:pP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581B1A3D" w14:textId="77777777" w:rsidTr="00924D5A">
        <w:tc>
          <w:tcPr>
            <w:tcW w:w="1296" w:type="pct"/>
            <w:tcBorders>
              <w:top w:val="single" w:sz="4" w:space="0" w:color="auto"/>
              <w:left w:val="single" w:sz="4" w:space="0" w:color="auto"/>
            </w:tcBorders>
            <w:vAlign w:val="center"/>
          </w:tcPr>
          <w:p w14:paraId="56C7132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2E35917C"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Измена и допуна Јединствене методологије за праћење фискалних ризика у Републици Србији</w:t>
            </w:r>
          </w:p>
        </w:tc>
      </w:tr>
      <w:tr w:rsidR="00D30238" w:rsidRPr="00AA19A8" w14:paraId="14083A93" w14:textId="77777777" w:rsidTr="00924D5A">
        <w:tc>
          <w:tcPr>
            <w:tcW w:w="1296" w:type="pct"/>
            <w:tcBorders>
              <w:top w:val="single" w:sz="4" w:space="0" w:color="auto"/>
              <w:left w:val="single" w:sz="4" w:space="0" w:color="auto"/>
            </w:tcBorders>
          </w:tcPr>
          <w:p w14:paraId="22CA67F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4A03EF82"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1.5</w:t>
            </w:r>
            <w:r w:rsidRPr="00AA19A8">
              <w:rPr>
                <w:rFonts w:ascii="Calibri" w:eastAsia="Calibri" w:hAnsi="Calibri" w:cs="Times New Roman"/>
                <w:lang w:val="sr-Cyrl-CS"/>
              </w:rPr>
              <w:t xml:space="preserve"> - Јачање капацитета Одељења за праћење фискалних ризика</w:t>
            </w:r>
          </w:p>
        </w:tc>
      </w:tr>
      <w:tr w:rsidR="00D30238" w:rsidRPr="00AA19A8" w14:paraId="4AEBA7B8" w14:textId="77777777" w:rsidTr="00924D5A">
        <w:tc>
          <w:tcPr>
            <w:tcW w:w="1296" w:type="pct"/>
            <w:tcBorders>
              <w:left w:val="single" w:sz="4" w:space="0" w:color="auto"/>
            </w:tcBorders>
          </w:tcPr>
          <w:p w14:paraId="1ABBE5E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356FBA3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Квалитативни</w:t>
            </w:r>
          </w:p>
        </w:tc>
        <w:tc>
          <w:tcPr>
            <w:tcW w:w="1882" w:type="pct"/>
            <w:gridSpan w:val="3"/>
            <w:tcBorders>
              <w:right w:val="single" w:sz="4" w:space="0" w:color="auto"/>
            </w:tcBorders>
          </w:tcPr>
          <w:p w14:paraId="1A47AE0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785072D" w14:textId="77777777" w:rsidTr="00924D5A">
        <w:tc>
          <w:tcPr>
            <w:tcW w:w="1296" w:type="pct"/>
            <w:tcBorders>
              <w:left w:val="single" w:sz="4" w:space="0" w:color="auto"/>
            </w:tcBorders>
          </w:tcPr>
          <w:p w14:paraId="4D8E16A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5F07280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Усвојено/Није усвојено</w:t>
            </w:r>
          </w:p>
        </w:tc>
        <w:tc>
          <w:tcPr>
            <w:tcW w:w="1882" w:type="pct"/>
            <w:gridSpan w:val="3"/>
            <w:tcBorders>
              <w:right w:val="single" w:sz="4" w:space="0" w:color="auto"/>
            </w:tcBorders>
            <w:vAlign w:val="center"/>
          </w:tcPr>
          <w:p w14:paraId="30988DCF"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Усвојено је боља вредност.</w:t>
            </w:r>
          </w:p>
        </w:tc>
      </w:tr>
      <w:tr w:rsidR="00D30238" w:rsidRPr="00AA19A8" w14:paraId="38BA062C" w14:textId="77777777" w:rsidTr="00924D5A">
        <w:tc>
          <w:tcPr>
            <w:tcW w:w="1296" w:type="pct"/>
            <w:tcBorders>
              <w:left w:val="single" w:sz="4" w:space="0" w:color="auto"/>
              <w:bottom w:val="single" w:sz="4" w:space="0" w:color="auto"/>
            </w:tcBorders>
          </w:tcPr>
          <w:p w14:paraId="7571466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15A6BD5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Службени гласник РС</w:t>
            </w:r>
          </w:p>
        </w:tc>
      </w:tr>
      <w:tr w:rsidR="00D30238" w:rsidRPr="00AA19A8" w14:paraId="334F9E78" w14:textId="77777777" w:rsidTr="00924D5A">
        <w:tc>
          <w:tcPr>
            <w:tcW w:w="1296" w:type="pct"/>
            <w:tcBorders>
              <w:left w:val="single" w:sz="4" w:space="0" w:color="auto"/>
              <w:bottom w:val="single" w:sz="4" w:space="0" w:color="auto"/>
            </w:tcBorders>
          </w:tcPr>
          <w:p w14:paraId="538BAAD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3025C051"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буџета – Одељење за праћење фискалних ризика</w:t>
            </w:r>
          </w:p>
        </w:tc>
      </w:tr>
      <w:tr w:rsidR="00D30238" w:rsidRPr="00AA19A8" w14:paraId="06204A98" w14:textId="77777777" w:rsidTr="00924D5A">
        <w:tc>
          <w:tcPr>
            <w:tcW w:w="1296" w:type="pct"/>
            <w:tcBorders>
              <w:top w:val="single" w:sz="4" w:space="0" w:color="auto"/>
              <w:left w:val="single" w:sz="4" w:space="0" w:color="auto"/>
            </w:tcBorders>
          </w:tcPr>
          <w:p w14:paraId="107F408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7CDB5A3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По потреби (једнократно у години усвајања)</w:t>
            </w:r>
          </w:p>
        </w:tc>
      </w:tr>
      <w:tr w:rsidR="00D30238" w:rsidRPr="00AA19A8" w14:paraId="320460CB" w14:textId="77777777" w:rsidTr="00924D5A">
        <w:trPr>
          <w:trHeight w:val="1181"/>
        </w:trPr>
        <w:tc>
          <w:tcPr>
            <w:tcW w:w="1296" w:type="pct"/>
            <w:tcBorders>
              <w:left w:val="single" w:sz="4" w:space="0" w:color="auto"/>
              <w:bottom w:val="single" w:sz="6" w:space="0" w:color="auto"/>
            </w:tcBorders>
          </w:tcPr>
          <w:p w14:paraId="1FDA6AA2"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1939924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50ADAE4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мери да ли је методологија ревидирана и формално усвојена. Провера се врши кроз објаву у Службеном гласнику РС.</w:t>
            </w:r>
          </w:p>
        </w:tc>
      </w:tr>
      <w:tr w:rsidR="00D30238" w:rsidRPr="00AA19A8" w14:paraId="3DD859B4" w14:textId="77777777" w:rsidTr="00924D5A">
        <w:tc>
          <w:tcPr>
            <w:tcW w:w="1296" w:type="pct"/>
            <w:vMerge w:val="restart"/>
            <w:tcBorders>
              <w:top w:val="single" w:sz="6" w:space="0" w:color="auto"/>
              <w:left w:val="single" w:sz="4" w:space="0" w:color="auto"/>
            </w:tcBorders>
          </w:tcPr>
          <w:p w14:paraId="6D0214A6"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03DF1A65"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2104525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87A6EBF" w14:textId="77777777" w:rsidTr="00924D5A">
        <w:tc>
          <w:tcPr>
            <w:tcW w:w="1296" w:type="pct"/>
            <w:vMerge/>
            <w:tcBorders>
              <w:left w:val="single" w:sz="4" w:space="0" w:color="auto"/>
            </w:tcBorders>
          </w:tcPr>
          <w:p w14:paraId="2FF636C4" w14:textId="77777777" w:rsidR="00146165" w:rsidRPr="00AA19A8" w:rsidRDefault="00146165" w:rsidP="00146165">
            <w:pPr>
              <w:spacing w:before="0"/>
              <w:rPr>
                <w:rFonts w:ascii="Calibri" w:eastAsia="Calibri" w:hAnsi="Calibri" w:cs="Times New Roman"/>
                <w:b/>
                <w:lang w:val="sr-Cyrl-CS"/>
              </w:rPr>
            </w:pPr>
          </w:p>
        </w:tc>
        <w:tc>
          <w:tcPr>
            <w:tcW w:w="755" w:type="pct"/>
          </w:tcPr>
          <w:p w14:paraId="139FD80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762EF0F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01DFE41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053E199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3A68FB3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165E3143" w14:textId="77777777" w:rsidTr="00924D5A">
        <w:tc>
          <w:tcPr>
            <w:tcW w:w="1296" w:type="pct"/>
            <w:vMerge/>
            <w:tcBorders>
              <w:left w:val="single" w:sz="4" w:space="0" w:color="auto"/>
            </w:tcBorders>
          </w:tcPr>
          <w:p w14:paraId="3BF77705" w14:textId="77777777" w:rsidR="00146165" w:rsidRPr="00AA19A8" w:rsidRDefault="00146165" w:rsidP="00146165">
            <w:pPr>
              <w:spacing w:before="0"/>
              <w:rPr>
                <w:rFonts w:ascii="Calibri" w:eastAsia="Calibri" w:hAnsi="Calibri" w:cs="Times New Roman"/>
                <w:b/>
                <w:lang w:val="sr-Cyrl-CS"/>
              </w:rPr>
            </w:pPr>
          </w:p>
        </w:tc>
        <w:tc>
          <w:tcPr>
            <w:tcW w:w="755" w:type="pct"/>
          </w:tcPr>
          <w:p w14:paraId="1F9DC84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0319B80C"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0CB64CD3"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48ADF16D"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5413CAF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0</w:t>
            </w:r>
          </w:p>
        </w:tc>
      </w:tr>
      <w:tr w:rsidR="00D30238" w:rsidRPr="00AA19A8" w14:paraId="72E3BE45" w14:textId="77777777" w:rsidTr="00924D5A">
        <w:tc>
          <w:tcPr>
            <w:tcW w:w="1296" w:type="pct"/>
            <w:vMerge w:val="restart"/>
            <w:tcBorders>
              <w:left w:val="single" w:sz="4" w:space="0" w:color="auto"/>
            </w:tcBorders>
          </w:tcPr>
          <w:p w14:paraId="36948E6A"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7C283F6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2F14B2B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4819437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0C3EFBE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6752E9E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6926DEA0" w14:textId="77777777" w:rsidTr="00924D5A">
        <w:tc>
          <w:tcPr>
            <w:tcW w:w="1296" w:type="pct"/>
            <w:vMerge/>
            <w:tcBorders>
              <w:left w:val="single" w:sz="4" w:space="0" w:color="auto"/>
            </w:tcBorders>
          </w:tcPr>
          <w:p w14:paraId="2607533B"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0210C326"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w:t>
            </w:r>
          </w:p>
        </w:tc>
        <w:tc>
          <w:tcPr>
            <w:tcW w:w="673" w:type="pct"/>
            <w:vAlign w:val="center"/>
          </w:tcPr>
          <w:p w14:paraId="581B2B9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w:t>
            </w:r>
          </w:p>
        </w:tc>
        <w:tc>
          <w:tcPr>
            <w:tcW w:w="582" w:type="pct"/>
            <w:gridSpan w:val="2"/>
            <w:vAlign w:val="center"/>
          </w:tcPr>
          <w:p w14:paraId="256364A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Усвојено</w:t>
            </w:r>
          </w:p>
        </w:tc>
        <w:tc>
          <w:tcPr>
            <w:tcW w:w="585" w:type="pct"/>
            <w:vAlign w:val="center"/>
          </w:tcPr>
          <w:p w14:paraId="7119E2CA"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091E4417"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17C0F1BD" w14:textId="77777777" w:rsidTr="00924D5A">
        <w:tc>
          <w:tcPr>
            <w:tcW w:w="1296" w:type="pct"/>
            <w:tcBorders>
              <w:left w:val="single" w:sz="4" w:space="0" w:color="auto"/>
              <w:bottom w:val="single" w:sz="4" w:space="0" w:color="auto"/>
            </w:tcBorders>
          </w:tcPr>
          <w:p w14:paraId="133789C7"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54AD4F1D"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6006B035" w14:textId="77777777" w:rsidR="00146165" w:rsidRPr="00AA19A8" w:rsidRDefault="00146165" w:rsidP="00146165">
      <w:pPr>
        <w:spacing w:after="120"/>
        <w:rPr>
          <w:rFonts w:ascii="Calibri" w:eastAsia="Times New Roman" w:hAnsi="Calibri" w:cs="Times New Roman"/>
          <w:b/>
          <w:bCs/>
          <w:lang w:val="sr-Cyrl-CS"/>
        </w:rPr>
      </w:pPr>
    </w:p>
    <w:p w14:paraId="7BA2C534"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1.6</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38"/>
        <w:gridCol w:w="1403"/>
        <w:gridCol w:w="1301"/>
        <w:gridCol w:w="483"/>
        <w:gridCol w:w="907"/>
        <w:gridCol w:w="1370"/>
        <w:gridCol w:w="1370"/>
      </w:tblGrid>
      <w:tr w:rsidR="00D30238" w:rsidRPr="00AA19A8" w14:paraId="748ECE4F" w14:textId="77777777" w:rsidTr="00924D5A">
        <w:tc>
          <w:tcPr>
            <w:tcW w:w="1234" w:type="pct"/>
            <w:tcBorders>
              <w:top w:val="single" w:sz="4" w:space="0" w:color="auto"/>
              <w:left w:val="single" w:sz="4" w:space="0" w:color="auto"/>
            </w:tcBorders>
            <w:vAlign w:val="center"/>
          </w:tcPr>
          <w:p w14:paraId="2E7467E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66" w:type="pct"/>
            <w:gridSpan w:val="6"/>
            <w:tcBorders>
              <w:top w:val="single" w:sz="4" w:space="0" w:color="auto"/>
              <w:right w:val="single" w:sz="4" w:space="0" w:color="auto"/>
            </w:tcBorders>
            <w:vAlign w:val="center"/>
          </w:tcPr>
          <w:p w14:paraId="42C40208"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Ниво напретка у оквиру преговарачког поглавља 33</w:t>
            </w:r>
          </w:p>
        </w:tc>
      </w:tr>
      <w:tr w:rsidR="00D30238" w:rsidRPr="00AA19A8" w14:paraId="38C7D9AE" w14:textId="77777777" w:rsidTr="00924D5A">
        <w:tc>
          <w:tcPr>
            <w:tcW w:w="1234" w:type="pct"/>
            <w:tcBorders>
              <w:top w:val="single" w:sz="4" w:space="0" w:color="auto"/>
              <w:left w:val="single" w:sz="4" w:space="0" w:color="auto"/>
            </w:tcBorders>
          </w:tcPr>
          <w:p w14:paraId="258DB20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66" w:type="pct"/>
            <w:gridSpan w:val="6"/>
            <w:tcBorders>
              <w:top w:val="single" w:sz="4" w:space="0" w:color="auto"/>
              <w:right w:val="single" w:sz="4" w:space="0" w:color="auto"/>
            </w:tcBorders>
          </w:tcPr>
          <w:p w14:paraId="47F262DF"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1.6</w:t>
            </w:r>
            <w:r w:rsidRPr="00AA19A8">
              <w:rPr>
                <w:rFonts w:ascii="Calibri" w:eastAsia="Calibri" w:hAnsi="Calibri" w:cs="Times New Roman"/>
                <w:lang w:val="sr-Cyrl-CS"/>
              </w:rPr>
              <w:t xml:space="preserve"> - Успостављање система за координацију и управљање сопственим средствима ЕУ</w:t>
            </w:r>
          </w:p>
        </w:tc>
      </w:tr>
      <w:tr w:rsidR="00D30238" w:rsidRPr="00AA19A8" w14:paraId="5510E836" w14:textId="77777777" w:rsidTr="00924D5A">
        <w:tc>
          <w:tcPr>
            <w:tcW w:w="1234" w:type="pct"/>
            <w:tcBorders>
              <w:left w:val="single" w:sz="4" w:space="0" w:color="auto"/>
            </w:tcBorders>
          </w:tcPr>
          <w:p w14:paraId="65F6CBC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756" w:type="pct"/>
            <w:gridSpan w:val="3"/>
            <w:tcBorders>
              <w:right w:val="single" w:sz="4" w:space="0" w:color="auto"/>
            </w:tcBorders>
          </w:tcPr>
          <w:p w14:paraId="47F4ED9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Квалитативни</w:t>
            </w:r>
          </w:p>
        </w:tc>
        <w:tc>
          <w:tcPr>
            <w:tcW w:w="2011" w:type="pct"/>
            <w:gridSpan w:val="3"/>
            <w:tcBorders>
              <w:right w:val="single" w:sz="4" w:space="0" w:color="auto"/>
            </w:tcBorders>
          </w:tcPr>
          <w:p w14:paraId="1A4B47DF"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4060CB7" w14:textId="77777777" w:rsidTr="00924D5A">
        <w:tc>
          <w:tcPr>
            <w:tcW w:w="1234" w:type="pct"/>
            <w:tcBorders>
              <w:left w:val="single" w:sz="4" w:space="0" w:color="auto"/>
            </w:tcBorders>
          </w:tcPr>
          <w:p w14:paraId="04A9544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Јединица мере и природа</w:t>
            </w:r>
          </w:p>
        </w:tc>
        <w:tc>
          <w:tcPr>
            <w:tcW w:w="1756" w:type="pct"/>
            <w:gridSpan w:val="3"/>
            <w:tcBorders>
              <w:right w:val="single" w:sz="4" w:space="0" w:color="auto"/>
            </w:tcBorders>
          </w:tcPr>
          <w:p w14:paraId="6F1320E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Није остварен напредак</w:t>
            </w:r>
          </w:p>
          <w:p w14:paraId="4BE11F9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Ограничен напредак</w:t>
            </w:r>
          </w:p>
          <w:p w14:paraId="1685EB8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Известан напредак</w:t>
            </w:r>
          </w:p>
        </w:tc>
        <w:tc>
          <w:tcPr>
            <w:tcW w:w="2011" w:type="pct"/>
            <w:gridSpan w:val="3"/>
            <w:tcBorders>
              <w:right w:val="single" w:sz="4" w:space="0" w:color="auto"/>
            </w:tcBorders>
            <w:vAlign w:val="center"/>
          </w:tcPr>
          <w:p w14:paraId="2AAA5831"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Описни индикатор</w:t>
            </w:r>
          </w:p>
        </w:tc>
      </w:tr>
      <w:tr w:rsidR="00D30238" w:rsidRPr="00AA19A8" w14:paraId="23EF3D8A" w14:textId="77777777" w:rsidTr="00924D5A">
        <w:tc>
          <w:tcPr>
            <w:tcW w:w="1234" w:type="pct"/>
            <w:tcBorders>
              <w:left w:val="single" w:sz="4" w:space="0" w:color="auto"/>
              <w:bottom w:val="single" w:sz="4" w:space="0" w:color="auto"/>
            </w:tcBorders>
          </w:tcPr>
          <w:p w14:paraId="5722BC2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66" w:type="pct"/>
            <w:gridSpan w:val="6"/>
            <w:tcBorders>
              <w:bottom w:val="single" w:sz="4" w:space="0" w:color="auto"/>
              <w:right w:val="single" w:sz="4" w:space="0" w:color="auto"/>
            </w:tcBorders>
          </w:tcPr>
          <w:p w14:paraId="6A99A8D7"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Годишњи извештај Европске комисије о Србији</w:t>
            </w:r>
          </w:p>
        </w:tc>
      </w:tr>
      <w:tr w:rsidR="00D30238" w:rsidRPr="00AA19A8" w14:paraId="2F2C9DA4" w14:textId="77777777" w:rsidTr="00924D5A">
        <w:tc>
          <w:tcPr>
            <w:tcW w:w="1234" w:type="pct"/>
            <w:tcBorders>
              <w:left w:val="single" w:sz="4" w:space="0" w:color="auto"/>
              <w:bottom w:val="single" w:sz="4" w:space="0" w:color="auto"/>
            </w:tcBorders>
          </w:tcPr>
          <w:p w14:paraId="2C188D2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66" w:type="pct"/>
            <w:gridSpan w:val="6"/>
            <w:tcBorders>
              <w:bottom w:val="single" w:sz="4" w:space="0" w:color="auto"/>
              <w:right w:val="single" w:sz="4" w:space="0" w:color="auto"/>
            </w:tcBorders>
          </w:tcPr>
          <w:p w14:paraId="44EC0FF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Европска комисија на основу прилога Министарства финансија</w:t>
            </w:r>
          </w:p>
        </w:tc>
      </w:tr>
      <w:tr w:rsidR="00D30238" w:rsidRPr="00AA19A8" w14:paraId="257BBA3F" w14:textId="77777777" w:rsidTr="00924D5A">
        <w:tc>
          <w:tcPr>
            <w:tcW w:w="1234" w:type="pct"/>
            <w:tcBorders>
              <w:top w:val="single" w:sz="4" w:space="0" w:color="auto"/>
              <w:left w:val="single" w:sz="4" w:space="0" w:color="auto"/>
            </w:tcBorders>
          </w:tcPr>
          <w:p w14:paraId="5DA8778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66" w:type="pct"/>
            <w:gridSpan w:val="6"/>
            <w:tcBorders>
              <w:top w:val="single" w:sz="4" w:space="0" w:color="auto"/>
              <w:right w:val="single" w:sz="4" w:space="0" w:color="auto"/>
            </w:tcBorders>
          </w:tcPr>
          <w:p w14:paraId="22FED69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новембру за текућу годину</w:t>
            </w:r>
          </w:p>
        </w:tc>
      </w:tr>
      <w:tr w:rsidR="00D30238" w:rsidRPr="00AA19A8" w14:paraId="4369AA0E" w14:textId="77777777" w:rsidTr="00924D5A">
        <w:trPr>
          <w:trHeight w:val="1181"/>
        </w:trPr>
        <w:tc>
          <w:tcPr>
            <w:tcW w:w="1234" w:type="pct"/>
            <w:tcBorders>
              <w:left w:val="single" w:sz="4" w:space="0" w:color="auto"/>
              <w:bottom w:val="single" w:sz="6" w:space="0" w:color="auto"/>
            </w:tcBorders>
          </w:tcPr>
          <w:p w14:paraId="16A4D6BC"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4CCEA79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66" w:type="pct"/>
            <w:gridSpan w:val="6"/>
            <w:tcBorders>
              <w:right w:val="single" w:sz="4" w:space="0" w:color="auto"/>
            </w:tcBorders>
          </w:tcPr>
          <w:p w14:paraId="2F0015A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Индикатор мери напредак у оквиру преговарачког поглавља 33 – Финансијске и буџетске одредбе.</w:t>
            </w:r>
          </w:p>
          <w:p w14:paraId="314BCB03" w14:textId="77777777" w:rsidR="00146165" w:rsidRPr="00AA19A8" w:rsidRDefault="00146165" w:rsidP="00146165">
            <w:pPr>
              <w:numPr>
                <w:ilvl w:val="0"/>
                <w:numId w:val="37"/>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Није остварен напредак</w:t>
            </w:r>
          </w:p>
          <w:p w14:paraId="43B80B08" w14:textId="77777777" w:rsidR="00146165" w:rsidRPr="00AA19A8" w:rsidRDefault="00146165" w:rsidP="00146165">
            <w:pPr>
              <w:numPr>
                <w:ilvl w:val="0"/>
                <w:numId w:val="37"/>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Ограничен напредак</w:t>
            </w:r>
          </w:p>
          <w:p w14:paraId="068BFCB0" w14:textId="77777777" w:rsidR="00146165" w:rsidRPr="00AA19A8" w:rsidRDefault="00146165" w:rsidP="00146165">
            <w:pPr>
              <w:numPr>
                <w:ilvl w:val="0"/>
                <w:numId w:val="37"/>
              </w:numPr>
              <w:spacing w:line="256" w:lineRule="auto"/>
              <w:contextualSpacing/>
              <w:rPr>
                <w:rFonts w:ascii="Calibri" w:eastAsia="Times New Roman" w:hAnsi="Calibri" w:cs="Times New Roman"/>
                <w:lang w:val="sr-Cyrl-CS"/>
              </w:rPr>
            </w:pPr>
            <w:r w:rsidRPr="00AA19A8">
              <w:rPr>
                <w:rFonts w:ascii="Calibri" w:eastAsia="Times New Roman" w:hAnsi="Calibri" w:cs="Times New Roman"/>
                <w:lang w:val="sr-Cyrl-CS"/>
              </w:rPr>
              <w:t>Известан напредак</w:t>
            </w:r>
          </w:p>
        </w:tc>
      </w:tr>
      <w:tr w:rsidR="00D30238" w:rsidRPr="00AA19A8" w14:paraId="682A90C8" w14:textId="77777777" w:rsidTr="00924D5A">
        <w:tc>
          <w:tcPr>
            <w:tcW w:w="1234" w:type="pct"/>
            <w:vMerge w:val="restart"/>
            <w:tcBorders>
              <w:top w:val="single" w:sz="6" w:space="0" w:color="auto"/>
              <w:left w:val="single" w:sz="4" w:space="0" w:color="auto"/>
            </w:tcBorders>
          </w:tcPr>
          <w:p w14:paraId="47ADA4D1"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3011" w:type="pct"/>
            <w:gridSpan w:val="5"/>
            <w:tcBorders>
              <w:top w:val="single" w:sz="6" w:space="0" w:color="auto"/>
              <w:right w:val="single" w:sz="4" w:space="0" w:color="auto"/>
            </w:tcBorders>
            <w:vAlign w:val="center"/>
          </w:tcPr>
          <w:p w14:paraId="6B98B592"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755" w:type="pct"/>
            <w:tcBorders>
              <w:top w:val="single" w:sz="6" w:space="0" w:color="auto"/>
              <w:right w:val="single" w:sz="4" w:space="0" w:color="auto"/>
            </w:tcBorders>
            <w:vAlign w:val="center"/>
          </w:tcPr>
          <w:p w14:paraId="5C7AA57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Полазна вредност</w:t>
            </w:r>
          </w:p>
        </w:tc>
      </w:tr>
      <w:tr w:rsidR="00D30238" w:rsidRPr="00AA19A8" w14:paraId="27571092" w14:textId="77777777" w:rsidTr="00924D5A">
        <w:tc>
          <w:tcPr>
            <w:tcW w:w="1234" w:type="pct"/>
            <w:vMerge/>
            <w:tcBorders>
              <w:left w:val="single" w:sz="4" w:space="0" w:color="auto"/>
            </w:tcBorders>
          </w:tcPr>
          <w:p w14:paraId="44013E98" w14:textId="77777777" w:rsidR="00146165" w:rsidRPr="00AA19A8" w:rsidRDefault="00146165" w:rsidP="00146165">
            <w:pPr>
              <w:spacing w:before="0"/>
              <w:rPr>
                <w:rFonts w:ascii="Calibri" w:eastAsia="Calibri" w:hAnsi="Calibri" w:cs="Times New Roman"/>
                <w:b/>
                <w:lang w:val="sr-Cyrl-CS"/>
              </w:rPr>
            </w:pPr>
          </w:p>
        </w:tc>
        <w:tc>
          <w:tcPr>
            <w:tcW w:w="773" w:type="pct"/>
          </w:tcPr>
          <w:p w14:paraId="7ECB234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17" w:type="pct"/>
          </w:tcPr>
          <w:p w14:paraId="5216829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66" w:type="pct"/>
            <w:gridSpan w:val="2"/>
          </w:tcPr>
          <w:p w14:paraId="449C9C1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755" w:type="pct"/>
            <w:tcBorders>
              <w:right w:val="single" w:sz="4" w:space="0" w:color="auto"/>
            </w:tcBorders>
          </w:tcPr>
          <w:p w14:paraId="471E0CC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c>
          <w:tcPr>
            <w:tcW w:w="755" w:type="pct"/>
            <w:tcBorders>
              <w:right w:val="single" w:sz="4" w:space="0" w:color="auto"/>
            </w:tcBorders>
          </w:tcPr>
          <w:p w14:paraId="66DC2A7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2025.</w:t>
            </w:r>
          </w:p>
        </w:tc>
      </w:tr>
      <w:tr w:rsidR="00D30238" w:rsidRPr="00AA19A8" w14:paraId="0E5453FC" w14:textId="77777777" w:rsidTr="00924D5A">
        <w:tc>
          <w:tcPr>
            <w:tcW w:w="1234" w:type="pct"/>
            <w:vMerge/>
            <w:tcBorders>
              <w:left w:val="single" w:sz="4" w:space="0" w:color="auto"/>
            </w:tcBorders>
          </w:tcPr>
          <w:p w14:paraId="522380FD" w14:textId="77777777" w:rsidR="00146165" w:rsidRPr="00AA19A8" w:rsidRDefault="00146165" w:rsidP="00146165">
            <w:pPr>
              <w:spacing w:before="0"/>
              <w:rPr>
                <w:rFonts w:ascii="Calibri" w:eastAsia="Calibri" w:hAnsi="Calibri" w:cs="Times New Roman"/>
                <w:b/>
                <w:lang w:val="sr-Cyrl-CS"/>
              </w:rPr>
            </w:pPr>
          </w:p>
        </w:tc>
        <w:tc>
          <w:tcPr>
            <w:tcW w:w="773" w:type="pct"/>
          </w:tcPr>
          <w:p w14:paraId="37183C7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Известан напредак</w:t>
            </w:r>
          </w:p>
        </w:tc>
        <w:tc>
          <w:tcPr>
            <w:tcW w:w="717" w:type="pct"/>
          </w:tcPr>
          <w:p w14:paraId="37D51AF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Ограничен напредак</w:t>
            </w:r>
          </w:p>
        </w:tc>
        <w:tc>
          <w:tcPr>
            <w:tcW w:w="766" w:type="pct"/>
            <w:gridSpan w:val="2"/>
          </w:tcPr>
          <w:p w14:paraId="05785F3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Ограничен напредак</w:t>
            </w:r>
          </w:p>
        </w:tc>
        <w:tc>
          <w:tcPr>
            <w:tcW w:w="755" w:type="pct"/>
            <w:tcBorders>
              <w:right w:val="single" w:sz="4" w:space="0" w:color="auto"/>
            </w:tcBorders>
          </w:tcPr>
          <w:p w14:paraId="75EA2AA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Није остварен напредак</w:t>
            </w:r>
          </w:p>
        </w:tc>
        <w:tc>
          <w:tcPr>
            <w:tcW w:w="755" w:type="pct"/>
            <w:tcBorders>
              <w:right w:val="single" w:sz="4" w:space="0" w:color="auto"/>
            </w:tcBorders>
          </w:tcPr>
          <w:p w14:paraId="337443A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Није остварен напредак.</w:t>
            </w:r>
          </w:p>
        </w:tc>
      </w:tr>
      <w:tr w:rsidR="00D30238" w:rsidRPr="00AA19A8" w14:paraId="02444798" w14:textId="77777777" w:rsidTr="00924D5A">
        <w:tc>
          <w:tcPr>
            <w:tcW w:w="1234" w:type="pct"/>
            <w:vMerge w:val="restart"/>
            <w:tcBorders>
              <w:left w:val="single" w:sz="4" w:space="0" w:color="auto"/>
            </w:tcBorders>
          </w:tcPr>
          <w:p w14:paraId="542696C1"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73" w:type="pct"/>
          </w:tcPr>
          <w:p w14:paraId="67724A6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17" w:type="pct"/>
          </w:tcPr>
          <w:p w14:paraId="269CEE3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66" w:type="pct"/>
            <w:gridSpan w:val="2"/>
          </w:tcPr>
          <w:p w14:paraId="6D6A9E0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55" w:type="pct"/>
          </w:tcPr>
          <w:p w14:paraId="2E3E20C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55" w:type="pct"/>
            <w:tcBorders>
              <w:right w:val="single" w:sz="4" w:space="0" w:color="auto"/>
            </w:tcBorders>
          </w:tcPr>
          <w:p w14:paraId="207D4EC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49D24A31" w14:textId="77777777" w:rsidTr="00924D5A">
        <w:tc>
          <w:tcPr>
            <w:tcW w:w="1234" w:type="pct"/>
            <w:vMerge/>
            <w:tcBorders>
              <w:left w:val="single" w:sz="4" w:space="0" w:color="auto"/>
            </w:tcBorders>
          </w:tcPr>
          <w:p w14:paraId="107B4C24" w14:textId="77777777" w:rsidR="00146165" w:rsidRPr="00AA19A8" w:rsidRDefault="00146165" w:rsidP="00146165">
            <w:pPr>
              <w:spacing w:before="0"/>
              <w:rPr>
                <w:rFonts w:ascii="Calibri" w:eastAsia="Calibri" w:hAnsi="Calibri" w:cs="Times New Roman"/>
                <w:b/>
                <w:lang w:val="sr-Cyrl-CS"/>
              </w:rPr>
            </w:pPr>
          </w:p>
        </w:tc>
        <w:tc>
          <w:tcPr>
            <w:tcW w:w="773" w:type="pct"/>
            <w:vAlign w:val="center"/>
          </w:tcPr>
          <w:p w14:paraId="6524C437"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Ограничен напредак</w:t>
            </w:r>
          </w:p>
        </w:tc>
        <w:tc>
          <w:tcPr>
            <w:tcW w:w="717" w:type="pct"/>
            <w:vAlign w:val="center"/>
          </w:tcPr>
          <w:p w14:paraId="4E88593B"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Известан напредак</w:t>
            </w:r>
          </w:p>
        </w:tc>
        <w:tc>
          <w:tcPr>
            <w:tcW w:w="766" w:type="pct"/>
            <w:gridSpan w:val="2"/>
            <w:vAlign w:val="center"/>
          </w:tcPr>
          <w:p w14:paraId="5FD411C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Известан напредак</w:t>
            </w:r>
          </w:p>
        </w:tc>
        <w:tc>
          <w:tcPr>
            <w:tcW w:w="755" w:type="pct"/>
            <w:vAlign w:val="center"/>
          </w:tcPr>
          <w:p w14:paraId="65BC292F" w14:textId="77777777" w:rsidR="00146165" w:rsidRPr="00AA19A8" w:rsidRDefault="00146165" w:rsidP="00146165">
            <w:pPr>
              <w:spacing w:before="0"/>
              <w:jc w:val="center"/>
              <w:rPr>
                <w:rFonts w:ascii="Calibri" w:eastAsia="Calibri" w:hAnsi="Calibri" w:cs="Times New Roman"/>
                <w:bCs/>
                <w:lang w:val="sr-Cyrl-CS"/>
              </w:rPr>
            </w:pPr>
          </w:p>
        </w:tc>
        <w:tc>
          <w:tcPr>
            <w:tcW w:w="755" w:type="pct"/>
            <w:tcBorders>
              <w:right w:val="single" w:sz="4" w:space="0" w:color="auto"/>
            </w:tcBorders>
            <w:vAlign w:val="center"/>
          </w:tcPr>
          <w:p w14:paraId="7E84DAFE"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3E06F0A6" w14:textId="77777777" w:rsidTr="00924D5A">
        <w:tc>
          <w:tcPr>
            <w:tcW w:w="1234" w:type="pct"/>
            <w:tcBorders>
              <w:left w:val="single" w:sz="4" w:space="0" w:color="auto"/>
              <w:bottom w:val="single" w:sz="4" w:space="0" w:color="auto"/>
            </w:tcBorders>
          </w:tcPr>
          <w:p w14:paraId="237526D3"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66" w:type="pct"/>
            <w:gridSpan w:val="6"/>
            <w:tcBorders>
              <w:bottom w:val="single" w:sz="4" w:space="0" w:color="auto"/>
              <w:right w:val="single" w:sz="4" w:space="0" w:color="auto"/>
            </w:tcBorders>
          </w:tcPr>
          <w:p w14:paraId="605F2B24"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0EE67BE3" w14:textId="77777777" w:rsidR="00146165" w:rsidRPr="00AA19A8" w:rsidRDefault="00146165" w:rsidP="00146165">
      <w:pPr>
        <w:spacing w:after="120"/>
        <w:rPr>
          <w:rFonts w:ascii="Calibri" w:eastAsia="Times New Roman" w:hAnsi="Calibri" w:cs="Times New Roman"/>
          <w:b/>
          <w:bCs/>
          <w:lang w:val="sr-Cyrl-CS"/>
        </w:rPr>
      </w:pPr>
    </w:p>
    <w:p w14:paraId="3B2B5AF4"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1.7</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81"/>
        <w:gridCol w:w="1201"/>
        <w:gridCol w:w="1388"/>
        <w:gridCol w:w="207"/>
        <w:gridCol w:w="1181"/>
        <w:gridCol w:w="1457"/>
        <w:gridCol w:w="1457"/>
      </w:tblGrid>
      <w:tr w:rsidR="00D30238" w:rsidRPr="00AA19A8" w14:paraId="7B6365DC" w14:textId="77777777" w:rsidTr="00924D5A">
        <w:tc>
          <w:tcPr>
            <w:tcW w:w="1202" w:type="pct"/>
            <w:tcBorders>
              <w:top w:val="single" w:sz="4" w:space="0" w:color="auto"/>
              <w:left w:val="single" w:sz="4" w:space="0" w:color="auto"/>
            </w:tcBorders>
            <w:vAlign w:val="center"/>
          </w:tcPr>
          <w:p w14:paraId="094D11E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98" w:type="pct"/>
            <w:gridSpan w:val="6"/>
            <w:tcBorders>
              <w:top w:val="single" w:sz="4" w:space="0" w:color="auto"/>
              <w:right w:val="single" w:sz="4" w:space="0" w:color="auto"/>
            </w:tcBorders>
            <w:vAlign w:val="center"/>
          </w:tcPr>
          <w:p w14:paraId="6CB51E97"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Број усвојених и објављених средњорочних планова обвезника средњорочног планирања на републичком нивоу</w:t>
            </w:r>
          </w:p>
        </w:tc>
      </w:tr>
      <w:tr w:rsidR="00D30238" w:rsidRPr="00AA19A8" w14:paraId="50F3ACF0" w14:textId="77777777" w:rsidTr="00924D5A">
        <w:tc>
          <w:tcPr>
            <w:tcW w:w="1202" w:type="pct"/>
            <w:tcBorders>
              <w:top w:val="single" w:sz="4" w:space="0" w:color="auto"/>
              <w:left w:val="single" w:sz="4" w:space="0" w:color="auto"/>
            </w:tcBorders>
          </w:tcPr>
          <w:p w14:paraId="2F47B56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98" w:type="pct"/>
            <w:gridSpan w:val="6"/>
            <w:tcBorders>
              <w:top w:val="single" w:sz="4" w:space="0" w:color="auto"/>
              <w:right w:val="single" w:sz="4" w:space="0" w:color="auto"/>
            </w:tcBorders>
          </w:tcPr>
          <w:p w14:paraId="6D076D29"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1.7</w:t>
            </w:r>
            <w:r w:rsidRPr="00AA19A8">
              <w:rPr>
                <w:rFonts w:ascii="Calibri" w:eastAsia="Calibri" w:hAnsi="Calibri" w:cs="Times New Roman"/>
                <w:lang w:val="sr-Cyrl-CS"/>
              </w:rPr>
              <w:t xml:space="preserve"> - Унапређење средњорочног планирања</w:t>
            </w:r>
          </w:p>
        </w:tc>
      </w:tr>
      <w:tr w:rsidR="00D30238" w:rsidRPr="00AA19A8" w14:paraId="09268904" w14:textId="77777777" w:rsidTr="00924D5A">
        <w:tc>
          <w:tcPr>
            <w:tcW w:w="1202" w:type="pct"/>
            <w:tcBorders>
              <w:left w:val="single" w:sz="4" w:space="0" w:color="auto"/>
            </w:tcBorders>
          </w:tcPr>
          <w:p w14:paraId="2F3E548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541" w:type="pct"/>
            <w:gridSpan w:val="3"/>
            <w:tcBorders>
              <w:right w:val="single" w:sz="4" w:space="0" w:color="auto"/>
            </w:tcBorders>
          </w:tcPr>
          <w:p w14:paraId="053D4A4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257" w:type="pct"/>
            <w:gridSpan w:val="3"/>
            <w:tcBorders>
              <w:right w:val="single" w:sz="4" w:space="0" w:color="auto"/>
            </w:tcBorders>
          </w:tcPr>
          <w:p w14:paraId="1B578F7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871344A" w14:textId="77777777" w:rsidTr="00924D5A">
        <w:tc>
          <w:tcPr>
            <w:tcW w:w="1202" w:type="pct"/>
            <w:tcBorders>
              <w:left w:val="single" w:sz="4" w:space="0" w:color="auto"/>
            </w:tcBorders>
          </w:tcPr>
          <w:p w14:paraId="2663235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541" w:type="pct"/>
            <w:gridSpan w:val="3"/>
            <w:tcBorders>
              <w:right w:val="single" w:sz="4" w:space="0" w:color="auto"/>
            </w:tcBorders>
          </w:tcPr>
          <w:p w14:paraId="444E8B2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Број</w:t>
            </w:r>
          </w:p>
        </w:tc>
        <w:tc>
          <w:tcPr>
            <w:tcW w:w="2257" w:type="pct"/>
            <w:gridSpan w:val="3"/>
            <w:tcBorders>
              <w:right w:val="single" w:sz="4" w:space="0" w:color="auto"/>
            </w:tcBorders>
            <w:vAlign w:val="center"/>
          </w:tcPr>
          <w:p w14:paraId="143C4D61"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6D854C52" w14:textId="77777777" w:rsidTr="00924D5A">
        <w:tc>
          <w:tcPr>
            <w:tcW w:w="1202" w:type="pct"/>
            <w:tcBorders>
              <w:left w:val="single" w:sz="4" w:space="0" w:color="auto"/>
              <w:bottom w:val="single" w:sz="4" w:space="0" w:color="auto"/>
            </w:tcBorders>
          </w:tcPr>
          <w:p w14:paraId="59EFE19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Извор података</w:t>
            </w:r>
          </w:p>
        </w:tc>
        <w:tc>
          <w:tcPr>
            <w:tcW w:w="3798" w:type="pct"/>
            <w:gridSpan w:val="6"/>
            <w:tcBorders>
              <w:bottom w:val="single" w:sz="4" w:space="0" w:color="auto"/>
              <w:right w:val="single" w:sz="4" w:space="0" w:color="auto"/>
            </w:tcBorders>
          </w:tcPr>
          <w:p w14:paraId="62AEF8A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Интернет странице обвезника средњорочног планирања</w:t>
            </w:r>
          </w:p>
        </w:tc>
      </w:tr>
      <w:tr w:rsidR="00D30238" w:rsidRPr="00AA19A8" w14:paraId="740EB42E" w14:textId="77777777" w:rsidTr="00924D5A">
        <w:tc>
          <w:tcPr>
            <w:tcW w:w="1202" w:type="pct"/>
            <w:tcBorders>
              <w:left w:val="single" w:sz="4" w:space="0" w:color="auto"/>
              <w:bottom w:val="single" w:sz="4" w:space="0" w:color="auto"/>
            </w:tcBorders>
          </w:tcPr>
          <w:p w14:paraId="2DCDCE1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98" w:type="pct"/>
            <w:gridSpan w:val="6"/>
            <w:tcBorders>
              <w:bottom w:val="single" w:sz="4" w:space="0" w:color="auto"/>
              <w:right w:val="single" w:sz="4" w:space="0" w:color="auto"/>
            </w:tcBorders>
          </w:tcPr>
          <w:p w14:paraId="4B681C3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Републички секретаријат за јавне политике</w:t>
            </w:r>
          </w:p>
        </w:tc>
      </w:tr>
      <w:tr w:rsidR="00D30238" w:rsidRPr="00AA19A8" w14:paraId="1319E9F2" w14:textId="77777777" w:rsidTr="00924D5A">
        <w:tc>
          <w:tcPr>
            <w:tcW w:w="1202" w:type="pct"/>
            <w:tcBorders>
              <w:top w:val="single" w:sz="4" w:space="0" w:color="auto"/>
              <w:left w:val="single" w:sz="4" w:space="0" w:color="auto"/>
            </w:tcBorders>
          </w:tcPr>
          <w:p w14:paraId="732338E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98" w:type="pct"/>
            <w:gridSpan w:val="6"/>
            <w:tcBorders>
              <w:top w:val="single" w:sz="4" w:space="0" w:color="auto"/>
              <w:right w:val="single" w:sz="4" w:space="0" w:color="auto"/>
            </w:tcBorders>
          </w:tcPr>
          <w:p w14:paraId="2949E66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Показатељ се објављује једном годишње и то у текућој години за претходну годину</w:t>
            </w:r>
          </w:p>
        </w:tc>
      </w:tr>
      <w:tr w:rsidR="00D30238" w:rsidRPr="00AA19A8" w14:paraId="22B5D41F" w14:textId="77777777" w:rsidTr="00924D5A">
        <w:trPr>
          <w:trHeight w:val="1181"/>
        </w:trPr>
        <w:tc>
          <w:tcPr>
            <w:tcW w:w="1202" w:type="pct"/>
            <w:tcBorders>
              <w:left w:val="single" w:sz="4" w:space="0" w:color="auto"/>
              <w:bottom w:val="single" w:sz="6" w:space="0" w:color="auto"/>
            </w:tcBorders>
          </w:tcPr>
          <w:p w14:paraId="6430B68A"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3BD7ACD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98" w:type="pct"/>
            <w:gridSpan w:val="6"/>
            <w:tcBorders>
              <w:right w:val="single" w:sz="4" w:space="0" w:color="auto"/>
            </w:tcBorders>
          </w:tcPr>
          <w:p w14:paraId="5AC3C051" w14:textId="62459730"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прати број усвојених и објављених средњорочних планова обвезника средњорочног планирања на републичком нивоу</w:t>
            </w:r>
            <w:r w:rsidR="006E5E98" w:rsidRPr="00AA19A8">
              <w:rPr>
                <w:rFonts w:ascii="Calibri" w:eastAsia="Times New Roman" w:hAnsi="Calibri" w:cs="Times New Roman"/>
                <w:lang w:val="sr-Cyrl-CS"/>
              </w:rPr>
              <w:t>, у одређеној години</w:t>
            </w:r>
            <w:r w:rsidRPr="00AA19A8">
              <w:rPr>
                <w:rFonts w:ascii="Calibri" w:eastAsia="Times New Roman" w:hAnsi="Calibri" w:cs="Times New Roman"/>
                <w:lang w:val="sr-Cyrl-CS"/>
              </w:rPr>
              <w:t>. Објављивање средњорочних планова врши се на сајту обвезника средњорочног планирања, а за верификацију да је средњорочни план усвојен служи потпис руководиоца органа обвезника средњорочног планирања.</w:t>
            </w:r>
          </w:p>
        </w:tc>
      </w:tr>
      <w:tr w:rsidR="00D30238" w:rsidRPr="00AA19A8" w14:paraId="25FAC6C2" w14:textId="77777777" w:rsidTr="00924D5A">
        <w:tc>
          <w:tcPr>
            <w:tcW w:w="1202" w:type="pct"/>
            <w:vMerge w:val="restart"/>
            <w:tcBorders>
              <w:top w:val="single" w:sz="6" w:space="0" w:color="auto"/>
              <w:left w:val="single" w:sz="4" w:space="0" w:color="auto"/>
            </w:tcBorders>
          </w:tcPr>
          <w:p w14:paraId="349763EE"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995" w:type="pct"/>
            <w:gridSpan w:val="5"/>
            <w:tcBorders>
              <w:top w:val="single" w:sz="6" w:space="0" w:color="auto"/>
              <w:right w:val="single" w:sz="4" w:space="0" w:color="auto"/>
            </w:tcBorders>
            <w:vAlign w:val="center"/>
          </w:tcPr>
          <w:p w14:paraId="2EE183E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803" w:type="pct"/>
            <w:tcBorders>
              <w:top w:val="single" w:sz="6" w:space="0" w:color="auto"/>
              <w:right w:val="single" w:sz="4" w:space="0" w:color="auto"/>
            </w:tcBorders>
            <w:vAlign w:val="center"/>
          </w:tcPr>
          <w:p w14:paraId="1C8E9BC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7A391C18" w14:textId="77777777" w:rsidTr="00924D5A">
        <w:tc>
          <w:tcPr>
            <w:tcW w:w="1202" w:type="pct"/>
            <w:vMerge/>
            <w:tcBorders>
              <w:left w:val="single" w:sz="4" w:space="0" w:color="auto"/>
            </w:tcBorders>
          </w:tcPr>
          <w:p w14:paraId="20A7D36D" w14:textId="77777777" w:rsidR="00146165" w:rsidRPr="00AA19A8" w:rsidRDefault="00146165" w:rsidP="00146165">
            <w:pPr>
              <w:spacing w:before="0"/>
              <w:rPr>
                <w:rFonts w:ascii="Calibri" w:eastAsia="Calibri" w:hAnsi="Calibri" w:cs="Times New Roman"/>
                <w:b/>
                <w:lang w:val="sr-Cyrl-CS"/>
              </w:rPr>
            </w:pPr>
          </w:p>
        </w:tc>
        <w:tc>
          <w:tcPr>
            <w:tcW w:w="662" w:type="pct"/>
          </w:tcPr>
          <w:p w14:paraId="6166B2F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65" w:type="pct"/>
          </w:tcPr>
          <w:p w14:paraId="3BEDB58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65" w:type="pct"/>
            <w:gridSpan w:val="2"/>
          </w:tcPr>
          <w:p w14:paraId="2959F48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803" w:type="pct"/>
            <w:tcBorders>
              <w:right w:val="single" w:sz="4" w:space="0" w:color="auto"/>
            </w:tcBorders>
          </w:tcPr>
          <w:p w14:paraId="7B06BBE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c>
          <w:tcPr>
            <w:tcW w:w="803" w:type="pct"/>
            <w:tcBorders>
              <w:right w:val="single" w:sz="4" w:space="0" w:color="auto"/>
            </w:tcBorders>
          </w:tcPr>
          <w:p w14:paraId="4C62829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2025</w:t>
            </w:r>
          </w:p>
        </w:tc>
      </w:tr>
      <w:tr w:rsidR="00D30238" w:rsidRPr="00AA19A8" w14:paraId="734A54F1" w14:textId="77777777" w:rsidTr="00924D5A">
        <w:tc>
          <w:tcPr>
            <w:tcW w:w="1202" w:type="pct"/>
            <w:vMerge/>
            <w:tcBorders>
              <w:left w:val="single" w:sz="4" w:space="0" w:color="auto"/>
            </w:tcBorders>
          </w:tcPr>
          <w:p w14:paraId="7BF7AFDD" w14:textId="77777777" w:rsidR="00146165" w:rsidRPr="00AA19A8" w:rsidRDefault="00146165" w:rsidP="00146165">
            <w:pPr>
              <w:spacing w:before="0"/>
              <w:rPr>
                <w:rFonts w:ascii="Calibri" w:eastAsia="Calibri" w:hAnsi="Calibri" w:cs="Times New Roman"/>
                <w:b/>
                <w:lang w:val="sr-Cyrl-CS"/>
              </w:rPr>
            </w:pPr>
          </w:p>
        </w:tc>
        <w:tc>
          <w:tcPr>
            <w:tcW w:w="662" w:type="pct"/>
          </w:tcPr>
          <w:p w14:paraId="6822A7E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w:t>
            </w:r>
          </w:p>
        </w:tc>
        <w:tc>
          <w:tcPr>
            <w:tcW w:w="765" w:type="pct"/>
          </w:tcPr>
          <w:p w14:paraId="148FEAB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22</w:t>
            </w:r>
          </w:p>
        </w:tc>
        <w:tc>
          <w:tcPr>
            <w:tcW w:w="765" w:type="pct"/>
            <w:gridSpan w:val="2"/>
          </w:tcPr>
          <w:p w14:paraId="702C1EE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26</w:t>
            </w:r>
          </w:p>
        </w:tc>
        <w:tc>
          <w:tcPr>
            <w:tcW w:w="803" w:type="pct"/>
            <w:tcBorders>
              <w:right w:val="single" w:sz="4" w:space="0" w:color="auto"/>
            </w:tcBorders>
          </w:tcPr>
          <w:p w14:paraId="67A9AAF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28</w:t>
            </w:r>
          </w:p>
        </w:tc>
        <w:tc>
          <w:tcPr>
            <w:tcW w:w="803" w:type="pct"/>
            <w:tcBorders>
              <w:right w:val="single" w:sz="4" w:space="0" w:color="auto"/>
            </w:tcBorders>
          </w:tcPr>
          <w:p w14:paraId="731121C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29</w:t>
            </w:r>
          </w:p>
        </w:tc>
      </w:tr>
      <w:tr w:rsidR="00D30238" w:rsidRPr="00AA19A8" w14:paraId="28FAAEC7" w14:textId="77777777" w:rsidTr="00924D5A">
        <w:tc>
          <w:tcPr>
            <w:tcW w:w="1202" w:type="pct"/>
            <w:vMerge w:val="restart"/>
            <w:tcBorders>
              <w:left w:val="single" w:sz="4" w:space="0" w:color="auto"/>
            </w:tcBorders>
          </w:tcPr>
          <w:p w14:paraId="05A9867C"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662" w:type="pct"/>
          </w:tcPr>
          <w:p w14:paraId="5398E9E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65" w:type="pct"/>
          </w:tcPr>
          <w:p w14:paraId="2C535A1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65" w:type="pct"/>
            <w:gridSpan w:val="2"/>
          </w:tcPr>
          <w:p w14:paraId="14B38C7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803" w:type="pct"/>
          </w:tcPr>
          <w:p w14:paraId="47201A2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803" w:type="pct"/>
            <w:tcBorders>
              <w:right w:val="single" w:sz="4" w:space="0" w:color="auto"/>
            </w:tcBorders>
          </w:tcPr>
          <w:p w14:paraId="3598261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7168B451" w14:textId="77777777" w:rsidTr="00924D5A">
        <w:tc>
          <w:tcPr>
            <w:tcW w:w="1202" w:type="pct"/>
            <w:vMerge/>
            <w:tcBorders>
              <w:left w:val="single" w:sz="4" w:space="0" w:color="auto"/>
            </w:tcBorders>
          </w:tcPr>
          <w:p w14:paraId="340FE162" w14:textId="77777777" w:rsidR="00146165" w:rsidRPr="00AA19A8" w:rsidRDefault="00146165" w:rsidP="00146165">
            <w:pPr>
              <w:spacing w:before="0"/>
              <w:rPr>
                <w:rFonts w:ascii="Calibri" w:eastAsia="Calibri" w:hAnsi="Calibri" w:cs="Times New Roman"/>
                <w:b/>
                <w:lang w:val="sr-Cyrl-CS"/>
              </w:rPr>
            </w:pPr>
          </w:p>
        </w:tc>
        <w:tc>
          <w:tcPr>
            <w:tcW w:w="662" w:type="pct"/>
            <w:vAlign w:val="center"/>
          </w:tcPr>
          <w:p w14:paraId="6046455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30</w:t>
            </w:r>
          </w:p>
        </w:tc>
        <w:tc>
          <w:tcPr>
            <w:tcW w:w="765" w:type="pct"/>
            <w:vAlign w:val="center"/>
          </w:tcPr>
          <w:p w14:paraId="02DE10AB"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32</w:t>
            </w:r>
          </w:p>
        </w:tc>
        <w:tc>
          <w:tcPr>
            <w:tcW w:w="765" w:type="pct"/>
            <w:gridSpan w:val="2"/>
            <w:vAlign w:val="center"/>
          </w:tcPr>
          <w:p w14:paraId="1C32143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34</w:t>
            </w:r>
          </w:p>
        </w:tc>
        <w:tc>
          <w:tcPr>
            <w:tcW w:w="803" w:type="pct"/>
            <w:vAlign w:val="center"/>
          </w:tcPr>
          <w:p w14:paraId="483F30C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35</w:t>
            </w:r>
          </w:p>
        </w:tc>
        <w:tc>
          <w:tcPr>
            <w:tcW w:w="803" w:type="pct"/>
            <w:tcBorders>
              <w:right w:val="single" w:sz="4" w:space="0" w:color="auto"/>
            </w:tcBorders>
            <w:vAlign w:val="center"/>
          </w:tcPr>
          <w:p w14:paraId="3B3EC06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35</w:t>
            </w:r>
          </w:p>
        </w:tc>
      </w:tr>
      <w:tr w:rsidR="00146165" w:rsidRPr="00AA19A8" w14:paraId="776918AC" w14:textId="77777777" w:rsidTr="00924D5A">
        <w:tc>
          <w:tcPr>
            <w:tcW w:w="1202" w:type="pct"/>
            <w:tcBorders>
              <w:left w:val="single" w:sz="4" w:space="0" w:color="auto"/>
              <w:bottom w:val="single" w:sz="4" w:space="0" w:color="auto"/>
            </w:tcBorders>
          </w:tcPr>
          <w:p w14:paraId="58DA7365"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98" w:type="pct"/>
            <w:gridSpan w:val="6"/>
            <w:tcBorders>
              <w:bottom w:val="single" w:sz="4" w:space="0" w:color="auto"/>
              <w:right w:val="single" w:sz="4" w:space="0" w:color="auto"/>
            </w:tcBorders>
          </w:tcPr>
          <w:p w14:paraId="4F89E027"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15E47CE4" w14:textId="77777777" w:rsidR="00146165" w:rsidRPr="00AA19A8" w:rsidRDefault="00146165" w:rsidP="00146165">
      <w:pPr>
        <w:spacing w:after="120"/>
        <w:rPr>
          <w:rFonts w:ascii="Calibri" w:eastAsia="Times New Roman" w:hAnsi="Calibri" w:cs="Times New Roman"/>
          <w:b/>
          <w:bCs/>
          <w:lang w:val="sr-Cyrl-CS"/>
        </w:rPr>
      </w:pPr>
    </w:p>
    <w:tbl>
      <w:tblPr>
        <w:tblW w:w="506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15"/>
        <w:gridCol w:w="1615"/>
        <w:gridCol w:w="882"/>
        <w:gridCol w:w="545"/>
        <w:gridCol w:w="1366"/>
        <w:gridCol w:w="1309"/>
        <w:gridCol w:w="1307"/>
      </w:tblGrid>
      <w:tr w:rsidR="00D30238" w:rsidRPr="00AA19A8" w14:paraId="10CC1A37" w14:textId="77777777" w:rsidTr="00924D5A">
        <w:tc>
          <w:tcPr>
            <w:tcW w:w="1133" w:type="pct"/>
            <w:tcBorders>
              <w:top w:val="single" w:sz="4" w:space="0" w:color="auto"/>
              <w:left w:val="single" w:sz="4" w:space="0" w:color="auto"/>
            </w:tcBorders>
            <w:vAlign w:val="center"/>
          </w:tcPr>
          <w:p w14:paraId="7997FAC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867" w:type="pct"/>
            <w:gridSpan w:val="6"/>
            <w:tcBorders>
              <w:top w:val="single" w:sz="4" w:space="0" w:color="auto"/>
              <w:right w:val="single" w:sz="4" w:space="0" w:color="auto"/>
            </w:tcBorders>
            <w:vAlign w:val="center"/>
          </w:tcPr>
          <w:p w14:paraId="567CE78E"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објављених извештаја о спровођењу средњорочних планова у односу на укупан број објављених средњорочних планова на републичком нивоу, који су важећи за годину за коју се извештава</w:t>
            </w:r>
          </w:p>
        </w:tc>
      </w:tr>
      <w:tr w:rsidR="00D30238" w:rsidRPr="00AA19A8" w14:paraId="4C8F470A" w14:textId="77777777" w:rsidTr="00924D5A">
        <w:tc>
          <w:tcPr>
            <w:tcW w:w="1133" w:type="pct"/>
            <w:tcBorders>
              <w:top w:val="single" w:sz="4" w:space="0" w:color="auto"/>
              <w:left w:val="single" w:sz="4" w:space="0" w:color="auto"/>
            </w:tcBorders>
          </w:tcPr>
          <w:p w14:paraId="01166B7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867" w:type="pct"/>
            <w:gridSpan w:val="6"/>
            <w:tcBorders>
              <w:top w:val="single" w:sz="4" w:space="0" w:color="auto"/>
              <w:right w:val="single" w:sz="4" w:space="0" w:color="auto"/>
            </w:tcBorders>
          </w:tcPr>
          <w:p w14:paraId="5425E356"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1.7</w:t>
            </w:r>
            <w:r w:rsidRPr="00AA19A8">
              <w:rPr>
                <w:rFonts w:ascii="Calibri" w:eastAsia="Calibri" w:hAnsi="Calibri" w:cs="Times New Roman"/>
                <w:lang w:val="sr-Cyrl-CS"/>
              </w:rPr>
              <w:t xml:space="preserve"> - Унапређење средњорочног планирања</w:t>
            </w:r>
          </w:p>
        </w:tc>
      </w:tr>
      <w:tr w:rsidR="00D30238" w:rsidRPr="00AA19A8" w14:paraId="49E30E5F" w14:textId="77777777" w:rsidTr="00924D5A">
        <w:tc>
          <w:tcPr>
            <w:tcW w:w="1133" w:type="pct"/>
            <w:tcBorders>
              <w:left w:val="single" w:sz="4" w:space="0" w:color="auto"/>
            </w:tcBorders>
          </w:tcPr>
          <w:p w14:paraId="2FA5260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375" w:type="pct"/>
            <w:gridSpan w:val="2"/>
            <w:tcBorders>
              <w:right w:val="single" w:sz="4" w:space="0" w:color="auto"/>
            </w:tcBorders>
          </w:tcPr>
          <w:p w14:paraId="6DB164E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491" w:type="pct"/>
            <w:gridSpan w:val="4"/>
            <w:tcBorders>
              <w:right w:val="single" w:sz="4" w:space="0" w:color="auto"/>
            </w:tcBorders>
          </w:tcPr>
          <w:p w14:paraId="4979349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0BC86075" w14:textId="77777777" w:rsidTr="00924D5A">
        <w:tc>
          <w:tcPr>
            <w:tcW w:w="1133" w:type="pct"/>
            <w:tcBorders>
              <w:left w:val="single" w:sz="4" w:space="0" w:color="auto"/>
            </w:tcBorders>
          </w:tcPr>
          <w:p w14:paraId="26AB2EF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375" w:type="pct"/>
            <w:gridSpan w:val="2"/>
            <w:tcBorders>
              <w:right w:val="single" w:sz="4" w:space="0" w:color="auto"/>
            </w:tcBorders>
          </w:tcPr>
          <w:p w14:paraId="1035E5D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491" w:type="pct"/>
            <w:gridSpan w:val="4"/>
            <w:tcBorders>
              <w:right w:val="single" w:sz="4" w:space="0" w:color="auto"/>
            </w:tcBorders>
            <w:vAlign w:val="center"/>
          </w:tcPr>
          <w:p w14:paraId="7EBF4BB5"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0B722C56" w14:textId="77777777" w:rsidTr="00924D5A">
        <w:tc>
          <w:tcPr>
            <w:tcW w:w="1133" w:type="pct"/>
            <w:tcBorders>
              <w:left w:val="single" w:sz="4" w:space="0" w:color="auto"/>
              <w:bottom w:val="single" w:sz="4" w:space="0" w:color="auto"/>
            </w:tcBorders>
          </w:tcPr>
          <w:p w14:paraId="21292C2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867" w:type="pct"/>
            <w:gridSpan w:val="6"/>
            <w:tcBorders>
              <w:bottom w:val="single" w:sz="4" w:space="0" w:color="auto"/>
              <w:right w:val="single" w:sz="4" w:space="0" w:color="auto"/>
            </w:tcBorders>
          </w:tcPr>
          <w:p w14:paraId="439021E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Интернет странице обвезника средњорочног планирања</w:t>
            </w:r>
          </w:p>
        </w:tc>
      </w:tr>
      <w:tr w:rsidR="00D30238" w:rsidRPr="00AA19A8" w14:paraId="16D9A42B" w14:textId="77777777" w:rsidTr="00924D5A">
        <w:tc>
          <w:tcPr>
            <w:tcW w:w="1133" w:type="pct"/>
            <w:tcBorders>
              <w:left w:val="single" w:sz="4" w:space="0" w:color="auto"/>
              <w:bottom w:val="single" w:sz="4" w:space="0" w:color="auto"/>
            </w:tcBorders>
          </w:tcPr>
          <w:p w14:paraId="361B8B4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867" w:type="pct"/>
            <w:gridSpan w:val="6"/>
            <w:tcBorders>
              <w:bottom w:val="single" w:sz="4" w:space="0" w:color="auto"/>
              <w:right w:val="single" w:sz="4" w:space="0" w:color="auto"/>
            </w:tcBorders>
          </w:tcPr>
          <w:p w14:paraId="59BBDB51"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Републички секретаријат за јавне политике</w:t>
            </w:r>
          </w:p>
        </w:tc>
      </w:tr>
      <w:tr w:rsidR="00D30238" w:rsidRPr="00AA19A8" w14:paraId="2626099D" w14:textId="77777777" w:rsidTr="00924D5A">
        <w:tc>
          <w:tcPr>
            <w:tcW w:w="1133" w:type="pct"/>
            <w:tcBorders>
              <w:top w:val="single" w:sz="4" w:space="0" w:color="auto"/>
              <w:left w:val="single" w:sz="4" w:space="0" w:color="auto"/>
            </w:tcBorders>
          </w:tcPr>
          <w:p w14:paraId="367BD51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Учесталост</w:t>
            </w:r>
          </w:p>
        </w:tc>
        <w:tc>
          <w:tcPr>
            <w:tcW w:w="3867" w:type="pct"/>
            <w:gridSpan w:val="6"/>
            <w:tcBorders>
              <w:top w:val="single" w:sz="4" w:space="0" w:color="auto"/>
              <w:right w:val="single" w:sz="4" w:space="0" w:color="auto"/>
            </w:tcBorders>
          </w:tcPr>
          <w:p w14:paraId="47ABD56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Показатељ се објављује једном годишње и то у текућој години за претходну годину.</w:t>
            </w:r>
          </w:p>
        </w:tc>
      </w:tr>
      <w:tr w:rsidR="00D30238" w:rsidRPr="00AA19A8" w14:paraId="795E47AF" w14:textId="77777777" w:rsidTr="00924D5A">
        <w:trPr>
          <w:trHeight w:val="1181"/>
        </w:trPr>
        <w:tc>
          <w:tcPr>
            <w:tcW w:w="1133" w:type="pct"/>
            <w:tcBorders>
              <w:left w:val="single" w:sz="4" w:space="0" w:color="auto"/>
              <w:bottom w:val="single" w:sz="6" w:space="0" w:color="auto"/>
            </w:tcBorders>
          </w:tcPr>
          <w:p w14:paraId="1C4B8CED"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196A1F1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867" w:type="pct"/>
            <w:gridSpan w:val="6"/>
            <w:tcBorders>
              <w:right w:val="single" w:sz="4" w:space="0" w:color="auto"/>
            </w:tcBorders>
          </w:tcPr>
          <w:p w14:paraId="17386C29" w14:textId="77777777" w:rsidR="00146165" w:rsidRPr="00AA19A8" w:rsidRDefault="00146165" w:rsidP="00146165">
            <w:pPr>
              <w:spacing w:after="0" w:line="240" w:lineRule="auto"/>
              <w:contextualSpacing/>
              <w:jc w:val="both"/>
              <w:rPr>
                <w:rFonts w:ascii="Calibri" w:eastAsia="Times New Roman" w:hAnsi="Calibri" w:cs="Calibri"/>
                <w:lang w:val="sr-Cyrl-CS" w:eastAsia="en-GB"/>
              </w:rPr>
            </w:pPr>
            <w:r w:rsidRPr="00AA19A8">
              <w:rPr>
                <w:rFonts w:ascii="Calibri" w:eastAsia="Times New Roman" w:hAnsi="Calibri" w:cs="Calibri"/>
                <w:bCs/>
                <w:lang w:val="sr-Cyrl-CS"/>
              </w:rPr>
              <w:t xml:space="preserve">Показатељ прати број </w:t>
            </w:r>
            <w:r w:rsidRPr="00AA19A8">
              <w:rPr>
                <w:rFonts w:ascii="Calibri" w:eastAsia="Times New Roman" w:hAnsi="Calibri" w:cs="Calibri"/>
                <w:lang w:val="sr-Cyrl-CS" w:eastAsia="en-GB"/>
              </w:rPr>
              <w:t>објављених извештаја средњорочних планова обвезника средњорочног планирања на републичком нивоу у претходној години у односу на укупан број усвојених и објављених средњорочних планова који су били важећи за годину за коју се извештава.</w:t>
            </w:r>
          </w:p>
          <w:p w14:paraId="6A9A2574" w14:textId="77777777" w:rsidR="00146165" w:rsidRPr="00AA19A8" w:rsidRDefault="00146165" w:rsidP="00146165">
            <w:pPr>
              <w:spacing w:after="0" w:line="240" w:lineRule="auto"/>
              <w:contextualSpacing/>
              <w:jc w:val="both"/>
              <w:rPr>
                <w:rFonts w:ascii="Calibri" w:eastAsia="Times New Roman" w:hAnsi="Calibri" w:cs="Calibri"/>
                <w:lang w:val="sr-Cyrl-CS" w:eastAsia="en-GB"/>
              </w:rPr>
            </w:pPr>
            <w:r w:rsidRPr="00AA19A8">
              <w:rPr>
                <w:rFonts w:ascii="Calibri" w:eastAsia="Times New Roman" w:hAnsi="Calibri" w:cs="Calibri"/>
                <w:lang w:val="sr-Cyrl-CS" w:eastAsia="en-GB"/>
              </w:rPr>
              <w:t>Израда и објављивање извештаја о спровођењу средњорочног плана се врши у текућој години за претходну годину, при чему се за важећи средњорочни план у претходној години сматра средњорочни план чија је претходна година за коју се извештава прва година у периоду важења средњорочног плана.</w:t>
            </w:r>
          </w:p>
          <w:p w14:paraId="369BB4B3" w14:textId="77777777" w:rsidR="00146165" w:rsidRPr="00AA19A8" w:rsidRDefault="00146165" w:rsidP="00146165">
            <w:pPr>
              <w:spacing w:after="0" w:line="240" w:lineRule="auto"/>
              <w:contextualSpacing/>
              <w:jc w:val="both"/>
              <w:rPr>
                <w:rFonts w:ascii="Calibri" w:eastAsia="Calibri" w:hAnsi="Calibri" w:cs="Calibri"/>
                <w:b/>
                <w:lang w:val="sr-Cyrl-CS"/>
              </w:rPr>
            </w:pPr>
            <w:r w:rsidRPr="00AA19A8">
              <w:rPr>
                <w:rFonts w:ascii="Calibri" w:eastAsia="Times New Roman" w:hAnsi="Calibri" w:cs="Calibri"/>
                <w:b/>
                <w:lang w:val="sr-Cyrl-CS"/>
              </w:rPr>
              <w:t>Формула</w:t>
            </w:r>
          </w:p>
          <w:p w14:paraId="0E6FFD8A"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Calibri"/>
                <w:lang w:val="sr-Cyrl-CS" w:eastAsia="en-GB"/>
              </w:rPr>
              <w:t>(број објављених извештаја о спровођењу средњорочних планова/укупан број објављених средњорочних планова, који су важећи за годину за коју се извештава)*100</w:t>
            </w:r>
          </w:p>
        </w:tc>
      </w:tr>
      <w:tr w:rsidR="00D30238" w:rsidRPr="00AA19A8" w14:paraId="5399968E" w14:textId="77777777" w:rsidTr="00924D5A">
        <w:tc>
          <w:tcPr>
            <w:tcW w:w="1133" w:type="pct"/>
            <w:vMerge w:val="restart"/>
            <w:tcBorders>
              <w:top w:val="single" w:sz="6" w:space="0" w:color="auto"/>
              <w:left w:val="single" w:sz="4" w:space="0" w:color="auto"/>
            </w:tcBorders>
          </w:tcPr>
          <w:p w14:paraId="30F0F964"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3148" w:type="pct"/>
            <w:gridSpan w:val="5"/>
            <w:tcBorders>
              <w:top w:val="single" w:sz="6" w:space="0" w:color="auto"/>
              <w:right w:val="single" w:sz="4" w:space="0" w:color="auto"/>
            </w:tcBorders>
            <w:vAlign w:val="center"/>
          </w:tcPr>
          <w:p w14:paraId="279C2BB3"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719" w:type="pct"/>
            <w:tcBorders>
              <w:top w:val="single" w:sz="6" w:space="0" w:color="auto"/>
              <w:right w:val="single" w:sz="4" w:space="0" w:color="auto"/>
            </w:tcBorders>
            <w:vAlign w:val="center"/>
          </w:tcPr>
          <w:p w14:paraId="2D45389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3226B968" w14:textId="77777777" w:rsidTr="00924D5A">
        <w:tc>
          <w:tcPr>
            <w:tcW w:w="1133" w:type="pct"/>
            <w:vMerge/>
            <w:tcBorders>
              <w:left w:val="single" w:sz="4" w:space="0" w:color="auto"/>
            </w:tcBorders>
          </w:tcPr>
          <w:p w14:paraId="4631B647" w14:textId="77777777" w:rsidR="00146165" w:rsidRPr="00AA19A8" w:rsidRDefault="00146165" w:rsidP="00146165">
            <w:pPr>
              <w:spacing w:before="0"/>
              <w:rPr>
                <w:rFonts w:ascii="Calibri" w:eastAsia="Calibri" w:hAnsi="Calibri" w:cs="Times New Roman"/>
                <w:b/>
                <w:lang w:val="sr-Cyrl-CS"/>
              </w:rPr>
            </w:pPr>
          </w:p>
        </w:tc>
        <w:tc>
          <w:tcPr>
            <w:tcW w:w="888" w:type="pct"/>
          </w:tcPr>
          <w:p w14:paraId="7C2AA2D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89" w:type="pct"/>
            <w:gridSpan w:val="2"/>
          </w:tcPr>
          <w:p w14:paraId="0AB55B1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51" w:type="pct"/>
          </w:tcPr>
          <w:p w14:paraId="6A750EB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720" w:type="pct"/>
            <w:tcBorders>
              <w:right w:val="single" w:sz="4" w:space="0" w:color="auto"/>
            </w:tcBorders>
          </w:tcPr>
          <w:p w14:paraId="27C2A8F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c>
          <w:tcPr>
            <w:tcW w:w="719" w:type="pct"/>
            <w:tcBorders>
              <w:right w:val="single" w:sz="4" w:space="0" w:color="auto"/>
            </w:tcBorders>
          </w:tcPr>
          <w:p w14:paraId="71D9232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2025</w:t>
            </w:r>
          </w:p>
        </w:tc>
      </w:tr>
      <w:tr w:rsidR="00D30238" w:rsidRPr="00AA19A8" w14:paraId="4132330F" w14:textId="77777777" w:rsidTr="00924D5A">
        <w:tc>
          <w:tcPr>
            <w:tcW w:w="1133" w:type="pct"/>
            <w:vMerge/>
            <w:tcBorders>
              <w:left w:val="single" w:sz="4" w:space="0" w:color="auto"/>
            </w:tcBorders>
          </w:tcPr>
          <w:p w14:paraId="12A398A3" w14:textId="77777777" w:rsidR="00146165" w:rsidRPr="00AA19A8" w:rsidRDefault="00146165" w:rsidP="00146165">
            <w:pPr>
              <w:spacing w:before="0"/>
              <w:rPr>
                <w:rFonts w:ascii="Calibri" w:eastAsia="Calibri" w:hAnsi="Calibri" w:cs="Times New Roman"/>
                <w:b/>
                <w:lang w:val="sr-Cyrl-CS"/>
              </w:rPr>
            </w:pPr>
          </w:p>
        </w:tc>
        <w:tc>
          <w:tcPr>
            <w:tcW w:w="888" w:type="pct"/>
          </w:tcPr>
          <w:p w14:paraId="29234E2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75%</w:t>
            </w:r>
          </w:p>
        </w:tc>
        <w:tc>
          <w:tcPr>
            <w:tcW w:w="789" w:type="pct"/>
            <w:gridSpan w:val="2"/>
          </w:tcPr>
          <w:p w14:paraId="4A79023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86%</w:t>
            </w:r>
          </w:p>
        </w:tc>
        <w:tc>
          <w:tcPr>
            <w:tcW w:w="751" w:type="pct"/>
          </w:tcPr>
          <w:p w14:paraId="1F568A4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77%</w:t>
            </w:r>
          </w:p>
        </w:tc>
        <w:tc>
          <w:tcPr>
            <w:tcW w:w="720" w:type="pct"/>
            <w:tcBorders>
              <w:right w:val="single" w:sz="4" w:space="0" w:color="auto"/>
            </w:tcBorders>
          </w:tcPr>
          <w:p w14:paraId="5603127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88%</w:t>
            </w:r>
          </w:p>
        </w:tc>
        <w:tc>
          <w:tcPr>
            <w:tcW w:w="719" w:type="pct"/>
            <w:tcBorders>
              <w:right w:val="single" w:sz="4" w:space="0" w:color="auto"/>
            </w:tcBorders>
          </w:tcPr>
          <w:p w14:paraId="4EE84F2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93%</w:t>
            </w:r>
          </w:p>
        </w:tc>
      </w:tr>
      <w:tr w:rsidR="00D30238" w:rsidRPr="00AA19A8" w14:paraId="0B6BB167" w14:textId="77777777" w:rsidTr="00924D5A">
        <w:tc>
          <w:tcPr>
            <w:tcW w:w="1133" w:type="pct"/>
            <w:vMerge w:val="restart"/>
            <w:tcBorders>
              <w:left w:val="single" w:sz="4" w:space="0" w:color="auto"/>
            </w:tcBorders>
          </w:tcPr>
          <w:p w14:paraId="3DDDABC1"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888" w:type="pct"/>
          </w:tcPr>
          <w:p w14:paraId="7C12D4C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89" w:type="pct"/>
            <w:gridSpan w:val="2"/>
          </w:tcPr>
          <w:p w14:paraId="7979523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51" w:type="pct"/>
          </w:tcPr>
          <w:p w14:paraId="3E551C3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20" w:type="pct"/>
          </w:tcPr>
          <w:p w14:paraId="6228686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19" w:type="pct"/>
            <w:tcBorders>
              <w:right w:val="single" w:sz="4" w:space="0" w:color="auto"/>
            </w:tcBorders>
          </w:tcPr>
          <w:p w14:paraId="433961D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688FEA4A" w14:textId="77777777" w:rsidTr="00924D5A">
        <w:tc>
          <w:tcPr>
            <w:tcW w:w="1133" w:type="pct"/>
            <w:vMerge/>
            <w:tcBorders>
              <w:left w:val="single" w:sz="4" w:space="0" w:color="auto"/>
            </w:tcBorders>
          </w:tcPr>
          <w:p w14:paraId="3D8181A7" w14:textId="77777777" w:rsidR="00146165" w:rsidRPr="00AA19A8" w:rsidRDefault="00146165" w:rsidP="00146165">
            <w:pPr>
              <w:spacing w:before="0"/>
              <w:rPr>
                <w:rFonts w:ascii="Calibri" w:eastAsia="Calibri" w:hAnsi="Calibri" w:cs="Times New Roman"/>
                <w:b/>
                <w:lang w:val="sr-Cyrl-CS"/>
              </w:rPr>
            </w:pPr>
          </w:p>
        </w:tc>
        <w:tc>
          <w:tcPr>
            <w:tcW w:w="888" w:type="pct"/>
            <w:vAlign w:val="center"/>
          </w:tcPr>
          <w:p w14:paraId="2C57B737"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95%</w:t>
            </w:r>
          </w:p>
        </w:tc>
        <w:tc>
          <w:tcPr>
            <w:tcW w:w="789" w:type="pct"/>
            <w:gridSpan w:val="2"/>
            <w:vAlign w:val="center"/>
          </w:tcPr>
          <w:p w14:paraId="3C1C80C3"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95%</w:t>
            </w:r>
          </w:p>
        </w:tc>
        <w:tc>
          <w:tcPr>
            <w:tcW w:w="751" w:type="pct"/>
            <w:vAlign w:val="center"/>
          </w:tcPr>
          <w:p w14:paraId="2C84932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95%</w:t>
            </w:r>
          </w:p>
        </w:tc>
        <w:tc>
          <w:tcPr>
            <w:tcW w:w="720" w:type="pct"/>
            <w:vAlign w:val="center"/>
          </w:tcPr>
          <w:p w14:paraId="750D2E1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95%</w:t>
            </w:r>
          </w:p>
        </w:tc>
        <w:tc>
          <w:tcPr>
            <w:tcW w:w="719" w:type="pct"/>
            <w:tcBorders>
              <w:right w:val="single" w:sz="4" w:space="0" w:color="auto"/>
            </w:tcBorders>
            <w:vAlign w:val="center"/>
          </w:tcPr>
          <w:p w14:paraId="15AEA8D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95%</w:t>
            </w:r>
          </w:p>
        </w:tc>
      </w:tr>
      <w:tr w:rsidR="00146165" w:rsidRPr="00AA19A8" w14:paraId="7E218C70" w14:textId="77777777" w:rsidTr="00924D5A">
        <w:tc>
          <w:tcPr>
            <w:tcW w:w="1133" w:type="pct"/>
            <w:tcBorders>
              <w:left w:val="single" w:sz="4" w:space="0" w:color="auto"/>
              <w:bottom w:val="single" w:sz="4" w:space="0" w:color="auto"/>
            </w:tcBorders>
          </w:tcPr>
          <w:p w14:paraId="741BFCD6"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867" w:type="pct"/>
            <w:gridSpan w:val="6"/>
            <w:tcBorders>
              <w:bottom w:val="single" w:sz="4" w:space="0" w:color="auto"/>
              <w:right w:val="single" w:sz="4" w:space="0" w:color="auto"/>
            </w:tcBorders>
          </w:tcPr>
          <w:p w14:paraId="70BF836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2%.</w:t>
            </w:r>
          </w:p>
        </w:tc>
      </w:tr>
    </w:tbl>
    <w:p w14:paraId="6815AC88" w14:textId="77777777" w:rsidR="00146165" w:rsidRPr="00AA19A8" w:rsidRDefault="00146165" w:rsidP="00146165">
      <w:pPr>
        <w:spacing w:after="120"/>
        <w:rPr>
          <w:rFonts w:ascii="Calibri" w:eastAsia="Times New Roman" w:hAnsi="Calibri" w:cs="Times New Roman"/>
          <w:b/>
          <w:bCs/>
          <w:lang w:val="sr-Cyrl-CS"/>
        </w:rPr>
      </w:pPr>
    </w:p>
    <w:p w14:paraId="2288C363"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2.1</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6539C8C0" w14:textId="77777777" w:rsidTr="00924D5A">
        <w:tc>
          <w:tcPr>
            <w:tcW w:w="1296" w:type="pct"/>
            <w:tcBorders>
              <w:top w:val="single" w:sz="4" w:space="0" w:color="auto"/>
              <w:left w:val="single" w:sz="4" w:space="0" w:color="auto"/>
            </w:tcBorders>
            <w:vAlign w:val="center"/>
          </w:tcPr>
          <w:p w14:paraId="73BC689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1E05F2A1"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остварене наплате у односу на одобрену буџетску процену (порез на доходак, порез на добит, бруто домаћи ПДВ, бруто акцизе)</w:t>
            </w:r>
          </w:p>
        </w:tc>
      </w:tr>
      <w:tr w:rsidR="00D30238" w:rsidRPr="00AA19A8" w14:paraId="6E3906B2" w14:textId="77777777" w:rsidTr="00924D5A">
        <w:tc>
          <w:tcPr>
            <w:tcW w:w="1296" w:type="pct"/>
            <w:tcBorders>
              <w:top w:val="single" w:sz="4" w:space="0" w:color="auto"/>
              <w:left w:val="single" w:sz="4" w:space="0" w:color="auto"/>
            </w:tcBorders>
          </w:tcPr>
          <w:p w14:paraId="74D76BC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074E9F11"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2.1</w:t>
            </w:r>
            <w:r w:rsidRPr="00AA19A8">
              <w:rPr>
                <w:rFonts w:ascii="Calibri" w:eastAsia="Calibri" w:hAnsi="Calibri" w:cs="Times New Roman"/>
                <w:lang w:val="sr-Cyrl-CS"/>
              </w:rPr>
              <w:t xml:space="preserve"> - Ефикасно прикупљање буџетских прихода који су у надлежности Пореске управе</w:t>
            </w:r>
          </w:p>
        </w:tc>
      </w:tr>
      <w:tr w:rsidR="00D30238" w:rsidRPr="00AA19A8" w14:paraId="433E181D" w14:textId="77777777" w:rsidTr="00924D5A">
        <w:tc>
          <w:tcPr>
            <w:tcW w:w="1296" w:type="pct"/>
            <w:tcBorders>
              <w:left w:val="single" w:sz="4" w:space="0" w:color="auto"/>
            </w:tcBorders>
          </w:tcPr>
          <w:p w14:paraId="1CC2CB5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78004316"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3D1AABD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300B7F46" w14:textId="77777777" w:rsidTr="00924D5A">
        <w:tc>
          <w:tcPr>
            <w:tcW w:w="1296" w:type="pct"/>
            <w:tcBorders>
              <w:left w:val="single" w:sz="4" w:space="0" w:color="auto"/>
            </w:tcBorders>
          </w:tcPr>
          <w:p w14:paraId="402FEA4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093C56A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6AD6085B"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1600955C" w14:textId="77777777" w:rsidTr="00924D5A">
        <w:tc>
          <w:tcPr>
            <w:tcW w:w="1296" w:type="pct"/>
            <w:tcBorders>
              <w:left w:val="single" w:sz="4" w:space="0" w:color="auto"/>
              <w:bottom w:val="single" w:sz="4" w:space="0" w:color="auto"/>
            </w:tcBorders>
          </w:tcPr>
          <w:p w14:paraId="441E6FC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5EB30CD8"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Закон о буџету и Извештај Пореске управе - </w:t>
            </w:r>
            <w:hyperlink r:id="rId21" w:history="1">
              <w:r w:rsidRPr="00AA19A8">
                <w:rPr>
                  <w:rFonts w:ascii="Calibri" w:eastAsia="Times New Roman" w:hAnsi="Calibri" w:cs="Times New Roman"/>
                  <w:bCs/>
                  <w:u w:val="single"/>
                  <w:lang w:val="sr-Cyrl-CS"/>
                </w:rPr>
                <w:t>https://mfin.gov.rs/propisi/zakoni/1</w:t>
              </w:r>
            </w:hyperlink>
            <w:r w:rsidRPr="00AA19A8">
              <w:rPr>
                <w:rFonts w:ascii="Calibri" w:eastAsia="Times New Roman" w:hAnsi="Calibri" w:cs="Times New Roman"/>
                <w:bCs/>
                <w:lang w:val="sr-Cyrl-CS"/>
              </w:rPr>
              <w:t xml:space="preserve"> и </w:t>
            </w:r>
            <w:hyperlink r:id="rId22" w:history="1">
              <w:r w:rsidRPr="00AA19A8">
                <w:rPr>
                  <w:rFonts w:ascii="Calibri" w:eastAsia="Times New Roman" w:hAnsi="Calibri" w:cs="Times New Roman"/>
                  <w:bCs/>
                  <w:u w:val="single"/>
                  <w:lang w:val="sr-Cyrl-CS"/>
                </w:rPr>
                <w:t>https://www.purs.gov.rs/o-nama/Izvestaj.html</w:t>
              </w:r>
            </w:hyperlink>
            <w:r w:rsidRPr="00AA19A8">
              <w:rPr>
                <w:rFonts w:ascii="Calibri" w:eastAsia="Times New Roman" w:hAnsi="Calibri" w:cs="Times New Roman"/>
                <w:bCs/>
                <w:lang w:val="sr-Cyrl-CS"/>
              </w:rPr>
              <w:t xml:space="preserve"> </w:t>
            </w:r>
          </w:p>
        </w:tc>
      </w:tr>
      <w:tr w:rsidR="00D30238" w:rsidRPr="00AA19A8" w14:paraId="57573BFB" w14:textId="77777777" w:rsidTr="00924D5A">
        <w:tc>
          <w:tcPr>
            <w:tcW w:w="1296" w:type="pct"/>
            <w:tcBorders>
              <w:left w:val="single" w:sz="4" w:space="0" w:color="auto"/>
              <w:bottom w:val="single" w:sz="4" w:space="0" w:color="auto"/>
            </w:tcBorders>
          </w:tcPr>
          <w:p w14:paraId="2F6EAA9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43921C5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 Пореска управа</w:t>
            </w:r>
          </w:p>
        </w:tc>
      </w:tr>
      <w:tr w:rsidR="00D30238" w:rsidRPr="00AA19A8" w14:paraId="068F3620" w14:textId="77777777" w:rsidTr="00924D5A">
        <w:tc>
          <w:tcPr>
            <w:tcW w:w="1296" w:type="pct"/>
            <w:tcBorders>
              <w:top w:val="single" w:sz="4" w:space="0" w:color="auto"/>
              <w:left w:val="single" w:sz="4" w:space="0" w:color="auto"/>
            </w:tcBorders>
          </w:tcPr>
          <w:p w14:paraId="48A4F35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Учесталост</w:t>
            </w:r>
          </w:p>
        </w:tc>
        <w:tc>
          <w:tcPr>
            <w:tcW w:w="3704" w:type="pct"/>
            <w:gridSpan w:val="6"/>
            <w:tcBorders>
              <w:top w:val="single" w:sz="4" w:space="0" w:color="auto"/>
              <w:right w:val="single" w:sz="4" w:space="0" w:color="auto"/>
            </w:tcBorders>
          </w:tcPr>
          <w:p w14:paraId="7B18EED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јануару текуће године за претходну.</w:t>
            </w:r>
          </w:p>
        </w:tc>
      </w:tr>
      <w:tr w:rsidR="00D30238" w:rsidRPr="00AA19A8" w14:paraId="1FAA4A88" w14:textId="77777777" w:rsidTr="00924D5A">
        <w:trPr>
          <w:trHeight w:val="1181"/>
        </w:trPr>
        <w:tc>
          <w:tcPr>
            <w:tcW w:w="1296" w:type="pct"/>
            <w:tcBorders>
              <w:left w:val="single" w:sz="4" w:space="0" w:color="auto"/>
              <w:bottom w:val="single" w:sz="6" w:space="0" w:color="auto"/>
            </w:tcBorders>
          </w:tcPr>
          <w:p w14:paraId="3F1C2DE3"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3719232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5A663FCC" w14:textId="22C608BF"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Times New Roman"/>
                <w:lang w:val="sr-Cyrl-CS"/>
              </w:rPr>
              <w:t>Показатељ указује на проценат остварене наплате пореза у односу на одобрену буџетску процену која подразумева порез на доходак, порез на добит, бруто домаћи порез на додату вредност и акцизе. Остварена наплата која одговара пројектованој указује на ефикасан систем прикупљања буџетских прихода и тиме доприноси ефикасности целокупног система јавних финансија</w:t>
            </w:r>
          </w:p>
        </w:tc>
      </w:tr>
      <w:tr w:rsidR="00D30238" w:rsidRPr="00AA19A8" w14:paraId="18F0E551" w14:textId="77777777" w:rsidTr="00924D5A">
        <w:tc>
          <w:tcPr>
            <w:tcW w:w="1296" w:type="pct"/>
            <w:vMerge w:val="restart"/>
            <w:tcBorders>
              <w:top w:val="single" w:sz="6" w:space="0" w:color="auto"/>
              <w:left w:val="single" w:sz="4" w:space="0" w:color="auto"/>
            </w:tcBorders>
          </w:tcPr>
          <w:p w14:paraId="62F9F994"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2AE8891F"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35E1226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727896B1" w14:textId="77777777" w:rsidTr="00924D5A">
        <w:tc>
          <w:tcPr>
            <w:tcW w:w="1296" w:type="pct"/>
            <w:vMerge/>
            <w:tcBorders>
              <w:left w:val="single" w:sz="4" w:space="0" w:color="auto"/>
            </w:tcBorders>
          </w:tcPr>
          <w:p w14:paraId="6C9A147D" w14:textId="77777777" w:rsidR="00146165" w:rsidRPr="00AA19A8" w:rsidRDefault="00146165" w:rsidP="00146165">
            <w:pPr>
              <w:spacing w:before="0"/>
              <w:rPr>
                <w:rFonts w:ascii="Calibri" w:eastAsia="Calibri" w:hAnsi="Calibri" w:cs="Times New Roman"/>
                <w:b/>
                <w:lang w:val="sr-Cyrl-CS"/>
              </w:rPr>
            </w:pPr>
          </w:p>
        </w:tc>
        <w:tc>
          <w:tcPr>
            <w:tcW w:w="755" w:type="pct"/>
          </w:tcPr>
          <w:p w14:paraId="6E10E4D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1928CA0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4CDB3CF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11BFBCE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03BFDC7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00A8D4E6" w14:textId="77777777" w:rsidTr="00924D5A">
        <w:tc>
          <w:tcPr>
            <w:tcW w:w="1296" w:type="pct"/>
            <w:vMerge/>
            <w:tcBorders>
              <w:left w:val="single" w:sz="4" w:space="0" w:color="auto"/>
            </w:tcBorders>
          </w:tcPr>
          <w:p w14:paraId="1739F49F" w14:textId="77777777" w:rsidR="00146165" w:rsidRPr="00AA19A8" w:rsidRDefault="00146165" w:rsidP="00146165">
            <w:pPr>
              <w:spacing w:before="0"/>
              <w:rPr>
                <w:rFonts w:ascii="Calibri" w:eastAsia="Calibri" w:hAnsi="Calibri" w:cs="Times New Roman"/>
                <w:b/>
                <w:lang w:val="sr-Cyrl-CS"/>
              </w:rPr>
            </w:pPr>
          </w:p>
        </w:tc>
        <w:tc>
          <w:tcPr>
            <w:tcW w:w="755" w:type="pct"/>
          </w:tcPr>
          <w:p w14:paraId="256A360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110%</w:t>
            </w:r>
          </w:p>
        </w:tc>
        <w:tc>
          <w:tcPr>
            <w:tcW w:w="673" w:type="pct"/>
          </w:tcPr>
          <w:p w14:paraId="76A7823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109,7%</w:t>
            </w:r>
          </w:p>
        </w:tc>
        <w:tc>
          <w:tcPr>
            <w:tcW w:w="582" w:type="pct"/>
            <w:gridSpan w:val="2"/>
          </w:tcPr>
          <w:p w14:paraId="133B190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107,6%</w:t>
            </w:r>
          </w:p>
        </w:tc>
        <w:tc>
          <w:tcPr>
            <w:tcW w:w="585" w:type="pct"/>
          </w:tcPr>
          <w:p w14:paraId="5D3BD91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109,4%</w:t>
            </w:r>
          </w:p>
        </w:tc>
        <w:tc>
          <w:tcPr>
            <w:tcW w:w="1109" w:type="pct"/>
            <w:tcBorders>
              <w:right w:val="single" w:sz="4" w:space="0" w:color="auto"/>
            </w:tcBorders>
          </w:tcPr>
          <w:p w14:paraId="5C032B8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10</w:t>
            </w:r>
            <w:r w:rsidR="00A02F70" w:rsidRPr="00AA19A8">
              <w:rPr>
                <w:rFonts w:ascii="Calibri" w:eastAsia="Calibri" w:hAnsi="Calibri" w:cs="Times New Roman"/>
                <w:bCs/>
                <w:lang w:val="sr-Cyrl-CS"/>
              </w:rPr>
              <w:t>4,4</w:t>
            </w:r>
            <w:r w:rsidRPr="00AA19A8">
              <w:rPr>
                <w:rFonts w:ascii="Calibri" w:eastAsia="Calibri" w:hAnsi="Calibri" w:cs="Times New Roman"/>
                <w:bCs/>
                <w:lang w:val="sr-Cyrl-CS"/>
              </w:rPr>
              <w:t>%</w:t>
            </w:r>
          </w:p>
        </w:tc>
      </w:tr>
      <w:tr w:rsidR="00D30238" w:rsidRPr="00AA19A8" w14:paraId="4945293F" w14:textId="77777777" w:rsidTr="00924D5A">
        <w:tc>
          <w:tcPr>
            <w:tcW w:w="1296" w:type="pct"/>
            <w:vMerge w:val="restart"/>
            <w:tcBorders>
              <w:left w:val="single" w:sz="4" w:space="0" w:color="auto"/>
            </w:tcBorders>
          </w:tcPr>
          <w:p w14:paraId="67FC37A5"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51EFA8B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7227FF0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03703A4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0378F4F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52595CA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5777B12E" w14:textId="77777777" w:rsidTr="00924D5A">
        <w:tc>
          <w:tcPr>
            <w:tcW w:w="1296" w:type="pct"/>
            <w:vMerge/>
            <w:tcBorders>
              <w:left w:val="single" w:sz="4" w:space="0" w:color="auto"/>
            </w:tcBorders>
          </w:tcPr>
          <w:p w14:paraId="7D4C2BE7"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6E3D2AD6"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673" w:type="pct"/>
            <w:vAlign w:val="center"/>
          </w:tcPr>
          <w:p w14:paraId="3BA13F9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582" w:type="pct"/>
            <w:gridSpan w:val="2"/>
            <w:vAlign w:val="center"/>
          </w:tcPr>
          <w:p w14:paraId="34105FD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585" w:type="pct"/>
            <w:vAlign w:val="center"/>
          </w:tcPr>
          <w:p w14:paraId="73397D7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1109" w:type="pct"/>
            <w:tcBorders>
              <w:right w:val="single" w:sz="4" w:space="0" w:color="auto"/>
            </w:tcBorders>
            <w:vAlign w:val="center"/>
          </w:tcPr>
          <w:p w14:paraId="7F90221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r>
      <w:tr w:rsidR="00146165" w:rsidRPr="00AA19A8" w14:paraId="6E137D6B" w14:textId="77777777" w:rsidTr="00924D5A">
        <w:tc>
          <w:tcPr>
            <w:tcW w:w="1296" w:type="pct"/>
            <w:tcBorders>
              <w:left w:val="single" w:sz="4" w:space="0" w:color="auto"/>
              <w:bottom w:val="single" w:sz="4" w:space="0" w:color="auto"/>
            </w:tcBorders>
          </w:tcPr>
          <w:p w14:paraId="25D504CF"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78263D88"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10%.</w:t>
            </w:r>
          </w:p>
        </w:tc>
      </w:tr>
    </w:tbl>
    <w:p w14:paraId="7CBF6B2D" w14:textId="77777777" w:rsidR="00146165" w:rsidRPr="00AA19A8" w:rsidRDefault="00146165" w:rsidP="00146165">
      <w:pPr>
        <w:spacing w:after="120"/>
        <w:rPr>
          <w:rFonts w:ascii="Calibri" w:eastAsia="Times New Roman" w:hAnsi="Calibri" w:cs="Times New Roman"/>
          <w:b/>
          <w:bCs/>
          <w:lang w:val="sr-Cyrl-CS"/>
        </w:rPr>
      </w:pPr>
    </w:p>
    <w:p w14:paraId="567FA08C"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2.2</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232B6982" w14:textId="77777777" w:rsidTr="00924D5A">
        <w:tc>
          <w:tcPr>
            <w:tcW w:w="1296" w:type="pct"/>
            <w:tcBorders>
              <w:top w:val="single" w:sz="4" w:space="0" w:color="auto"/>
              <w:left w:val="single" w:sz="4" w:space="0" w:color="auto"/>
            </w:tcBorders>
            <w:vAlign w:val="center"/>
          </w:tcPr>
          <w:p w14:paraId="793EF6C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7F8EC513"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привредних субјеката који електронски подносе извештаје путем портала</w:t>
            </w:r>
          </w:p>
        </w:tc>
      </w:tr>
      <w:tr w:rsidR="00D30238" w:rsidRPr="00AA19A8" w14:paraId="7D104E65" w14:textId="77777777" w:rsidTr="00924D5A">
        <w:tc>
          <w:tcPr>
            <w:tcW w:w="1296" w:type="pct"/>
            <w:tcBorders>
              <w:top w:val="single" w:sz="4" w:space="0" w:color="auto"/>
              <w:left w:val="single" w:sz="4" w:space="0" w:color="auto"/>
            </w:tcBorders>
          </w:tcPr>
          <w:p w14:paraId="537B609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3F355BD2"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2.2</w:t>
            </w:r>
            <w:r w:rsidRPr="00AA19A8">
              <w:rPr>
                <w:rFonts w:ascii="Calibri" w:eastAsia="Calibri" w:hAnsi="Calibri" w:cs="Times New Roman"/>
                <w:lang w:val="sr-Cyrl-CS"/>
              </w:rPr>
              <w:t xml:space="preserve"> - Смањење административног оптерећења и унапређење ефикасности пружања електронских услуга у надлежности Управе за дуван</w:t>
            </w:r>
          </w:p>
        </w:tc>
      </w:tr>
      <w:tr w:rsidR="00D30238" w:rsidRPr="00AA19A8" w14:paraId="25586F43" w14:textId="77777777" w:rsidTr="00924D5A">
        <w:tc>
          <w:tcPr>
            <w:tcW w:w="1296" w:type="pct"/>
            <w:tcBorders>
              <w:left w:val="single" w:sz="4" w:space="0" w:color="auto"/>
            </w:tcBorders>
          </w:tcPr>
          <w:p w14:paraId="759C60F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B41C41F"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750D96A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2F0B2C09" w14:textId="77777777" w:rsidTr="00924D5A">
        <w:tc>
          <w:tcPr>
            <w:tcW w:w="1296" w:type="pct"/>
            <w:tcBorders>
              <w:left w:val="single" w:sz="4" w:space="0" w:color="auto"/>
            </w:tcBorders>
          </w:tcPr>
          <w:p w14:paraId="4CB12FF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448ABDCC"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19A0207D"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5114BCE9" w14:textId="77777777" w:rsidTr="00924D5A">
        <w:tc>
          <w:tcPr>
            <w:tcW w:w="1296" w:type="pct"/>
            <w:tcBorders>
              <w:left w:val="single" w:sz="4" w:space="0" w:color="auto"/>
              <w:bottom w:val="single" w:sz="4" w:space="0" w:color="auto"/>
            </w:tcBorders>
          </w:tcPr>
          <w:p w14:paraId="5AA519D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0ADCBB9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Портал за електронско подношење извештаја од стране привредних субјеката -  </w:t>
            </w:r>
            <w:hyperlink r:id="rId23" w:history="1">
              <w:r w:rsidRPr="00AA19A8">
                <w:rPr>
                  <w:rFonts w:ascii="Calibri" w:eastAsia="Times New Roman" w:hAnsi="Calibri" w:cs="Times New Roman"/>
                  <w:bCs/>
                  <w:u w:val="single"/>
                  <w:lang w:val="sr-Cyrl-CS"/>
                </w:rPr>
                <w:t>https://portal.duvan.gov.rs</w:t>
              </w:r>
            </w:hyperlink>
          </w:p>
        </w:tc>
      </w:tr>
      <w:tr w:rsidR="00D30238" w:rsidRPr="00AA19A8" w14:paraId="6676E87F" w14:textId="77777777" w:rsidTr="00924D5A">
        <w:tc>
          <w:tcPr>
            <w:tcW w:w="1296" w:type="pct"/>
            <w:tcBorders>
              <w:left w:val="single" w:sz="4" w:space="0" w:color="auto"/>
              <w:bottom w:val="single" w:sz="4" w:space="0" w:color="auto"/>
            </w:tcBorders>
          </w:tcPr>
          <w:p w14:paraId="23A00D9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4E351BC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за дуван</w:t>
            </w:r>
          </w:p>
        </w:tc>
      </w:tr>
      <w:tr w:rsidR="00D30238" w:rsidRPr="00AA19A8" w14:paraId="0D5A1674" w14:textId="77777777" w:rsidTr="00924D5A">
        <w:tc>
          <w:tcPr>
            <w:tcW w:w="1296" w:type="pct"/>
            <w:tcBorders>
              <w:top w:val="single" w:sz="4" w:space="0" w:color="auto"/>
              <w:left w:val="single" w:sz="4" w:space="0" w:color="auto"/>
            </w:tcBorders>
          </w:tcPr>
          <w:p w14:paraId="7AC2361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07A2D88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Квартално, полугодишње и годишње у текућој години за претходну годину</w:t>
            </w:r>
          </w:p>
        </w:tc>
      </w:tr>
      <w:tr w:rsidR="00D30238" w:rsidRPr="00AA19A8" w14:paraId="54E7DAAE" w14:textId="77777777" w:rsidTr="00924D5A">
        <w:trPr>
          <w:trHeight w:val="1181"/>
        </w:trPr>
        <w:tc>
          <w:tcPr>
            <w:tcW w:w="1296" w:type="pct"/>
            <w:tcBorders>
              <w:left w:val="single" w:sz="4" w:space="0" w:color="auto"/>
              <w:bottom w:val="single" w:sz="6" w:space="0" w:color="auto"/>
            </w:tcBorders>
          </w:tcPr>
          <w:p w14:paraId="541C1E55"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55C4739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6C92C04A"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Times New Roman"/>
                <w:lang w:val="sr-Cyrl-CS"/>
              </w:rPr>
              <w:t xml:space="preserve">Показатељ указује на повећање коришћења електронских услуга Управе за дуван од стране привредних субјеката који послују на тржишту дувана, дуванских и сродних производа. Очекује се да ће повећање коришћења електронских услуга на ширем плану допринети повећању квалитета услуга </w:t>
            </w:r>
            <w:r w:rsidRPr="00AA19A8">
              <w:rPr>
                <w:rFonts w:ascii="Calibri" w:eastAsia="Times New Roman" w:hAnsi="Calibri" w:cs="Times New Roman"/>
                <w:lang w:val="sr-Cyrl-CS"/>
              </w:rPr>
              <w:lastRenderedPageBreak/>
              <w:t>које Управа за дуван пружа, чиме би се обезбедило ефикасније прикупљање буџетских средстава.</w:t>
            </w:r>
          </w:p>
        </w:tc>
      </w:tr>
      <w:tr w:rsidR="00D30238" w:rsidRPr="00AA19A8" w14:paraId="78597392" w14:textId="77777777" w:rsidTr="00924D5A">
        <w:tc>
          <w:tcPr>
            <w:tcW w:w="1296" w:type="pct"/>
            <w:vMerge w:val="restart"/>
            <w:tcBorders>
              <w:top w:val="single" w:sz="6" w:space="0" w:color="auto"/>
              <w:left w:val="single" w:sz="4" w:space="0" w:color="auto"/>
            </w:tcBorders>
          </w:tcPr>
          <w:p w14:paraId="5DBD3288"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lastRenderedPageBreak/>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3E4865C5"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7A7512A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1BD210F8" w14:textId="77777777" w:rsidTr="00924D5A">
        <w:tc>
          <w:tcPr>
            <w:tcW w:w="1296" w:type="pct"/>
            <w:vMerge/>
            <w:tcBorders>
              <w:left w:val="single" w:sz="4" w:space="0" w:color="auto"/>
            </w:tcBorders>
          </w:tcPr>
          <w:p w14:paraId="1AB39F41" w14:textId="77777777" w:rsidR="00146165" w:rsidRPr="00AA19A8" w:rsidRDefault="00146165" w:rsidP="00146165">
            <w:pPr>
              <w:spacing w:before="0"/>
              <w:rPr>
                <w:rFonts w:ascii="Calibri" w:eastAsia="Calibri" w:hAnsi="Calibri" w:cs="Times New Roman"/>
                <w:b/>
                <w:lang w:val="sr-Cyrl-CS"/>
              </w:rPr>
            </w:pPr>
          </w:p>
        </w:tc>
        <w:tc>
          <w:tcPr>
            <w:tcW w:w="755" w:type="pct"/>
          </w:tcPr>
          <w:p w14:paraId="77F133C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7B5CA88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2CBAC68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145EB70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10A16CA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648A9BE9" w14:textId="77777777" w:rsidTr="00924D5A">
        <w:tc>
          <w:tcPr>
            <w:tcW w:w="1296" w:type="pct"/>
            <w:vMerge/>
            <w:tcBorders>
              <w:left w:val="single" w:sz="4" w:space="0" w:color="auto"/>
            </w:tcBorders>
          </w:tcPr>
          <w:p w14:paraId="64E1CCD0" w14:textId="77777777" w:rsidR="00146165" w:rsidRPr="00AA19A8" w:rsidRDefault="00146165" w:rsidP="00146165">
            <w:pPr>
              <w:spacing w:before="0"/>
              <w:rPr>
                <w:rFonts w:ascii="Calibri" w:eastAsia="Calibri" w:hAnsi="Calibri" w:cs="Times New Roman"/>
                <w:b/>
                <w:lang w:val="sr-Cyrl-CS"/>
              </w:rPr>
            </w:pPr>
          </w:p>
        </w:tc>
        <w:tc>
          <w:tcPr>
            <w:tcW w:w="755" w:type="pct"/>
          </w:tcPr>
          <w:p w14:paraId="457B35C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w:t>
            </w:r>
          </w:p>
        </w:tc>
        <w:tc>
          <w:tcPr>
            <w:tcW w:w="673" w:type="pct"/>
          </w:tcPr>
          <w:p w14:paraId="22CB1AE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40%</w:t>
            </w:r>
          </w:p>
        </w:tc>
        <w:tc>
          <w:tcPr>
            <w:tcW w:w="582" w:type="pct"/>
            <w:gridSpan w:val="2"/>
          </w:tcPr>
          <w:p w14:paraId="64D4540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60%</w:t>
            </w:r>
          </w:p>
        </w:tc>
        <w:tc>
          <w:tcPr>
            <w:tcW w:w="585" w:type="pct"/>
          </w:tcPr>
          <w:p w14:paraId="40A791C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60%</w:t>
            </w:r>
          </w:p>
        </w:tc>
        <w:tc>
          <w:tcPr>
            <w:tcW w:w="1109" w:type="pct"/>
            <w:tcBorders>
              <w:right w:val="single" w:sz="4" w:space="0" w:color="auto"/>
            </w:tcBorders>
          </w:tcPr>
          <w:p w14:paraId="778FD92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60%</w:t>
            </w:r>
          </w:p>
        </w:tc>
      </w:tr>
      <w:tr w:rsidR="00D30238" w:rsidRPr="00AA19A8" w14:paraId="738224A0" w14:textId="77777777" w:rsidTr="00924D5A">
        <w:tc>
          <w:tcPr>
            <w:tcW w:w="1296" w:type="pct"/>
            <w:vMerge w:val="restart"/>
            <w:tcBorders>
              <w:left w:val="single" w:sz="4" w:space="0" w:color="auto"/>
            </w:tcBorders>
          </w:tcPr>
          <w:p w14:paraId="348C257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7F862EA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59B9AAF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42E1ADC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66D3E35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69C6323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149A52C7" w14:textId="77777777" w:rsidTr="00924D5A">
        <w:tc>
          <w:tcPr>
            <w:tcW w:w="1296" w:type="pct"/>
            <w:vMerge/>
            <w:tcBorders>
              <w:left w:val="single" w:sz="4" w:space="0" w:color="auto"/>
            </w:tcBorders>
          </w:tcPr>
          <w:p w14:paraId="62C3FF7D"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142D57DF"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70%</w:t>
            </w:r>
          </w:p>
        </w:tc>
        <w:tc>
          <w:tcPr>
            <w:tcW w:w="673" w:type="pct"/>
            <w:vAlign w:val="center"/>
          </w:tcPr>
          <w:p w14:paraId="2A90CA59"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582" w:type="pct"/>
            <w:gridSpan w:val="2"/>
            <w:vAlign w:val="center"/>
          </w:tcPr>
          <w:p w14:paraId="0FAF84F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585" w:type="pct"/>
            <w:vAlign w:val="center"/>
          </w:tcPr>
          <w:p w14:paraId="5B8D8A6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1109" w:type="pct"/>
            <w:tcBorders>
              <w:right w:val="single" w:sz="4" w:space="0" w:color="auto"/>
            </w:tcBorders>
            <w:vAlign w:val="center"/>
          </w:tcPr>
          <w:p w14:paraId="600400A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r>
      <w:tr w:rsidR="00146165" w:rsidRPr="00AA19A8" w14:paraId="3D53F382" w14:textId="77777777" w:rsidTr="00924D5A">
        <w:tc>
          <w:tcPr>
            <w:tcW w:w="1296" w:type="pct"/>
            <w:tcBorders>
              <w:left w:val="single" w:sz="4" w:space="0" w:color="auto"/>
              <w:bottom w:val="single" w:sz="4" w:space="0" w:color="auto"/>
            </w:tcBorders>
          </w:tcPr>
          <w:p w14:paraId="7F6647AC"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11D89835"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5%.</w:t>
            </w:r>
          </w:p>
        </w:tc>
      </w:tr>
    </w:tbl>
    <w:p w14:paraId="58B19C4A" w14:textId="77777777" w:rsidR="00146165" w:rsidRPr="00AA19A8" w:rsidRDefault="00146165" w:rsidP="00146165">
      <w:pPr>
        <w:spacing w:after="120"/>
        <w:rPr>
          <w:rFonts w:ascii="Calibri" w:eastAsia="Times New Roman" w:hAnsi="Calibri" w:cs="Times New Roman"/>
          <w:b/>
          <w:bCs/>
          <w:lang w:val="sr-Cyrl-CS"/>
        </w:rPr>
      </w:pPr>
    </w:p>
    <w:p w14:paraId="30C5A976"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2.3</w:t>
      </w:r>
    </w:p>
    <w:tbl>
      <w:tblPr>
        <w:tblW w:w="5064"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31"/>
        <w:gridCol w:w="1408"/>
        <w:gridCol w:w="1476"/>
        <w:gridCol w:w="64"/>
        <w:gridCol w:w="1585"/>
        <w:gridCol w:w="1129"/>
        <w:gridCol w:w="1238"/>
      </w:tblGrid>
      <w:tr w:rsidR="00D30238" w:rsidRPr="00AA19A8" w14:paraId="35A215AF" w14:textId="77777777" w:rsidTr="00924D5A">
        <w:tc>
          <w:tcPr>
            <w:tcW w:w="1222" w:type="pct"/>
            <w:tcBorders>
              <w:top w:val="single" w:sz="4" w:space="0" w:color="auto"/>
              <w:left w:val="single" w:sz="4" w:space="0" w:color="auto"/>
            </w:tcBorders>
            <w:vAlign w:val="center"/>
          </w:tcPr>
          <w:p w14:paraId="2A02E0E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78" w:type="pct"/>
            <w:gridSpan w:val="6"/>
            <w:tcBorders>
              <w:top w:val="single" w:sz="4" w:space="0" w:color="auto"/>
              <w:right w:val="single" w:sz="4" w:space="0" w:color="auto"/>
            </w:tcBorders>
            <w:vAlign w:val="center"/>
          </w:tcPr>
          <w:p w14:paraId="4B7A808A"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остварене наплате царинских дажбина у односу на пројектовану буџетску процену</w:t>
            </w:r>
          </w:p>
        </w:tc>
      </w:tr>
      <w:tr w:rsidR="00D30238" w:rsidRPr="00AA19A8" w14:paraId="125A4093" w14:textId="77777777" w:rsidTr="00924D5A">
        <w:tc>
          <w:tcPr>
            <w:tcW w:w="1222" w:type="pct"/>
            <w:tcBorders>
              <w:top w:val="single" w:sz="4" w:space="0" w:color="auto"/>
              <w:left w:val="single" w:sz="4" w:space="0" w:color="auto"/>
            </w:tcBorders>
          </w:tcPr>
          <w:p w14:paraId="2626B57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78" w:type="pct"/>
            <w:gridSpan w:val="6"/>
            <w:tcBorders>
              <w:top w:val="single" w:sz="4" w:space="0" w:color="auto"/>
              <w:right w:val="single" w:sz="4" w:space="0" w:color="auto"/>
            </w:tcBorders>
          </w:tcPr>
          <w:p w14:paraId="360C565F"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2.3</w:t>
            </w:r>
            <w:r w:rsidRPr="00AA19A8">
              <w:rPr>
                <w:rFonts w:ascii="Calibri" w:eastAsia="Calibri" w:hAnsi="Calibri" w:cs="Times New Roman"/>
                <w:lang w:val="sr-Cyrl-CS"/>
              </w:rPr>
              <w:t xml:space="preserve"> - Јачање административних капацитета Управе царина</w:t>
            </w:r>
          </w:p>
        </w:tc>
      </w:tr>
      <w:tr w:rsidR="00D30238" w:rsidRPr="00AA19A8" w14:paraId="466548C2" w14:textId="77777777" w:rsidTr="00924D5A">
        <w:tc>
          <w:tcPr>
            <w:tcW w:w="1222" w:type="pct"/>
            <w:tcBorders>
              <w:left w:val="single" w:sz="4" w:space="0" w:color="auto"/>
            </w:tcBorders>
          </w:tcPr>
          <w:p w14:paraId="2B6BF48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614" w:type="pct"/>
            <w:gridSpan w:val="3"/>
            <w:tcBorders>
              <w:right w:val="single" w:sz="4" w:space="0" w:color="auto"/>
            </w:tcBorders>
          </w:tcPr>
          <w:p w14:paraId="6790066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164" w:type="pct"/>
            <w:gridSpan w:val="3"/>
            <w:tcBorders>
              <w:right w:val="single" w:sz="4" w:space="0" w:color="auto"/>
            </w:tcBorders>
          </w:tcPr>
          <w:p w14:paraId="1B527BD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4982C666" w14:textId="77777777" w:rsidTr="00924D5A">
        <w:tc>
          <w:tcPr>
            <w:tcW w:w="1222" w:type="pct"/>
            <w:tcBorders>
              <w:left w:val="single" w:sz="4" w:space="0" w:color="auto"/>
            </w:tcBorders>
          </w:tcPr>
          <w:p w14:paraId="36A5250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614" w:type="pct"/>
            <w:gridSpan w:val="3"/>
            <w:tcBorders>
              <w:right w:val="single" w:sz="4" w:space="0" w:color="auto"/>
            </w:tcBorders>
          </w:tcPr>
          <w:p w14:paraId="788A3C4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164" w:type="pct"/>
            <w:gridSpan w:val="3"/>
            <w:tcBorders>
              <w:right w:val="single" w:sz="4" w:space="0" w:color="auto"/>
            </w:tcBorders>
            <w:vAlign w:val="center"/>
          </w:tcPr>
          <w:p w14:paraId="6A368B16"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739C3699" w14:textId="77777777" w:rsidTr="00924D5A">
        <w:tc>
          <w:tcPr>
            <w:tcW w:w="1222" w:type="pct"/>
            <w:tcBorders>
              <w:left w:val="single" w:sz="4" w:space="0" w:color="auto"/>
              <w:bottom w:val="single" w:sz="4" w:space="0" w:color="auto"/>
            </w:tcBorders>
          </w:tcPr>
          <w:p w14:paraId="3902171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78" w:type="pct"/>
            <w:gridSpan w:val="6"/>
            <w:tcBorders>
              <w:bottom w:val="single" w:sz="4" w:space="0" w:color="auto"/>
              <w:right w:val="single" w:sz="4" w:space="0" w:color="auto"/>
            </w:tcBorders>
          </w:tcPr>
          <w:p w14:paraId="203D882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Закон о буџету - </w:t>
            </w:r>
            <w:hyperlink r:id="rId24" w:history="1">
              <w:r w:rsidRPr="00AA19A8">
                <w:rPr>
                  <w:rFonts w:ascii="Calibri" w:eastAsia="Times New Roman" w:hAnsi="Calibri" w:cs="Times New Roman"/>
                  <w:bCs/>
                  <w:u w:val="single"/>
                  <w:lang w:val="sr-Cyrl-CS"/>
                </w:rPr>
                <w:t>https://mfin.gov.rs/propisi/zakoni/1</w:t>
              </w:r>
            </w:hyperlink>
            <w:r w:rsidRPr="00AA19A8">
              <w:rPr>
                <w:rFonts w:ascii="Calibri" w:eastAsia="Times New Roman" w:hAnsi="Calibri" w:cs="Times New Roman"/>
                <w:bCs/>
                <w:lang w:val="sr-Cyrl-CS"/>
              </w:rPr>
              <w:t xml:space="preserve"> </w:t>
            </w:r>
          </w:p>
        </w:tc>
      </w:tr>
      <w:tr w:rsidR="00D30238" w:rsidRPr="00AA19A8" w14:paraId="427E561D" w14:textId="77777777" w:rsidTr="00924D5A">
        <w:tc>
          <w:tcPr>
            <w:tcW w:w="1222" w:type="pct"/>
            <w:tcBorders>
              <w:left w:val="single" w:sz="4" w:space="0" w:color="auto"/>
              <w:bottom w:val="single" w:sz="4" w:space="0" w:color="auto"/>
            </w:tcBorders>
          </w:tcPr>
          <w:p w14:paraId="4AE778E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78" w:type="pct"/>
            <w:gridSpan w:val="6"/>
            <w:tcBorders>
              <w:bottom w:val="single" w:sz="4" w:space="0" w:color="auto"/>
              <w:right w:val="single" w:sz="4" w:space="0" w:color="auto"/>
            </w:tcBorders>
          </w:tcPr>
          <w:p w14:paraId="2D16105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царина</w:t>
            </w:r>
          </w:p>
        </w:tc>
      </w:tr>
      <w:tr w:rsidR="00D30238" w:rsidRPr="00AA19A8" w14:paraId="0DF4F509" w14:textId="77777777" w:rsidTr="00924D5A">
        <w:tc>
          <w:tcPr>
            <w:tcW w:w="1222" w:type="pct"/>
            <w:tcBorders>
              <w:top w:val="single" w:sz="4" w:space="0" w:color="auto"/>
              <w:left w:val="single" w:sz="4" w:space="0" w:color="auto"/>
            </w:tcBorders>
          </w:tcPr>
          <w:p w14:paraId="03BA755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78" w:type="pct"/>
            <w:gridSpan w:val="6"/>
            <w:tcBorders>
              <w:top w:val="single" w:sz="4" w:space="0" w:color="auto"/>
              <w:right w:val="single" w:sz="4" w:space="0" w:color="auto"/>
            </w:tcBorders>
          </w:tcPr>
          <w:p w14:paraId="23339C0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218F8BD1" w14:textId="77777777" w:rsidTr="00924D5A">
        <w:trPr>
          <w:trHeight w:val="1181"/>
        </w:trPr>
        <w:tc>
          <w:tcPr>
            <w:tcW w:w="1222" w:type="pct"/>
            <w:tcBorders>
              <w:left w:val="single" w:sz="4" w:space="0" w:color="auto"/>
              <w:bottom w:val="single" w:sz="6" w:space="0" w:color="auto"/>
            </w:tcBorders>
          </w:tcPr>
          <w:p w14:paraId="09691ADD"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2038336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78" w:type="pct"/>
            <w:gridSpan w:val="6"/>
            <w:tcBorders>
              <w:right w:val="single" w:sz="4" w:space="0" w:color="auto"/>
            </w:tcBorders>
          </w:tcPr>
          <w:p w14:paraId="2719BDB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прати остварену наплату царинских дажбина у односу на пројектовану буџетску процену за календарску годину.</w:t>
            </w:r>
          </w:p>
        </w:tc>
      </w:tr>
      <w:tr w:rsidR="00D30238" w:rsidRPr="00AA19A8" w14:paraId="5103749E" w14:textId="77777777" w:rsidTr="00924D5A">
        <w:tc>
          <w:tcPr>
            <w:tcW w:w="1222" w:type="pct"/>
            <w:vMerge w:val="restart"/>
            <w:tcBorders>
              <w:top w:val="single" w:sz="6" w:space="0" w:color="auto"/>
              <w:left w:val="single" w:sz="4" w:space="0" w:color="auto"/>
            </w:tcBorders>
          </w:tcPr>
          <w:p w14:paraId="1AF39A35"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482" w:type="pct"/>
            <w:gridSpan w:val="4"/>
            <w:tcBorders>
              <w:top w:val="single" w:sz="6" w:space="0" w:color="auto"/>
            </w:tcBorders>
            <w:vAlign w:val="center"/>
          </w:tcPr>
          <w:p w14:paraId="0E6FAF76"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296" w:type="pct"/>
            <w:gridSpan w:val="2"/>
            <w:tcBorders>
              <w:top w:val="single" w:sz="6" w:space="0" w:color="auto"/>
              <w:right w:val="single" w:sz="4" w:space="0" w:color="auto"/>
            </w:tcBorders>
            <w:vAlign w:val="center"/>
          </w:tcPr>
          <w:p w14:paraId="6DAAEAE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58FD438" w14:textId="77777777" w:rsidTr="00924D5A">
        <w:tc>
          <w:tcPr>
            <w:tcW w:w="1222" w:type="pct"/>
            <w:vMerge/>
            <w:tcBorders>
              <w:left w:val="single" w:sz="4" w:space="0" w:color="auto"/>
            </w:tcBorders>
          </w:tcPr>
          <w:p w14:paraId="0C9DA83E" w14:textId="77777777" w:rsidR="00146165" w:rsidRPr="00AA19A8" w:rsidRDefault="00146165" w:rsidP="00146165">
            <w:pPr>
              <w:spacing w:before="0"/>
              <w:rPr>
                <w:rFonts w:ascii="Calibri" w:eastAsia="Calibri" w:hAnsi="Calibri" w:cs="Times New Roman"/>
                <w:b/>
                <w:lang w:val="sr-Cyrl-CS"/>
              </w:rPr>
            </w:pPr>
          </w:p>
        </w:tc>
        <w:tc>
          <w:tcPr>
            <w:tcW w:w="771" w:type="pct"/>
          </w:tcPr>
          <w:p w14:paraId="174C1A0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808" w:type="pct"/>
          </w:tcPr>
          <w:p w14:paraId="5D8E7D2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903" w:type="pct"/>
            <w:gridSpan w:val="2"/>
          </w:tcPr>
          <w:p w14:paraId="3E63B3A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296" w:type="pct"/>
            <w:gridSpan w:val="2"/>
            <w:tcBorders>
              <w:right w:val="single" w:sz="4" w:space="0" w:color="auto"/>
            </w:tcBorders>
          </w:tcPr>
          <w:p w14:paraId="11F0FFB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r>
      <w:tr w:rsidR="00D30238" w:rsidRPr="00AA19A8" w14:paraId="0711AC7C" w14:textId="77777777" w:rsidTr="00924D5A">
        <w:tc>
          <w:tcPr>
            <w:tcW w:w="1222" w:type="pct"/>
            <w:vMerge/>
            <w:tcBorders>
              <w:left w:val="single" w:sz="4" w:space="0" w:color="auto"/>
            </w:tcBorders>
          </w:tcPr>
          <w:p w14:paraId="59CD4B06" w14:textId="77777777" w:rsidR="00146165" w:rsidRPr="00AA19A8" w:rsidRDefault="00146165" w:rsidP="00146165">
            <w:pPr>
              <w:spacing w:before="0"/>
              <w:rPr>
                <w:rFonts w:ascii="Calibri" w:eastAsia="Calibri" w:hAnsi="Calibri" w:cs="Times New Roman"/>
                <w:b/>
                <w:lang w:val="sr-Cyrl-CS"/>
              </w:rPr>
            </w:pPr>
          </w:p>
        </w:tc>
        <w:tc>
          <w:tcPr>
            <w:tcW w:w="771" w:type="pct"/>
          </w:tcPr>
          <w:p w14:paraId="33C4077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105,49%</w:t>
            </w:r>
          </w:p>
        </w:tc>
        <w:tc>
          <w:tcPr>
            <w:tcW w:w="808" w:type="pct"/>
          </w:tcPr>
          <w:p w14:paraId="026005E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99,93%</w:t>
            </w:r>
          </w:p>
        </w:tc>
        <w:tc>
          <w:tcPr>
            <w:tcW w:w="903" w:type="pct"/>
            <w:gridSpan w:val="2"/>
          </w:tcPr>
          <w:p w14:paraId="38CE367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97,89%</w:t>
            </w:r>
          </w:p>
        </w:tc>
        <w:tc>
          <w:tcPr>
            <w:tcW w:w="1296" w:type="pct"/>
            <w:gridSpan w:val="2"/>
            <w:tcBorders>
              <w:right w:val="single" w:sz="4" w:space="0" w:color="auto"/>
            </w:tcBorders>
          </w:tcPr>
          <w:p w14:paraId="5A0B859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101,64%</w:t>
            </w:r>
          </w:p>
        </w:tc>
      </w:tr>
      <w:tr w:rsidR="00D30238" w:rsidRPr="00AA19A8" w14:paraId="0625AC36" w14:textId="77777777" w:rsidTr="00924D5A">
        <w:tc>
          <w:tcPr>
            <w:tcW w:w="1222" w:type="pct"/>
            <w:vMerge w:val="restart"/>
            <w:tcBorders>
              <w:left w:val="single" w:sz="4" w:space="0" w:color="auto"/>
            </w:tcBorders>
          </w:tcPr>
          <w:p w14:paraId="4C12B95C"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lastRenderedPageBreak/>
              <w:t>Подаци о циљној вредност</w:t>
            </w:r>
          </w:p>
        </w:tc>
        <w:tc>
          <w:tcPr>
            <w:tcW w:w="771" w:type="pct"/>
          </w:tcPr>
          <w:p w14:paraId="055DCDA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808" w:type="pct"/>
          </w:tcPr>
          <w:p w14:paraId="7AA6265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903" w:type="pct"/>
            <w:gridSpan w:val="2"/>
          </w:tcPr>
          <w:p w14:paraId="531B140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618" w:type="pct"/>
          </w:tcPr>
          <w:p w14:paraId="50DB503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678" w:type="pct"/>
            <w:tcBorders>
              <w:right w:val="single" w:sz="4" w:space="0" w:color="auto"/>
            </w:tcBorders>
          </w:tcPr>
          <w:p w14:paraId="08A03BE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1222A3C2" w14:textId="77777777" w:rsidTr="00924D5A">
        <w:tc>
          <w:tcPr>
            <w:tcW w:w="1222" w:type="pct"/>
            <w:vMerge/>
            <w:tcBorders>
              <w:left w:val="single" w:sz="4" w:space="0" w:color="auto"/>
            </w:tcBorders>
          </w:tcPr>
          <w:p w14:paraId="6E4C510E" w14:textId="77777777" w:rsidR="00146165" w:rsidRPr="00AA19A8" w:rsidRDefault="00146165" w:rsidP="00146165">
            <w:pPr>
              <w:spacing w:before="0"/>
              <w:rPr>
                <w:rFonts w:ascii="Calibri" w:eastAsia="Calibri" w:hAnsi="Calibri" w:cs="Times New Roman"/>
                <w:b/>
                <w:lang w:val="sr-Cyrl-CS"/>
              </w:rPr>
            </w:pPr>
          </w:p>
        </w:tc>
        <w:tc>
          <w:tcPr>
            <w:tcW w:w="771" w:type="pct"/>
            <w:vAlign w:val="center"/>
          </w:tcPr>
          <w:p w14:paraId="00CE843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808" w:type="pct"/>
            <w:vAlign w:val="center"/>
          </w:tcPr>
          <w:p w14:paraId="0DB21A4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903" w:type="pct"/>
            <w:gridSpan w:val="2"/>
            <w:vAlign w:val="center"/>
          </w:tcPr>
          <w:p w14:paraId="04A5E9E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618" w:type="pct"/>
            <w:vAlign w:val="center"/>
          </w:tcPr>
          <w:p w14:paraId="6C0B5AC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678" w:type="pct"/>
            <w:tcBorders>
              <w:right w:val="single" w:sz="4" w:space="0" w:color="auto"/>
            </w:tcBorders>
            <w:vAlign w:val="center"/>
          </w:tcPr>
          <w:p w14:paraId="0AA5B52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r>
      <w:tr w:rsidR="00146165" w:rsidRPr="00AA19A8" w14:paraId="22D379CA" w14:textId="77777777" w:rsidTr="00924D5A">
        <w:tc>
          <w:tcPr>
            <w:tcW w:w="1222" w:type="pct"/>
            <w:tcBorders>
              <w:left w:val="single" w:sz="4" w:space="0" w:color="auto"/>
              <w:bottom w:val="single" w:sz="4" w:space="0" w:color="auto"/>
            </w:tcBorders>
          </w:tcPr>
          <w:p w14:paraId="55F10B1D"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78" w:type="pct"/>
            <w:gridSpan w:val="6"/>
            <w:tcBorders>
              <w:bottom w:val="single" w:sz="4" w:space="0" w:color="auto"/>
              <w:right w:val="single" w:sz="4" w:space="0" w:color="auto"/>
            </w:tcBorders>
          </w:tcPr>
          <w:p w14:paraId="1B4435DF"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5%.</w:t>
            </w:r>
          </w:p>
        </w:tc>
      </w:tr>
    </w:tbl>
    <w:p w14:paraId="25F402B1" w14:textId="77777777" w:rsidR="00146165" w:rsidRPr="00AA19A8" w:rsidRDefault="00146165" w:rsidP="00146165">
      <w:pPr>
        <w:spacing w:after="120"/>
        <w:rPr>
          <w:rFonts w:ascii="Calibri" w:eastAsia="Times New Roman" w:hAnsi="Calibri" w:cs="Times New Roman"/>
          <w:b/>
          <w:bCs/>
          <w:lang w:val="sr-Cyrl-CS"/>
        </w:rPr>
      </w:pP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86"/>
        <w:gridCol w:w="1270"/>
        <w:gridCol w:w="1539"/>
        <w:gridCol w:w="1702"/>
        <w:gridCol w:w="1196"/>
        <w:gridCol w:w="1179"/>
      </w:tblGrid>
      <w:tr w:rsidR="00D30238" w:rsidRPr="00AA19A8" w14:paraId="16F7D945" w14:textId="77777777" w:rsidTr="00924D5A">
        <w:tc>
          <w:tcPr>
            <w:tcW w:w="1205" w:type="pct"/>
            <w:tcBorders>
              <w:top w:val="single" w:sz="4" w:space="0" w:color="auto"/>
              <w:left w:val="single" w:sz="4" w:space="0" w:color="auto"/>
            </w:tcBorders>
            <w:vAlign w:val="center"/>
          </w:tcPr>
          <w:p w14:paraId="1D17FEA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95" w:type="pct"/>
            <w:gridSpan w:val="5"/>
            <w:tcBorders>
              <w:top w:val="single" w:sz="4" w:space="0" w:color="auto"/>
              <w:right w:val="single" w:sz="4" w:space="0" w:color="auto"/>
            </w:tcBorders>
            <w:vAlign w:val="center"/>
          </w:tcPr>
          <w:p w14:paraId="3C90B837"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остварене наплате ПДВ-а из увоза у односу на пројектовану буџетску процену</w:t>
            </w:r>
          </w:p>
        </w:tc>
      </w:tr>
      <w:tr w:rsidR="00D30238" w:rsidRPr="00AA19A8" w14:paraId="1DBCADAC" w14:textId="77777777" w:rsidTr="00924D5A">
        <w:tc>
          <w:tcPr>
            <w:tcW w:w="1205" w:type="pct"/>
            <w:tcBorders>
              <w:top w:val="single" w:sz="4" w:space="0" w:color="auto"/>
              <w:left w:val="single" w:sz="4" w:space="0" w:color="auto"/>
            </w:tcBorders>
          </w:tcPr>
          <w:p w14:paraId="3D56E3E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95" w:type="pct"/>
            <w:gridSpan w:val="5"/>
            <w:tcBorders>
              <w:top w:val="single" w:sz="4" w:space="0" w:color="auto"/>
              <w:right w:val="single" w:sz="4" w:space="0" w:color="auto"/>
            </w:tcBorders>
          </w:tcPr>
          <w:p w14:paraId="497161AB"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2.3</w:t>
            </w:r>
            <w:r w:rsidRPr="00AA19A8">
              <w:rPr>
                <w:rFonts w:ascii="Calibri" w:eastAsia="Calibri" w:hAnsi="Calibri" w:cs="Times New Roman"/>
                <w:lang w:val="sr-Cyrl-CS"/>
              </w:rPr>
              <w:t xml:space="preserve"> - Јачање административних капацитета Управе царина</w:t>
            </w:r>
          </w:p>
        </w:tc>
      </w:tr>
      <w:tr w:rsidR="00D30238" w:rsidRPr="00AA19A8" w14:paraId="08DA55C8" w14:textId="77777777" w:rsidTr="00924D5A">
        <w:tc>
          <w:tcPr>
            <w:tcW w:w="1205" w:type="pct"/>
            <w:tcBorders>
              <w:left w:val="single" w:sz="4" w:space="0" w:color="auto"/>
            </w:tcBorders>
          </w:tcPr>
          <w:p w14:paraId="6A5F5D1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548" w:type="pct"/>
            <w:gridSpan w:val="2"/>
            <w:tcBorders>
              <w:right w:val="single" w:sz="4" w:space="0" w:color="auto"/>
            </w:tcBorders>
          </w:tcPr>
          <w:p w14:paraId="6782879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247" w:type="pct"/>
            <w:gridSpan w:val="3"/>
            <w:tcBorders>
              <w:right w:val="single" w:sz="4" w:space="0" w:color="auto"/>
            </w:tcBorders>
          </w:tcPr>
          <w:p w14:paraId="1598254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74A01634" w14:textId="77777777" w:rsidTr="00924D5A">
        <w:tc>
          <w:tcPr>
            <w:tcW w:w="1205" w:type="pct"/>
            <w:tcBorders>
              <w:left w:val="single" w:sz="4" w:space="0" w:color="auto"/>
            </w:tcBorders>
          </w:tcPr>
          <w:p w14:paraId="3B19965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548" w:type="pct"/>
            <w:gridSpan w:val="2"/>
            <w:tcBorders>
              <w:right w:val="single" w:sz="4" w:space="0" w:color="auto"/>
            </w:tcBorders>
          </w:tcPr>
          <w:p w14:paraId="5FA9B31D"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247" w:type="pct"/>
            <w:gridSpan w:val="3"/>
            <w:tcBorders>
              <w:right w:val="single" w:sz="4" w:space="0" w:color="auto"/>
            </w:tcBorders>
            <w:vAlign w:val="center"/>
          </w:tcPr>
          <w:p w14:paraId="0C495720"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41A5834E" w14:textId="77777777" w:rsidTr="00924D5A">
        <w:tc>
          <w:tcPr>
            <w:tcW w:w="1205" w:type="pct"/>
            <w:tcBorders>
              <w:left w:val="single" w:sz="4" w:space="0" w:color="auto"/>
              <w:bottom w:val="single" w:sz="4" w:space="0" w:color="auto"/>
            </w:tcBorders>
          </w:tcPr>
          <w:p w14:paraId="3C80AFD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95" w:type="pct"/>
            <w:gridSpan w:val="5"/>
            <w:tcBorders>
              <w:bottom w:val="single" w:sz="4" w:space="0" w:color="auto"/>
              <w:right w:val="single" w:sz="4" w:space="0" w:color="auto"/>
            </w:tcBorders>
          </w:tcPr>
          <w:p w14:paraId="2FE6BB20"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Закон о буџету - </w:t>
            </w:r>
            <w:hyperlink r:id="rId25" w:history="1">
              <w:r w:rsidRPr="00AA19A8">
                <w:rPr>
                  <w:rFonts w:ascii="Calibri" w:eastAsia="Times New Roman" w:hAnsi="Calibri" w:cs="Times New Roman"/>
                  <w:bCs/>
                  <w:u w:val="single"/>
                  <w:lang w:val="sr-Cyrl-CS"/>
                </w:rPr>
                <w:t>https://mfin.gov.rs/propisi/zakoni/1</w:t>
              </w:r>
            </w:hyperlink>
            <w:r w:rsidRPr="00AA19A8">
              <w:rPr>
                <w:rFonts w:ascii="Calibri" w:eastAsia="Times New Roman" w:hAnsi="Calibri" w:cs="Times New Roman"/>
                <w:bCs/>
                <w:lang w:val="sr-Cyrl-CS"/>
              </w:rPr>
              <w:t xml:space="preserve"> </w:t>
            </w:r>
          </w:p>
        </w:tc>
      </w:tr>
      <w:tr w:rsidR="00D30238" w:rsidRPr="00AA19A8" w14:paraId="79375B7D" w14:textId="77777777" w:rsidTr="00924D5A">
        <w:tc>
          <w:tcPr>
            <w:tcW w:w="1205" w:type="pct"/>
            <w:tcBorders>
              <w:left w:val="single" w:sz="4" w:space="0" w:color="auto"/>
              <w:bottom w:val="single" w:sz="4" w:space="0" w:color="auto"/>
            </w:tcBorders>
          </w:tcPr>
          <w:p w14:paraId="05AB288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95" w:type="pct"/>
            <w:gridSpan w:val="5"/>
            <w:tcBorders>
              <w:bottom w:val="single" w:sz="4" w:space="0" w:color="auto"/>
              <w:right w:val="single" w:sz="4" w:space="0" w:color="auto"/>
            </w:tcBorders>
          </w:tcPr>
          <w:p w14:paraId="123E4059"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царина</w:t>
            </w:r>
          </w:p>
        </w:tc>
      </w:tr>
      <w:tr w:rsidR="00D30238" w:rsidRPr="00AA19A8" w14:paraId="79E8143C" w14:textId="77777777" w:rsidTr="00924D5A">
        <w:tc>
          <w:tcPr>
            <w:tcW w:w="1205" w:type="pct"/>
            <w:tcBorders>
              <w:top w:val="single" w:sz="4" w:space="0" w:color="auto"/>
              <w:left w:val="single" w:sz="4" w:space="0" w:color="auto"/>
            </w:tcBorders>
          </w:tcPr>
          <w:p w14:paraId="5BBDBD5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95" w:type="pct"/>
            <w:gridSpan w:val="5"/>
            <w:tcBorders>
              <w:top w:val="single" w:sz="4" w:space="0" w:color="auto"/>
              <w:right w:val="single" w:sz="4" w:space="0" w:color="auto"/>
            </w:tcBorders>
          </w:tcPr>
          <w:p w14:paraId="1915F1C0"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1B4675F2" w14:textId="77777777" w:rsidTr="00924D5A">
        <w:trPr>
          <w:trHeight w:val="1181"/>
        </w:trPr>
        <w:tc>
          <w:tcPr>
            <w:tcW w:w="1205" w:type="pct"/>
            <w:tcBorders>
              <w:left w:val="single" w:sz="4" w:space="0" w:color="auto"/>
              <w:bottom w:val="single" w:sz="6" w:space="0" w:color="auto"/>
            </w:tcBorders>
          </w:tcPr>
          <w:p w14:paraId="575D388F"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2E4F9C0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95" w:type="pct"/>
            <w:gridSpan w:val="5"/>
            <w:tcBorders>
              <w:right w:val="single" w:sz="4" w:space="0" w:color="auto"/>
            </w:tcBorders>
          </w:tcPr>
          <w:p w14:paraId="3F22208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прати остварену наплату ПДВ-а из увоза у односу на пројектовану буџетску процену за календарску годину.</w:t>
            </w:r>
          </w:p>
        </w:tc>
      </w:tr>
      <w:tr w:rsidR="00D30238" w:rsidRPr="00AA19A8" w14:paraId="55551B32" w14:textId="77777777" w:rsidTr="00924D5A">
        <w:tc>
          <w:tcPr>
            <w:tcW w:w="1205" w:type="pct"/>
            <w:vMerge w:val="restart"/>
            <w:tcBorders>
              <w:top w:val="single" w:sz="6" w:space="0" w:color="auto"/>
              <w:left w:val="single" w:sz="4" w:space="0" w:color="auto"/>
            </w:tcBorders>
          </w:tcPr>
          <w:p w14:paraId="79278067"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486" w:type="pct"/>
            <w:gridSpan w:val="3"/>
            <w:tcBorders>
              <w:top w:val="single" w:sz="6" w:space="0" w:color="auto"/>
            </w:tcBorders>
            <w:vAlign w:val="center"/>
          </w:tcPr>
          <w:p w14:paraId="7B75F829"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309" w:type="pct"/>
            <w:gridSpan w:val="2"/>
            <w:tcBorders>
              <w:top w:val="single" w:sz="6" w:space="0" w:color="auto"/>
              <w:right w:val="single" w:sz="4" w:space="0" w:color="auto"/>
            </w:tcBorders>
            <w:vAlign w:val="center"/>
          </w:tcPr>
          <w:p w14:paraId="77BE29C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7ADB0E3F" w14:textId="77777777" w:rsidTr="00924D5A">
        <w:tc>
          <w:tcPr>
            <w:tcW w:w="1205" w:type="pct"/>
            <w:vMerge/>
            <w:tcBorders>
              <w:left w:val="single" w:sz="4" w:space="0" w:color="auto"/>
            </w:tcBorders>
          </w:tcPr>
          <w:p w14:paraId="3D0122A8" w14:textId="77777777" w:rsidR="00146165" w:rsidRPr="00AA19A8" w:rsidRDefault="00146165" w:rsidP="00146165">
            <w:pPr>
              <w:spacing w:before="0"/>
              <w:rPr>
                <w:rFonts w:ascii="Calibri" w:eastAsia="Calibri" w:hAnsi="Calibri" w:cs="Times New Roman"/>
                <w:b/>
                <w:lang w:val="sr-Cyrl-CS"/>
              </w:rPr>
            </w:pPr>
          </w:p>
        </w:tc>
        <w:tc>
          <w:tcPr>
            <w:tcW w:w="700" w:type="pct"/>
          </w:tcPr>
          <w:p w14:paraId="6F9B6A8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848" w:type="pct"/>
          </w:tcPr>
          <w:p w14:paraId="3852EC0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938" w:type="pct"/>
          </w:tcPr>
          <w:p w14:paraId="60349AE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309" w:type="pct"/>
            <w:gridSpan w:val="2"/>
            <w:tcBorders>
              <w:right w:val="single" w:sz="4" w:space="0" w:color="auto"/>
            </w:tcBorders>
          </w:tcPr>
          <w:p w14:paraId="5D28A1F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r>
      <w:tr w:rsidR="00D30238" w:rsidRPr="00AA19A8" w14:paraId="66F672E4" w14:textId="77777777" w:rsidTr="00924D5A">
        <w:tc>
          <w:tcPr>
            <w:tcW w:w="1205" w:type="pct"/>
            <w:vMerge/>
            <w:tcBorders>
              <w:left w:val="single" w:sz="4" w:space="0" w:color="auto"/>
            </w:tcBorders>
          </w:tcPr>
          <w:p w14:paraId="40BE6E96" w14:textId="77777777" w:rsidR="00146165" w:rsidRPr="00AA19A8" w:rsidRDefault="00146165" w:rsidP="00146165">
            <w:pPr>
              <w:spacing w:before="0"/>
              <w:rPr>
                <w:rFonts w:ascii="Calibri" w:eastAsia="Calibri" w:hAnsi="Calibri" w:cs="Times New Roman"/>
                <w:b/>
                <w:lang w:val="sr-Cyrl-CS"/>
              </w:rPr>
            </w:pPr>
          </w:p>
        </w:tc>
        <w:tc>
          <w:tcPr>
            <w:tcW w:w="700" w:type="pct"/>
          </w:tcPr>
          <w:p w14:paraId="64A5595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101,86%</w:t>
            </w:r>
          </w:p>
        </w:tc>
        <w:tc>
          <w:tcPr>
            <w:tcW w:w="848" w:type="pct"/>
          </w:tcPr>
          <w:p w14:paraId="366056B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98,95%</w:t>
            </w:r>
          </w:p>
        </w:tc>
        <w:tc>
          <w:tcPr>
            <w:tcW w:w="938" w:type="pct"/>
          </w:tcPr>
          <w:p w14:paraId="28EA64B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97,55%</w:t>
            </w:r>
          </w:p>
        </w:tc>
        <w:tc>
          <w:tcPr>
            <w:tcW w:w="1309" w:type="pct"/>
            <w:gridSpan w:val="2"/>
            <w:tcBorders>
              <w:right w:val="single" w:sz="4" w:space="0" w:color="auto"/>
            </w:tcBorders>
          </w:tcPr>
          <w:p w14:paraId="4327BFD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97,72%</w:t>
            </w:r>
          </w:p>
        </w:tc>
      </w:tr>
      <w:tr w:rsidR="00D30238" w:rsidRPr="00AA19A8" w14:paraId="15711818" w14:textId="77777777" w:rsidTr="00924D5A">
        <w:tc>
          <w:tcPr>
            <w:tcW w:w="1205" w:type="pct"/>
            <w:vMerge w:val="restart"/>
            <w:tcBorders>
              <w:left w:val="single" w:sz="4" w:space="0" w:color="auto"/>
            </w:tcBorders>
          </w:tcPr>
          <w:p w14:paraId="17A276FD"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00" w:type="pct"/>
          </w:tcPr>
          <w:p w14:paraId="4EBB797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848" w:type="pct"/>
          </w:tcPr>
          <w:p w14:paraId="092E9A0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938" w:type="pct"/>
          </w:tcPr>
          <w:p w14:paraId="5BD6C37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659" w:type="pct"/>
          </w:tcPr>
          <w:p w14:paraId="5914D74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650" w:type="pct"/>
            <w:tcBorders>
              <w:right w:val="single" w:sz="4" w:space="0" w:color="auto"/>
            </w:tcBorders>
          </w:tcPr>
          <w:p w14:paraId="0F92FFE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7D6B0A54" w14:textId="77777777" w:rsidTr="00924D5A">
        <w:tc>
          <w:tcPr>
            <w:tcW w:w="1205" w:type="pct"/>
            <w:vMerge/>
            <w:tcBorders>
              <w:left w:val="single" w:sz="4" w:space="0" w:color="auto"/>
            </w:tcBorders>
          </w:tcPr>
          <w:p w14:paraId="2EB600E6" w14:textId="77777777" w:rsidR="00146165" w:rsidRPr="00AA19A8" w:rsidRDefault="00146165" w:rsidP="00146165">
            <w:pPr>
              <w:spacing w:before="0"/>
              <w:rPr>
                <w:rFonts w:ascii="Calibri" w:eastAsia="Calibri" w:hAnsi="Calibri" w:cs="Times New Roman"/>
                <w:b/>
                <w:lang w:val="sr-Cyrl-CS"/>
              </w:rPr>
            </w:pPr>
          </w:p>
        </w:tc>
        <w:tc>
          <w:tcPr>
            <w:tcW w:w="700" w:type="pct"/>
            <w:vAlign w:val="center"/>
          </w:tcPr>
          <w:p w14:paraId="174D4987"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848" w:type="pct"/>
            <w:vAlign w:val="center"/>
          </w:tcPr>
          <w:p w14:paraId="0B0A8EF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100%</w:t>
            </w:r>
          </w:p>
        </w:tc>
        <w:tc>
          <w:tcPr>
            <w:tcW w:w="938" w:type="pct"/>
            <w:vAlign w:val="center"/>
          </w:tcPr>
          <w:p w14:paraId="2F1A97A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659" w:type="pct"/>
            <w:vAlign w:val="center"/>
          </w:tcPr>
          <w:p w14:paraId="2A38D54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c>
          <w:tcPr>
            <w:tcW w:w="650" w:type="pct"/>
            <w:tcBorders>
              <w:right w:val="single" w:sz="4" w:space="0" w:color="auto"/>
            </w:tcBorders>
            <w:vAlign w:val="center"/>
          </w:tcPr>
          <w:p w14:paraId="615B0F6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100%</w:t>
            </w:r>
          </w:p>
        </w:tc>
      </w:tr>
      <w:tr w:rsidR="00146165" w:rsidRPr="00AA19A8" w14:paraId="5B5AEC2C" w14:textId="77777777" w:rsidTr="00924D5A">
        <w:tc>
          <w:tcPr>
            <w:tcW w:w="1205" w:type="pct"/>
            <w:tcBorders>
              <w:left w:val="single" w:sz="4" w:space="0" w:color="auto"/>
              <w:bottom w:val="single" w:sz="4" w:space="0" w:color="auto"/>
            </w:tcBorders>
          </w:tcPr>
          <w:p w14:paraId="0E783AE5"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95" w:type="pct"/>
            <w:gridSpan w:val="5"/>
            <w:tcBorders>
              <w:bottom w:val="single" w:sz="4" w:space="0" w:color="auto"/>
              <w:right w:val="single" w:sz="4" w:space="0" w:color="auto"/>
            </w:tcBorders>
          </w:tcPr>
          <w:p w14:paraId="357818C4"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5%.</w:t>
            </w:r>
          </w:p>
        </w:tc>
      </w:tr>
    </w:tbl>
    <w:p w14:paraId="4A232D13" w14:textId="77777777" w:rsidR="00F331B0" w:rsidRPr="00AA19A8" w:rsidRDefault="00F331B0" w:rsidP="00146165">
      <w:pPr>
        <w:spacing w:after="120"/>
        <w:rPr>
          <w:rFonts w:ascii="Calibri" w:eastAsia="Times New Roman" w:hAnsi="Calibri" w:cs="Times New Roman"/>
          <w:b/>
          <w:bCs/>
          <w:lang w:val="sr-Cyrl-CS"/>
        </w:rPr>
      </w:pPr>
    </w:p>
    <w:p w14:paraId="42850A9E" w14:textId="77777777" w:rsidR="00341C8E" w:rsidRPr="00AA19A8" w:rsidRDefault="00341C8E" w:rsidP="00146165">
      <w:pPr>
        <w:spacing w:after="120"/>
        <w:rPr>
          <w:rFonts w:ascii="Calibri" w:eastAsia="Times New Roman" w:hAnsi="Calibri" w:cs="Times New Roman"/>
          <w:b/>
          <w:bCs/>
          <w:lang w:val="sr-Cyrl-CS"/>
        </w:rPr>
      </w:pPr>
    </w:p>
    <w:p w14:paraId="3CCC0361" w14:textId="77777777" w:rsidR="006B65DC" w:rsidRPr="00AA19A8" w:rsidRDefault="006B65DC" w:rsidP="00146165">
      <w:pPr>
        <w:spacing w:after="120"/>
        <w:rPr>
          <w:rFonts w:ascii="Calibri" w:eastAsia="Times New Roman" w:hAnsi="Calibri" w:cs="Times New Roman"/>
          <w:b/>
          <w:bCs/>
          <w:lang w:val="sr-Cyrl-CS"/>
        </w:rPr>
      </w:pPr>
    </w:p>
    <w:p w14:paraId="04F52BA4"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lastRenderedPageBreak/>
        <w:t>Показатељ на нивоу мере 2.4</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39FFB848" w14:textId="77777777" w:rsidTr="00924D5A">
        <w:tc>
          <w:tcPr>
            <w:tcW w:w="1296" w:type="pct"/>
            <w:tcBorders>
              <w:top w:val="single" w:sz="4" w:space="0" w:color="auto"/>
              <w:left w:val="single" w:sz="4" w:space="0" w:color="auto"/>
            </w:tcBorders>
            <w:vAlign w:val="center"/>
          </w:tcPr>
          <w:p w14:paraId="4C97D6B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78143344"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Учешће трошкова камата у БДП</w:t>
            </w:r>
          </w:p>
        </w:tc>
      </w:tr>
      <w:tr w:rsidR="00D30238" w:rsidRPr="00AA19A8" w14:paraId="448EA425" w14:textId="77777777" w:rsidTr="00924D5A">
        <w:tc>
          <w:tcPr>
            <w:tcW w:w="1296" w:type="pct"/>
            <w:tcBorders>
              <w:top w:val="single" w:sz="4" w:space="0" w:color="auto"/>
              <w:left w:val="single" w:sz="4" w:space="0" w:color="auto"/>
            </w:tcBorders>
          </w:tcPr>
          <w:p w14:paraId="224D704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0FDA4B7D"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2.4</w:t>
            </w:r>
            <w:r w:rsidRPr="00AA19A8">
              <w:rPr>
                <w:rFonts w:ascii="Calibri" w:eastAsia="Calibri" w:hAnsi="Calibri" w:cs="Times New Roman"/>
                <w:lang w:val="sr-Cyrl-CS"/>
              </w:rPr>
              <w:t xml:space="preserve"> - Ефикасно управљање јавним дугом</w:t>
            </w:r>
          </w:p>
        </w:tc>
      </w:tr>
      <w:tr w:rsidR="00D30238" w:rsidRPr="00AA19A8" w14:paraId="18F93C0E" w14:textId="77777777" w:rsidTr="00924D5A">
        <w:tc>
          <w:tcPr>
            <w:tcW w:w="1296" w:type="pct"/>
            <w:tcBorders>
              <w:left w:val="single" w:sz="4" w:space="0" w:color="auto"/>
            </w:tcBorders>
          </w:tcPr>
          <w:p w14:paraId="2F3BFFF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2BD6E55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6E283EAC"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038846AD" w14:textId="77777777" w:rsidTr="00924D5A">
        <w:tc>
          <w:tcPr>
            <w:tcW w:w="1296" w:type="pct"/>
            <w:tcBorders>
              <w:left w:val="single" w:sz="4" w:space="0" w:color="auto"/>
            </w:tcBorders>
          </w:tcPr>
          <w:p w14:paraId="2C81AA6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0572BF35"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1E1E17EB"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Нижа вредност је боља</w:t>
            </w:r>
          </w:p>
        </w:tc>
      </w:tr>
      <w:tr w:rsidR="00D30238" w:rsidRPr="00AA19A8" w14:paraId="408A9312" w14:textId="77777777" w:rsidTr="00924D5A">
        <w:tc>
          <w:tcPr>
            <w:tcW w:w="1296" w:type="pct"/>
            <w:tcBorders>
              <w:left w:val="single" w:sz="4" w:space="0" w:color="auto"/>
              <w:bottom w:val="single" w:sz="4" w:space="0" w:color="auto"/>
            </w:tcBorders>
          </w:tcPr>
          <w:p w14:paraId="1E0C061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4E52260D"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за јавни дуг</w:t>
            </w:r>
          </w:p>
        </w:tc>
      </w:tr>
      <w:tr w:rsidR="00D30238" w:rsidRPr="00AA19A8" w14:paraId="3C836C23" w14:textId="77777777" w:rsidTr="00924D5A">
        <w:tc>
          <w:tcPr>
            <w:tcW w:w="1296" w:type="pct"/>
            <w:tcBorders>
              <w:left w:val="single" w:sz="4" w:space="0" w:color="auto"/>
              <w:bottom w:val="single" w:sz="4" w:space="0" w:color="auto"/>
            </w:tcBorders>
          </w:tcPr>
          <w:p w14:paraId="1F38E4E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64B2DADE"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за јавни дуг</w:t>
            </w:r>
          </w:p>
        </w:tc>
      </w:tr>
      <w:tr w:rsidR="00D30238" w:rsidRPr="00AA19A8" w14:paraId="0FA610DE" w14:textId="77777777" w:rsidTr="00924D5A">
        <w:tc>
          <w:tcPr>
            <w:tcW w:w="1296" w:type="pct"/>
            <w:tcBorders>
              <w:top w:val="single" w:sz="4" w:space="0" w:color="auto"/>
              <w:left w:val="single" w:sz="4" w:space="0" w:color="auto"/>
            </w:tcBorders>
          </w:tcPr>
          <w:p w14:paraId="18D84D5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3D1CA9A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4BA77B28" w14:textId="77777777" w:rsidTr="00924D5A">
        <w:trPr>
          <w:trHeight w:val="1181"/>
        </w:trPr>
        <w:tc>
          <w:tcPr>
            <w:tcW w:w="1296" w:type="pct"/>
            <w:tcBorders>
              <w:left w:val="single" w:sz="4" w:space="0" w:color="auto"/>
              <w:bottom w:val="single" w:sz="6" w:space="0" w:color="auto"/>
            </w:tcBorders>
          </w:tcPr>
          <w:p w14:paraId="70E1BEE8"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1F65B53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1BE56D86"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Учешће трошкова камата у БДП = Укупни трошкови камата / БДП</w:t>
            </w:r>
          </w:p>
        </w:tc>
      </w:tr>
      <w:tr w:rsidR="00D30238" w:rsidRPr="00AA19A8" w14:paraId="3115A566" w14:textId="77777777" w:rsidTr="00924D5A">
        <w:tc>
          <w:tcPr>
            <w:tcW w:w="1296" w:type="pct"/>
            <w:vMerge w:val="restart"/>
            <w:tcBorders>
              <w:top w:val="single" w:sz="6" w:space="0" w:color="auto"/>
              <w:left w:val="single" w:sz="4" w:space="0" w:color="auto"/>
            </w:tcBorders>
          </w:tcPr>
          <w:p w14:paraId="732C8053"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0D43E558"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00C217B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DEAA3D9" w14:textId="77777777" w:rsidTr="00924D5A">
        <w:tc>
          <w:tcPr>
            <w:tcW w:w="1296" w:type="pct"/>
            <w:vMerge/>
            <w:tcBorders>
              <w:left w:val="single" w:sz="4" w:space="0" w:color="auto"/>
            </w:tcBorders>
          </w:tcPr>
          <w:p w14:paraId="2676F793" w14:textId="77777777" w:rsidR="00146165" w:rsidRPr="00AA19A8" w:rsidRDefault="00146165" w:rsidP="00146165">
            <w:pPr>
              <w:spacing w:before="0"/>
              <w:rPr>
                <w:rFonts w:ascii="Calibri" w:eastAsia="Calibri" w:hAnsi="Calibri" w:cs="Times New Roman"/>
                <w:b/>
                <w:lang w:val="sr-Cyrl-CS"/>
              </w:rPr>
            </w:pPr>
          </w:p>
        </w:tc>
        <w:tc>
          <w:tcPr>
            <w:tcW w:w="755" w:type="pct"/>
          </w:tcPr>
          <w:p w14:paraId="3D04864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719F1E2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005498B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4872353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6071197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275F5BF3" w14:textId="77777777" w:rsidTr="00924D5A">
        <w:tc>
          <w:tcPr>
            <w:tcW w:w="1296" w:type="pct"/>
            <w:vMerge/>
            <w:tcBorders>
              <w:left w:val="single" w:sz="4" w:space="0" w:color="auto"/>
            </w:tcBorders>
          </w:tcPr>
          <w:p w14:paraId="5D9CAFD2" w14:textId="77777777" w:rsidR="00146165" w:rsidRPr="00AA19A8" w:rsidRDefault="00146165" w:rsidP="00146165">
            <w:pPr>
              <w:spacing w:before="0"/>
              <w:rPr>
                <w:rFonts w:ascii="Calibri" w:eastAsia="Calibri" w:hAnsi="Calibri" w:cs="Times New Roman"/>
                <w:b/>
                <w:lang w:val="sr-Cyrl-CS"/>
              </w:rPr>
            </w:pPr>
          </w:p>
        </w:tc>
        <w:tc>
          <w:tcPr>
            <w:tcW w:w="755" w:type="pct"/>
          </w:tcPr>
          <w:p w14:paraId="5F11EC0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1.6%</w:t>
            </w:r>
          </w:p>
        </w:tc>
        <w:tc>
          <w:tcPr>
            <w:tcW w:w="673" w:type="pct"/>
          </w:tcPr>
          <w:p w14:paraId="4D9868C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1.4%</w:t>
            </w:r>
          </w:p>
        </w:tc>
        <w:tc>
          <w:tcPr>
            <w:tcW w:w="582" w:type="pct"/>
            <w:gridSpan w:val="2"/>
          </w:tcPr>
          <w:p w14:paraId="6AF7DEB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1.7%</w:t>
            </w:r>
          </w:p>
        </w:tc>
        <w:tc>
          <w:tcPr>
            <w:tcW w:w="585" w:type="pct"/>
          </w:tcPr>
          <w:p w14:paraId="42284FE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1.8%</w:t>
            </w:r>
          </w:p>
        </w:tc>
        <w:tc>
          <w:tcPr>
            <w:tcW w:w="1109" w:type="pct"/>
            <w:tcBorders>
              <w:right w:val="single" w:sz="4" w:space="0" w:color="auto"/>
            </w:tcBorders>
          </w:tcPr>
          <w:p w14:paraId="1F8E0B97" w14:textId="77777777" w:rsidR="00146165" w:rsidRPr="00AA19A8" w:rsidRDefault="00341BB4"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w:t>
            </w:r>
            <w:r w:rsidR="00146165" w:rsidRPr="00AA19A8">
              <w:rPr>
                <w:rFonts w:ascii="Calibri" w:eastAsia="Calibri" w:hAnsi="Calibri" w:cs="Times New Roman"/>
                <w:bCs/>
                <w:lang w:val="sr-Cyrl-CS"/>
              </w:rPr>
              <w:t>%</w:t>
            </w:r>
          </w:p>
        </w:tc>
      </w:tr>
      <w:tr w:rsidR="00D30238" w:rsidRPr="00AA19A8" w14:paraId="02503CBE" w14:textId="77777777" w:rsidTr="00924D5A">
        <w:tc>
          <w:tcPr>
            <w:tcW w:w="1296" w:type="pct"/>
            <w:vMerge w:val="restart"/>
            <w:tcBorders>
              <w:left w:val="single" w:sz="4" w:space="0" w:color="auto"/>
            </w:tcBorders>
          </w:tcPr>
          <w:p w14:paraId="105746AE"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7F3F4D0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3A7B4B9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270F499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108774D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3798F73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2DDC8FF1" w14:textId="77777777" w:rsidTr="00924D5A">
        <w:tc>
          <w:tcPr>
            <w:tcW w:w="1296" w:type="pct"/>
            <w:vMerge/>
            <w:tcBorders>
              <w:left w:val="single" w:sz="4" w:space="0" w:color="auto"/>
            </w:tcBorders>
          </w:tcPr>
          <w:p w14:paraId="5B36F700"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66AE9AC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1.9%</w:t>
            </w:r>
          </w:p>
        </w:tc>
        <w:tc>
          <w:tcPr>
            <w:tcW w:w="673" w:type="pct"/>
            <w:vAlign w:val="center"/>
          </w:tcPr>
          <w:p w14:paraId="5373FA90"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1.9%</w:t>
            </w:r>
          </w:p>
        </w:tc>
        <w:tc>
          <w:tcPr>
            <w:tcW w:w="582" w:type="pct"/>
            <w:gridSpan w:val="2"/>
            <w:vAlign w:val="center"/>
          </w:tcPr>
          <w:p w14:paraId="23604A5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1.9%</w:t>
            </w:r>
          </w:p>
        </w:tc>
        <w:tc>
          <w:tcPr>
            <w:tcW w:w="585" w:type="pct"/>
            <w:vAlign w:val="center"/>
          </w:tcPr>
          <w:p w14:paraId="4010D840"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6144F7A0"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1FA21110" w14:textId="77777777" w:rsidTr="00924D5A">
        <w:tc>
          <w:tcPr>
            <w:tcW w:w="1296" w:type="pct"/>
            <w:tcBorders>
              <w:left w:val="single" w:sz="4" w:space="0" w:color="auto"/>
              <w:bottom w:val="single" w:sz="4" w:space="0" w:color="auto"/>
            </w:tcBorders>
          </w:tcPr>
          <w:p w14:paraId="018AC9BA"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44698863"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Уколико је остварена вредност мања или једнака циљаној.</w:t>
            </w:r>
          </w:p>
        </w:tc>
      </w:tr>
    </w:tbl>
    <w:p w14:paraId="1CFBB9A6" w14:textId="77777777" w:rsidR="00341C8E" w:rsidRPr="00AA19A8" w:rsidRDefault="00341C8E" w:rsidP="00146165">
      <w:pPr>
        <w:spacing w:after="120"/>
        <w:rPr>
          <w:rFonts w:ascii="Calibri" w:eastAsia="Times New Roman" w:hAnsi="Calibri" w:cs="Times New Roman"/>
          <w:b/>
          <w:bCs/>
          <w:lang w:val="sr-Cyrl-CS"/>
        </w:rPr>
      </w:pPr>
    </w:p>
    <w:p w14:paraId="000DD7B2"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2.5</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0878CD7F" w14:textId="77777777" w:rsidTr="00924D5A">
        <w:tc>
          <w:tcPr>
            <w:tcW w:w="1296" w:type="pct"/>
            <w:tcBorders>
              <w:top w:val="single" w:sz="4" w:space="0" w:color="auto"/>
              <w:left w:val="single" w:sz="4" w:space="0" w:color="auto"/>
            </w:tcBorders>
            <w:vAlign w:val="center"/>
          </w:tcPr>
          <w:p w14:paraId="2E18789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7BD72A25"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Број сертификованих службеника за јавне набавке</w:t>
            </w:r>
          </w:p>
        </w:tc>
      </w:tr>
      <w:tr w:rsidR="00D30238" w:rsidRPr="00AA19A8" w14:paraId="03DEF150" w14:textId="77777777" w:rsidTr="00924D5A">
        <w:tc>
          <w:tcPr>
            <w:tcW w:w="1296" w:type="pct"/>
            <w:tcBorders>
              <w:top w:val="single" w:sz="4" w:space="0" w:color="auto"/>
              <w:left w:val="single" w:sz="4" w:space="0" w:color="auto"/>
            </w:tcBorders>
          </w:tcPr>
          <w:p w14:paraId="1D7044F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7711E083"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2.5</w:t>
            </w:r>
            <w:r w:rsidRPr="00AA19A8">
              <w:rPr>
                <w:rFonts w:ascii="Calibri" w:eastAsia="Calibri" w:hAnsi="Calibri" w:cs="Times New Roman"/>
                <w:lang w:val="sr-Cyrl-CS"/>
              </w:rPr>
              <w:t xml:space="preserve"> - Јачање капацитета службеника за јавне набавке</w:t>
            </w:r>
          </w:p>
        </w:tc>
      </w:tr>
      <w:tr w:rsidR="00D30238" w:rsidRPr="00AA19A8" w14:paraId="7B10AD73" w14:textId="77777777" w:rsidTr="00924D5A">
        <w:tc>
          <w:tcPr>
            <w:tcW w:w="1296" w:type="pct"/>
            <w:tcBorders>
              <w:left w:val="single" w:sz="4" w:space="0" w:color="auto"/>
            </w:tcBorders>
          </w:tcPr>
          <w:p w14:paraId="1ADC36F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D34B43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39F159D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04E1C88A" w14:textId="77777777" w:rsidTr="00924D5A">
        <w:tc>
          <w:tcPr>
            <w:tcW w:w="1296" w:type="pct"/>
            <w:tcBorders>
              <w:left w:val="single" w:sz="4" w:space="0" w:color="auto"/>
            </w:tcBorders>
          </w:tcPr>
          <w:p w14:paraId="49DB09E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7317461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Број</w:t>
            </w:r>
          </w:p>
        </w:tc>
        <w:tc>
          <w:tcPr>
            <w:tcW w:w="1882" w:type="pct"/>
            <w:gridSpan w:val="3"/>
            <w:tcBorders>
              <w:right w:val="single" w:sz="4" w:space="0" w:color="auto"/>
            </w:tcBorders>
            <w:vAlign w:val="center"/>
          </w:tcPr>
          <w:p w14:paraId="5EE7FD00"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74AAD135" w14:textId="77777777" w:rsidTr="00924D5A">
        <w:tc>
          <w:tcPr>
            <w:tcW w:w="1296" w:type="pct"/>
            <w:tcBorders>
              <w:left w:val="single" w:sz="4" w:space="0" w:color="auto"/>
              <w:bottom w:val="single" w:sz="4" w:space="0" w:color="auto"/>
            </w:tcBorders>
          </w:tcPr>
          <w:p w14:paraId="64D6F9F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Извор података</w:t>
            </w:r>
          </w:p>
        </w:tc>
        <w:tc>
          <w:tcPr>
            <w:tcW w:w="3704" w:type="pct"/>
            <w:gridSpan w:val="6"/>
            <w:tcBorders>
              <w:bottom w:val="single" w:sz="4" w:space="0" w:color="auto"/>
              <w:right w:val="single" w:sz="4" w:space="0" w:color="auto"/>
            </w:tcBorders>
          </w:tcPr>
          <w:p w14:paraId="263FB260"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Годишњи извештај о јавним набавкама </w:t>
            </w:r>
            <w:hyperlink r:id="rId26" w:history="1">
              <w:r w:rsidRPr="00AA19A8">
                <w:rPr>
                  <w:rFonts w:ascii="Calibri" w:eastAsia="Times New Roman" w:hAnsi="Calibri" w:cs="Times New Roman"/>
                  <w:bCs/>
                  <w:u w:val="single"/>
                  <w:lang w:val="sr-Cyrl-CS"/>
                </w:rPr>
                <w:t>https://jnportal.ujn.gov.rs/annual-reports-ppo-public</w:t>
              </w:r>
            </w:hyperlink>
            <w:r w:rsidRPr="00AA19A8">
              <w:rPr>
                <w:rFonts w:ascii="Calibri" w:eastAsia="Times New Roman" w:hAnsi="Calibri" w:cs="Times New Roman"/>
                <w:bCs/>
                <w:lang w:val="sr-Cyrl-CS"/>
              </w:rPr>
              <w:t xml:space="preserve"> </w:t>
            </w:r>
          </w:p>
        </w:tc>
      </w:tr>
      <w:tr w:rsidR="00D30238" w:rsidRPr="00AA19A8" w14:paraId="2C0CAADA" w14:textId="77777777" w:rsidTr="00924D5A">
        <w:tc>
          <w:tcPr>
            <w:tcW w:w="1296" w:type="pct"/>
            <w:tcBorders>
              <w:left w:val="single" w:sz="4" w:space="0" w:color="auto"/>
              <w:bottom w:val="single" w:sz="4" w:space="0" w:color="auto"/>
            </w:tcBorders>
          </w:tcPr>
          <w:p w14:paraId="5828D14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30F1170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Канцеларија за јавне набавке</w:t>
            </w:r>
          </w:p>
        </w:tc>
      </w:tr>
      <w:tr w:rsidR="00D30238" w:rsidRPr="00AA19A8" w14:paraId="2768AB29" w14:textId="77777777" w:rsidTr="00924D5A">
        <w:tc>
          <w:tcPr>
            <w:tcW w:w="1296" w:type="pct"/>
            <w:tcBorders>
              <w:top w:val="single" w:sz="4" w:space="0" w:color="auto"/>
              <w:left w:val="single" w:sz="4" w:space="0" w:color="auto"/>
            </w:tcBorders>
          </w:tcPr>
          <w:p w14:paraId="7D03421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010B3E7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Годишњи извештај Канцеларије за јавне набавке подноси Влада и објављује на Порталу јавних набавки до 31. марта текуће године за претходну годину</w:t>
            </w:r>
          </w:p>
        </w:tc>
      </w:tr>
      <w:tr w:rsidR="00D30238" w:rsidRPr="00AA19A8" w14:paraId="026C8BF5" w14:textId="77777777" w:rsidTr="00924D5A">
        <w:trPr>
          <w:trHeight w:val="1181"/>
        </w:trPr>
        <w:tc>
          <w:tcPr>
            <w:tcW w:w="1296" w:type="pct"/>
            <w:tcBorders>
              <w:left w:val="single" w:sz="4" w:space="0" w:color="auto"/>
              <w:bottom w:val="single" w:sz="6" w:space="0" w:color="auto"/>
            </w:tcBorders>
          </w:tcPr>
          <w:p w14:paraId="757AF964"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09BE713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6A0950C5"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Times New Roman"/>
                <w:lang w:val="sr-Cyrl-CS"/>
              </w:rPr>
              <w:t>Укупан број лица који су успешно положили испит и стекли сертификат службеника за јавне набавке од дана увођења система сертификације службеника</w:t>
            </w:r>
          </w:p>
        </w:tc>
      </w:tr>
      <w:tr w:rsidR="00D30238" w:rsidRPr="00AA19A8" w14:paraId="7D811A7C" w14:textId="77777777" w:rsidTr="00924D5A">
        <w:tc>
          <w:tcPr>
            <w:tcW w:w="1296" w:type="pct"/>
            <w:vMerge w:val="restart"/>
            <w:tcBorders>
              <w:top w:val="single" w:sz="6" w:space="0" w:color="auto"/>
              <w:left w:val="single" w:sz="4" w:space="0" w:color="auto"/>
            </w:tcBorders>
          </w:tcPr>
          <w:p w14:paraId="1941E92F"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109B65E1"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34A01CE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02BA8503" w14:textId="77777777" w:rsidTr="00924D5A">
        <w:tc>
          <w:tcPr>
            <w:tcW w:w="1296" w:type="pct"/>
            <w:vMerge/>
            <w:tcBorders>
              <w:left w:val="single" w:sz="4" w:space="0" w:color="auto"/>
            </w:tcBorders>
          </w:tcPr>
          <w:p w14:paraId="5CE20812" w14:textId="77777777" w:rsidR="00146165" w:rsidRPr="00AA19A8" w:rsidRDefault="00146165" w:rsidP="00146165">
            <w:pPr>
              <w:spacing w:before="0"/>
              <w:rPr>
                <w:rFonts w:ascii="Calibri" w:eastAsia="Calibri" w:hAnsi="Calibri" w:cs="Times New Roman"/>
                <w:b/>
                <w:lang w:val="sr-Cyrl-CS"/>
              </w:rPr>
            </w:pPr>
          </w:p>
        </w:tc>
        <w:tc>
          <w:tcPr>
            <w:tcW w:w="755" w:type="pct"/>
          </w:tcPr>
          <w:p w14:paraId="665C92A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0872CAA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36D5A5D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3D48DB6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2F1639F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27254EE1" w14:textId="77777777" w:rsidTr="00924D5A">
        <w:tc>
          <w:tcPr>
            <w:tcW w:w="1296" w:type="pct"/>
            <w:vMerge/>
            <w:tcBorders>
              <w:left w:val="single" w:sz="4" w:space="0" w:color="auto"/>
            </w:tcBorders>
          </w:tcPr>
          <w:p w14:paraId="488D741E" w14:textId="77777777" w:rsidR="00146165" w:rsidRPr="00AA19A8" w:rsidRDefault="00146165" w:rsidP="00146165">
            <w:pPr>
              <w:spacing w:before="0"/>
              <w:rPr>
                <w:rFonts w:ascii="Calibri" w:eastAsia="Calibri" w:hAnsi="Calibri" w:cs="Times New Roman"/>
                <w:b/>
                <w:lang w:val="sr-Cyrl-CS"/>
              </w:rPr>
            </w:pPr>
          </w:p>
        </w:tc>
        <w:tc>
          <w:tcPr>
            <w:tcW w:w="755" w:type="pct"/>
          </w:tcPr>
          <w:p w14:paraId="75AC8D4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4.845</w:t>
            </w:r>
          </w:p>
        </w:tc>
        <w:tc>
          <w:tcPr>
            <w:tcW w:w="673" w:type="pct"/>
          </w:tcPr>
          <w:p w14:paraId="77B58AC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w:t>
            </w:r>
            <w:r w:rsidR="00544A4C" w:rsidRPr="00AA19A8">
              <w:rPr>
                <w:rFonts w:ascii="Calibri" w:eastAsia="Calibri" w:hAnsi="Calibri" w:cs="Times New Roman"/>
                <w:bCs/>
                <w:lang w:val="sr-Cyrl-CS"/>
              </w:rPr>
              <w:t>02</w:t>
            </w:r>
            <w:r w:rsidRPr="00AA19A8">
              <w:rPr>
                <w:rFonts w:ascii="Calibri" w:eastAsia="Calibri" w:hAnsi="Calibri" w:cs="Times New Roman"/>
                <w:bCs/>
                <w:lang w:val="sr-Cyrl-CS"/>
              </w:rPr>
              <w:t>6</w:t>
            </w:r>
          </w:p>
        </w:tc>
        <w:tc>
          <w:tcPr>
            <w:tcW w:w="582" w:type="pct"/>
            <w:gridSpan w:val="2"/>
          </w:tcPr>
          <w:p w14:paraId="0A98E88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5.231</w:t>
            </w:r>
          </w:p>
        </w:tc>
        <w:tc>
          <w:tcPr>
            <w:tcW w:w="585" w:type="pct"/>
          </w:tcPr>
          <w:p w14:paraId="271E4C5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5.529</w:t>
            </w:r>
          </w:p>
        </w:tc>
        <w:tc>
          <w:tcPr>
            <w:tcW w:w="1109" w:type="pct"/>
            <w:tcBorders>
              <w:right w:val="single" w:sz="4" w:space="0" w:color="auto"/>
            </w:tcBorders>
          </w:tcPr>
          <w:p w14:paraId="5063FE7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5.7</w:t>
            </w:r>
            <w:r w:rsidR="00544A4C" w:rsidRPr="00AA19A8">
              <w:rPr>
                <w:rFonts w:ascii="Calibri" w:eastAsia="Calibri" w:hAnsi="Calibri" w:cs="Times New Roman"/>
                <w:bCs/>
                <w:lang w:val="sr-Cyrl-CS"/>
              </w:rPr>
              <w:t>9</w:t>
            </w:r>
            <w:r w:rsidRPr="00AA19A8">
              <w:rPr>
                <w:rFonts w:ascii="Calibri" w:eastAsia="Calibri" w:hAnsi="Calibri" w:cs="Times New Roman"/>
                <w:bCs/>
                <w:lang w:val="sr-Cyrl-CS"/>
              </w:rPr>
              <w:t>0</w:t>
            </w:r>
          </w:p>
        </w:tc>
      </w:tr>
      <w:tr w:rsidR="00D30238" w:rsidRPr="00AA19A8" w14:paraId="5BDD9E70" w14:textId="77777777" w:rsidTr="00924D5A">
        <w:tc>
          <w:tcPr>
            <w:tcW w:w="1296" w:type="pct"/>
            <w:vMerge w:val="restart"/>
            <w:tcBorders>
              <w:left w:val="single" w:sz="4" w:space="0" w:color="auto"/>
            </w:tcBorders>
          </w:tcPr>
          <w:p w14:paraId="5D4FE40E"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5CECD08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0408333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49A1A7F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59B5602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1E37C06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16237FED" w14:textId="77777777" w:rsidTr="00924D5A">
        <w:tc>
          <w:tcPr>
            <w:tcW w:w="1296" w:type="pct"/>
            <w:vMerge/>
            <w:tcBorders>
              <w:left w:val="single" w:sz="4" w:space="0" w:color="auto"/>
            </w:tcBorders>
          </w:tcPr>
          <w:p w14:paraId="60141929"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7E161800"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5.850</w:t>
            </w:r>
          </w:p>
        </w:tc>
        <w:tc>
          <w:tcPr>
            <w:tcW w:w="673" w:type="pct"/>
            <w:vAlign w:val="center"/>
          </w:tcPr>
          <w:p w14:paraId="30A3BD99" w14:textId="77777777" w:rsidR="00146165" w:rsidRPr="00AA19A8" w:rsidRDefault="00544A4C"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5.950</w:t>
            </w:r>
          </w:p>
        </w:tc>
        <w:tc>
          <w:tcPr>
            <w:tcW w:w="582" w:type="pct"/>
            <w:gridSpan w:val="2"/>
            <w:vAlign w:val="center"/>
          </w:tcPr>
          <w:p w14:paraId="14AD6B5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6.1</w:t>
            </w:r>
            <w:r w:rsidR="00544A4C" w:rsidRPr="00AA19A8">
              <w:rPr>
                <w:rFonts w:ascii="Calibri" w:eastAsia="Calibri" w:hAnsi="Calibri" w:cs="Times New Roman"/>
                <w:bCs/>
                <w:lang w:val="sr-Cyrl-CS"/>
              </w:rPr>
              <w:t>0</w:t>
            </w:r>
            <w:r w:rsidRPr="00AA19A8">
              <w:rPr>
                <w:rFonts w:ascii="Calibri" w:eastAsia="Calibri" w:hAnsi="Calibri" w:cs="Times New Roman"/>
                <w:bCs/>
                <w:lang w:val="sr-Cyrl-CS"/>
              </w:rPr>
              <w:t>0</w:t>
            </w:r>
          </w:p>
        </w:tc>
        <w:tc>
          <w:tcPr>
            <w:tcW w:w="585" w:type="pct"/>
            <w:vAlign w:val="center"/>
          </w:tcPr>
          <w:p w14:paraId="5BFB39B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6.</w:t>
            </w:r>
            <w:r w:rsidR="00544A4C" w:rsidRPr="00AA19A8">
              <w:rPr>
                <w:rFonts w:ascii="Calibri" w:eastAsia="Calibri" w:hAnsi="Calibri" w:cs="Times New Roman"/>
                <w:bCs/>
                <w:lang w:val="sr-Cyrl-CS"/>
              </w:rPr>
              <w:t>2</w:t>
            </w:r>
            <w:r w:rsidRPr="00AA19A8">
              <w:rPr>
                <w:rFonts w:ascii="Calibri" w:eastAsia="Calibri" w:hAnsi="Calibri" w:cs="Times New Roman"/>
                <w:bCs/>
                <w:lang w:val="sr-Cyrl-CS"/>
              </w:rPr>
              <w:t>00</w:t>
            </w:r>
          </w:p>
        </w:tc>
        <w:tc>
          <w:tcPr>
            <w:tcW w:w="1109" w:type="pct"/>
            <w:tcBorders>
              <w:right w:val="single" w:sz="4" w:space="0" w:color="auto"/>
            </w:tcBorders>
            <w:vAlign w:val="center"/>
          </w:tcPr>
          <w:p w14:paraId="4FE16D1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6.</w:t>
            </w:r>
            <w:r w:rsidR="00544A4C" w:rsidRPr="00AA19A8">
              <w:rPr>
                <w:rFonts w:ascii="Calibri" w:eastAsia="Calibri" w:hAnsi="Calibri" w:cs="Times New Roman"/>
                <w:bCs/>
                <w:lang w:val="sr-Cyrl-CS"/>
              </w:rPr>
              <w:t>3</w:t>
            </w:r>
            <w:r w:rsidRPr="00AA19A8">
              <w:rPr>
                <w:rFonts w:ascii="Calibri" w:eastAsia="Calibri" w:hAnsi="Calibri" w:cs="Times New Roman"/>
                <w:bCs/>
                <w:lang w:val="sr-Cyrl-CS"/>
              </w:rPr>
              <w:t>00</w:t>
            </w:r>
          </w:p>
        </w:tc>
      </w:tr>
      <w:tr w:rsidR="00146165" w:rsidRPr="00AA19A8" w14:paraId="62B3B870" w14:textId="77777777" w:rsidTr="00924D5A">
        <w:tc>
          <w:tcPr>
            <w:tcW w:w="1296" w:type="pct"/>
            <w:tcBorders>
              <w:left w:val="single" w:sz="4" w:space="0" w:color="auto"/>
              <w:bottom w:val="single" w:sz="4" w:space="0" w:color="auto"/>
            </w:tcBorders>
          </w:tcPr>
          <w:p w14:paraId="6AEF55C7"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7ABA9359"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 од циљане вредности.</w:t>
            </w:r>
          </w:p>
        </w:tc>
      </w:tr>
    </w:tbl>
    <w:p w14:paraId="23B78B50" w14:textId="77777777" w:rsidR="00146165" w:rsidRPr="00AA19A8" w:rsidRDefault="00146165" w:rsidP="00146165">
      <w:pPr>
        <w:spacing w:after="120"/>
        <w:rPr>
          <w:rFonts w:ascii="Calibri" w:eastAsia="Times New Roman" w:hAnsi="Calibri" w:cs="Times New Roman"/>
          <w:b/>
          <w:bCs/>
          <w:lang w:val="sr-Cyrl-CS"/>
        </w:rPr>
      </w:pPr>
    </w:p>
    <w:p w14:paraId="536841BF"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3.1</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24881A92" w14:textId="77777777" w:rsidTr="00924D5A">
        <w:tc>
          <w:tcPr>
            <w:tcW w:w="1296" w:type="pct"/>
            <w:tcBorders>
              <w:top w:val="single" w:sz="4" w:space="0" w:color="auto"/>
              <w:left w:val="single" w:sz="4" w:space="0" w:color="auto"/>
            </w:tcBorders>
            <w:vAlign w:val="center"/>
          </w:tcPr>
          <w:p w14:paraId="61AF136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148745A9"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Број развијених методолошких оквира за ревизију</w:t>
            </w:r>
          </w:p>
        </w:tc>
      </w:tr>
      <w:tr w:rsidR="00D30238" w:rsidRPr="00AA19A8" w14:paraId="77043241" w14:textId="77777777" w:rsidTr="00924D5A">
        <w:tc>
          <w:tcPr>
            <w:tcW w:w="1296" w:type="pct"/>
            <w:tcBorders>
              <w:top w:val="single" w:sz="4" w:space="0" w:color="auto"/>
              <w:left w:val="single" w:sz="4" w:space="0" w:color="auto"/>
            </w:tcBorders>
          </w:tcPr>
          <w:p w14:paraId="1470130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2A96D207"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3.1</w:t>
            </w:r>
            <w:r w:rsidRPr="00AA19A8">
              <w:rPr>
                <w:rFonts w:ascii="Calibri" w:eastAsia="Calibri" w:hAnsi="Calibri" w:cs="Times New Roman"/>
                <w:lang w:val="sr-Cyrl-CS"/>
              </w:rPr>
              <w:t xml:space="preserve"> - Проширење обухвата ревизије и развој нове ревизорске методологије у надлежности Канцеларије за ревизију система управљања средствима ЕУ</w:t>
            </w:r>
          </w:p>
        </w:tc>
      </w:tr>
      <w:tr w:rsidR="00D30238" w:rsidRPr="00AA19A8" w14:paraId="7B758EB0" w14:textId="77777777" w:rsidTr="00924D5A">
        <w:tc>
          <w:tcPr>
            <w:tcW w:w="1296" w:type="pct"/>
            <w:tcBorders>
              <w:left w:val="single" w:sz="4" w:space="0" w:color="auto"/>
            </w:tcBorders>
          </w:tcPr>
          <w:p w14:paraId="7708CE0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27D53B2A"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3A4B728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1365BFF5" w14:textId="77777777" w:rsidTr="00924D5A">
        <w:tc>
          <w:tcPr>
            <w:tcW w:w="1296" w:type="pct"/>
            <w:tcBorders>
              <w:left w:val="single" w:sz="4" w:space="0" w:color="auto"/>
            </w:tcBorders>
          </w:tcPr>
          <w:p w14:paraId="67EFFA7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7C694D5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Број</w:t>
            </w:r>
          </w:p>
        </w:tc>
        <w:tc>
          <w:tcPr>
            <w:tcW w:w="1882" w:type="pct"/>
            <w:gridSpan w:val="3"/>
            <w:tcBorders>
              <w:right w:val="single" w:sz="4" w:space="0" w:color="auto"/>
            </w:tcBorders>
            <w:vAlign w:val="center"/>
          </w:tcPr>
          <w:p w14:paraId="6EC840AB"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74538784" w14:textId="77777777" w:rsidTr="00924D5A">
        <w:tc>
          <w:tcPr>
            <w:tcW w:w="1296" w:type="pct"/>
            <w:tcBorders>
              <w:left w:val="single" w:sz="4" w:space="0" w:color="auto"/>
              <w:bottom w:val="single" w:sz="4" w:space="0" w:color="auto"/>
            </w:tcBorders>
          </w:tcPr>
          <w:p w14:paraId="4181D9C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2D8C2426"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Одлука директора канцеларије о усвајању методологије</w:t>
            </w:r>
          </w:p>
        </w:tc>
      </w:tr>
      <w:tr w:rsidR="00D30238" w:rsidRPr="00AA19A8" w14:paraId="1B8A6089" w14:textId="77777777" w:rsidTr="00924D5A">
        <w:tc>
          <w:tcPr>
            <w:tcW w:w="1296" w:type="pct"/>
            <w:tcBorders>
              <w:left w:val="single" w:sz="4" w:space="0" w:color="auto"/>
              <w:bottom w:val="single" w:sz="4" w:space="0" w:color="auto"/>
            </w:tcBorders>
          </w:tcPr>
          <w:p w14:paraId="4382B84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08E385A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Канцеларија за ревизију система управљања средствима ЕУ</w:t>
            </w:r>
          </w:p>
        </w:tc>
      </w:tr>
      <w:tr w:rsidR="00D30238" w:rsidRPr="00AA19A8" w14:paraId="1652FDA0" w14:textId="77777777" w:rsidTr="00924D5A">
        <w:tc>
          <w:tcPr>
            <w:tcW w:w="1296" w:type="pct"/>
            <w:tcBorders>
              <w:top w:val="single" w:sz="4" w:space="0" w:color="auto"/>
              <w:left w:val="single" w:sz="4" w:space="0" w:color="auto"/>
            </w:tcBorders>
          </w:tcPr>
          <w:p w14:paraId="26A6229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4E89C4E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за време трајања ПРУЈФ</w:t>
            </w:r>
          </w:p>
        </w:tc>
      </w:tr>
      <w:tr w:rsidR="00D30238" w:rsidRPr="00AA19A8" w14:paraId="61DB7088" w14:textId="77777777" w:rsidTr="00924D5A">
        <w:trPr>
          <w:trHeight w:val="1181"/>
        </w:trPr>
        <w:tc>
          <w:tcPr>
            <w:tcW w:w="1296" w:type="pct"/>
            <w:tcBorders>
              <w:left w:val="single" w:sz="4" w:space="0" w:color="auto"/>
              <w:bottom w:val="single" w:sz="6" w:space="0" w:color="auto"/>
            </w:tcBorders>
          </w:tcPr>
          <w:p w14:paraId="08D8AFB5"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lastRenderedPageBreak/>
              <w:t>Кратак опис показатеља и методологије израчунавања</w:t>
            </w:r>
          </w:p>
          <w:p w14:paraId="7BD9584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5C1D0F29" w14:textId="77777777" w:rsidR="00146165" w:rsidRPr="00AA19A8" w:rsidRDefault="00146165" w:rsidP="00146165">
            <w:pPr>
              <w:spacing w:line="256" w:lineRule="auto"/>
              <w:jc w:val="both"/>
              <w:rPr>
                <w:rFonts w:ascii="Calibri" w:eastAsia="Times New Roman" w:hAnsi="Calibri" w:cs="Calibri"/>
                <w:lang w:val="sr-Cyrl-CS"/>
              </w:rPr>
            </w:pPr>
            <w:r w:rsidRPr="00AA19A8">
              <w:rPr>
                <w:rFonts w:ascii="Calibri" w:eastAsia="Times New Roman" w:hAnsi="Calibri" w:cs="Calibri"/>
                <w:lang w:val="sr-Cyrl-CS"/>
              </w:rPr>
              <w:t>Показатељ представља укупан број развијених методолошких оквира који су усвојени од стране директора у посматраном периоду. Рачуна се збир (број) усвојених методолошких оквира у току године, на основу званичне одлуке о усвајању.</w:t>
            </w:r>
          </w:p>
        </w:tc>
      </w:tr>
      <w:tr w:rsidR="00D30238" w:rsidRPr="00AA19A8" w14:paraId="1AB15748" w14:textId="77777777" w:rsidTr="00924D5A">
        <w:tc>
          <w:tcPr>
            <w:tcW w:w="1296" w:type="pct"/>
            <w:vMerge w:val="restart"/>
            <w:tcBorders>
              <w:top w:val="single" w:sz="6" w:space="0" w:color="auto"/>
              <w:left w:val="single" w:sz="4" w:space="0" w:color="auto"/>
            </w:tcBorders>
          </w:tcPr>
          <w:p w14:paraId="3A790D0A"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50F6073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0980510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5666272" w14:textId="77777777" w:rsidTr="00924D5A">
        <w:tc>
          <w:tcPr>
            <w:tcW w:w="1296" w:type="pct"/>
            <w:vMerge/>
            <w:tcBorders>
              <w:left w:val="single" w:sz="4" w:space="0" w:color="auto"/>
            </w:tcBorders>
          </w:tcPr>
          <w:p w14:paraId="206E218D" w14:textId="77777777" w:rsidR="00146165" w:rsidRPr="00AA19A8" w:rsidRDefault="00146165" w:rsidP="00146165">
            <w:pPr>
              <w:spacing w:before="0"/>
              <w:rPr>
                <w:rFonts w:ascii="Calibri" w:eastAsia="Calibri" w:hAnsi="Calibri" w:cs="Times New Roman"/>
                <w:b/>
                <w:lang w:val="sr-Cyrl-CS"/>
              </w:rPr>
            </w:pPr>
          </w:p>
        </w:tc>
        <w:tc>
          <w:tcPr>
            <w:tcW w:w="755" w:type="pct"/>
          </w:tcPr>
          <w:p w14:paraId="3C09E12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620EB70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69918EE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1023B5D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4504D4D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449A52BF" w14:textId="77777777" w:rsidTr="00924D5A">
        <w:tc>
          <w:tcPr>
            <w:tcW w:w="1296" w:type="pct"/>
            <w:vMerge/>
            <w:tcBorders>
              <w:left w:val="single" w:sz="4" w:space="0" w:color="auto"/>
            </w:tcBorders>
          </w:tcPr>
          <w:p w14:paraId="23DB928C" w14:textId="77777777" w:rsidR="00146165" w:rsidRPr="00AA19A8" w:rsidRDefault="00146165" w:rsidP="00146165">
            <w:pPr>
              <w:spacing w:before="0"/>
              <w:rPr>
                <w:rFonts w:ascii="Calibri" w:eastAsia="Calibri" w:hAnsi="Calibri" w:cs="Times New Roman"/>
                <w:b/>
                <w:lang w:val="sr-Cyrl-CS"/>
              </w:rPr>
            </w:pPr>
          </w:p>
        </w:tc>
        <w:tc>
          <w:tcPr>
            <w:tcW w:w="755" w:type="pct"/>
          </w:tcPr>
          <w:p w14:paraId="3991C44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2822985A" w14:textId="77777777" w:rsidR="00146165" w:rsidRPr="00AA19A8" w:rsidRDefault="00274524"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523B8B03" w14:textId="77777777" w:rsidR="00146165" w:rsidRPr="00AA19A8" w:rsidRDefault="00274524"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5150D585" w14:textId="77777777" w:rsidR="00146165" w:rsidRPr="00AA19A8" w:rsidRDefault="00274524"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251C2A95" w14:textId="77777777" w:rsidR="00146165" w:rsidRPr="00AA19A8" w:rsidRDefault="00274524"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r>
      <w:tr w:rsidR="00D30238" w:rsidRPr="00AA19A8" w14:paraId="03E84C1D" w14:textId="77777777" w:rsidTr="00924D5A">
        <w:tc>
          <w:tcPr>
            <w:tcW w:w="1296" w:type="pct"/>
            <w:vMerge w:val="restart"/>
            <w:tcBorders>
              <w:left w:val="single" w:sz="4" w:space="0" w:color="auto"/>
            </w:tcBorders>
          </w:tcPr>
          <w:p w14:paraId="6F654133"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1A833D3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37D0FC7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6771462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7F9C39F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27690B6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67A12340" w14:textId="77777777" w:rsidTr="00924D5A">
        <w:tc>
          <w:tcPr>
            <w:tcW w:w="1296" w:type="pct"/>
            <w:vMerge/>
            <w:tcBorders>
              <w:left w:val="single" w:sz="4" w:space="0" w:color="auto"/>
            </w:tcBorders>
          </w:tcPr>
          <w:p w14:paraId="01BC9D27"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3BE57F84"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2</w:t>
            </w:r>
          </w:p>
        </w:tc>
        <w:tc>
          <w:tcPr>
            <w:tcW w:w="673" w:type="pct"/>
            <w:vAlign w:val="center"/>
          </w:tcPr>
          <w:p w14:paraId="6E59B415"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w:t>
            </w:r>
          </w:p>
        </w:tc>
        <w:tc>
          <w:tcPr>
            <w:tcW w:w="582" w:type="pct"/>
            <w:gridSpan w:val="2"/>
            <w:vAlign w:val="center"/>
          </w:tcPr>
          <w:p w14:paraId="025E854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vAlign w:val="center"/>
          </w:tcPr>
          <w:p w14:paraId="7F2B2A16"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35FA8A87"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435FC8E4" w14:textId="77777777" w:rsidTr="00924D5A">
        <w:tc>
          <w:tcPr>
            <w:tcW w:w="1296" w:type="pct"/>
            <w:tcBorders>
              <w:left w:val="single" w:sz="4" w:space="0" w:color="auto"/>
              <w:bottom w:val="single" w:sz="4" w:space="0" w:color="auto"/>
            </w:tcBorders>
          </w:tcPr>
          <w:p w14:paraId="2BD22FA9"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397B1EF7" w14:textId="77777777" w:rsidR="00146165" w:rsidRPr="00AA19A8" w:rsidRDefault="00146165" w:rsidP="00146165">
            <w:pPr>
              <w:tabs>
                <w:tab w:val="right" w:pos="2140"/>
              </w:tabs>
              <w:spacing w:before="0"/>
              <w:jc w:val="both"/>
              <w:rPr>
                <w:rFonts w:ascii="Calibri" w:eastAsia="Calibri" w:hAnsi="Calibri" w:cs="Calibri"/>
                <w:bCs/>
                <w:lang w:val="sr-Cyrl-CS"/>
              </w:rPr>
            </w:pPr>
            <w:r w:rsidRPr="00AA19A8">
              <w:rPr>
                <w:rFonts w:ascii="Calibri" w:eastAsia="Times New Roman" w:hAnsi="Calibri" w:cs="Calibri"/>
                <w:iCs/>
                <w:lang w:val="sr-Cyrl-CS"/>
              </w:rPr>
              <w:t xml:space="preserve">Успешност се процењује поређењем остварене вредности показатеља са планираном циљном вредношћу. Показатељ се сматра успешно оствареним ако је у 2026. години развијено и усвојено 2 методолошка оквира. </w:t>
            </w:r>
            <w:r w:rsidRPr="00AA19A8">
              <w:rPr>
                <w:rFonts w:ascii="Calibri" w:eastAsia="Calibri" w:hAnsi="Calibri" w:cs="Calibri"/>
                <w:bCs/>
                <w:lang w:val="sr-Cyrl-CS"/>
              </w:rPr>
              <w:t>Одступање није дозвољено.</w:t>
            </w:r>
          </w:p>
        </w:tc>
      </w:tr>
    </w:tbl>
    <w:p w14:paraId="4CAAA087" w14:textId="77777777" w:rsidR="00146165" w:rsidRPr="00AA19A8" w:rsidRDefault="00146165" w:rsidP="00146165">
      <w:pPr>
        <w:spacing w:after="120"/>
        <w:rPr>
          <w:rFonts w:ascii="Calibri" w:eastAsia="Times New Roman" w:hAnsi="Calibri" w:cs="Times New Roman"/>
          <w:b/>
          <w:bCs/>
          <w:lang w:val="sr-Cyrl-CS"/>
        </w:rPr>
      </w:pPr>
    </w:p>
    <w:p w14:paraId="48DD42BE"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3.2</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243BC9AE" w14:textId="77777777" w:rsidTr="00924D5A">
        <w:tc>
          <w:tcPr>
            <w:tcW w:w="1296" w:type="pct"/>
            <w:tcBorders>
              <w:top w:val="single" w:sz="4" w:space="0" w:color="auto"/>
              <w:left w:val="single" w:sz="4" w:space="0" w:color="auto"/>
            </w:tcBorders>
            <w:vAlign w:val="center"/>
          </w:tcPr>
          <w:p w14:paraId="6B565BD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6B0E7217"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потврђених неправилности које су уочене приликом спровођења теренских и административних контрола у односу на укупан број потврђених случајева неправилности</w:t>
            </w:r>
          </w:p>
        </w:tc>
      </w:tr>
      <w:tr w:rsidR="00D30238" w:rsidRPr="00AA19A8" w14:paraId="7CACB92F" w14:textId="77777777" w:rsidTr="00924D5A">
        <w:tc>
          <w:tcPr>
            <w:tcW w:w="1296" w:type="pct"/>
            <w:tcBorders>
              <w:top w:val="single" w:sz="4" w:space="0" w:color="auto"/>
              <w:left w:val="single" w:sz="4" w:space="0" w:color="auto"/>
            </w:tcBorders>
          </w:tcPr>
          <w:p w14:paraId="24B4CC4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470DEF93"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3.2</w:t>
            </w:r>
            <w:r w:rsidRPr="00AA19A8">
              <w:rPr>
                <w:rFonts w:ascii="Calibri" w:eastAsia="Calibri" w:hAnsi="Calibri" w:cs="Times New Roman"/>
                <w:lang w:val="sr-Cyrl-CS"/>
              </w:rPr>
              <w:t xml:space="preserve"> - Јачање система за ефикасније и делотворније управљање средствима ЕУ и оснаживање капацитета надлежних институција у области заштите финансијских интереса ЕУ</w:t>
            </w:r>
          </w:p>
        </w:tc>
      </w:tr>
      <w:tr w:rsidR="00D30238" w:rsidRPr="00AA19A8" w14:paraId="120FEDAC" w14:textId="77777777" w:rsidTr="00924D5A">
        <w:tc>
          <w:tcPr>
            <w:tcW w:w="1296" w:type="pct"/>
            <w:tcBorders>
              <w:left w:val="single" w:sz="4" w:space="0" w:color="auto"/>
            </w:tcBorders>
          </w:tcPr>
          <w:p w14:paraId="094937A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58E92456"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0323DE3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40AEAA95" w14:textId="77777777" w:rsidTr="00924D5A">
        <w:tc>
          <w:tcPr>
            <w:tcW w:w="1296" w:type="pct"/>
            <w:tcBorders>
              <w:left w:val="single" w:sz="4" w:space="0" w:color="auto"/>
            </w:tcBorders>
          </w:tcPr>
          <w:p w14:paraId="081D9A3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72B2A37F"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4A3725B7"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Виша вредност је боља</w:t>
            </w:r>
          </w:p>
        </w:tc>
      </w:tr>
      <w:tr w:rsidR="00D30238" w:rsidRPr="00AA19A8" w14:paraId="58B79DBB" w14:textId="77777777" w:rsidTr="00924D5A">
        <w:tc>
          <w:tcPr>
            <w:tcW w:w="1296" w:type="pct"/>
            <w:tcBorders>
              <w:left w:val="single" w:sz="4" w:space="0" w:color="auto"/>
              <w:bottom w:val="single" w:sz="4" w:space="0" w:color="auto"/>
            </w:tcBorders>
          </w:tcPr>
          <w:p w14:paraId="07D2EC7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41C5B4D8"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Times New Roman" w:eastAsia="Times New Roman" w:hAnsi="Times New Roman" w:cs="Times New Roman"/>
                <w:bCs/>
                <w:i/>
                <w:lang w:val="sr-Cyrl-CS"/>
              </w:rPr>
              <w:t>AFIS-IMS</w:t>
            </w:r>
            <w:r w:rsidRPr="00AA19A8">
              <w:rPr>
                <w:rFonts w:ascii="Times New Roman" w:eastAsia="Times New Roman" w:hAnsi="Times New Roman" w:cs="Times New Roman"/>
                <w:bCs/>
                <w:lang w:val="sr-Cyrl-CS"/>
              </w:rPr>
              <w:t xml:space="preserve"> систем, годишњи извештаји о спровођењу </w:t>
            </w:r>
            <w:r w:rsidRPr="00AA19A8">
              <w:rPr>
                <w:rFonts w:ascii="Times New Roman" w:eastAsia="Times New Roman" w:hAnsi="Times New Roman" w:cs="Times New Roman"/>
                <w:bCs/>
                <w:i/>
                <w:lang w:val="sr-Cyrl-CS"/>
              </w:rPr>
              <w:t>IPA</w:t>
            </w:r>
            <w:r w:rsidRPr="00AA19A8">
              <w:rPr>
                <w:rFonts w:ascii="Times New Roman" w:eastAsia="Times New Roman" w:hAnsi="Times New Roman" w:cs="Times New Roman"/>
                <w:bCs/>
                <w:lang w:val="sr-Cyrl-CS"/>
              </w:rPr>
              <w:t xml:space="preserve"> програма</w:t>
            </w:r>
          </w:p>
        </w:tc>
      </w:tr>
      <w:tr w:rsidR="00D30238" w:rsidRPr="00AA19A8" w14:paraId="4BA7F4FF" w14:textId="77777777" w:rsidTr="00924D5A">
        <w:tc>
          <w:tcPr>
            <w:tcW w:w="1296" w:type="pct"/>
            <w:tcBorders>
              <w:left w:val="single" w:sz="4" w:space="0" w:color="auto"/>
              <w:bottom w:val="single" w:sz="4" w:space="0" w:color="auto"/>
            </w:tcBorders>
          </w:tcPr>
          <w:p w14:paraId="172AF1E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658F75D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за управљање средствима ЕУ</w:t>
            </w:r>
          </w:p>
        </w:tc>
      </w:tr>
      <w:tr w:rsidR="00D30238" w:rsidRPr="00AA19A8" w14:paraId="5056BEE5" w14:textId="77777777" w:rsidTr="00924D5A">
        <w:tc>
          <w:tcPr>
            <w:tcW w:w="1296" w:type="pct"/>
            <w:tcBorders>
              <w:top w:val="single" w:sz="4" w:space="0" w:color="auto"/>
              <w:left w:val="single" w:sz="4" w:space="0" w:color="auto"/>
            </w:tcBorders>
          </w:tcPr>
          <w:p w14:paraId="056EB03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026AA55E"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до 15. фебруара текуће године за претходну</w:t>
            </w:r>
          </w:p>
        </w:tc>
      </w:tr>
      <w:tr w:rsidR="00D30238" w:rsidRPr="00AA19A8" w14:paraId="7879FBC9" w14:textId="77777777" w:rsidTr="00924D5A">
        <w:trPr>
          <w:trHeight w:val="1181"/>
        </w:trPr>
        <w:tc>
          <w:tcPr>
            <w:tcW w:w="1296" w:type="pct"/>
            <w:tcBorders>
              <w:left w:val="single" w:sz="4" w:space="0" w:color="auto"/>
              <w:bottom w:val="single" w:sz="6" w:space="0" w:color="auto"/>
            </w:tcBorders>
          </w:tcPr>
          <w:p w14:paraId="2AE6366E"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5CC2DF4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3AFC3495" w14:textId="77777777" w:rsidR="00146165" w:rsidRPr="00AA19A8" w:rsidRDefault="00146165" w:rsidP="00146165">
            <w:pPr>
              <w:spacing w:line="254" w:lineRule="auto"/>
              <w:jc w:val="both"/>
              <w:rPr>
                <w:rFonts w:ascii="Calibri" w:eastAsia="Times New Roman" w:hAnsi="Calibri" w:cs="Times New Roman"/>
                <w:lang w:val="sr-Cyrl-CS"/>
              </w:rPr>
            </w:pPr>
            <w:r w:rsidRPr="00AA19A8">
              <w:rPr>
                <w:rFonts w:ascii="Calibri" w:eastAsia="Times New Roman" w:hAnsi="Calibri" w:cs="Calibri"/>
                <w:lang w:val="sr-Cyrl-CS"/>
              </w:rPr>
              <w:t xml:space="preserve">Показатељ прати проценат потврђених неправилности које су уочене приликом спровођења редовних теренских и административних контрола које обавља оперативна структура за управљање средствима ЕУ у односу на укупан број потврђених случајева неправилности које могу бити пријављене и ван оперативне структуре. Већи проценат уочених и потврђених </w:t>
            </w:r>
            <w:r w:rsidRPr="00AA19A8">
              <w:rPr>
                <w:rFonts w:ascii="Calibri" w:eastAsia="Times New Roman" w:hAnsi="Calibri" w:cs="Calibri"/>
                <w:lang w:val="sr-Cyrl-CS"/>
              </w:rPr>
              <w:lastRenderedPageBreak/>
              <w:t>неправилности у оквиру структуре је показатељ ефикасног функционисања надлежног система за управљање средствима ЕУ.</w:t>
            </w:r>
          </w:p>
        </w:tc>
      </w:tr>
      <w:tr w:rsidR="00D30238" w:rsidRPr="00AA19A8" w14:paraId="46CE7099" w14:textId="77777777" w:rsidTr="00924D5A">
        <w:tc>
          <w:tcPr>
            <w:tcW w:w="1296" w:type="pct"/>
            <w:vMerge w:val="restart"/>
            <w:tcBorders>
              <w:top w:val="single" w:sz="6" w:space="0" w:color="auto"/>
              <w:left w:val="single" w:sz="4" w:space="0" w:color="auto"/>
            </w:tcBorders>
          </w:tcPr>
          <w:p w14:paraId="7ABD4F0B"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lastRenderedPageBreak/>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4B8E511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2DCA593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25A9CD09" w14:textId="77777777" w:rsidTr="00924D5A">
        <w:tc>
          <w:tcPr>
            <w:tcW w:w="1296" w:type="pct"/>
            <w:vMerge/>
            <w:tcBorders>
              <w:left w:val="single" w:sz="4" w:space="0" w:color="auto"/>
            </w:tcBorders>
          </w:tcPr>
          <w:p w14:paraId="78C26596" w14:textId="77777777" w:rsidR="00146165" w:rsidRPr="00AA19A8" w:rsidRDefault="00146165" w:rsidP="00146165">
            <w:pPr>
              <w:spacing w:before="0"/>
              <w:rPr>
                <w:rFonts w:ascii="Calibri" w:eastAsia="Calibri" w:hAnsi="Calibri" w:cs="Times New Roman"/>
                <w:b/>
                <w:lang w:val="sr-Cyrl-CS"/>
              </w:rPr>
            </w:pPr>
          </w:p>
        </w:tc>
        <w:tc>
          <w:tcPr>
            <w:tcW w:w="755" w:type="pct"/>
          </w:tcPr>
          <w:p w14:paraId="54C01AA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68CC9AB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0C57607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0F1C080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416DA04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16BC6726" w14:textId="77777777" w:rsidTr="00924D5A">
        <w:tc>
          <w:tcPr>
            <w:tcW w:w="1296" w:type="pct"/>
            <w:vMerge/>
            <w:tcBorders>
              <w:left w:val="single" w:sz="4" w:space="0" w:color="auto"/>
            </w:tcBorders>
          </w:tcPr>
          <w:p w14:paraId="7E2B8990" w14:textId="77777777" w:rsidR="00146165" w:rsidRPr="00AA19A8" w:rsidRDefault="00146165" w:rsidP="00146165">
            <w:pPr>
              <w:spacing w:before="0"/>
              <w:rPr>
                <w:rFonts w:ascii="Calibri" w:eastAsia="Calibri" w:hAnsi="Calibri" w:cs="Times New Roman"/>
                <w:b/>
                <w:lang w:val="sr-Cyrl-CS"/>
              </w:rPr>
            </w:pPr>
          </w:p>
        </w:tc>
        <w:tc>
          <w:tcPr>
            <w:tcW w:w="755" w:type="pct"/>
          </w:tcPr>
          <w:p w14:paraId="67495B7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75%</w:t>
            </w:r>
          </w:p>
        </w:tc>
        <w:tc>
          <w:tcPr>
            <w:tcW w:w="673" w:type="pct"/>
          </w:tcPr>
          <w:p w14:paraId="0446AB5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77,8%</w:t>
            </w:r>
          </w:p>
        </w:tc>
        <w:tc>
          <w:tcPr>
            <w:tcW w:w="582" w:type="pct"/>
            <w:gridSpan w:val="2"/>
          </w:tcPr>
          <w:p w14:paraId="2627EA8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68,2%</w:t>
            </w:r>
          </w:p>
        </w:tc>
        <w:tc>
          <w:tcPr>
            <w:tcW w:w="585" w:type="pct"/>
          </w:tcPr>
          <w:p w14:paraId="645DAA5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85%</w:t>
            </w:r>
          </w:p>
        </w:tc>
        <w:tc>
          <w:tcPr>
            <w:tcW w:w="1109" w:type="pct"/>
            <w:tcBorders>
              <w:right w:val="single" w:sz="4" w:space="0" w:color="auto"/>
            </w:tcBorders>
          </w:tcPr>
          <w:p w14:paraId="785CAF4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85%</w:t>
            </w:r>
          </w:p>
        </w:tc>
      </w:tr>
      <w:tr w:rsidR="00D30238" w:rsidRPr="00AA19A8" w14:paraId="1473A8FF" w14:textId="77777777" w:rsidTr="00924D5A">
        <w:tc>
          <w:tcPr>
            <w:tcW w:w="1296" w:type="pct"/>
            <w:vMerge w:val="restart"/>
            <w:tcBorders>
              <w:left w:val="single" w:sz="4" w:space="0" w:color="auto"/>
            </w:tcBorders>
          </w:tcPr>
          <w:p w14:paraId="54CDCD22"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7643714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145CDE0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49BD649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01C7DBD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6B4A177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6C55503A" w14:textId="77777777" w:rsidTr="00924D5A">
        <w:tc>
          <w:tcPr>
            <w:tcW w:w="1296" w:type="pct"/>
            <w:vMerge/>
            <w:tcBorders>
              <w:left w:val="single" w:sz="4" w:space="0" w:color="auto"/>
            </w:tcBorders>
          </w:tcPr>
          <w:p w14:paraId="34270AFD"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58DD6945"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85%</w:t>
            </w:r>
          </w:p>
        </w:tc>
        <w:tc>
          <w:tcPr>
            <w:tcW w:w="673" w:type="pct"/>
            <w:vAlign w:val="center"/>
          </w:tcPr>
          <w:p w14:paraId="411C6258"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85%</w:t>
            </w:r>
          </w:p>
        </w:tc>
        <w:tc>
          <w:tcPr>
            <w:tcW w:w="582" w:type="pct"/>
            <w:gridSpan w:val="2"/>
            <w:vAlign w:val="center"/>
          </w:tcPr>
          <w:p w14:paraId="78F5A17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85%</w:t>
            </w:r>
          </w:p>
        </w:tc>
        <w:tc>
          <w:tcPr>
            <w:tcW w:w="585" w:type="pct"/>
            <w:vAlign w:val="center"/>
          </w:tcPr>
          <w:p w14:paraId="0240F1E2"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108C2ADE"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7D01C679" w14:textId="77777777" w:rsidTr="00924D5A">
        <w:tc>
          <w:tcPr>
            <w:tcW w:w="1296" w:type="pct"/>
            <w:tcBorders>
              <w:left w:val="single" w:sz="4" w:space="0" w:color="auto"/>
              <w:bottom w:val="single" w:sz="4" w:space="0" w:color="auto"/>
            </w:tcBorders>
          </w:tcPr>
          <w:p w14:paraId="1FF3C027"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651F4E0A"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5%.</w:t>
            </w:r>
          </w:p>
        </w:tc>
      </w:tr>
    </w:tbl>
    <w:p w14:paraId="4827FEED" w14:textId="77777777" w:rsidR="00146165" w:rsidRPr="00AA19A8" w:rsidRDefault="00146165" w:rsidP="00146165">
      <w:pPr>
        <w:spacing w:after="120"/>
        <w:rPr>
          <w:rFonts w:ascii="Calibri" w:eastAsia="Times New Roman" w:hAnsi="Calibri" w:cs="Times New Roman"/>
          <w:b/>
          <w:bCs/>
          <w:lang w:val="sr-Cyrl-CS"/>
        </w:rPr>
      </w:pPr>
    </w:p>
    <w:p w14:paraId="416BA463"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3.3</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81"/>
        <w:gridCol w:w="1299"/>
        <w:gridCol w:w="1150"/>
        <w:gridCol w:w="644"/>
        <w:gridCol w:w="869"/>
        <w:gridCol w:w="1388"/>
        <w:gridCol w:w="1441"/>
      </w:tblGrid>
      <w:tr w:rsidR="00D30238" w:rsidRPr="00AA19A8" w14:paraId="27F4D082" w14:textId="77777777" w:rsidTr="00924D5A">
        <w:tc>
          <w:tcPr>
            <w:tcW w:w="1257" w:type="pct"/>
            <w:tcBorders>
              <w:top w:val="single" w:sz="4" w:space="0" w:color="auto"/>
              <w:left w:val="single" w:sz="4" w:space="0" w:color="auto"/>
            </w:tcBorders>
            <w:vAlign w:val="center"/>
          </w:tcPr>
          <w:p w14:paraId="598E3F1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43" w:type="pct"/>
            <w:gridSpan w:val="6"/>
            <w:tcBorders>
              <w:top w:val="single" w:sz="4" w:space="0" w:color="auto"/>
              <w:right w:val="single" w:sz="4" w:space="0" w:color="auto"/>
            </w:tcBorders>
            <w:vAlign w:val="center"/>
          </w:tcPr>
          <w:p w14:paraId="4116EFA8"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извршених надзора по представкама које су обухваћене планом надзора у текућој години у односу на број примљених представки у надлежности буџетске инспекције у претходној години</w:t>
            </w:r>
          </w:p>
        </w:tc>
      </w:tr>
      <w:tr w:rsidR="00D30238" w:rsidRPr="00AA19A8" w14:paraId="52B58B9C" w14:textId="77777777" w:rsidTr="00924D5A">
        <w:tc>
          <w:tcPr>
            <w:tcW w:w="1257" w:type="pct"/>
            <w:tcBorders>
              <w:top w:val="single" w:sz="4" w:space="0" w:color="auto"/>
              <w:left w:val="single" w:sz="4" w:space="0" w:color="auto"/>
            </w:tcBorders>
          </w:tcPr>
          <w:p w14:paraId="75EFC1D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43" w:type="pct"/>
            <w:gridSpan w:val="6"/>
            <w:tcBorders>
              <w:top w:val="single" w:sz="4" w:space="0" w:color="auto"/>
              <w:right w:val="single" w:sz="4" w:space="0" w:color="auto"/>
            </w:tcBorders>
          </w:tcPr>
          <w:p w14:paraId="09EC8BA2"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3.3</w:t>
            </w:r>
            <w:r w:rsidRPr="00AA19A8">
              <w:rPr>
                <w:rFonts w:ascii="Calibri" w:eastAsia="Calibri" w:hAnsi="Calibri" w:cs="Times New Roman"/>
                <w:lang w:val="sr-Cyrl-CS"/>
              </w:rPr>
              <w:t xml:space="preserve"> - Повећање ефикасности и делотворности инспекцијског надзора</w:t>
            </w:r>
          </w:p>
        </w:tc>
      </w:tr>
      <w:tr w:rsidR="00D30238" w:rsidRPr="00AA19A8" w14:paraId="301A6E50" w14:textId="77777777" w:rsidTr="00924D5A">
        <w:tc>
          <w:tcPr>
            <w:tcW w:w="1257" w:type="pct"/>
            <w:tcBorders>
              <w:left w:val="single" w:sz="4" w:space="0" w:color="auto"/>
            </w:tcBorders>
          </w:tcPr>
          <w:p w14:paraId="19B9BDA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705" w:type="pct"/>
            <w:gridSpan w:val="3"/>
            <w:tcBorders>
              <w:right w:val="single" w:sz="4" w:space="0" w:color="auto"/>
            </w:tcBorders>
          </w:tcPr>
          <w:p w14:paraId="05ACC12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038" w:type="pct"/>
            <w:gridSpan w:val="3"/>
            <w:tcBorders>
              <w:right w:val="single" w:sz="4" w:space="0" w:color="auto"/>
            </w:tcBorders>
          </w:tcPr>
          <w:p w14:paraId="4F7AABB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234A0477" w14:textId="77777777" w:rsidTr="00924D5A">
        <w:tc>
          <w:tcPr>
            <w:tcW w:w="1257" w:type="pct"/>
            <w:tcBorders>
              <w:left w:val="single" w:sz="4" w:space="0" w:color="auto"/>
            </w:tcBorders>
          </w:tcPr>
          <w:p w14:paraId="0106BCF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705" w:type="pct"/>
            <w:gridSpan w:val="3"/>
            <w:tcBorders>
              <w:right w:val="single" w:sz="4" w:space="0" w:color="auto"/>
            </w:tcBorders>
          </w:tcPr>
          <w:p w14:paraId="7A8B472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038" w:type="pct"/>
            <w:gridSpan w:val="3"/>
            <w:tcBorders>
              <w:right w:val="single" w:sz="4" w:space="0" w:color="auto"/>
            </w:tcBorders>
            <w:vAlign w:val="center"/>
          </w:tcPr>
          <w:p w14:paraId="4C34DE89"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67A01921" w14:textId="77777777" w:rsidTr="00924D5A">
        <w:tc>
          <w:tcPr>
            <w:tcW w:w="1257" w:type="pct"/>
            <w:tcBorders>
              <w:left w:val="single" w:sz="4" w:space="0" w:color="auto"/>
              <w:bottom w:val="single" w:sz="4" w:space="0" w:color="auto"/>
            </w:tcBorders>
          </w:tcPr>
          <w:p w14:paraId="699A02C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43" w:type="pct"/>
            <w:gridSpan w:val="6"/>
            <w:tcBorders>
              <w:bottom w:val="single" w:sz="4" w:space="0" w:color="auto"/>
              <w:right w:val="single" w:sz="4" w:space="0" w:color="auto"/>
            </w:tcBorders>
          </w:tcPr>
          <w:p w14:paraId="546952F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Годишњи извештај о раду буџетске инспекције - </w:t>
            </w:r>
            <w:hyperlink r:id="rId27" w:history="1">
              <w:r w:rsidRPr="00AA19A8">
                <w:rPr>
                  <w:rFonts w:ascii="Calibri" w:eastAsia="Times New Roman" w:hAnsi="Calibri" w:cs="Times New Roman"/>
                  <w:bCs/>
                  <w:u w:val="single"/>
                  <w:lang w:val="sr-Cyrl-CS"/>
                </w:rPr>
                <w:t>https://mfin.gov.rs/kontrola-javnih-sredstava/budzetska-inspekcija</w:t>
              </w:r>
            </w:hyperlink>
            <w:r w:rsidRPr="00AA19A8">
              <w:rPr>
                <w:rFonts w:ascii="Calibri" w:eastAsia="Times New Roman" w:hAnsi="Calibri" w:cs="Times New Roman"/>
                <w:bCs/>
                <w:lang w:val="sr-Cyrl-CS"/>
              </w:rPr>
              <w:t xml:space="preserve"> </w:t>
            </w:r>
          </w:p>
        </w:tc>
      </w:tr>
      <w:tr w:rsidR="00D30238" w:rsidRPr="00AA19A8" w14:paraId="56E0FFFE" w14:textId="77777777" w:rsidTr="00924D5A">
        <w:tc>
          <w:tcPr>
            <w:tcW w:w="1257" w:type="pct"/>
            <w:tcBorders>
              <w:left w:val="single" w:sz="4" w:space="0" w:color="auto"/>
              <w:bottom w:val="single" w:sz="4" w:space="0" w:color="auto"/>
            </w:tcBorders>
          </w:tcPr>
          <w:p w14:paraId="03F0F39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43" w:type="pct"/>
            <w:gridSpan w:val="6"/>
            <w:tcBorders>
              <w:bottom w:val="single" w:sz="4" w:space="0" w:color="auto"/>
              <w:right w:val="single" w:sz="4" w:space="0" w:color="auto"/>
            </w:tcBorders>
          </w:tcPr>
          <w:p w14:paraId="4DBC965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за буџетску инспекцију</w:t>
            </w:r>
          </w:p>
        </w:tc>
      </w:tr>
      <w:tr w:rsidR="00D30238" w:rsidRPr="00AA19A8" w14:paraId="406D1FE1" w14:textId="77777777" w:rsidTr="00924D5A">
        <w:tc>
          <w:tcPr>
            <w:tcW w:w="1257" w:type="pct"/>
            <w:tcBorders>
              <w:top w:val="single" w:sz="4" w:space="0" w:color="auto"/>
              <w:left w:val="single" w:sz="4" w:space="0" w:color="auto"/>
            </w:tcBorders>
          </w:tcPr>
          <w:p w14:paraId="10C9927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43" w:type="pct"/>
            <w:gridSpan w:val="6"/>
            <w:tcBorders>
              <w:top w:val="single" w:sz="4" w:space="0" w:color="auto"/>
              <w:right w:val="single" w:sz="4" w:space="0" w:color="auto"/>
            </w:tcBorders>
          </w:tcPr>
          <w:p w14:paraId="20037A07"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71DDA953" w14:textId="77777777" w:rsidTr="00924D5A">
        <w:trPr>
          <w:trHeight w:val="1181"/>
        </w:trPr>
        <w:tc>
          <w:tcPr>
            <w:tcW w:w="1257" w:type="pct"/>
            <w:tcBorders>
              <w:left w:val="single" w:sz="4" w:space="0" w:color="auto"/>
              <w:bottom w:val="single" w:sz="6" w:space="0" w:color="auto"/>
            </w:tcBorders>
          </w:tcPr>
          <w:p w14:paraId="356CE39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2D62E99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43" w:type="pct"/>
            <w:gridSpan w:val="6"/>
            <w:tcBorders>
              <w:right w:val="single" w:sz="4" w:space="0" w:color="auto"/>
            </w:tcBorders>
          </w:tcPr>
          <w:p w14:paraId="46A77336" w14:textId="77777777" w:rsidR="00146165" w:rsidRPr="00AA19A8" w:rsidRDefault="00146165" w:rsidP="00146165">
            <w:pPr>
              <w:autoSpaceDE w:val="0"/>
              <w:autoSpaceDN w:val="0"/>
              <w:adjustRightInd w:val="0"/>
              <w:spacing w:before="0" w:after="0" w:line="240" w:lineRule="auto"/>
              <w:jc w:val="both"/>
              <w:rPr>
                <w:rFonts w:ascii="Calibri" w:eastAsia="Times New Roman" w:hAnsi="Calibri" w:cs="Calibri"/>
                <w:lang w:val="sr-Cyrl-CS"/>
              </w:rPr>
            </w:pPr>
            <w:r w:rsidRPr="00AA19A8">
              <w:rPr>
                <w:rFonts w:ascii="Calibri" w:eastAsia="Times New Roman" w:hAnsi="Calibri" w:cs="Calibri"/>
                <w:lang w:val="sr-Cyrl-CS"/>
              </w:rPr>
              <w:t>Проценат извршених надзора по представкама које су обухваћене планом надзора у текућој години у односу на број примљених представки у надлежности буџетске инспекције у претходној години израчунава се на следећи начин:</w:t>
            </w:r>
          </w:p>
          <w:p w14:paraId="20FBAB0C"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Calibri"/>
                <w:lang w:val="sr-Cyrl-CS"/>
              </w:rPr>
              <w:t>Број представки које су обухваћене планом надзора у текућој години дели се са бројем примљених представки у надлежности буџетске инспекције у претходној години и представљају се као проценат.</w:t>
            </w:r>
          </w:p>
        </w:tc>
      </w:tr>
      <w:tr w:rsidR="00D30238" w:rsidRPr="00AA19A8" w14:paraId="136DB0DA" w14:textId="77777777" w:rsidTr="00924D5A">
        <w:tc>
          <w:tcPr>
            <w:tcW w:w="1257" w:type="pct"/>
            <w:vMerge w:val="restart"/>
            <w:tcBorders>
              <w:top w:val="single" w:sz="6" w:space="0" w:color="auto"/>
              <w:left w:val="single" w:sz="4" w:space="0" w:color="auto"/>
            </w:tcBorders>
          </w:tcPr>
          <w:p w14:paraId="5FB5B74F"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184" w:type="pct"/>
            <w:gridSpan w:val="4"/>
            <w:tcBorders>
              <w:top w:val="single" w:sz="6" w:space="0" w:color="auto"/>
            </w:tcBorders>
            <w:vAlign w:val="center"/>
          </w:tcPr>
          <w:p w14:paraId="594629BD"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559" w:type="pct"/>
            <w:gridSpan w:val="2"/>
            <w:tcBorders>
              <w:top w:val="single" w:sz="6" w:space="0" w:color="auto"/>
              <w:right w:val="single" w:sz="4" w:space="0" w:color="auto"/>
            </w:tcBorders>
            <w:vAlign w:val="center"/>
          </w:tcPr>
          <w:p w14:paraId="73BC21E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20934E0D" w14:textId="77777777" w:rsidTr="00924D5A">
        <w:tc>
          <w:tcPr>
            <w:tcW w:w="1257" w:type="pct"/>
            <w:vMerge/>
            <w:tcBorders>
              <w:left w:val="single" w:sz="4" w:space="0" w:color="auto"/>
            </w:tcBorders>
          </w:tcPr>
          <w:p w14:paraId="72266080" w14:textId="77777777" w:rsidR="00146165" w:rsidRPr="00AA19A8" w:rsidRDefault="00146165" w:rsidP="00146165">
            <w:pPr>
              <w:spacing w:before="0"/>
              <w:rPr>
                <w:rFonts w:ascii="Calibri" w:eastAsia="Calibri" w:hAnsi="Calibri" w:cs="Times New Roman"/>
                <w:b/>
                <w:lang w:val="sr-Cyrl-CS"/>
              </w:rPr>
            </w:pPr>
          </w:p>
        </w:tc>
        <w:tc>
          <w:tcPr>
            <w:tcW w:w="716" w:type="pct"/>
          </w:tcPr>
          <w:p w14:paraId="45510F6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34" w:type="pct"/>
          </w:tcPr>
          <w:p w14:paraId="51C7BFE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834" w:type="pct"/>
            <w:gridSpan w:val="2"/>
          </w:tcPr>
          <w:p w14:paraId="7719B53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559" w:type="pct"/>
            <w:gridSpan w:val="2"/>
            <w:tcBorders>
              <w:right w:val="single" w:sz="4" w:space="0" w:color="auto"/>
            </w:tcBorders>
          </w:tcPr>
          <w:p w14:paraId="3049F6F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r>
      <w:tr w:rsidR="00D30238" w:rsidRPr="00AA19A8" w14:paraId="7E9A0FDF" w14:textId="77777777" w:rsidTr="00924D5A">
        <w:tc>
          <w:tcPr>
            <w:tcW w:w="1257" w:type="pct"/>
            <w:vMerge/>
            <w:tcBorders>
              <w:left w:val="single" w:sz="4" w:space="0" w:color="auto"/>
            </w:tcBorders>
          </w:tcPr>
          <w:p w14:paraId="4E25FBAC" w14:textId="77777777" w:rsidR="00146165" w:rsidRPr="00AA19A8" w:rsidRDefault="00146165" w:rsidP="00146165">
            <w:pPr>
              <w:spacing w:before="0"/>
              <w:rPr>
                <w:rFonts w:ascii="Calibri" w:eastAsia="Calibri" w:hAnsi="Calibri" w:cs="Times New Roman"/>
                <w:b/>
                <w:lang w:val="sr-Cyrl-CS"/>
              </w:rPr>
            </w:pPr>
          </w:p>
        </w:tc>
        <w:tc>
          <w:tcPr>
            <w:tcW w:w="716" w:type="pct"/>
          </w:tcPr>
          <w:p w14:paraId="2234E31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26%</w:t>
            </w:r>
          </w:p>
        </w:tc>
        <w:tc>
          <w:tcPr>
            <w:tcW w:w="634" w:type="pct"/>
          </w:tcPr>
          <w:p w14:paraId="61F952A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40%</w:t>
            </w:r>
          </w:p>
        </w:tc>
        <w:tc>
          <w:tcPr>
            <w:tcW w:w="834" w:type="pct"/>
            <w:gridSpan w:val="2"/>
          </w:tcPr>
          <w:p w14:paraId="34E5CF2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37%</w:t>
            </w:r>
          </w:p>
        </w:tc>
        <w:tc>
          <w:tcPr>
            <w:tcW w:w="1559" w:type="pct"/>
            <w:gridSpan w:val="2"/>
            <w:tcBorders>
              <w:right w:val="single" w:sz="4" w:space="0" w:color="auto"/>
            </w:tcBorders>
          </w:tcPr>
          <w:p w14:paraId="6F49D5C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47%</w:t>
            </w:r>
          </w:p>
        </w:tc>
      </w:tr>
      <w:tr w:rsidR="00D30238" w:rsidRPr="00AA19A8" w14:paraId="57DA7989" w14:textId="77777777" w:rsidTr="00924D5A">
        <w:tc>
          <w:tcPr>
            <w:tcW w:w="1257" w:type="pct"/>
            <w:vMerge w:val="restart"/>
            <w:tcBorders>
              <w:left w:val="single" w:sz="4" w:space="0" w:color="auto"/>
            </w:tcBorders>
          </w:tcPr>
          <w:p w14:paraId="775FD837"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16" w:type="pct"/>
          </w:tcPr>
          <w:p w14:paraId="32F6C01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34" w:type="pct"/>
          </w:tcPr>
          <w:p w14:paraId="3F3369C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834" w:type="pct"/>
            <w:gridSpan w:val="2"/>
          </w:tcPr>
          <w:p w14:paraId="326CC43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65" w:type="pct"/>
          </w:tcPr>
          <w:p w14:paraId="11B0472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93" w:type="pct"/>
            <w:tcBorders>
              <w:right w:val="single" w:sz="4" w:space="0" w:color="auto"/>
            </w:tcBorders>
          </w:tcPr>
          <w:p w14:paraId="32A750F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3A6FAC50" w14:textId="77777777" w:rsidTr="00924D5A">
        <w:tc>
          <w:tcPr>
            <w:tcW w:w="1257" w:type="pct"/>
            <w:vMerge/>
            <w:tcBorders>
              <w:left w:val="single" w:sz="4" w:space="0" w:color="auto"/>
            </w:tcBorders>
          </w:tcPr>
          <w:p w14:paraId="73755A21" w14:textId="77777777" w:rsidR="00146165" w:rsidRPr="00AA19A8" w:rsidRDefault="00146165" w:rsidP="00146165">
            <w:pPr>
              <w:spacing w:before="0"/>
              <w:rPr>
                <w:rFonts w:ascii="Calibri" w:eastAsia="Calibri" w:hAnsi="Calibri" w:cs="Times New Roman"/>
                <w:b/>
                <w:lang w:val="sr-Cyrl-CS"/>
              </w:rPr>
            </w:pPr>
          </w:p>
        </w:tc>
        <w:tc>
          <w:tcPr>
            <w:tcW w:w="716" w:type="pct"/>
            <w:vAlign w:val="center"/>
          </w:tcPr>
          <w:p w14:paraId="780F8A43"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48%</w:t>
            </w:r>
          </w:p>
        </w:tc>
        <w:tc>
          <w:tcPr>
            <w:tcW w:w="634" w:type="pct"/>
            <w:vAlign w:val="center"/>
          </w:tcPr>
          <w:p w14:paraId="07382A4C"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50%</w:t>
            </w:r>
          </w:p>
        </w:tc>
        <w:tc>
          <w:tcPr>
            <w:tcW w:w="834" w:type="pct"/>
            <w:gridSpan w:val="2"/>
            <w:vAlign w:val="center"/>
          </w:tcPr>
          <w:p w14:paraId="10BB662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52%</w:t>
            </w:r>
          </w:p>
        </w:tc>
        <w:tc>
          <w:tcPr>
            <w:tcW w:w="765" w:type="pct"/>
            <w:vAlign w:val="center"/>
          </w:tcPr>
          <w:p w14:paraId="00499C2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56%</w:t>
            </w:r>
          </w:p>
        </w:tc>
        <w:tc>
          <w:tcPr>
            <w:tcW w:w="793" w:type="pct"/>
            <w:tcBorders>
              <w:right w:val="single" w:sz="4" w:space="0" w:color="auto"/>
            </w:tcBorders>
            <w:vAlign w:val="center"/>
          </w:tcPr>
          <w:p w14:paraId="22F8B62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61%</w:t>
            </w:r>
          </w:p>
        </w:tc>
      </w:tr>
      <w:tr w:rsidR="00146165" w:rsidRPr="00AA19A8" w14:paraId="33D8A147" w14:textId="77777777" w:rsidTr="00924D5A">
        <w:tc>
          <w:tcPr>
            <w:tcW w:w="1257" w:type="pct"/>
            <w:tcBorders>
              <w:left w:val="single" w:sz="4" w:space="0" w:color="auto"/>
              <w:bottom w:val="single" w:sz="4" w:space="0" w:color="auto"/>
            </w:tcBorders>
          </w:tcPr>
          <w:p w14:paraId="6932543F"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43" w:type="pct"/>
            <w:gridSpan w:val="6"/>
            <w:tcBorders>
              <w:bottom w:val="single" w:sz="4" w:space="0" w:color="auto"/>
              <w:right w:val="single" w:sz="4" w:space="0" w:color="auto"/>
            </w:tcBorders>
          </w:tcPr>
          <w:p w14:paraId="4AD6F743" w14:textId="77777777" w:rsidR="00146165" w:rsidRPr="00AA19A8" w:rsidRDefault="00146165" w:rsidP="00146165">
            <w:pPr>
              <w:tabs>
                <w:tab w:val="right" w:pos="2140"/>
              </w:tabs>
              <w:spacing w:before="0"/>
              <w:rPr>
                <w:rFonts w:ascii="Calibri" w:eastAsia="Calibri" w:hAnsi="Calibri" w:cs="Calibri"/>
                <w:bCs/>
                <w:lang w:val="sr-Cyrl-CS"/>
              </w:rPr>
            </w:pPr>
            <w:r w:rsidRPr="00AA19A8">
              <w:rPr>
                <w:rFonts w:ascii="Calibri" w:eastAsia="Times New Roman" w:hAnsi="Calibri" w:cs="Calibri"/>
                <w:lang w:val="sr-Cyrl-CS"/>
              </w:rPr>
              <w:t>Повећан проценат извршених надзора по представкама. Одступање није дозвољено.</w:t>
            </w:r>
          </w:p>
        </w:tc>
      </w:tr>
    </w:tbl>
    <w:p w14:paraId="18AFF5C4" w14:textId="77777777" w:rsidR="00146165" w:rsidRPr="00AA19A8" w:rsidRDefault="00146165" w:rsidP="00146165">
      <w:pPr>
        <w:spacing w:after="120"/>
        <w:rPr>
          <w:rFonts w:ascii="Calibri" w:eastAsia="Times New Roman" w:hAnsi="Calibri" w:cs="Times New Roman"/>
          <w:b/>
          <w:bCs/>
          <w:lang w:val="sr-Cyrl-CS"/>
        </w:rPr>
      </w:pPr>
    </w:p>
    <w:p w14:paraId="317412EE"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4.1</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93"/>
        <w:gridCol w:w="1435"/>
        <w:gridCol w:w="1388"/>
        <w:gridCol w:w="299"/>
        <w:gridCol w:w="1090"/>
        <w:gridCol w:w="1301"/>
        <w:gridCol w:w="1266"/>
      </w:tblGrid>
      <w:tr w:rsidR="00D30238" w:rsidRPr="00AA19A8" w14:paraId="3C406BF9" w14:textId="77777777" w:rsidTr="00924D5A">
        <w:tc>
          <w:tcPr>
            <w:tcW w:w="1263" w:type="pct"/>
            <w:tcBorders>
              <w:top w:val="single" w:sz="4" w:space="0" w:color="auto"/>
              <w:left w:val="single" w:sz="4" w:space="0" w:color="auto"/>
            </w:tcBorders>
            <w:vAlign w:val="center"/>
          </w:tcPr>
          <w:p w14:paraId="4D070D2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37" w:type="pct"/>
            <w:gridSpan w:val="6"/>
            <w:tcBorders>
              <w:top w:val="single" w:sz="4" w:space="0" w:color="auto"/>
              <w:right w:val="single" w:sz="4" w:space="0" w:color="auto"/>
            </w:tcBorders>
            <w:vAlign w:val="center"/>
          </w:tcPr>
          <w:p w14:paraId="22915396"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приоритетних КЈС који достављају извештај о стању система ФУК</w:t>
            </w:r>
          </w:p>
        </w:tc>
      </w:tr>
      <w:tr w:rsidR="00D30238" w:rsidRPr="00AA19A8" w14:paraId="62BCD2B1" w14:textId="77777777" w:rsidTr="00924D5A">
        <w:tc>
          <w:tcPr>
            <w:tcW w:w="1263" w:type="pct"/>
            <w:tcBorders>
              <w:top w:val="single" w:sz="4" w:space="0" w:color="auto"/>
              <w:left w:val="single" w:sz="4" w:space="0" w:color="auto"/>
            </w:tcBorders>
          </w:tcPr>
          <w:p w14:paraId="0E7AF81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37" w:type="pct"/>
            <w:gridSpan w:val="6"/>
            <w:tcBorders>
              <w:top w:val="single" w:sz="4" w:space="0" w:color="auto"/>
              <w:right w:val="single" w:sz="4" w:space="0" w:color="auto"/>
            </w:tcBorders>
          </w:tcPr>
          <w:p w14:paraId="1E8B5807"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4.1</w:t>
            </w:r>
            <w:r w:rsidRPr="00AA19A8">
              <w:rPr>
                <w:rFonts w:ascii="Calibri" w:eastAsia="Calibri" w:hAnsi="Calibri" w:cs="Times New Roman"/>
                <w:lang w:val="sr-Cyrl-CS"/>
              </w:rPr>
              <w:t xml:space="preserve"> - Унапређење система ФУК-а у институцијама јавног сектора</w:t>
            </w:r>
          </w:p>
        </w:tc>
      </w:tr>
      <w:tr w:rsidR="00D30238" w:rsidRPr="00AA19A8" w14:paraId="5D3C18AE" w14:textId="77777777" w:rsidTr="00924D5A">
        <w:tc>
          <w:tcPr>
            <w:tcW w:w="1263" w:type="pct"/>
            <w:tcBorders>
              <w:left w:val="single" w:sz="4" w:space="0" w:color="auto"/>
            </w:tcBorders>
          </w:tcPr>
          <w:p w14:paraId="00EBBB7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721" w:type="pct"/>
            <w:gridSpan w:val="3"/>
            <w:tcBorders>
              <w:right w:val="single" w:sz="4" w:space="0" w:color="auto"/>
            </w:tcBorders>
          </w:tcPr>
          <w:p w14:paraId="6E82FAE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016" w:type="pct"/>
            <w:gridSpan w:val="3"/>
            <w:tcBorders>
              <w:right w:val="single" w:sz="4" w:space="0" w:color="auto"/>
            </w:tcBorders>
          </w:tcPr>
          <w:p w14:paraId="31DF43E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34ACD66C" w14:textId="77777777" w:rsidTr="00924D5A">
        <w:tc>
          <w:tcPr>
            <w:tcW w:w="1263" w:type="pct"/>
            <w:tcBorders>
              <w:left w:val="single" w:sz="4" w:space="0" w:color="auto"/>
            </w:tcBorders>
          </w:tcPr>
          <w:p w14:paraId="658BB46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721" w:type="pct"/>
            <w:gridSpan w:val="3"/>
            <w:tcBorders>
              <w:right w:val="single" w:sz="4" w:space="0" w:color="auto"/>
            </w:tcBorders>
          </w:tcPr>
          <w:p w14:paraId="3B94FAE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016" w:type="pct"/>
            <w:gridSpan w:val="3"/>
            <w:tcBorders>
              <w:right w:val="single" w:sz="4" w:space="0" w:color="auto"/>
            </w:tcBorders>
            <w:vAlign w:val="center"/>
          </w:tcPr>
          <w:p w14:paraId="5D6988AA"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37EF962E" w14:textId="77777777" w:rsidTr="00924D5A">
        <w:tc>
          <w:tcPr>
            <w:tcW w:w="1263" w:type="pct"/>
            <w:tcBorders>
              <w:left w:val="single" w:sz="4" w:space="0" w:color="auto"/>
              <w:bottom w:val="single" w:sz="4" w:space="0" w:color="auto"/>
            </w:tcBorders>
          </w:tcPr>
          <w:p w14:paraId="65AABFF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37" w:type="pct"/>
            <w:gridSpan w:val="6"/>
            <w:tcBorders>
              <w:bottom w:val="single" w:sz="4" w:space="0" w:color="auto"/>
              <w:right w:val="single" w:sz="4" w:space="0" w:color="auto"/>
            </w:tcBorders>
          </w:tcPr>
          <w:p w14:paraId="6292E1D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Консолидовани извештај о стању интерне финансијске контроле у Републици Србији - </w:t>
            </w:r>
            <w:hyperlink r:id="rId28" w:history="1">
              <w:r w:rsidRPr="00AA19A8">
                <w:rPr>
                  <w:rFonts w:ascii="Calibri" w:eastAsia="Times New Roman" w:hAnsi="Calibri" w:cs="Times New Roman"/>
                  <w:bCs/>
                  <w:u w:val="single"/>
                  <w:lang w:val="sr-Cyrl-CS"/>
                </w:rPr>
                <w:t>https://mfin.gov.rs/o-ministarstvu/konsolidovani-godinji-izvetaj</w:t>
              </w:r>
            </w:hyperlink>
            <w:r w:rsidRPr="00AA19A8">
              <w:rPr>
                <w:rFonts w:ascii="Calibri" w:eastAsia="Times New Roman" w:hAnsi="Calibri" w:cs="Times New Roman"/>
                <w:bCs/>
                <w:lang w:val="sr-Cyrl-CS"/>
              </w:rPr>
              <w:t xml:space="preserve"> </w:t>
            </w:r>
          </w:p>
        </w:tc>
      </w:tr>
      <w:tr w:rsidR="00D30238" w:rsidRPr="00AA19A8" w14:paraId="2A9F617C" w14:textId="77777777" w:rsidTr="00924D5A">
        <w:tc>
          <w:tcPr>
            <w:tcW w:w="1263" w:type="pct"/>
            <w:tcBorders>
              <w:left w:val="single" w:sz="4" w:space="0" w:color="auto"/>
              <w:bottom w:val="single" w:sz="4" w:space="0" w:color="auto"/>
            </w:tcBorders>
          </w:tcPr>
          <w:p w14:paraId="7D6133B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37" w:type="pct"/>
            <w:gridSpan w:val="6"/>
            <w:tcBorders>
              <w:bottom w:val="single" w:sz="4" w:space="0" w:color="auto"/>
              <w:right w:val="single" w:sz="4" w:space="0" w:color="auto"/>
            </w:tcBorders>
          </w:tcPr>
          <w:p w14:paraId="15098E28"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 Централна јединица за хармонизацију</w:t>
            </w:r>
          </w:p>
        </w:tc>
      </w:tr>
      <w:tr w:rsidR="00D30238" w:rsidRPr="00AA19A8" w14:paraId="6E8BB894" w14:textId="77777777" w:rsidTr="00924D5A">
        <w:tc>
          <w:tcPr>
            <w:tcW w:w="1263" w:type="pct"/>
            <w:tcBorders>
              <w:top w:val="single" w:sz="4" w:space="0" w:color="auto"/>
              <w:left w:val="single" w:sz="4" w:space="0" w:color="auto"/>
            </w:tcBorders>
          </w:tcPr>
          <w:p w14:paraId="3F6B9A6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37" w:type="pct"/>
            <w:gridSpan w:val="6"/>
            <w:tcBorders>
              <w:top w:val="single" w:sz="4" w:space="0" w:color="auto"/>
              <w:right w:val="single" w:sz="4" w:space="0" w:color="auto"/>
            </w:tcBorders>
          </w:tcPr>
          <w:p w14:paraId="1E103346"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7251D2C7" w14:textId="77777777" w:rsidTr="00924D5A">
        <w:trPr>
          <w:trHeight w:val="1181"/>
        </w:trPr>
        <w:tc>
          <w:tcPr>
            <w:tcW w:w="1263" w:type="pct"/>
            <w:tcBorders>
              <w:left w:val="single" w:sz="4" w:space="0" w:color="auto"/>
              <w:bottom w:val="single" w:sz="6" w:space="0" w:color="auto"/>
            </w:tcBorders>
          </w:tcPr>
          <w:p w14:paraId="0134EFCB"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66DFF31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37" w:type="pct"/>
            <w:gridSpan w:val="6"/>
            <w:tcBorders>
              <w:right w:val="single" w:sz="4" w:space="0" w:color="auto"/>
            </w:tcBorders>
          </w:tcPr>
          <w:p w14:paraId="387EC4D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Calibri" w:hAnsi="Calibri" w:cs="Times New Roman"/>
                <w:lang w:val="sr-Cyrl-CS"/>
              </w:rPr>
              <w:t>Показатељ указује на број корисника јавних средстава (Министарства, ООСО, ПСРС као и градови који достављају извештај МФ о стању система ФУК како би се допринело општем унапређењу система финансијског управљања и контроле у јавном сектору). Израчунат је као проценат/учешће поменутих корисника од укупног броја истих који су доставили извештај МФ-ЦЈХ кроз апликацију за извештавање.</w:t>
            </w:r>
          </w:p>
        </w:tc>
      </w:tr>
      <w:tr w:rsidR="00D30238" w:rsidRPr="00AA19A8" w14:paraId="197D2304" w14:textId="77777777" w:rsidTr="00924D5A">
        <w:tc>
          <w:tcPr>
            <w:tcW w:w="1263" w:type="pct"/>
            <w:vMerge w:val="restart"/>
            <w:tcBorders>
              <w:top w:val="single" w:sz="6" w:space="0" w:color="auto"/>
              <w:left w:val="single" w:sz="4" w:space="0" w:color="auto"/>
            </w:tcBorders>
          </w:tcPr>
          <w:p w14:paraId="48100D5C"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322" w:type="pct"/>
            <w:gridSpan w:val="4"/>
            <w:tcBorders>
              <w:top w:val="single" w:sz="6" w:space="0" w:color="auto"/>
            </w:tcBorders>
            <w:vAlign w:val="center"/>
          </w:tcPr>
          <w:p w14:paraId="2ADD6002"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415" w:type="pct"/>
            <w:gridSpan w:val="2"/>
            <w:tcBorders>
              <w:top w:val="single" w:sz="6" w:space="0" w:color="auto"/>
              <w:right w:val="single" w:sz="4" w:space="0" w:color="auto"/>
            </w:tcBorders>
            <w:vAlign w:val="center"/>
          </w:tcPr>
          <w:p w14:paraId="09B9018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0D1FCE6C" w14:textId="77777777" w:rsidTr="00924D5A">
        <w:tc>
          <w:tcPr>
            <w:tcW w:w="1263" w:type="pct"/>
            <w:vMerge/>
            <w:tcBorders>
              <w:left w:val="single" w:sz="4" w:space="0" w:color="auto"/>
            </w:tcBorders>
          </w:tcPr>
          <w:p w14:paraId="70B50B0B" w14:textId="77777777" w:rsidR="00146165" w:rsidRPr="00AA19A8" w:rsidRDefault="00146165" w:rsidP="00146165">
            <w:pPr>
              <w:spacing w:before="0"/>
              <w:rPr>
                <w:rFonts w:ascii="Calibri" w:eastAsia="Calibri" w:hAnsi="Calibri" w:cs="Times New Roman"/>
                <w:b/>
                <w:lang w:val="sr-Cyrl-CS"/>
              </w:rPr>
            </w:pPr>
          </w:p>
        </w:tc>
        <w:tc>
          <w:tcPr>
            <w:tcW w:w="791" w:type="pct"/>
          </w:tcPr>
          <w:p w14:paraId="6C75A6D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65" w:type="pct"/>
          </w:tcPr>
          <w:p w14:paraId="788EA46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66" w:type="pct"/>
            <w:gridSpan w:val="2"/>
          </w:tcPr>
          <w:p w14:paraId="1346E27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415" w:type="pct"/>
            <w:gridSpan w:val="2"/>
            <w:tcBorders>
              <w:right w:val="single" w:sz="4" w:space="0" w:color="auto"/>
            </w:tcBorders>
          </w:tcPr>
          <w:p w14:paraId="216A7BE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r>
      <w:tr w:rsidR="00D30238" w:rsidRPr="00AA19A8" w14:paraId="75AD7B15" w14:textId="77777777" w:rsidTr="00924D5A">
        <w:tc>
          <w:tcPr>
            <w:tcW w:w="1263" w:type="pct"/>
            <w:vMerge/>
            <w:tcBorders>
              <w:left w:val="single" w:sz="4" w:space="0" w:color="auto"/>
            </w:tcBorders>
          </w:tcPr>
          <w:p w14:paraId="183EAAA0" w14:textId="77777777" w:rsidR="00146165" w:rsidRPr="00AA19A8" w:rsidRDefault="00146165" w:rsidP="00146165">
            <w:pPr>
              <w:spacing w:before="0"/>
              <w:rPr>
                <w:rFonts w:ascii="Calibri" w:eastAsia="Calibri" w:hAnsi="Calibri" w:cs="Times New Roman"/>
                <w:b/>
                <w:lang w:val="sr-Cyrl-CS"/>
              </w:rPr>
            </w:pPr>
          </w:p>
        </w:tc>
        <w:tc>
          <w:tcPr>
            <w:tcW w:w="791" w:type="pct"/>
          </w:tcPr>
          <w:p w14:paraId="3724881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93,48%</w:t>
            </w:r>
          </w:p>
        </w:tc>
        <w:tc>
          <w:tcPr>
            <w:tcW w:w="765" w:type="pct"/>
          </w:tcPr>
          <w:p w14:paraId="0F862E5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95,83%</w:t>
            </w:r>
          </w:p>
        </w:tc>
        <w:tc>
          <w:tcPr>
            <w:tcW w:w="766" w:type="pct"/>
            <w:gridSpan w:val="2"/>
          </w:tcPr>
          <w:p w14:paraId="29AC210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96,15%</w:t>
            </w:r>
          </w:p>
        </w:tc>
        <w:tc>
          <w:tcPr>
            <w:tcW w:w="1415" w:type="pct"/>
            <w:gridSpan w:val="2"/>
            <w:tcBorders>
              <w:right w:val="single" w:sz="4" w:space="0" w:color="auto"/>
            </w:tcBorders>
          </w:tcPr>
          <w:p w14:paraId="4B7C2BE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86,78%</w:t>
            </w:r>
          </w:p>
        </w:tc>
      </w:tr>
      <w:tr w:rsidR="00D30238" w:rsidRPr="00AA19A8" w14:paraId="2FD30E27" w14:textId="77777777" w:rsidTr="00924D5A">
        <w:tc>
          <w:tcPr>
            <w:tcW w:w="1263" w:type="pct"/>
            <w:vMerge w:val="restart"/>
            <w:tcBorders>
              <w:left w:val="single" w:sz="4" w:space="0" w:color="auto"/>
            </w:tcBorders>
          </w:tcPr>
          <w:p w14:paraId="1B57D4FC"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91" w:type="pct"/>
          </w:tcPr>
          <w:p w14:paraId="139280D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65" w:type="pct"/>
          </w:tcPr>
          <w:p w14:paraId="76669CC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66" w:type="pct"/>
            <w:gridSpan w:val="2"/>
          </w:tcPr>
          <w:p w14:paraId="5998D60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17" w:type="pct"/>
          </w:tcPr>
          <w:p w14:paraId="5758C29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698" w:type="pct"/>
            <w:tcBorders>
              <w:right w:val="single" w:sz="4" w:space="0" w:color="auto"/>
            </w:tcBorders>
          </w:tcPr>
          <w:p w14:paraId="032EA74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6FAB2D05" w14:textId="77777777" w:rsidTr="00924D5A">
        <w:tc>
          <w:tcPr>
            <w:tcW w:w="1263" w:type="pct"/>
            <w:vMerge/>
            <w:tcBorders>
              <w:left w:val="single" w:sz="4" w:space="0" w:color="auto"/>
            </w:tcBorders>
          </w:tcPr>
          <w:p w14:paraId="4ED2C815" w14:textId="77777777" w:rsidR="00146165" w:rsidRPr="00AA19A8" w:rsidRDefault="00146165" w:rsidP="00146165">
            <w:pPr>
              <w:spacing w:before="0"/>
              <w:rPr>
                <w:rFonts w:ascii="Calibri" w:eastAsia="Calibri" w:hAnsi="Calibri" w:cs="Times New Roman"/>
                <w:b/>
                <w:lang w:val="sr-Cyrl-CS"/>
              </w:rPr>
            </w:pPr>
          </w:p>
        </w:tc>
        <w:tc>
          <w:tcPr>
            <w:tcW w:w="791" w:type="pct"/>
            <w:vAlign w:val="center"/>
          </w:tcPr>
          <w:p w14:paraId="0752BD47"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90%</w:t>
            </w:r>
          </w:p>
        </w:tc>
        <w:tc>
          <w:tcPr>
            <w:tcW w:w="765" w:type="pct"/>
            <w:vAlign w:val="center"/>
          </w:tcPr>
          <w:p w14:paraId="0C33F2A3"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92%</w:t>
            </w:r>
          </w:p>
        </w:tc>
        <w:tc>
          <w:tcPr>
            <w:tcW w:w="766" w:type="pct"/>
            <w:gridSpan w:val="2"/>
            <w:vAlign w:val="center"/>
          </w:tcPr>
          <w:p w14:paraId="3FF0004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95%</w:t>
            </w:r>
          </w:p>
        </w:tc>
        <w:tc>
          <w:tcPr>
            <w:tcW w:w="717" w:type="pct"/>
            <w:vAlign w:val="center"/>
          </w:tcPr>
          <w:p w14:paraId="75476BF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96%</w:t>
            </w:r>
          </w:p>
        </w:tc>
        <w:tc>
          <w:tcPr>
            <w:tcW w:w="698" w:type="pct"/>
            <w:tcBorders>
              <w:right w:val="single" w:sz="4" w:space="0" w:color="auto"/>
            </w:tcBorders>
            <w:vAlign w:val="center"/>
          </w:tcPr>
          <w:p w14:paraId="5005200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97%</w:t>
            </w:r>
          </w:p>
        </w:tc>
      </w:tr>
      <w:tr w:rsidR="00146165" w:rsidRPr="00AA19A8" w14:paraId="3F42EE35" w14:textId="77777777" w:rsidTr="00924D5A">
        <w:tc>
          <w:tcPr>
            <w:tcW w:w="1263" w:type="pct"/>
            <w:tcBorders>
              <w:left w:val="single" w:sz="4" w:space="0" w:color="auto"/>
              <w:bottom w:val="single" w:sz="4" w:space="0" w:color="auto"/>
            </w:tcBorders>
          </w:tcPr>
          <w:p w14:paraId="14EB0FA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37" w:type="pct"/>
            <w:gridSpan w:val="6"/>
            <w:tcBorders>
              <w:bottom w:val="single" w:sz="4" w:space="0" w:color="auto"/>
              <w:right w:val="single" w:sz="4" w:space="0" w:color="auto"/>
            </w:tcBorders>
          </w:tcPr>
          <w:p w14:paraId="18C456CE"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w:t>
            </w:r>
          </w:p>
        </w:tc>
      </w:tr>
    </w:tbl>
    <w:p w14:paraId="05B94B23" w14:textId="77777777" w:rsidR="00146165" w:rsidRPr="00AA19A8" w:rsidRDefault="00146165" w:rsidP="00146165">
      <w:pPr>
        <w:spacing w:after="120"/>
        <w:rPr>
          <w:rFonts w:ascii="Calibri" w:eastAsia="Times New Roman" w:hAnsi="Calibri" w:cs="Times New Roman"/>
          <w:b/>
          <w:bCs/>
          <w:lang w:val="sr-Cyrl-CS"/>
        </w:rPr>
      </w:pPr>
    </w:p>
    <w:tbl>
      <w:tblPr>
        <w:tblW w:w="505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26"/>
        <w:gridCol w:w="1329"/>
        <w:gridCol w:w="1389"/>
        <w:gridCol w:w="213"/>
        <w:gridCol w:w="1175"/>
        <w:gridCol w:w="1390"/>
        <w:gridCol w:w="1390"/>
      </w:tblGrid>
      <w:tr w:rsidR="00D30238" w:rsidRPr="00AA19A8" w14:paraId="2E603C3E" w14:textId="77777777" w:rsidTr="00924D5A">
        <w:tc>
          <w:tcPr>
            <w:tcW w:w="1221" w:type="pct"/>
            <w:tcBorders>
              <w:top w:val="single" w:sz="4" w:space="0" w:color="auto"/>
              <w:left w:val="single" w:sz="4" w:space="0" w:color="auto"/>
            </w:tcBorders>
            <w:vAlign w:val="center"/>
          </w:tcPr>
          <w:p w14:paraId="3084361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79" w:type="pct"/>
            <w:gridSpan w:val="6"/>
            <w:tcBorders>
              <w:top w:val="single" w:sz="4" w:space="0" w:color="auto"/>
              <w:right w:val="single" w:sz="4" w:space="0" w:color="auto"/>
            </w:tcBorders>
            <w:vAlign w:val="center"/>
          </w:tcPr>
          <w:p w14:paraId="5B1ACE11"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приоритетних КЈС који су сачинили регистар ризика</w:t>
            </w:r>
          </w:p>
        </w:tc>
      </w:tr>
      <w:tr w:rsidR="00D30238" w:rsidRPr="00AA19A8" w14:paraId="1E22784A" w14:textId="77777777" w:rsidTr="00924D5A">
        <w:tc>
          <w:tcPr>
            <w:tcW w:w="1221" w:type="pct"/>
            <w:tcBorders>
              <w:top w:val="single" w:sz="4" w:space="0" w:color="auto"/>
              <w:left w:val="single" w:sz="4" w:space="0" w:color="auto"/>
            </w:tcBorders>
          </w:tcPr>
          <w:p w14:paraId="3CF3D6B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79" w:type="pct"/>
            <w:gridSpan w:val="6"/>
            <w:tcBorders>
              <w:top w:val="single" w:sz="4" w:space="0" w:color="auto"/>
              <w:right w:val="single" w:sz="4" w:space="0" w:color="auto"/>
            </w:tcBorders>
          </w:tcPr>
          <w:p w14:paraId="7181DDAF"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4.1</w:t>
            </w:r>
            <w:r w:rsidRPr="00AA19A8">
              <w:rPr>
                <w:rFonts w:ascii="Calibri" w:eastAsia="Calibri" w:hAnsi="Calibri" w:cs="Times New Roman"/>
                <w:lang w:val="sr-Cyrl-CS"/>
              </w:rPr>
              <w:t xml:space="preserve"> - Унапређење система ФУК-а у институцијама јавног сектора</w:t>
            </w:r>
          </w:p>
        </w:tc>
      </w:tr>
      <w:tr w:rsidR="00D30238" w:rsidRPr="00AA19A8" w14:paraId="64D5ACB4" w14:textId="77777777" w:rsidTr="00924D5A">
        <w:tc>
          <w:tcPr>
            <w:tcW w:w="1221" w:type="pct"/>
            <w:tcBorders>
              <w:left w:val="single" w:sz="4" w:space="0" w:color="auto"/>
            </w:tcBorders>
          </w:tcPr>
          <w:p w14:paraId="2B6D702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608" w:type="pct"/>
            <w:gridSpan w:val="3"/>
            <w:tcBorders>
              <w:right w:val="single" w:sz="4" w:space="0" w:color="auto"/>
            </w:tcBorders>
          </w:tcPr>
          <w:p w14:paraId="20741D4D"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171" w:type="pct"/>
            <w:gridSpan w:val="3"/>
            <w:tcBorders>
              <w:right w:val="single" w:sz="4" w:space="0" w:color="auto"/>
            </w:tcBorders>
          </w:tcPr>
          <w:p w14:paraId="2194CEFE"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088DAC8C" w14:textId="77777777" w:rsidTr="00924D5A">
        <w:tc>
          <w:tcPr>
            <w:tcW w:w="1221" w:type="pct"/>
            <w:tcBorders>
              <w:left w:val="single" w:sz="4" w:space="0" w:color="auto"/>
            </w:tcBorders>
          </w:tcPr>
          <w:p w14:paraId="744F6BB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608" w:type="pct"/>
            <w:gridSpan w:val="3"/>
            <w:tcBorders>
              <w:right w:val="single" w:sz="4" w:space="0" w:color="auto"/>
            </w:tcBorders>
          </w:tcPr>
          <w:p w14:paraId="25E3AAF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171" w:type="pct"/>
            <w:gridSpan w:val="3"/>
            <w:tcBorders>
              <w:right w:val="single" w:sz="4" w:space="0" w:color="auto"/>
            </w:tcBorders>
            <w:vAlign w:val="center"/>
          </w:tcPr>
          <w:p w14:paraId="2A227FCD"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65A79E70" w14:textId="77777777" w:rsidTr="00924D5A">
        <w:tc>
          <w:tcPr>
            <w:tcW w:w="1221" w:type="pct"/>
            <w:tcBorders>
              <w:left w:val="single" w:sz="4" w:space="0" w:color="auto"/>
              <w:bottom w:val="single" w:sz="4" w:space="0" w:color="auto"/>
            </w:tcBorders>
          </w:tcPr>
          <w:p w14:paraId="3E213ED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79" w:type="pct"/>
            <w:gridSpan w:val="6"/>
            <w:tcBorders>
              <w:bottom w:val="single" w:sz="4" w:space="0" w:color="auto"/>
              <w:right w:val="single" w:sz="4" w:space="0" w:color="auto"/>
            </w:tcBorders>
          </w:tcPr>
          <w:p w14:paraId="1C75937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Консолидовани годишњи извештај о стању интерне финансијске контроле у Републици Србији - </w:t>
            </w:r>
            <w:hyperlink r:id="rId29" w:history="1">
              <w:r w:rsidRPr="00AA19A8">
                <w:rPr>
                  <w:rFonts w:ascii="Calibri" w:eastAsia="Times New Roman" w:hAnsi="Calibri" w:cs="Times New Roman"/>
                  <w:bCs/>
                  <w:u w:val="single"/>
                  <w:lang w:val="sr-Cyrl-CS"/>
                </w:rPr>
                <w:t>https://mfin.gov.rs/o-ministarstvu/konsolidovani-godinji-izvetaj</w:t>
              </w:r>
            </w:hyperlink>
            <w:r w:rsidRPr="00AA19A8">
              <w:rPr>
                <w:rFonts w:ascii="Calibri" w:eastAsia="Times New Roman" w:hAnsi="Calibri" w:cs="Times New Roman"/>
                <w:bCs/>
                <w:lang w:val="sr-Cyrl-CS"/>
              </w:rPr>
              <w:t xml:space="preserve"> </w:t>
            </w:r>
          </w:p>
        </w:tc>
      </w:tr>
      <w:tr w:rsidR="00D30238" w:rsidRPr="00AA19A8" w14:paraId="570EEAFC" w14:textId="77777777" w:rsidTr="00924D5A">
        <w:tc>
          <w:tcPr>
            <w:tcW w:w="1221" w:type="pct"/>
            <w:tcBorders>
              <w:left w:val="single" w:sz="4" w:space="0" w:color="auto"/>
              <w:bottom w:val="single" w:sz="4" w:space="0" w:color="auto"/>
            </w:tcBorders>
          </w:tcPr>
          <w:p w14:paraId="6A7616D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79" w:type="pct"/>
            <w:gridSpan w:val="6"/>
            <w:tcBorders>
              <w:bottom w:val="single" w:sz="4" w:space="0" w:color="auto"/>
              <w:right w:val="single" w:sz="4" w:space="0" w:color="auto"/>
            </w:tcBorders>
          </w:tcPr>
          <w:p w14:paraId="4F56FC0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 Централна јединица за хармонизацију</w:t>
            </w:r>
          </w:p>
        </w:tc>
      </w:tr>
      <w:tr w:rsidR="00D30238" w:rsidRPr="00AA19A8" w14:paraId="31F2E944" w14:textId="77777777" w:rsidTr="00924D5A">
        <w:tc>
          <w:tcPr>
            <w:tcW w:w="1221" w:type="pct"/>
            <w:tcBorders>
              <w:top w:val="single" w:sz="4" w:space="0" w:color="auto"/>
              <w:left w:val="single" w:sz="4" w:space="0" w:color="auto"/>
            </w:tcBorders>
          </w:tcPr>
          <w:p w14:paraId="7259B4F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79" w:type="pct"/>
            <w:gridSpan w:val="6"/>
            <w:tcBorders>
              <w:top w:val="single" w:sz="4" w:space="0" w:color="auto"/>
              <w:right w:val="single" w:sz="4" w:space="0" w:color="auto"/>
            </w:tcBorders>
          </w:tcPr>
          <w:p w14:paraId="7680456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62693456" w14:textId="77777777" w:rsidTr="00924D5A">
        <w:trPr>
          <w:trHeight w:val="1181"/>
        </w:trPr>
        <w:tc>
          <w:tcPr>
            <w:tcW w:w="1221" w:type="pct"/>
            <w:tcBorders>
              <w:left w:val="single" w:sz="4" w:space="0" w:color="auto"/>
              <w:bottom w:val="single" w:sz="6" w:space="0" w:color="auto"/>
            </w:tcBorders>
          </w:tcPr>
          <w:p w14:paraId="4EEBAABF"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4202417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79" w:type="pct"/>
            <w:gridSpan w:val="6"/>
            <w:tcBorders>
              <w:right w:val="single" w:sz="4" w:space="0" w:color="auto"/>
            </w:tcBorders>
          </w:tcPr>
          <w:p w14:paraId="6B95870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Calibri" w:hAnsi="Calibri" w:cs="Times New Roman"/>
                <w:lang w:val="sr-Cyrl-CS"/>
              </w:rPr>
              <w:t>Показатељ указује на број корисника јавних средстава (Министарства, ООСО, ПСРС као и градови који достављају извештај МФ о стању система ФУК како би се допринело општем унапређењу система финансијског управљања и контроле у јавном сектору). Израчунат је као проценат/учешће поменутих корисника од укупног броја истих који су доставили извештај МФ-ЦЈХ кроз апликацију за извештавање.</w:t>
            </w:r>
          </w:p>
        </w:tc>
      </w:tr>
      <w:tr w:rsidR="00D30238" w:rsidRPr="00AA19A8" w14:paraId="530BFD78" w14:textId="77777777" w:rsidTr="00924D5A">
        <w:tc>
          <w:tcPr>
            <w:tcW w:w="1221" w:type="pct"/>
            <w:vMerge w:val="restart"/>
            <w:tcBorders>
              <w:top w:val="single" w:sz="6" w:space="0" w:color="auto"/>
              <w:left w:val="single" w:sz="4" w:space="0" w:color="auto"/>
            </w:tcBorders>
          </w:tcPr>
          <w:p w14:paraId="7909B48F"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253" w:type="pct"/>
            <w:gridSpan w:val="4"/>
            <w:tcBorders>
              <w:top w:val="single" w:sz="6" w:space="0" w:color="auto"/>
            </w:tcBorders>
            <w:vAlign w:val="center"/>
          </w:tcPr>
          <w:p w14:paraId="0460D2AE"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526" w:type="pct"/>
            <w:gridSpan w:val="2"/>
            <w:tcBorders>
              <w:top w:val="single" w:sz="6" w:space="0" w:color="auto"/>
              <w:right w:val="single" w:sz="4" w:space="0" w:color="auto"/>
            </w:tcBorders>
            <w:vAlign w:val="center"/>
          </w:tcPr>
          <w:p w14:paraId="117F131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9787975" w14:textId="77777777" w:rsidTr="00924D5A">
        <w:tc>
          <w:tcPr>
            <w:tcW w:w="1221" w:type="pct"/>
            <w:vMerge/>
            <w:tcBorders>
              <w:left w:val="single" w:sz="4" w:space="0" w:color="auto"/>
            </w:tcBorders>
          </w:tcPr>
          <w:p w14:paraId="0E07D391" w14:textId="77777777" w:rsidR="00146165" w:rsidRPr="00AA19A8" w:rsidRDefault="00146165" w:rsidP="00146165">
            <w:pPr>
              <w:spacing w:before="0"/>
              <w:rPr>
                <w:rFonts w:ascii="Calibri" w:eastAsia="Calibri" w:hAnsi="Calibri" w:cs="Times New Roman"/>
                <w:b/>
                <w:lang w:val="sr-Cyrl-CS"/>
              </w:rPr>
            </w:pPr>
          </w:p>
        </w:tc>
        <w:tc>
          <w:tcPr>
            <w:tcW w:w="729" w:type="pct"/>
          </w:tcPr>
          <w:p w14:paraId="5D4C158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62" w:type="pct"/>
          </w:tcPr>
          <w:p w14:paraId="4AE2AA3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62" w:type="pct"/>
            <w:gridSpan w:val="2"/>
          </w:tcPr>
          <w:p w14:paraId="74A804F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526" w:type="pct"/>
            <w:gridSpan w:val="2"/>
            <w:tcBorders>
              <w:right w:val="single" w:sz="4" w:space="0" w:color="auto"/>
            </w:tcBorders>
          </w:tcPr>
          <w:p w14:paraId="6CD2AE6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r>
      <w:tr w:rsidR="00D30238" w:rsidRPr="00AA19A8" w14:paraId="52B7A418" w14:textId="77777777" w:rsidTr="00924D5A">
        <w:tc>
          <w:tcPr>
            <w:tcW w:w="1221" w:type="pct"/>
            <w:vMerge/>
            <w:tcBorders>
              <w:left w:val="single" w:sz="4" w:space="0" w:color="auto"/>
            </w:tcBorders>
          </w:tcPr>
          <w:p w14:paraId="4DD85C96" w14:textId="77777777" w:rsidR="00146165" w:rsidRPr="00AA19A8" w:rsidRDefault="00146165" w:rsidP="00146165">
            <w:pPr>
              <w:spacing w:before="0"/>
              <w:rPr>
                <w:rFonts w:ascii="Calibri" w:eastAsia="Calibri" w:hAnsi="Calibri" w:cs="Times New Roman"/>
                <w:b/>
                <w:lang w:val="sr-Cyrl-CS"/>
              </w:rPr>
            </w:pPr>
          </w:p>
        </w:tc>
        <w:tc>
          <w:tcPr>
            <w:tcW w:w="729" w:type="pct"/>
          </w:tcPr>
          <w:p w14:paraId="0064D39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70,93%</w:t>
            </w:r>
          </w:p>
        </w:tc>
        <w:tc>
          <w:tcPr>
            <w:tcW w:w="762" w:type="pct"/>
          </w:tcPr>
          <w:p w14:paraId="37160D5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78,26%</w:t>
            </w:r>
          </w:p>
        </w:tc>
        <w:tc>
          <w:tcPr>
            <w:tcW w:w="762" w:type="pct"/>
            <w:gridSpan w:val="2"/>
          </w:tcPr>
          <w:p w14:paraId="64099E8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79,05%</w:t>
            </w:r>
          </w:p>
        </w:tc>
        <w:tc>
          <w:tcPr>
            <w:tcW w:w="1526" w:type="pct"/>
            <w:gridSpan w:val="2"/>
            <w:tcBorders>
              <w:right w:val="single" w:sz="4" w:space="0" w:color="auto"/>
            </w:tcBorders>
          </w:tcPr>
          <w:p w14:paraId="6012F7C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72,19%</w:t>
            </w:r>
          </w:p>
        </w:tc>
      </w:tr>
      <w:tr w:rsidR="00D30238" w:rsidRPr="00AA19A8" w14:paraId="5580DA81" w14:textId="77777777" w:rsidTr="00924D5A">
        <w:tc>
          <w:tcPr>
            <w:tcW w:w="1221" w:type="pct"/>
            <w:vMerge w:val="restart"/>
            <w:tcBorders>
              <w:left w:val="single" w:sz="4" w:space="0" w:color="auto"/>
            </w:tcBorders>
          </w:tcPr>
          <w:p w14:paraId="6A1F05A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29" w:type="pct"/>
          </w:tcPr>
          <w:p w14:paraId="4328EF2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62" w:type="pct"/>
          </w:tcPr>
          <w:p w14:paraId="146C4F7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62" w:type="pct"/>
            <w:gridSpan w:val="2"/>
          </w:tcPr>
          <w:p w14:paraId="1A3151F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63" w:type="pct"/>
          </w:tcPr>
          <w:p w14:paraId="71221A0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63" w:type="pct"/>
            <w:tcBorders>
              <w:right w:val="single" w:sz="4" w:space="0" w:color="auto"/>
            </w:tcBorders>
          </w:tcPr>
          <w:p w14:paraId="444CE88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3DAB33D2" w14:textId="77777777" w:rsidTr="00924D5A">
        <w:tc>
          <w:tcPr>
            <w:tcW w:w="1221" w:type="pct"/>
            <w:vMerge/>
            <w:tcBorders>
              <w:left w:val="single" w:sz="4" w:space="0" w:color="auto"/>
            </w:tcBorders>
          </w:tcPr>
          <w:p w14:paraId="4B4B7CCD" w14:textId="77777777" w:rsidR="00146165" w:rsidRPr="00AA19A8" w:rsidRDefault="00146165" w:rsidP="00146165">
            <w:pPr>
              <w:spacing w:before="0"/>
              <w:rPr>
                <w:rFonts w:ascii="Calibri" w:eastAsia="Calibri" w:hAnsi="Calibri" w:cs="Times New Roman"/>
                <w:b/>
                <w:lang w:val="sr-Cyrl-CS"/>
              </w:rPr>
            </w:pPr>
          </w:p>
        </w:tc>
        <w:tc>
          <w:tcPr>
            <w:tcW w:w="729" w:type="pct"/>
            <w:vAlign w:val="center"/>
          </w:tcPr>
          <w:p w14:paraId="29FF9A9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77%</w:t>
            </w:r>
          </w:p>
        </w:tc>
        <w:tc>
          <w:tcPr>
            <w:tcW w:w="762" w:type="pct"/>
            <w:vAlign w:val="center"/>
          </w:tcPr>
          <w:p w14:paraId="4DD97B33"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82%</w:t>
            </w:r>
          </w:p>
        </w:tc>
        <w:tc>
          <w:tcPr>
            <w:tcW w:w="762" w:type="pct"/>
            <w:gridSpan w:val="2"/>
            <w:vAlign w:val="center"/>
          </w:tcPr>
          <w:p w14:paraId="2B583B2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87%</w:t>
            </w:r>
          </w:p>
        </w:tc>
        <w:tc>
          <w:tcPr>
            <w:tcW w:w="763" w:type="pct"/>
            <w:vAlign w:val="center"/>
          </w:tcPr>
          <w:p w14:paraId="72E2290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88%</w:t>
            </w:r>
          </w:p>
        </w:tc>
        <w:tc>
          <w:tcPr>
            <w:tcW w:w="763" w:type="pct"/>
            <w:tcBorders>
              <w:right w:val="single" w:sz="4" w:space="0" w:color="auto"/>
            </w:tcBorders>
            <w:vAlign w:val="center"/>
          </w:tcPr>
          <w:p w14:paraId="694CAD8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90%</w:t>
            </w:r>
          </w:p>
        </w:tc>
      </w:tr>
      <w:tr w:rsidR="00146165" w:rsidRPr="00AA19A8" w14:paraId="00584321" w14:textId="77777777" w:rsidTr="00924D5A">
        <w:tc>
          <w:tcPr>
            <w:tcW w:w="1221" w:type="pct"/>
            <w:tcBorders>
              <w:left w:val="single" w:sz="4" w:space="0" w:color="auto"/>
              <w:bottom w:val="single" w:sz="4" w:space="0" w:color="auto"/>
            </w:tcBorders>
          </w:tcPr>
          <w:p w14:paraId="6BEFD634"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79" w:type="pct"/>
            <w:gridSpan w:val="6"/>
            <w:tcBorders>
              <w:bottom w:val="single" w:sz="4" w:space="0" w:color="auto"/>
              <w:right w:val="single" w:sz="4" w:space="0" w:color="auto"/>
            </w:tcBorders>
          </w:tcPr>
          <w:p w14:paraId="6AF97DB4"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1%.</w:t>
            </w:r>
          </w:p>
        </w:tc>
      </w:tr>
    </w:tbl>
    <w:p w14:paraId="77E95402" w14:textId="77777777" w:rsidR="00F331B0" w:rsidRPr="00AA19A8" w:rsidRDefault="00F331B0" w:rsidP="00146165">
      <w:pPr>
        <w:spacing w:after="120"/>
        <w:rPr>
          <w:rFonts w:ascii="Calibri" w:eastAsia="Times New Roman" w:hAnsi="Calibri" w:cs="Times New Roman"/>
          <w:b/>
          <w:bCs/>
          <w:lang w:val="sr-Cyrl-CS"/>
        </w:rPr>
      </w:pPr>
    </w:p>
    <w:p w14:paraId="1DC0AFEE" w14:textId="77777777" w:rsidR="006B65DC" w:rsidRPr="00AA19A8" w:rsidRDefault="006B65DC" w:rsidP="00146165">
      <w:pPr>
        <w:spacing w:after="120"/>
        <w:rPr>
          <w:rFonts w:ascii="Calibri" w:eastAsia="Times New Roman" w:hAnsi="Calibri" w:cs="Times New Roman"/>
          <w:b/>
          <w:bCs/>
          <w:lang w:val="sr-Cyrl-CS"/>
        </w:rPr>
      </w:pPr>
    </w:p>
    <w:p w14:paraId="59322BAB" w14:textId="77777777" w:rsidR="006B65DC" w:rsidRPr="00AA19A8" w:rsidRDefault="006B65DC" w:rsidP="00146165">
      <w:pPr>
        <w:spacing w:after="120"/>
        <w:rPr>
          <w:rFonts w:ascii="Calibri" w:eastAsia="Times New Roman" w:hAnsi="Calibri" w:cs="Times New Roman"/>
          <w:b/>
          <w:bCs/>
          <w:lang w:val="sr-Cyrl-CS"/>
        </w:rPr>
      </w:pPr>
    </w:p>
    <w:p w14:paraId="557264F8" w14:textId="77777777" w:rsidR="006B65DC" w:rsidRPr="00AA19A8" w:rsidRDefault="006B65DC" w:rsidP="00146165">
      <w:pPr>
        <w:spacing w:after="120"/>
        <w:rPr>
          <w:rFonts w:ascii="Calibri" w:eastAsia="Times New Roman" w:hAnsi="Calibri" w:cs="Times New Roman"/>
          <w:b/>
          <w:bCs/>
          <w:lang w:val="sr-Cyrl-CS"/>
        </w:rPr>
      </w:pPr>
    </w:p>
    <w:p w14:paraId="4D48CBAF" w14:textId="74C21A28"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lastRenderedPageBreak/>
        <w:t>Показатељ на нивоу мере 4.2</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92"/>
        <w:gridCol w:w="1310"/>
        <w:gridCol w:w="1426"/>
        <w:gridCol w:w="386"/>
        <w:gridCol w:w="916"/>
        <w:gridCol w:w="1303"/>
        <w:gridCol w:w="1439"/>
      </w:tblGrid>
      <w:tr w:rsidR="00D30238" w:rsidRPr="00AA19A8" w14:paraId="1F65BBF3" w14:textId="77777777" w:rsidTr="00924D5A">
        <w:tc>
          <w:tcPr>
            <w:tcW w:w="1263" w:type="pct"/>
            <w:tcBorders>
              <w:top w:val="single" w:sz="4" w:space="0" w:color="auto"/>
              <w:left w:val="single" w:sz="4" w:space="0" w:color="auto"/>
            </w:tcBorders>
            <w:vAlign w:val="center"/>
          </w:tcPr>
          <w:p w14:paraId="7CBAD54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37" w:type="pct"/>
            <w:gridSpan w:val="6"/>
            <w:tcBorders>
              <w:top w:val="single" w:sz="4" w:space="0" w:color="auto"/>
              <w:right w:val="single" w:sz="4" w:space="0" w:color="auto"/>
            </w:tcBorders>
            <w:vAlign w:val="center"/>
          </w:tcPr>
          <w:p w14:paraId="26943944"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приоритетних КЈС који имају интерног ревизора запосленог у тој организацији (од оних који су обавезни по пропису да имају јединицу за ИР)</w:t>
            </w:r>
          </w:p>
        </w:tc>
      </w:tr>
      <w:tr w:rsidR="00D30238" w:rsidRPr="00AA19A8" w14:paraId="36108795" w14:textId="77777777" w:rsidTr="00924D5A">
        <w:tc>
          <w:tcPr>
            <w:tcW w:w="1263" w:type="pct"/>
            <w:tcBorders>
              <w:top w:val="single" w:sz="4" w:space="0" w:color="auto"/>
              <w:left w:val="single" w:sz="4" w:space="0" w:color="auto"/>
            </w:tcBorders>
          </w:tcPr>
          <w:p w14:paraId="1CE80F6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37" w:type="pct"/>
            <w:gridSpan w:val="6"/>
            <w:tcBorders>
              <w:top w:val="single" w:sz="4" w:space="0" w:color="auto"/>
              <w:right w:val="single" w:sz="4" w:space="0" w:color="auto"/>
            </w:tcBorders>
          </w:tcPr>
          <w:p w14:paraId="0DA2B543"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4.2</w:t>
            </w:r>
            <w:r w:rsidRPr="00AA19A8">
              <w:rPr>
                <w:rFonts w:ascii="Calibri" w:eastAsia="Calibri" w:hAnsi="Calibri" w:cs="Times New Roman"/>
                <w:lang w:val="sr-Cyrl-CS"/>
              </w:rPr>
              <w:t xml:space="preserve"> - Унапређена функција интерне ревизије у јавном сектору у складу са међународним стандардима и начелима</w:t>
            </w:r>
          </w:p>
        </w:tc>
      </w:tr>
      <w:tr w:rsidR="00D30238" w:rsidRPr="00AA19A8" w14:paraId="48F45C80" w14:textId="77777777" w:rsidTr="00924D5A">
        <w:tc>
          <w:tcPr>
            <w:tcW w:w="1263" w:type="pct"/>
            <w:tcBorders>
              <w:left w:val="single" w:sz="4" w:space="0" w:color="auto"/>
            </w:tcBorders>
          </w:tcPr>
          <w:p w14:paraId="332E3A7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721" w:type="pct"/>
            <w:gridSpan w:val="3"/>
            <w:tcBorders>
              <w:right w:val="single" w:sz="4" w:space="0" w:color="auto"/>
            </w:tcBorders>
          </w:tcPr>
          <w:p w14:paraId="0F85D12F"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2016" w:type="pct"/>
            <w:gridSpan w:val="3"/>
            <w:tcBorders>
              <w:right w:val="single" w:sz="4" w:space="0" w:color="auto"/>
            </w:tcBorders>
          </w:tcPr>
          <w:p w14:paraId="1BB6A56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188E436" w14:textId="77777777" w:rsidTr="00924D5A">
        <w:tc>
          <w:tcPr>
            <w:tcW w:w="1263" w:type="pct"/>
            <w:tcBorders>
              <w:left w:val="single" w:sz="4" w:space="0" w:color="auto"/>
            </w:tcBorders>
          </w:tcPr>
          <w:p w14:paraId="618D6C8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721" w:type="pct"/>
            <w:gridSpan w:val="3"/>
            <w:tcBorders>
              <w:right w:val="single" w:sz="4" w:space="0" w:color="auto"/>
            </w:tcBorders>
          </w:tcPr>
          <w:p w14:paraId="098A0CB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2016" w:type="pct"/>
            <w:gridSpan w:val="3"/>
            <w:tcBorders>
              <w:right w:val="single" w:sz="4" w:space="0" w:color="auto"/>
            </w:tcBorders>
            <w:vAlign w:val="center"/>
          </w:tcPr>
          <w:p w14:paraId="10171B8F"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65EF04AD" w14:textId="77777777" w:rsidTr="00924D5A">
        <w:tc>
          <w:tcPr>
            <w:tcW w:w="1263" w:type="pct"/>
            <w:tcBorders>
              <w:left w:val="single" w:sz="4" w:space="0" w:color="auto"/>
              <w:bottom w:val="single" w:sz="4" w:space="0" w:color="auto"/>
            </w:tcBorders>
          </w:tcPr>
          <w:p w14:paraId="5BA7CC5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37" w:type="pct"/>
            <w:gridSpan w:val="6"/>
            <w:tcBorders>
              <w:bottom w:val="single" w:sz="4" w:space="0" w:color="auto"/>
              <w:right w:val="single" w:sz="4" w:space="0" w:color="auto"/>
            </w:tcBorders>
          </w:tcPr>
          <w:p w14:paraId="4F575F47"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Консолидовани годишњи извештај о стању интерне финансијске контроле у Републици Србији - </w:t>
            </w:r>
            <w:hyperlink r:id="rId30" w:history="1">
              <w:r w:rsidRPr="00AA19A8">
                <w:rPr>
                  <w:rFonts w:ascii="Calibri" w:eastAsia="Times New Roman" w:hAnsi="Calibri" w:cs="Times New Roman"/>
                  <w:bCs/>
                  <w:u w:val="single"/>
                  <w:lang w:val="sr-Cyrl-CS"/>
                </w:rPr>
                <w:t>https://mfin.gov.rs/o-ministarstvu/konsolidovani-godinji-izvetaj</w:t>
              </w:r>
            </w:hyperlink>
            <w:r w:rsidRPr="00AA19A8">
              <w:rPr>
                <w:rFonts w:ascii="Calibri" w:eastAsia="Times New Roman" w:hAnsi="Calibri" w:cs="Times New Roman"/>
                <w:bCs/>
                <w:lang w:val="sr-Cyrl-CS"/>
              </w:rPr>
              <w:t xml:space="preserve"> </w:t>
            </w:r>
          </w:p>
        </w:tc>
      </w:tr>
      <w:tr w:rsidR="00D30238" w:rsidRPr="00AA19A8" w14:paraId="5BF5B9B6" w14:textId="77777777" w:rsidTr="00924D5A">
        <w:tc>
          <w:tcPr>
            <w:tcW w:w="1263" w:type="pct"/>
            <w:tcBorders>
              <w:left w:val="single" w:sz="4" w:space="0" w:color="auto"/>
              <w:bottom w:val="single" w:sz="4" w:space="0" w:color="auto"/>
            </w:tcBorders>
          </w:tcPr>
          <w:p w14:paraId="1D93518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37" w:type="pct"/>
            <w:gridSpan w:val="6"/>
            <w:tcBorders>
              <w:bottom w:val="single" w:sz="4" w:space="0" w:color="auto"/>
              <w:right w:val="single" w:sz="4" w:space="0" w:color="auto"/>
            </w:tcBorders>
          </w:tcPr>
          <w:p w14:paraId="37ABFC2A"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 Централна јединица за хармонизацију</w:t>
            </w:r>
          </w:p>
        </w:tc>
      </w:tr>
      <w:tr w:rsidR="00D30238" w:rsidRPr="00AA19A8" w14:paraId="33384068" w14:textId="77777777" w:rsidTr="00924D5A">
        <w:tc>
          <w:tcPr>
            <w:tcW w:w="1263" w:type="pct"/>
            <w:tcBorders>
              <w:top w:val="single" w:sz="4" w:space="0" w:color="auto"/>
              <w:left w:val="single" w:sz="4" w:space="0" w:color="auto"/>
            </w:tcBorders>
          </w:tcPr>
          <w:p w14:paraId="7CE26EE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37" w:type="pct"/>
            <w:gridSpan w:val="6"/>
            <w:tcBorders>
              <w:top w:val="single" w:sz="4" w:space="0" w:color="auto"/>
              <w:right w:val="single" w:sz="4" w:space="0" w:color="auto"/>
            </w:tcBorders>
          </w:tcPr>
          <w:p w14:paraId="15C49FE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7C49199C" w14:textId="77777777" w:rsidTr="00924D5A">
        <w:trPr>
          <w:trHeight w:val="1181"/>
        </w:trPr>
        <w:tc>
          <w:tcPr>
            <w:tcW w:w="1263" w:type="pct"/>
            <w:tcBorders>
              <w:left w:val="single" w:sz="4" w:space="0" w:color="auto"/>
              <w:bottom w:val="single" w:sz="6" w:space="0" w:color="auto"/>
            </w:tcBorders>
          </w:tcPr>
          <w:p w14:paraId="100BB28C"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2BCD536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37" w:type="pct"/>
            <w:gridSpan w:val="6"/>
            <w:tcBorders>
              <w:right w:val="single" w:sz="4" w:space="0" w:color="auto"/>
            </w:tcBorders>
          </w:tcPr>
          <w:p w14:paraId="7F04F572"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Times New Roman"/>
                <w:lang w:val="sr-Cyrl-CS"/>
              </w:rPr>
              <w:t>Показатељ указује на број корисника јавних средстава (у складу са 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Израчунат је као проценат/учешће поменутих корисника који имају интерног ревизора запосленог у организацији од укупног броја истих који су доставили извештај МФ-ЦЈХ кроз апликацију за извештавање.</w:t>
            </w:r>
          </w:p>
        </w:tc>
      </w:tr>
      <w:tr w:rsidR="00D30238" w:rsidRPr="00AA19A8" w14:paraId="6D8DB88A" w14:textId="77777777" w:rsidTr="00924D5A">
        <w:tc>
          <w:tcPr>
            <w:tcW w:w="1263" w:type="pct"/>
            <w:vMerge w:val="restart"/>
            <w:tcBorders>
              <w:top w:val="single" w:sz="6" w:space="0" w:color="auto"/>
              <w:left w:val="single" w:sz="4" w:space="0" w:color="auto"/>
            </w:tcBorders>
          </w:tcPr>
          <w:p w14:paraId="1B6877FA"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226" w:type="pct"/>
            <w:gridSpan w:val="4"/>
            <w:tcBorders>
              <w:top w:val="single" w:sz="6" w:space="0" w:color="auto"/>
            </w:tcBorders>
            <w:vAlign w:val="center"/>
          </w:tcPr>
          <w:p w14:paraId="11CF6081"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511" w:type="pct"/>
            <w:gridSpan w:val="2"/>
            <w:tcBorders>
              <w:top w:val="single" w:sz="6" w:space="0" w:color="auto"/>
              <w:right w:val="single" w:sz="4" w:space="0" w:color="auto"/>
            </w:tcBorders>
            <w:vAlign w:val="center"/>
          </w:tcPr>
          <w:p w14:paraId="5BB5EE8F"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7670765C" w14:textId="77777777" w:rsidTr="00924D5A">
        <w:tc>
          <w:tcPr>
            <w:tcW w:w="1263" w:type="pct"/>
            <w:vMerge/>
            <w:tcBorders>
              <w:left w:val="single" w:sz="4" w:space="0" w:color="auto"/>
            </w:tcBorders>
          </w:tcPr>
          <w:p w14:paraId="70ED891B" w14:textId="77777777" w:rsidR="00146165" w:rsidRPr="00AA19A8" w:rsidRDefault="00146165" w:rsidP="00146165">
            <w:pPr>
              <w:spacing w:before="0"/>
              <w:rPr>
                <w:rFonts w:ascii="Calibri" w:eastAsia="Calibri" w:hAnsi="Calibri" w:cs="Times New Roman"/>
                <w:b/>
                <w:lang w:val="sr-Cyrl-CS"/>
              </w:rPr>
            </w:pPr>
          </w:p>
        </w:tc>
        <w:tc>
          <w:tcPr>
            <w:tcW w:w="722" w:type="pct"/>
          </w:tcPr>
          <w:p w14:paraId="63B1BE2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786" w:type="pct"/>
          </w:tcPr>
          <w:p w14:paraId="34D7D26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717" w:type="pct"/>
            <w:gridSpan w:val="2"/>
          </w:tcPr>
          <w:p w14:paraId="56B082A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511" w:type="pct"/>
            <w:gridSpan w:val="2"/>
            <w:tcBorders>
              <w:right w:val="single" w:sz="4" w:space="0" w:color="auto"/>
            </w:tcBorders>
          </w:tcPr>
          <w:p w14:paraId="4C911F7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r>
      <w:tr w:rsidR="00D30238" w:rsidRPr="00AA19A8" w14:paraId="39409817" w14:textId="77777777" w:rsidTr="00924D5A">
        <w:tc>
          <w:tcPr>
            <w:tcW w:w="1263" w:type="pct"/>
            <w:vMerge/>
            <w:tcBorders>
              <w:left w:val="single" w:sz="4" w:space="0" w:color="auto"/>
            </w:tcBorders>
          </w:tcPr>
          <w:p w14:paraId="5379A3BA" w14:textId="77777777" w:rsidR="00146165" w:rsidRPr="00AA19A8" w:rsidRDefault="00146165" w:rsidP="00146165">
            <w:pPr>
              <w:spacing w:before="0"/>
              <w:rPr>
                <w:rFonts w:ascii="Calibri" w:eastAsia="Calibri" w:hAnsi="Calibri" w:cs="Times New Roman"/>
                <w:b/>
                <w:lang w:val="sr-Cyrl-CS"/>
              </w:rPr>
            </w:pPr>
          </w:p>
        </w:tc>
        <w:tc>
          <w:tcPr>
            <w:tcW w:w="722" w:type="pct"/>
          </w:tcPr>
          <w:p w14:paraId="7C8AFD9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786" w:type="pct"/>
          </w:tcPr>
          <w:p w14:paraId="7B2FA70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717" w:type="pct"/>
            <w:gridSpan w:val="2"/>
          </w:tcPr>
          <w:p w14:paraId="6E28A13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511" w:type="pct"/>
            <w:gridSpan w:val="2"/>
            <w:tcBorders>
              <w:right w:val="single" w:sz="4" w:space="0" w:color="auto"/>
            </w:tcBorders>
          </w:tcPr>
          <w:p w14:paraId="27BDD92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80,82%</w:t>
            </w:r>
          </w:p>
        </w:tc>
      </w:tr>
      <w:tr w:rsidR="00D30238" w:rsidRPr="00AA19A8" w14:paraId="297BB88F" w14:textId="77777777" w:rsidTr="00924D5A">
        <w:tc>
          <w:tcPr>
            <w:tcW w:w="1263" w:type="pct"/>
            <w:vMerge w:val="restart"/>
            <w:tcBorders>
              <w:left w:val="single" w:sz="4" w:space="0" w:color="auto"/>
            </w:tcBorders>
          </w:tcPr>
          <w:p w14:paraId="7E178BE9"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22" w:type="pct"/>
          </w:tcPr>
          <w:p w14:paraId="685F568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786" w:type="pct"/>
          </w:tcPr>
          <w:p w14:paraId="2C86DCF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717" w:type="pct"/>
            <w:gridSpan w:val="2"/>
          </w:tcPr>
          <w:p w14:paraId="4CD7055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718" w:type="pct"/>
          </w:tcPr>
          <w:p w14:paraId="6FF46A6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793" w:type="pct"/>
            <w:tcBorders>
              <w:right w:val="single" w:sz="4" w:space="0" w:color="auto"/>
            </w:tcBorders>
          </w:tcPr>
          <w:p w14:paraId="0EA34AD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3C40BE5F" w14:textId="77777777" w:rsidTr="00924D5A">
        <w:tc>
          <w:tcPr>
            <w:tcW w:w="1263" w:type="pct"/>
            <w:vMerge/>
            <w:tcBorders>
              <w:left w:val="single" w:sz="4" w:space="0" w:color="auto"/>
            </w:tcBorders>
          </w:tcPr>
          <w:p w14:paraId="0A64093D" w14:textId="77777777" w:rsidR="00146165" w:rsidRPr="00AA19A8" w:rsidRDefault="00146165" w:rsidP="00146165">
            <w:pPr>
              <w:spacing w:before="0"/>
              <w:rPr>
                <w:rFonts w:ascii="Calibri" w:eastAsia="Calibri" w:hAnsi="Calibri" w:cs="Times New Roman"/>
                <w:b/>
                <w:lang w:val="sr-Cyrl-CS"/>
              </w:rPr>
            </w:pPr>
          </w:p>
        </w:tc>
        <w:tc>
          <w:tcPr>
            <w:tcW w:w="722" w:type="pct"/>
            <w:vAlign w:val="center"/>
          </w:tcPr>
          <w:p w14:paraId="3AC320FB"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83%</w:t>
            </w:r>
          </w:p>
        </w:tc>
        <w:tc>
          <w:tcPr>
            <w:tcW w:w="786" w:type="pct"/>
            <w:vAlign w:val="center"/>
          </w:tcPr>
          <w:p w14:paraId="6AD5236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85%</w:t>
            </w:r>
          </w:p>
        </w:tc>
        <w:tc>
          <w:tcPr>
            <w:tcW w:w="717" w:type="pct"/>
            <w:gridSpan w:val="2"/>
            <w:vAlign w:val="center"/>
          </w:tcPr>
          <w:p w14:paraId="0DBB5D8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87%</w:t>
            </w:r>
          </w:p>
        </w:tc>
        <w:tc>
          <w:tcPr>
            <w:tcW w:w="718" w:type="pct"/>
            <w:vAlign w:val="center"/>
          </w:tcPr>
          <w:p w14:paraId="67FF4E9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88%</w:t>
            </w:r>
          </w:p>
        </w:tc>
        <w:tc>
          <w:tcPr>
            <w:tcW w:w="793" w:type="pct"/>
            <w:tcBorders>
              <w:right w:val="single" w:sz="4" w:space="0" w:color="auto"/>
            </w:tcBorders>
            <w:vAlign w:val="center"/>
          </w:tcPr>
          <w:p w14:paraId="4877F00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90%</w:t>
            </w:r>
          </w:p>
        </w:tc>
      </w:tr>
      <w:tr w:rsidR="00146165" w:rsidRPr="00AA19A8" w14:paraId="0206A21F" w14:textId="77777777" w:rsidTr="00924D5A">
        <w:tc>
          <w:tcPr>
            <w:tcW w:w="1263" w:type="pct"/>
            <w:tcBorders>
              <w:left w:val="single" w:sz="4" w:space="0" w:color="auto"/>
              <w:bottom w:val="single" w:sz="4" w:space="0" w:color="auto"/>
            </w:tcBorders>
          </w:tcPr>
          <w:p w14:paraId="1AD41D54"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37" w:type="pct"/>
            <w:gridSpan w:val="6"/>
            <w:tcBorders>
              <w:bottom w:val="single" w:sz="4" w:space="0" w:color="auto"/>
              <w:right w:val="single" w:sz="4" w:space="0" w:color="auto"/>
            </w:tcBorders>
          </w:tcPr>
          <w:p w14:paraId="5675D8AF"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2%.</w:t>
            </w:r>
          </w:p>
        </w:tc>
      </w:tr>
    </w:tbl>
    <w:p w14:paraId="53862BFE" w14:textId="77777777" w:rsidR="00146165" w:rsidRPr="00AA19A8" w:rsidRDefault="00146165" w:rsidP="00146165">
      <w:pPr>
        <w:spacing w:after="120"/>
        <w:rPr>
          <w:rFonts w:ascii="Calibri" w:eastAsia="Times New Roman" w:hAnsi="Calibri" w:cs="Times New Roman"/>
          <w:b/>
          <w:bCs/>
          <w:lang w:val="sr-Cyrl-CS"/>
        </w:rPr>
      </w:pP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57D52757" w14:textId="77777777" w:rsidTr="00924D5A">
        <w:tc>
          <w:tcPr>
            <w:tcW w:w="1296" w:type="pct"/>
            <w:tcBorders>
              <w:top w:val="single" w:sz="4" w:space="0" w:color="auto"/>
              <w:left w:val="single" w:sz="4" w:space="0" w:color="auto"/>
            </w:tcBorders>
            <w:vAlign w:val="center"/>
          </w:tcPr>
          <w:p w14:paraId="5D5299F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44E9C91D"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Укупан број унапређених материјала из области ИФКЈ</w:t>
            </w:r>
          </w:p>
        </w:tc>
      </w:tr>
      <w:tr w:rsidR="00D30238" w:rsidRPr="00AA19A8" w14:paraId="02EF4516" w14:textId="77777777" w:rsidTr="00924D5A">
        <w:tc>
          <w:tcPr>
            <w:tcW w:w="1296" w:type="pct"/>
            <w:tcBorders>
              <w:top w:val="single" w:sz="4" w:space="0" w:color="auto"/>
              <w:left w:val="single" w:sz="4" w:space="0" w:color="auto"/>
            </w:tcBorders>
          </w:tcPr>
          <w:p w14:paraId="27530B3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37E262A6"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4.2</w:t>
            </w:r>
            <w:r w:rsidRPr="00AA19A8">
              <w:rPr>
                <w:rFonts w:ascii="Calibri" w:eastAsia="Calibri" w:hAnsi="Calibri" w:cs="Times New Roman"/>
                <w:lang w:val="sr-Cyrl-CS"/>
              </w:rPr>
              <w:t xml:space="preserve"> - Унапређена функција интерне ревизије у јавном сектору у складу са међународним стандардима и начелима</w:t>
            </w:r>
          </w:p>
        </w:tc>
      </w:tr>
      <w:tr w:rsidR="00D30238" w:rsidRPr="00AA19A8" w14:paraId="2EDC4309" w14:textId="77777777" w:rsidTr="00924D5A">
        <w:tc>
          <w:tcPr>
            <w:tcW w:w="1296" w:type="pct"/>
            <w:tcBorders>
              <w:left w:val="single" w:sz="4" w:space="0" w:color="auto"/>
            </w:tcBorders>
          </w:tcPr>
          <w:p w14:paraId="303A1B1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 xml:space="preserve">Тип показатеља </w:t>
            </w:r>
          </w:p>
        </w:tc>
        <w:tc>
          <w:tcPr>
            <w:tcW w:w="1822" w:type="pct"/>
            <w:gridSpan w:val="3"/>
            <w:tcBorders>
              <w:right w:val="single" w:sz="4" w:space="0" w:color="auto"/>
            </w:tcBorders>
          </w:tcPr>
          <w:p w14:paraId="402ECAE7"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Квалитативни</w:t>
            </w:r>
          </w:p>
        </w:tc>
        <w:tc>
          <w:tcPr>
            <w:tcW w:w="1882" w:type="pct"/>
            <w:gridSpan w:val="3"/>
            <w:tcBorders>
              <w:right w:val="single" w:sz="4" w:space="0" w:color="auto"/>
            </w:tcBorders>
          </w:tcPr>
          <w:p w14:paraId="5E2AE691"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231CB6C2" w14:textId="77777777" w:rsidTr="00924D5A">
        <w:tc>
          <w:tcPr>
            <w:tcW w:w="1296" w:type="pct"/>
            <w:tcBorders>
              <w:left w:val="single" w:sz="4" w:space="0" w:color="auto"/>
            </w:tcBorders>
          </w:tcPr>
          <w:p w14:paraId="53047B7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6E029F0F"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Број</w:t>
            </w:r>
          </w:p>
        </w:tc>
        <w:tc>
          <w:tcPr>
            <w:tcW w:w="1882" w:type="pct"/>
            <w:gridSpan w:val="3"/>
            <w:tcBorders>
              <w:right w:val="single" w:sz="4" w:space="0" w:color="auto"/>
            </w:tcBorders>
            <w:vAlign w:val="center"/>
          </w:tcPr>
          <w:p w14:paraId="759D002D" w14:textId="77777777" w:rsidR="00146165" w:rsidRPr="00AA19A8" w:rsidRDefault="00146165" w:rsidP="00146165">
            <w:pPr>
              <w:spacing w:beforeAutospacing="1" w:after="100" w:afterAutospacing="1" w:line="256" w:lineRule="auto"/>
              <w:rPr>
                <w:rFonts w:ascii="Calibri" w:eastAsia="Times New Roman" w:hAnsi="Calibri" w:cs="Times New Roman"/>
                <w:lang w:val="sr-Cyrl-CS"/>
              </w:rPr>
            </w:pPr>
            <w:r w:rsidRPr="00AA19A8">
              <w:rPr>
                <w:rFonts w:ascii="Calibri" w:eastAsia="Times New Roman" w:hAnsi="Calibri" w:cs="Times New Roman"/>
                <w:lang w:val="sr-Cyrl-CS"/>
              </w:rPr>
              <w:t>Унапређени материјали из области ИФКЈ у складу са глобалним стандардима интерне ревизије, већа вредност је боља</w:t>
            </w:r>
          </w:p>
        </w:tc>
      </w:tr>
      <w:tr w:rsidR="00D30238" w:rsidRPr="00AA19A8" w14:paraId="7252B1FE" w14:textId="77777777" w:rsidTr="00924D5A">
        <w:tc>
          <w:tcPr>
            <w:tcW w:w="1296" w:type="pct"/>
            <w:tcBorders>
              <w:left w:val="single" w:sz="4" w:space="0" w:color="auto"/>
              <w:bottom w:val="single" w:sz="4" w:space="0" w:color="auto"/>
            </w:tcBorders>
          </w:tcPr>
          <w:p w14:paraId="1F9C066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3FAF1DD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Материјали објављени на сајту Министарства финансија</w:t>
            </w:r>
          </w:p>
          <w:p w14:paraId="3C17F128" w14:textId="77777777" w:rsidR="00146165" w:rsidRPr="00AA19A8" w:rsidRDefault="00146165" w:rsidP="00146165">
            <w:pPr>
              <w:spacing w:line="256" w:lineRule="auto"/>
              <w:rPr>
                <w:rFonts w:ascii="Calibri" w:eastAsia="Times New Roman" w:hAnsi="Calibri" w:cs="Times New Roman"/>
                <w:bCs/>
                <w:lang w:val="sr-Cyrl-CS"/>
              </w:rPr>
            </w:pPr>
            <w:hyperlink r:id="rId31" w:history="1">
              <w:r w:rsidRPr="00AA19A8">
                <w:rPr>
                  <w:rFonts w:ascii="Calibri" w:eastAsia="Times New Roman" w:hAnsi="Calibri" w:cs="Times New Roman"/>
                  <w:bCs/>
                  <w:u w:val="single"/>
                  <w:lang w:val="sr-Cyrl-CS"/>
                </w:rPr>
                <w:t>https://mfin.gov.rs/o-ministarstvu/materijali-za-uenje</w:t>
              </w:r>
            </w:hyperlink>
          </w:p>
          <w:p w14:paraId="7D8B6CA3" w14:textId="77777777" w:rsidR="00146165" w:rsidRPr="00AA19A8" w:rsidRDefault="00146165" w:rsidP="00146165">
            <w:pPr>
              <w:spacing w:line="256" w:lineRule="auto"/>
              <w:rPr>
                <w:rFonts w:ascii="Calibri" w:eastAsia="Times New Roman" w:hAnsi="Calibri" w:cs="Times New Roman"/>
                <w:bCs/>
                <w:lang w:val="sr-Cyrl-CS"/>
              </w:rPr>
            </w:pPr>
            <w:hyperlink r:id="rId32" w:history="1">
              <w:r w:rsidRPr="00AA19A8">
                <w:rPr>
                  <w:rFonts w:ascii="Calibri" w:eastAsia="Times New Roman" w:hAnsi="Calibri" w:cs="Times New Roman"/>
                  <w:bCs/>
                  <w:u w:val="single"/>
                  <w:lang w:val="sr-Cyrl-CS"/>
                </w:rPr>
                <w:t>https://mfin.gov.rs/o-ministarstvu/modeli-akata-za-uspostavljanje-interne-revizije</w:t>
              </w:r>
            </w:hyperlink>
          </w:p>
          <w:p w14:paraId="68D392A3" w14:textId="77777777" w:rsidR="00146165" w:rsidRPr="00AA19A8" w:rsidRDefault="00146165" w:rsidP="00146165">
            <w:pPr>
              <w:spacing w:line="256" w:lineRule="auto"/>
              <w:rPr>
                <w:rFonts w:ascii="Calibri" w:eastAsia="Times New Roman" w:hAnsi="Calibri" w:cs="Times New Roman"/>
                <w:bCs/>
                <w:lang w:val="sr-Cyrl-CS"/>
              </w:rPr>
            </w:pPr>
            <w:hyperlink r:id="rId33" w:history="1">
              <w:r w:rsidRPr="00AA19A8">
                <w:rPr>
                  <w:rFonts w:ascii="Calibri" w:eastAsia="Times New Roman" w:hAnsi="Calibri" w:cs="Times New Roman"/>
                  <w:bCs/>
                  <w:u w:val="single"/>
                  <w:lang w:val="sr-Cyrl-CS"/>
                </w:rPr>
                <w:t>https://mfin.gov.rs/o-ministarstvu/finansijsko-upravljanje-i-kontrola</w:t>
              </w:r>
            </w:hyperlink>
          </w:p>
          <w:p w14:paraId="17AD66F0" w14:textId="77777777" w:rsidR="00146165" w:rsidRPr="00AA19A8" w:rsidRDefault="00146165" w:rsidP="00146165">
            <w:pPr>
              <w:spacing w:line="256" w:lineRule="auto"/>
              <w:rPr>
                <w:rFonts w:ascii="Calibri" w:eastAsia="Times New Roman" w:hAnsi="Calibri" w:cs="Times New Roman"/>
                <w:bCs/>
                <w:lang w:val="sr-Cyrl-CS"/>
              </w:rPr>
            </w:pPr>
            <w:hyperlink r:id="rId34" w:history="1">
              <w:r w:rsidRPr="00AA19A8">
                <w:rPr>
                  <w:rFonts w:ascii="Calibri" w:eastAsia="Times New Roman" w:hAnsi="Calibri" w:cs="Times New Roman"/>
                  <w:bCs/>
                  <w:u w:val="single"/>
                  <w:lang w:val="sr-Cyrl-CS"/>
                </w:rPr>
                <w:t>https://mfin.gov.rs/o-ministarstvu/obuke</w:t>
              </w:r>
            </w:hyperlink>
          </w:p>
        </w:tc>
      </w:tr>
      <w:tr w:rsidR="00D30238" w:rsidRPr="00AA19A8" w14:paraId="38A8A4BF" w14:textId="77777777" w:rsidTr="00924D5A">
        <w:tc>
          <w:tcPr>
            <w:tcW w:w="1296" w:type="pct"/>
            <w:tcBorders>
              <w:left w:val="single" w:sz="4" w:space="0" w:color="auto"/>
              <w:bottom w:val="single" w:sz="4" w:space="0" w:color="auto"/>
            </w:tcBorders>
          </w:tcPr>
          <w:p w14:paraId="69834EF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6D783C27"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 Централна јединица за хармонизацију</w:t>
            </w:r>
          </w:p>
        </w:tc>
      </w:tr>
      <w:tr w:rsidR="00D30238" w:rsidRPr="00AA19A8" w14:paraId="30AD3A79" w14:textId="77777777" w:rsidTr="00924D5A">
        <w:tc>
          <w:tcPr>
            <w:tcW w:w="1296" w:type="pct"/>
            <w:tcBorders>
              <w:top w:val="single" w:sz="4" w:space="0" w:color="auto"/>
              <w:left w:val="single" w:sz="4" w:space="0" w:color="auto"/>
            </w:tcBorders>
          </w:tcPr>
          <w:p w14:paraId="38C5018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78D8CFEA"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Једном годишње у текућој години за претходну годину </w:t>
            </w:r>
          </w:p>
        </w:tc>
      </w:tr>
      <w:tr w:rsidR="00D30238" w:rsidRPr="00AA19A8" w14:paraId="6B99B6A1" w14:textId="77777777" w:rsidTr="00924D5A">
        <w:trPr>
          <w:trHeight w:val="1181"/>
        </w:trPr>
        <w:tc>
          <w:tcPr>
            <w:tcW w:w="1296" w:type="pct"/>
            <w:tcBorders>
              <w:left w:val="single" w:sz="4" w:space="0" w:color="auto"/>
              <w:bottom w:val="single" w:sz="6" w:space="0" w:color="auto"/>
            </w:tcBorders>
          </w:tcPr>
          <w:p w14:paraId="00A8EE2E"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6BC6135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28E1703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Усклађивање регулаторног оквира и методолошких материјала са глобалним стандардима за интерну ревизију.</w:t>
            </w:r>
          </w:p>
        </w:tc>
      </w:tr>
      <w:tr w:rsidR="00D30238" w:rsidRPr="00AA19A8" w14:paraId="6C9BB2C9" w14:textId="77777777" w:rsidTr="00924D5A">
        <w:tc>
          <w:tcPr>
            <w:tcW w:w="1296" w:type="pct"/>
            <w:vMerge w:val="restart"/>
            <w:tcBorders>
              <w:top w:val="single" w:sz="6" w:space="0" w:color="auto"/>
              <w:left w:val="single" w:sz="4" w:space="0" w:color="auto"/>
            </w:tcBorders>
          </w:tcPr>
          <w:p w14:paraId="03002C7D"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38B75D66"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6D86EF6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29CC2A51" w14:textId="77777777" w:rsidTr="00924D5A">
        <w:tc>
          <w:tcPr>
            <w:tcW w:w="1296" w:type="pct"/>
            <w:vMerge/>
            <w:tcBorders>
              <w:left w:val="single" w:sz="4" w:space="0" w:color="auto"/>
            </w:tcBorders>
          </w:tcPr>
          <w:p w14:paraId="2C26BDD6" w14:textId="77777777" w:rsidR="00146165" w:rsidRPr="00AA19A8" w:rsidRDefault="00146165" w:rsidP="00146165">
            <w:pPr>
              <w:spacing w:before="0"/>
              <w:rPr>
                <w:rFonts w:ascii="Calibri" w:eastAsia="Calibri" w:hAnsi="Calibri" w:cs="Times New Roman"/>
                <w:b/>
                <w:lang w:val="sr-Cyrl-CS"/>
              </w:rPr>
            </w:pPr>
          </w:p>
        </w:tc>
        <w:tc>
          <w:tcPr>
            <w:tcW w:w="755" w:type="pct"/>
          </w:tcPr>
          <w:p w14:paraId="654D751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6792A01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7F157CC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7660F558"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00B1385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599DFDC5" w14:textId="77777777" w:rsidTr="00924D5A">
        <w:tc>
          <w:tcPr>
            <w:tcW w:w="1296" w:type="pct"/>
            <w:vMerge/>
            <w:tcBorders>
              <w:left w:val="single" w:sz="4" w:space="0" w:color="auto"/>
            </w:tcBorders>
          </w:tcPr>
          <w:p w14:paraId="188039CD" w14:textId="77777777" w:rsidR="00146165" w:rsidRPr="00AA19A8" w:rsidRDefault="00146165" w:rsidP="00146165">
            <w:pPr>
              <w:spacing w:before="0"/>
              <w:rPr>
                <w:rFonts w:ascii="Calibri" w:eastAsia="Calibri" w:hAnsi="Calibri" w:cs="Times New Roman"/>
                <w:b/>
                <w:lang w:val="sr-Cyrl-CS"/>
              </w:rPr>
            </w:pPr>
          </w:p>
        </w:tc>
        <w:tc>
          <w:tcPr>
            <w:tcW w:w="755" w:type="pct"/>
          </w:tcPr>
          <w:p w14:paraId="0A361A5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589C776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059D375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7B60FE7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530DF5D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0</w:t>
            </w:r>
          </w:p>
        </w:tc>
      </w:tr>
      <w:tr w:rsidR="00D30238" w:rsidRPr="00AA19A8" w14:paraId="51925E43" w14:textId="77777777" w:rsidTr="00924D5A">
        <w:tc>
          <w:tcPr>
            <w:tcW w:w="1296" w:type="pct"/>
            <w:vMerge w:val="restart"/>
            <w:tcBorders>
              <w:left w:val="single" w:sz="4" w:space="0" w:color="auto"/>
            </w:tcBorders>
          </w:tcPr>
          <w:p w14:paraId="1D1D4A48"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07B76C39"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22BF85CC"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287CBAB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54134BD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0350E5F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05AE246F" w14:textId="77777777" w:rsidTr="00924D5A">
        <w:tc>
          <w:tcPr>
            <w:tcW w:w="1296" w:type="pct"/>
            <w:vMerge/>
            <w:tcBorders>
              <w:left w:val="single" w:sz="4" w:space="0" w:color="auto"/>
            </w:tcBorders>
          </w:tcPr>
          <w:p w14:paraId="77371904"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17C795C8"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2</w:t>
            </w:r>
          </w:p>
        </w:tc>
        <w:tc>
          <w:tcPr>
            <w:tcW w:w="673" w:type="pct"/>
            <w:vAlign w:val="center"/>
          </w:tcPr>
          <w:p w14:paraId="5EC9DFB6"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3</w:t>
            </w:r>
          </w:p>
        </w:tc>
        <w:tc>
          <w:tcPr>
            <w:tcW w:w="582" w:type="pct"/>
            <w:gridSpan w:val="2"/>
            <w:vAlign w:val="center"/>
          </w:tcPr>
          <w:p w14:paraId="019842F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4</w:t>
            </w:r>
          </w:p>
        </w:tc>
        <w:tc>
          <w:tcPr>
            <w:tcW w:w="585" w:type="pct"/>
            <w:vAlign w:val="center"/>
          </w:tcPr>
          <w:p w14:paraId="494D4B7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vAlign w:val="center"/>
          </w:tcPr>
          <w:p w14:paraId="35547F8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r>
      <w:tr w:rsidR="00146165" w:rsidRPr="00AA19A8" w14:paraId="1996F327" w14:textId="77777777" w:rsidTr="00924D5A">
        <w:tc>
          <w:tcPr>
            <w:tcW w:w="1296" w:type="pct"/>
            <w:tcBorders>
              <w:left w:val="single" w:sz="4" w:space="0" w:color="auto"/>
              <w:bottom w:val="single" w:sz="4" w:space="0" w:color="auto"/>
            </w:tcBorders>
          </w:tcPr>
          <w:p w14:paraId="04B8727F"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330D2025"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0675C0DE" w14:textId="77777777" w:rsidR="00341C8E" w:rsidRPr="00AA19A8" w:rsidRDefault="00341C8E" w:rsidP="00146165">
      <w:pPr>
        <w:spacing w:after="120"/>
        <w:rPr>
          <w:rFonts w:ascii="Calibri" w:eastAsia="Times New Roman" w:hAnsi="Calibri" w:cs="Times New Roman"/>
          <w:b/>
          <w:bCs/>
          <w:lang w:val="sr-Cyrl-CS"/>
        </w:rPr>
      </w:pPr>
    </w:p>
    <w:p w14:paraId="6E74C4EF"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4.3</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24AA46C5" w14:textId="77777777" w:rsidTr="00924D5A">
        <w:tc>
          <w:tcPr>
            <w:tcW w:w="1296" w:type="pct"/>
            <w:tcBorders>
              <w:top w:val="single" w:sz="4" w:space="0" w:color="auto"/>
              <w:left w:val="single" w:sz="4" w:space="0" w:color="auto"/>
            </w:tcBorders>
            <w:vAlign w:val="center"/>
          </w:tcPr>
          <w:p w14:paraId="10B3FF2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64517960"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Укупан број успостављених модула у оквиру ИТ система</w:t>
            </w:r>
          </w:p>
        </w:tc>
      </w:tr>
      <w:tr w:rsidR="00D30238" w:rsidRPr="00AA19A8" w14:paraId="30F03527" w14:textId="77777777" w:rsidTr="00924D5A">
        <w:tc>
          <w:tcPr>
            <w:tcW w:w="1296" w:type="pct"/>
            <w:tcBorders>
              <w:top w:val="single" w:sz="4" w:space="0" w:color="auto"/>
              <w:left w:val="single" w:sz="4" w:space="0" w:color="auto"/>
            </w:tcBorders>
          </w:tcPr>
          <w:p w14:paraId="3369C6D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7BFCEBD5"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4.3</w:t>
            </w:r>
            <w:r w:rsidRPr="00AA19A8">
              <w:rPr>
                <w:rFonts w:ascii="Calibri" w:eastAsia="Calibri" w:hAnsi="Calibri" w:cs="Times New Roman"/>
                <w:lang w:val="sr-Cyrl-CS"/>
              </w:rPr>
              <w:t xml:space="preserve"> - Унапређење ИТ система ради укључивања модула за интерну контролу и интерну ревизију</w:t>
            </w:r>
          </w:p>
        </w:tc>
      </w:tr>
      <w:tr w:rsidR="00D30238" w:rsidRPr="00AA19A8" w14:paraId="733EDA02" w14:textId="77777777" w:rsidTr="00924D5A">
        <w:tc>
          <w:tcPr>
            <w:tcW w:w="1296" w:type="pct"/>
            <w:tcBorders>
              <w:left w:val="single" w:sz="4" w:space="0" w:color="auto"/>
            </w:tcBorders>
          </w:tcPr>
          <w:p w14:paraId="0A33ECDE"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0512B00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38F6E869"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E71C0C3" w14:textId="77777777" w:rsidTr="00924D5A">
        <w:tc>
          <w:tcPr>
            <w:tcW w:w="1296" w:type="pct"/>
            <w:tcBorders>
              <w:left w:val="single" w:sz="4" w:space="0" w:color="auto"/>
            </w:tcBorders>
          </w:tcPr>
          <w:p w14:paraId="4D3E851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Јединица мере и природа</w:t>
            </w:r>
          </w:p>
        </w:tc>
        <w:tc>
          <w:tcPr>
            <w:tcW w:w="1822" w:type="pct"/>
            <w:gridSpan w:val="3"/>
            <w:tcBorders>
              <w:right w:val="single" w:sz="4" w:space="0" w:color="auto"/>
            </w:tcBorders>
          </w:tcPr>
          <w:p w14:paraId="7283F79A"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Број</w:t>
            </w:r>
          </w:p>
        </w:tc>
        <w:tc>
          <w:tcPr>
            <w:tcW w:w="1882" w:type="pct"/>
            <w:gridSpan w:val="3"/>
            <w:tcBorders>
              <w:right w:val="single" w:sz="4" w:space="0" w:color="auto"/>
            </w:tcBorders>
            <w:vAlign w:val="center"/>
          </w:tcPr>
          <w:p w14:paraId="4BBEB6A5" w14:textId="77777777" w:rsidR="00146165" w:rsidRPr="00AA19A8" w:rsidRDefault="00146165" w:rsidP="00146165">
            <w:pPr>
              <w:spacing w:beforeAutospacing="1" w:after="100" w:afterAutospacing="1" w:line="256" w:lineRule="auto"/>
              <w:rPr>
                <w:rFonts w:ascii="Calibri" w:eastAsia="Times New Roman" w:hAnsi="Calibri" w:cs="Times New Roman"/>
                <w:lang w:val="sr-Cyrl-CS"/>
              </w:rPr>
            </w:pPr>
            <w:r w:rsidRPr="00AA19A8">
              <w:rPr>
                <w:rFonts w:ascii="Calibri" w:eastAsia="Times New Roman" w:hAnsi="Calibri" w:cs="Times New Roman"/>
                <w:lang w:val="sr-Cyrl-CS"/>
              </w:rPr>
              <w:t>Успостављање и унапређење модула у оквиру ИТ система</w:t>
            </w:r>
          </w:p>
        </w:tc>
      </w:tr>
      <w:tr w:rsidR="00D30238" w:rsidRPr="00AA19A8" w14:paraId="4CC65CCD" w14:textId="77777777" w:rsidTr="00924D5A">
        <w:tc>
          <w:tcPr>
            <w:tcW w:w="1296" w:type="pct"/>
            <w:tcBorders>
              <w:left w:val="single" w:sz="4" w:space="0" w:color="auto"/>
              <w:bottom w:val="single" w:sz="4" w:space="0" w:color="auto"/>
            </w:tcBorders>
          </w:tcPr>
          <w:p w14:paraId="1CFCFD7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30948530"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 xml:space="preserve">Консолидовани годишњи извештај о стању интерне финансијске контроле у Републици Србији - </w:t>
            </w:r>
            <w:hyperlink r:id="rId35" w:history="1">
              <w:r w:rsidRPr="00AA19A8">
                <w:rPr>
                  <w:rFonts w:ascii="Calibri" w:eastAsia="Times New Roman" w:hAnsi="Calibri" w:cs="Times New Roman"/>
                  <w:bCs/>
                  <w:u w:val="single"/>
                  <w:lang w:val="sr-Cyrl-CS"/>
                </w:rPr>
                <w:t>https://mfin.gov.rs/o-ministarstvu/konsolidovani-godinji-izvetaj</w:t>
              </w:r>
            </w:hyperlink>
            <w:r w:rsidRPr="00AA19A8">
              <w:rPr>
                <w:rFonts w:ascii="Calibri" w:eastAsia="Times New Roman" w:hAnsi="Calibri" w:cs="Times New Roman"/>
                <w:bCs/>
                <w:lang w:val="sr-Cyrl-CS"/>
              </w:rPr>
              <w:t xml:space="preserve"> </w:t>
            </w:r>
          </w:p>
        </w:tc>
      </w:tr>
      <w:tr w:rsidR="00D30238" w:rsidRPr="00AA19A8" w14:paraId="47BFB268" w14:textId="77777777" w:rsidTr="00924D5A">
        <w:tc>
          <w:tcPr>
            <w:tcW w:w="1296" w:type="pct"/>
            <w:tcBorders>
              <w:left w:val="single" w:sz="4" w:space="0" w:color="auto"/>
              <w:bottom w:val="single" w:sz="4" w:space="0" w:color="auto"/>
            </w:tcBorders>
          </w:tcPr>
          <w:p w14:paraId="70E3008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4F9950D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Сектор – Централна јединица за хармонизацију</w:t>
            </w:r>
          </w:p>
        </w:tc>
      </w:tr>
      <w:tr w:rsidR="00D30238" w:rsidRPr="00AA19A8" w14:paraId="389FFC43" w14:textId="77777777" w:rsidTr="00924D5A">
        <w:tc>
          <w:tcPr>
            <w:tcW w:w="1296" w:type="pct"/>
            <w:tcBorders>
              <w:top w:val="single" w:sz="4" w:space="0" w:color="auto"/>
              <w:left w:val="single" w:sz="4" w:space="0" w:color="auto"/>
            </w:tcBorders>
          </w:tcPr>
          <w:p w14:paraId="202C193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56D15B1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412BB7D1" w14:textId="77777777" w:rsidTr="00924D5A">
        <w:trPr>
          <w:trHeight w:val="1181"/>
        </w:trPr>
        <w:tc>
          <w:tcPr>
            <w:tcW w:w="1296" w:type="pct"/>
            <w:tcBorders>
              <w:left w:val="single" w:sz="4" w:space="0" w:color="auto"/>
              <w:bottom w:val="single" w:sz="6" w:space="0" w:color="auto"/>
            </w:tcBorders>
          </w:tcPr>
          <w:p w14:paraId="6C9D62B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6CDFFDA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681322D2" w14:textId="77777777" w:rsidR="00146165" w:rsidRPr="00AA19A8" w:rsidRDefault="00146165" w:rsidP="00146165">
            <w:pPr>
              <w:spacing w:line="254" w:lineRule="auto"/>
              <w:jc w:val="both"/>
              <w:rPr>
                <w:rFonts w:ascii="Calibri" w:eastAsia="Times New Roman" w:hAnsi="Calibri" w:cs="Times New Roman"/>
                <w:lang w:val="sr-Cyrl-CS"/>
              </w:rPr>
            </w:pPr>
            <w:r w:rsidRPr="00AA19A8">
              <w:rPr>
                <w:rFonts w:ascii="Calibri" w:eastAsia="Times New Roman" w:hAnsi="Calibri" w:cs="Times New Roman"/>
                <w:lang w:val="sr-Cyrl-CS"/>
              </w:rPr>
              <w:t>У складу са све већим бројем корисника који извештавају о ФУК и ИР као и са потребом вођења регистара за ИР у наредном периоду планирано је унапређење апликације за извештавање. Израђена је техничка спецификација која предвиђа унапређење модула за извештавање као и развој нових модула за ФУК и интерну ревизију који би омогућили систематичније и ефикасније вођење регистара из области интерне ревизије, вођење регистра ризика и олакшано праћење препорука интерне ревизије.</w:t>
            </w:r>
          </w:p>
        </w:tc>
      </w:tr>
      <w:tr w:rsidR="00D30238" w:rsidRPr="00AA19A8" w14:paraId="1DE05A34" w14:textId="77777777" w:rsidTr="00924D5A">
        <w:tc>
          <w:tcPr>
            <w:tcW w:w="1296" w:type="pct"/>
            <w:vMerge w:val="restart"/>
            <w:tcBorders>
              <w:top w:val="single" w:sz="6" w:space="0" w:color="auto"/>
              <w:left w:val="single" w:sz="4" w:space="0" w:color="auto"/>
            </w:tcBorders>
          </w:tcPr>
          <w:p w14:paraId="4537AB7C"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03BA96BB"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28353FE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59CB645B" w14:textId="77777777" w:rsidTr="00924D5A">
        <w:tc>
          <w:tcPr>
            <w:tcW w:w="1296" w:type="pct"/>
            <w:vMerge/>
            <w:tcBorders>
              <w:left w:val="single" w:sz="4" w:space="0" w:color="auto"/>
            </w:tcBorders>
          </w:tcPr>
          <w:p w14:paraId="42F150F6" w14:textId="77777777" w:rsidR="00146165" w:rsidRPr="00AA19A8" w:rsidRDefault="00146165" w:rsidP="00146165">
            <w:pPr>
              <w:spacing w:before="0"/>
              <w:rPr>
                <w:rFonts w:ascii="Calibri" w:eastAsia="Calibri" w:hAnsi="Calibri" w:cs="Times New Roman"/>
                <w:b/>
                <w:lang w:val="sr-Cyrl-CS"/>
              </w:rPr>
            </w:pPr>
          </w:p>
        </w:tc>
        <w:tc>
          <w:tcPr>
            <w:tcW w:w="755" w:type="pct"/>
          </w:tcPr>
          <w:p w14:paraId="3EBBBF9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43B0DB1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72D2E5A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1FC092F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39D2747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4170CDC8" w14:textId="77777777" w:rsidTr="00924D5A">
        <w:tc>
          <w:tcPr>
            <w:tcW w:w="1296" w:type="pct"/>
            <w:vMerge/>
            <w:tcBorders>
              <w:left w:val="single" w:sz="4" w:space="0" w:color="auto"/>
            </w:tcBorders>
          </w:tcPr>
          <w:p w14:paraId="6AD5D072" w14:textId="77777777" w:rsidR="00146165" w:rsidRPr="00AA19A8" w:rsidRDefault="00146165" w:rsidP="00146165">
            <w:pPr>
              <w:spacing w:before="0"/>
              <w:rPr>
                <w:rFonts w:ascii="Calibri" w:eastAsia="Calibri" w:hAnsi="Calibri" w:cs="Times New Roman"/>
                <w:b/>
                <w:lang w:val="sr-Cyrl-CS"/>
              </w:rPr>
            </w:pPr>
          </w:p>
        </w:tc>
        <w:tc>
          <w:tcPr>
            <w:tcW w:w="755" w:type="pct"/>
          </w:tcPr>
          <w:p w14:paraId="27AA9A0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56E2E41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59561EE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57EB584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7AA5B07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r>
      <w:tr w:rsidR="00D30238" w:rsidRPr="00AA19A8" w14:paraId="22F0C994" w14:textId="77777777" w:rsidTr="00924D5A">
        <w:tc>
          <w:tcPr>
            <w:tcW w:w="1296" w:type="pct"/>
            <w:vMerge w:val="restart"/>
            <w:tcBorders>
              <w:left w:val="single" w:sz="4" w:space="0" w:color="auto"/>
            </w:tcBorders>
          </w:tcPr>
          <w:p w14:paraId="1F933CD0"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6E90B22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400F840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2E48856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2F3305E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53774DCE"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128B9E12" w14:textId="77777777" w:rsidTr="00924D5A">
        <w:tc>
          <w:tcPr>
            <w:tcW w:w="1296" w:type="pct"/>
            <w:vMerge/>
            <w:tcBorders>
              <w:left w:val="single" w:sz="4" w:space="0" w:color="auto"/>
            </w:tcBorders>
          </w:tcPr>
          <w:p w14:paraId="0A720245"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52CDB9D4"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2</w:t>
            </w:r>
          </w:p>
        </w:tc>
        <w:tc>
          <w:tcPr>
            <w:tcW w:w="673" w:type="pct"/>
            <w:vAlign w:val="center"/>
          </w:tcPr>
          <w:p w14:paraId="395ECCAA"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3</w:t>
            </w:r>
          </w:p>
        </w:tc>
        <w:tc>
          <w:tcPr>
            <w:tcW w:w="582" w:type="pct"/>
            <w:gridSpan w:val="2"/>
            <w:vAlign w:val="center"/>
          </w:tcPr>
          <w:p w14:paraId="04DE56A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vAlign w:val="center"/>
          </w:tcPr>
          <w:p w14:paraId="60AEDD5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vAlign w:val="center"/>
          </w:tcPr>
          <w:p w14:paraId="2F6D636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r>
      <w:tr w:rsidR="00146165" w:rsidRPr="00AA19A8" w14:paraId="2CB74AC1" w14:textId="77777777" w:rsidTr="00924D5A">
        <w:tc>
          <w:tcPr>
            <w:tcW w:w="1296" w:type="pct"/>
            <w:tcBorders>
              <w:left w:val="single" w:sz="4" w:space="0" w:color="auto"/>
              <w:bottom w:val="single" w:sz="4" w:space="0" w:color="auto"/>
            </w:tcBorders>
          </w:tcPr>
          <w:p w14:paraId="113BD3BC"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3F3699CE"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Унапређена апликација за извештавање и развијени модули за ФУК и ИР. Одступање није дозвољено.</w:t>
            </w:r>
          </w:p>
        </w:tc>
      </w:tr>
    </w:tbl>
    <w:p w14:paraId="111BB8D1" w14:textId="77777777" w:rsidR="00341C8E" w:rsidRPr="00AA19A8" w:rsidRDefault="00341C8E" w:rsidP="00146165">
      <w:pPr>
        <w:spacing w:after="120"/>
        <w:rPr>
          <w:rFonts w:ascii="Calibri" w:eastAsia="Times New Roman" w:hAnsi="Calibri" w:cs="Times New Roman"/>
          <w:b/>
          <w:bCs/>
          <w:lang w:val="sr-Cyrl-CS"/>
        </w:rPr>
      </w:pPr>
    </w:p>
    <w:p w14:paraId="6F8DE81D"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5.1</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0073B37B" w14:textId="77777777" w:rsidTr="00924D5A">
        <w:tc>
          <w:tcPr>
            <w:tcW w:w="1296" w:type="pct"/>
            <w:tcBorders>
              <w:top w:val="single" w:sz="4" w:space="0" w:color="auto"/>
              <w:left w:val="single" w:sz="4" w:space="0" w:color="auto"/>
            </w:tcBorders>
            <w:vAlign w:val="center"/>
          </w:tcPr>
          <w:p w14:paraId="320E979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74DA942F"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Нацрт финансијског извештаја припремљен у складу са IPSAS на готовинској основи</w:t>
            </w:r>
          </w:p>
        </w:tc>
      </w:tr>
      <w:tr w:rsidR="00D30238" w:rsidRPr="00AA19A8" w14:paraId="364C904D" w14:textId="77777777" w:rsidTr="00924D5A">
        <w:tc>
          <w:tcPr>
            <w:tcW w:w="1296" w:type="pct"/>
            <w:tcBorders>
              <w:top w:val="single" w:sz="4" w:space="0" w:color="auto"/>
              <w:left w:val="single" w:sz="4" w:space="0" w:color="auto"/>
            </w:tcBorders>
          </w:tcPr>
          <w:p w14:paraId="71B9387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69B7412F"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5.1</w:t>
            </w:r>
            <w:r w:rsidRPr="00AA19A8">
              <w:rPr>
                <w:rFonts w:ascii="Calibri" w:eastAsia="Calibri" w:hAnsi="Calibri" w:cs="Times New Roman"/>
                <w:lang w:val="sr-Cyrl-CS"/>
              </w:rPr>
              <w:t xml:space="preserve"> - Примена </w:t>
            </w:r>
            <w:r w:rsidRPr="00AA19A8">
              <w:rPr>
                <w:rFonts w:ascii="Calibri" w:eastAsia="Calibri" w:hAnsi="Calibri" w:cs="Times New Roman"/>
                <w:i/>
                <w:lang w:val="sr-Cyrl-CS"/>
              </w:rPr>
              <w:t>IPSAS</w:t>
            </w:r>
            <w:r w:rsidRPr="00AA19A8">
              <w:rPr>
                <w:rFonts w:ascii="Calibri" w:eastAsia="Calibri" w:hAnsi="Calibri" w:cs="Times New Roman"/>
                <w:lang w:val="sr-Cyrl-CS"/>
              </w:rPr>
              <w:t xml:space="preserve"> стандарда на готовинској основи за све буџетске кориснике</w:t>
            </w:r>
          </w:p>
        </w:tc>
      </w:tr>
      <w:tr w:rsidR="00D30238" w:rsidRPr="00AA19A8" w14:paraId="57F10B95" w14:textId="77777777" w:rsidTr="00924D5A">
        <w:tc>
          <w:tcPr>
            <w:tcW w:w="1296" w:type="pct"/>
            <w:tcBorders>
              <w:left w:val="single" w:sz="4" w:space="0" w:color="auto"/>
            </w:tcBorders>
          </w:tcPr>
          <w:p w14:paraId="3248A6D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2835BA9C"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Квалитативни</w:t>
            </w:r>
          </w:p>
        </w:tc>
        <w:tc>
          <w:tcPr>
            <w:tcW w:w="1882" w:type="pct"/>
            <w:gridSpan w:val="3"/>
            <w:tcBorders>
              <w:right w:val="single" w:sz="4" w:space="0" w:color="auto"/>
            </w:tcBorders>
          </w:tcPr>
          <w:p w14:paraId="3044BC1A"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7CC41C5" w14:textId="77777777" w:rsidTr="00924D5A">
        <w:tc>
          <w:tcPr>
            <w:tcW w:w="1296" w:type="pct"/>
            <w:tcBorders>
              <w:left w:val="single" w:sz="4" w:space="0" w:color="auto"/>
            </w:tcBorders>
          </w:tcPr>
          <w:p w14:paraId="555640A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68FBF5C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Да/Не</w:t>
            </w:r>
          </w:p>
        </w:tc>
        <w:tc>
          <w:tcPr>
            <w:tcW w:w="1882" w:type="pct"/>
            <w:gridSpan w:val="3"/>
            <w:tcBorders>
              <w:right w:val="single" w:sz="4" w:space="0" w:color="auto"/>
            </w:tcBorders>
            <w:vAlign w:val="center"/>
          </w:tcPr>
          <w:p w14:paraId="250FBCD7"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Да је боља вредност</w:t>
            </w:r>
          </w:p>
        </w:tc>
      </w:tr>
      <w:tr w:rsidR="00D30238" w:rsidRPr="00AA19A8" w14:paraId="42FD0C87" w14:textId="77777777" w:rsidTr="00924D5A">
        <w:tc>
          <w:tcPr>
            <w:tcW w:w="1296" w:type="pct"/>
            <w:tcBorders>
              <w:left w:val="single" w:sz="4" w:space="0" w:color="auto"/>
              <w:bottom w:val="single" w:sz="4" w:space="0" w:color="auto"/>
            </w:tcBorders>
          </w:tcPr>
          <w:p w14:paraId="22040F37"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10C872F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Извештај ДРИ о ревизији завршног рачуна буџета Републике Србије</w:t>
            </w:r>
          </w:p>
          <w:p w14:paraId="74F05515" w14:textId="77777777" w:rsidR="00146165" w:rsidRPr="00AA19A8" w:rsidRDefault="00146165" w:rsidP="00146165">
            <w:pPr>
              <w:spacing w:line="256" w:lineRule="auto"/>
              <w:rPr>
                <w:rFonts w:ascii="Calibri" w:eastAsia="Times New Roman" w:hAnsi="Calibri" w:cs="Times New Roman"/>
                <w:bCs/>
                <w:lang w:val="sr-Cyrl-CS"/>
              </w:rPr>
            </w:pPr>
            <w:hyperlink r:id="rId36" w:history="1">
              <w:r w:rsidRPr="00AA19A8">
                <w:rPr>
                  <w:rFonts w:ascii="Calibri" w:eastAsia="Times New Roman" w:hAnsi="Calibri" w:cs="Times New Roman"/>
                  <w:bCs/>
                  <w:u w:val="single"/>
                  <w:lang w:val="sr-Cyrl-CS"/>
                </w:rPr>
                <w:t>https://www.dri.rs/izvestaji</w:t>
              </w:r>
            </w:hyperlink>
          </w:p>
        </w:tc>
      </w:tr>
      <w:tr w:rsidR="00D30238" w:rsidRPr="00AA19A8" w14:paraId="58F1FF10" w14:textId="77777777" w:rsidTr="00924D5A">
        <w:tc>
          <w:tcPr>
            <w:tcW w:w="1296" w:type="pct"/>
            <w:tcBorders>
              <w:left w:val="single" w:sz="4" w:space="0" w:color="auto"/>
              <w:bottom w:val="single" w:sz="4" w:space="0" w:color="auto"/>
            </w:tcBorders>
          </w:tcPr>
          <w:p w14:paraId="00D6614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lastRenderedPageBreak/>
              <w:t>Назив носиоца прикупљања података</w:t>
            </w:r>
          </w:p>
        </w:tc>
        <w:tc>
          <w:tcPr>
            <w:tcW w:w="3704" w:type="pct"/>
            <w:gridSpan w:val="6"/>
            <w:tcBorders>
              <w:bottom w:val="single" w:sz="4" w:space="0" w:color="auto"/>
              <w:right w:val="single" w:sz="4" w:space="0" w:color="auto"/>
            </w:tcBorders>
          </w:tcPr>
          <w:p w14:paraId="3B5F7AA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за трезор</w:t>
            </w:r>
          </w:p>
        </w:tc>
      </w:tr>
      <w:tr w:rsidR="00D30238" w:rsidRPr="00AA19A8" w14:paraId="4F635AF6" w14:textId="77777777" w:rsidTr="00924D5A">
        <w:tc>
          <w:tcPr>
            <w:tcW w:w="1296" w:type="pct"/>
            <w:tcBorders>
              <w:top w:val="single" w:sz="4" w:space="0" w:color="auto"/>
              <w:left w:val="single" w:sz="4" w:space="0" w:color="auto"/>
            </w:tcBorders>
          </w:tcPr>
          <w:p w14:paraId="56D2E14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731A34AA"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 у текућој години за претходну годину</w:t>
            </w:r>
          </w:p>
        </w:tc>
      </w:tr>
      <w:tr w:rsidR="00D30238" w:rsidRPr="00AA19A8" w14:paraId="5F34FCDB" w14:textId="77777777" w:rsidTr="00924D5A">
        <w:trPr>
          <w:trHeight w:val="1181"/>
        </w:trPr>
        <w:tc>
          <w:tcPr>
            <w:tcW w:w="1296" w:type="pct"/>
            <w:tcBorders>
              <w:left w:val="single" w:sz="4" w:space="0" w:color="auto"/>
              <w:bottom w:val="single" w:sz="6" w:space="0" w:color="auto"/>
            </w:tcBorders>
          </w:tcPr>
          <w:p w14:paraId="31A57D4A"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34C4454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68A2232F" w14:textId="77777777" w:rsidR="00146165" w:rsidRPr="00AA19A8" w:rsidRDefault="00146165" w:rsidP="00146165">
            <w:pPr>
              <w:spacing w:line="254" w:lineRule="auto"/>
              <w:jc w:val="both"/>
              <w:rPr>
                <w:rFonts w:ascii="Calibri" w:eastAsia="Times New Roman" w:hAnsi="Calibri" w:cs="Times New Roman"/>
                <w:lang w:val="sr-Cyrl-CS"/>
              </w:rPr>
            </w:pPr>
            <w:r w:rsidRPr="00AA19A8">
              <w:rPr>
                <w:rFonts w:ascii="Calibri" w:eastAsia="Times New Roman" w:hAnsi="Calibri" w:cs="Times New Roman"/>
                <w:lang w:val="sr-Cyrl-CS"/>
              </w:rPr>
              <w:t>Показатељ указује на јачање система рачуноводства кроз примену рачуноводствених стандарда за јавни сектор на готовинској основи.</w:t>
            </w:r>
          </w:p>
          <w:p w14:paraId="2F2CA7FA"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Times New Roman"/>
                <w:lang w:val="sr-Cyrl-CS"/>
              </w:rPr>
              <w:t xml:space="preserve">Израда нацрта Финансијског извештаја у складу са </w:t>
            </w:r>
            <w:r w:rsidRPr="00AA19A8">
              <w:rPr>
                <w:rFonts w:ascii="Calibri" w:eastAsia="Times New Roman" w:hAnsi="Calibri" w:cs="Times New Roman"/>
                <w:i/>
                <w:lang w:val="sr-Cyrl-CS"/>
              </w:rPr>
              <w:t>IPSAS</w:t>
            </w:r>
            <w:r w:rsidRPr="00AA19A8">
              <w:rPr>
                <w:rFonts w:ascii="Calibri" w:eastAsia="Times New Roman" w:hAnsi="Calibri" w:cs="Times New Roman"/>
                <w:lang w:val="sr-Cyrl-CS"/>
              </w:rPr>
              <w:t xml:space="preserve"> за готовинску основу ојачаће рачуноводство на готовинској основи које је примењено у Републици Србији и тиме допринети општем јачању система рачуноводства у јавном сектору.</w:t>
            </w:r>
          </w:p>
        </w:tc>
      </w:tr>
      <w:tr w:rsidR="00D30238" w:rsidRPr="00AA19A8" w14:paraId="37843893" w14:textId="77777777" w:rsidTr="00924D5A">
        <w:tc>
          <w:tcPr>
            <w:tcW w:w="1296" w:type="pct"/>
            <w:vMerge w:val="restart"/>
            <w:tcBorders>
              <w:top w:val="single" w:sz="6" w:space="0" w:color="auto"/>
              <w:left w:val="single" w:sz="4" w:space="0" w:color="auto"/>
            </w:tcBorders>
          </w:tcPr>
          <w:p w14:paraId="0ED5520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28B787D1"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23E2312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00770299" w14:textId="77777777" w:rsidTr="00924D5A">
        <w:tc>
          <w:tcPr>
            <w:tcW w:w="1296" w:type="pct"/>
            <w:vMerge/>
            <w:tcBorders>
              <w:left w:val="single" w:sz="4" w:space="0" w:color="auto"/>
            </w:tcBorders>
          </w:tcPr>
          <w:p w14:paraId="667B3AF6" w14:textId="77777777" w:rsidR="00146165" w:rsidRPr="00AA19A8" w:rsidRDefault="00146165" w:rsidP="00146165">
            <w:pPr>
              <w:spacing w:before="0"/>
              <w:rPr>
                <w:rFonts w:ascii="Calibri" w:eastAsia="Calibri" w:hAnsi="Calibri" w:cs="Times New Roman"/>
                <w:b/>
                <w:lang w:val="sr-Cyrl-CS"/>
              </w:rPr>
            </w:pPr>
          </w:p>
        </w:tc>
        <w:tc>
          <w:tcPr>
            <w:tcW w:w="755" w:type="pct"/>
          </w:tcPr>
          <w:p w14:paraId="2091EE3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196CC80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7D42FE7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0E2955C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62CD7E6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471E82D8" w14:textId="77777777" w:rsidTr="00924D5A">
        <w:tc>
          <w:tcPr>
            <w:tcW w:w="1296" w:type="pct"/>
            <w:vMerge/>
            <w:tcBorders>
              <w:left w:val="single" w:sz="4" w:space="0" w:color="auto"/>
            </w:tcBorders>
          </w:tcPr>
          <w:p w14:paraId="70AB5E80" w14:textId="77777777" w:rsidR="00146165" w:rsidRPr="00AA19A8" w:rsidRDefault="00146165" w:rsidP="00146165">
            <w:pPr>
              <w:spacing w:before="0"/>
              <w:rPr>
                <w:rFonts w:ascii="Calibri" w:eastAsia="Calibri" w:hAnsi="Calibri" w:cs="Times New Roman"/>
                <w:b/>
                <w:lang w:val="sr-Cyrl-CS"/>
              </w:rPr>
            </w:pPr>
          </w:p>
        </w:tc>
        <w:tc>
          <w:tcPr>
            <w:tcW w:w="755" w:type="pct"/>
          </w:tcPr>
          <w:p w14:paraId="79555A2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5A71312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4377D06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6681F4F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229EF4B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Не</w:t>
            </w:r>
          </w:p>
        </w:tc>
      </w:tr>
      <w:tr w:rsidR="00D30238" w:rsidRPr="00AA19A8" w14:paraId="1938F468" w14:textId="77777777" w:rsidTr="00924D5A">
        <w:tc>
          <w:tcPr>
            <w:tcW w:w="1296" w:type="pct"/>
            <w:vMerge w:val="restart"/>
            <w:tcBorders>
              <w:left w:val="single" w:sz="4" w:space="0" w:color="auto"/>
            </w:tcBorders>
          </w:tcPr>
          <w:p w14:paraId="788E700F"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0B6DD64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0FC1372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026EC910"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6F242D1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59E3F4F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6E474141" w14:textId="77777777" w:rsidTr="00924D5A">
        <w:tc>
          <w:tcPr>
            <w:tcW w:w="1296" w:type="pct"/>
            <w:vMerge/>
            <w:tcBorders>
              <w:left w:val="single" w:sz="4" w:space="0" w:color="auto"/>
            </w:tcBorders>
          </w:tcPr>
          <w:p w14:paraId="3905035D"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105EC880"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Да</w:t>
            </w:r>
          </w:p>
        </w:tc>
        <w:tc>
          <w:tcPr>
            <w:tcW w:w="673" w:type="pct"/>
            <w:vAlign w:val="center"/>
          </w:tcPr>
          <w:p w14:paraId="1F3E9571"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Да</w:t>
            </w:r>
          </w:p>
        </w:tc>
        <w:tc>
          <w:tcPr>
            <w:tcW w:w="582" w:type="pct"/>
            <w:gridSpan w:val="2"/>
            <w:vAlign w:val="center"/>
          </w:tcPr>
          <w:p w14:paraId="3EF7D9B5"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Да</w:t>
            </w:r>
          </w:p>
        </w:tc>
        <w:tc>
          <w:tcPr>
            <w:tcW w:w="585" w:type="pct"/>
            <w:vAlign w:val="center"/>
          </w:tcPr>
          <w:p w14:paraId="4567BD6F"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37DB2C82"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1A06DE06" w14:textId="77777777" w:rsidTr="00924D5A">
        <w:tc>
          <w:tcPr>
            <w:tcW w:w="1296" w:type="pct"/>
            <w:tcBorders>
              <w:left w:val="single" w:sz="4" w:space="0" w:color="auto"/>
              <w:bottom w:val="single" w:sz="4" w:space="0" w:color="auto"/>
            </w:tcBorders>
          </w:tcPr>
          <w:p w14:paraId="3E9F4623"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7F52795D"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3E40AC67" w14:textId="77777777" w:rsidR="00341C8E" w:rsidRPr="00AA19A8" w:rsidRDefault="00341C8E" w:rsidP="00146165">
      <w:pPr>
        <w:spacing w:after="120"/>
        <w:rPr>
          <w:rFonts w:ascii="Calibri" w:eastAsia="Times New Roman" w:hAnsi="Calibri" w:cs="Times New Roman"/>
          <w:b/>
          <w:bCs/>
          <w:lang w:val="sr-Cyrl-CS"/>
        </w:rPr>
      </w:pPr>
    </w:p>
    <w:p w14:paraId="5222B79F"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5.2</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701BA0FC" w14:textId="77777777" w:rsidTr="00924D5A">
        <w:tc>
          <w:tcPr>
            <w:tcW w:w="1296" w:type="pct"/>
            <w:tcBorders>
              <w:top w:val="single" w:sz="4" w:space="0" w:color="auto"/>
              <w:left w:val="single" w:sz="4" w:space="0" w:color="auto"/>
            </w:tcBorders>
            <w:vAlign w:val="center"/>
          </w:tcPr>
          <w:p w14:paraId="18EB1E30"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0EF1DF99"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Израђен План унапређења рачуноводства у јавном сектору у складу са IPSAS</w:t>
            </w:r>
          </w:p>
        </w:tc>
      </w:tr>
      <w:tr w:rsidR="00D30238" w:rsidRPr="00AA19A8" w14:paraId="040A2F87" w14:textId="77777777" w:rsidTr="00924D5A">
        <w:tc>
          <w:tcPr>
            <w:tcW w:w="1296" w:type="pct"/>
            <w:tcBorders>
              <w:top w:val="single" w:sz="4" w:space="0" w:color="auto"/>
              <w:left w:val="single" w:sz="4" w:space="0" w:color="auto"/>
            </w:tcBorders>
          </w:tcPr>
          <w:p w14:paraId="6EFBCA6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4C917A35"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5.2</w:t>
            </w:r>
            <w:r w:rsidRPr="00AA19A8">
              <w:rPr>
                <w:rFonts w:ascii="Calibri" w:eastAsia="Calibri" w:hAnsi="Calibri" w:cs="Times New Roman"/>
                <w:lang w:val="sr-Cyrl-CS"/>
              </w:rPr>
              <w:t xml:space="preserve"> - Даља унапређења буџетског рачуноводства према Плану унапређења рачуноводства у јавном сектору у складу са </w:t>
            </w:r>
            <w:r w:rsidRPr="00AA19A8">
              <w:rPr>
                <w:rFonts w:ascii="Calibri" w:eastAsia="Calibri" w:hAnsi="Calibri" w:cs="Times New Roman"/>
                <w:i/>
                <w:lang w:val="sr-Cyrl-CS"/>
              </w:rPr>
              <w:t>IPSAS</w:t>
            </w:r>
          </w:p>
        </w:tc>
      </w:tr>
      <w:tr w:rsidR="00D30238" w:rsidRPr="00AA19A8" w14:paraId="4BD9AC10" w14:textId="77777777" w:rsidTr="00924D5A">
        <w:tc>
          <w:tcPr>
            <w:tcW w:w="1296" w:type="pct"/>
            <w:tcBorders>
              <w:left w:val="single" w:sz="4" w:space="0" w:color="auto"/>
            </w:tcBorders>
          </w:tcPr>
          <w:p w14:paraId="15CE139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1DD1DDD3"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Квалитативни</w:t>
            </w:r>
          </w:p>
        </w:tc>
        <w:tc>
          <w:tcPr>
            <w:tcW w:w="1882" w:type="pct"/>
            <w:gridSpan w:val="3"/>
            <w:tcBorders>
              <w:right w:val="single" w:sz="4" w:space="0" w:color="auto"/>
            </w:tcBorders>
          </w:tcPr>
          <w:p w14:paraId="17379EF4"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F9302A7" w14:textId="77777777" w:rsidTr="00924D5A">
        <w:tc>
          <w:tcPr>
            <w:tcW w:w="1296" w:type="pct"/>
            <w:tcBorders>
              <w:left w:val="single" w:sz="4" w:space="0" w:color="auto"/>
            </w:tcBorders>
          </w:tcPr>
          <w:p w14:paraId="78AACF3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4BDC0596"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Да/Не</w:t>
            </w:r>
          </w:p>
        </w:tc>
        <w:tc>
          <w:tcPr>
            <w:tcW w:w="1882" w:type="pct"/>
            <w:gridSpan w:val="3"/>
            <w:tcBorders>
              <w:right w:val="single" w:sz="4" w:space="0" w:color="auto"/>
            </w:tcBorders>
            <w:vAlign w:val="center"/>
          </w:tcPr>
          <w:p w14:paraId="52CF2388"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Да је боља вредност</w:t>
            </w:r>
          </w:p>
        </w:tc>
      </w:tr>
      <w:tr w:rsidR="00D30238" w:rsidRPr="00AA19A8" w14:paraId="4004F4B4" w14:textId="77777777" w:rsidTr="00924D5A">
        <w:tc>
          <w:tcPr>
            <w:tcW w:w="1296" w:type="pct"/>
            <w:tcBorders>
              <w:left w:val="single" w:sz="4" w:space="0" w:color="auto"/>
              <w:bottom w:val="single" w:sz="4" w:space="0" w:color="auto"/>
            </w:tcBorders>
          </w:tcPr>
          <w:p w14:paraId="75D9B03C"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3B4AD978"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Интернет страница Управе за трезор</w:t>
            </w:r>
          </w:p>
          <w:p w14:paraId="4185AB2F" w14:textId="77777777" w:rsidR="00146165" w:rsidRPr="00AA19A8" w:rsidRDefault="00146165" w:rsidP="00146165">
            <w:pPr>
              <w:spacing w:line="256" w:lineRule="auto"/>
              <w:rPr>
                <w:rFonts w:ascii="Calibri" w:eastAsia="Times New Roman" w:hAnsi="Calibri" w:cs="Times New Roman"/>
                <w:bCs/>
                <w:lang w:val="sr-Cyrl-CS"/>
              </w:rPr>
            </w:pPr>
            <w:hyperlink r:id="rId37" w:history="1">
              <w:r w:rsidRPr="00AA19A8">
                <w:rPr>
                  <w:rFonts w:ascii="Calibri" w:eastAsia="Times New Roman" w:hAnsi="Calibri" w:cs="Times New Roman"/>
                  <w:bCs/>
                  <w:u w:val="single"/>
                  <w:lang w:val="sr-Cyrl-CS"/>
                </w:rPr>
                <w:t>https://www.trezor.gov.rs/src/documents/regulations/ostala dokumenta/</w:t>
              </w:r>
            </w:hyperlink>
            <w:r w:rsidRPr="00AA19A8">
              <w:rPr>
                <w:rFonts w:ascii="Calibri" w:eastAsia="Times New Roman" w:hAnsi="Calibri" w:cs="Times New Roman"/>
                <w:bCs/>
                <w:u w:val="single"/>
                <w:lang w:val="sr-Cyrl-CS"/>
              </w:rPr>
              <w:t xml:space="preserve"> </w:t>
            </w:r>
          </w:p>
        </w:tc>
      </w:tr>
      <w:tr w:rsidR="00D30238" w:rsidRPr="00AA19A8" w14:paraId="15AF8603" w14:textId="77777777" w:rsidTr="00924D5A">
        <w:tc>
          <w:tcPr>
            <w:tcW w:w="1296" w:type="pct"/>
            <w:tcBorders>
              <w:left w:val="single" w:sz="4" w:space="0" w:color="auto"/>
              <w:bottom w:val="single" w:sz="4" w:space="0" w:color="auto"/>
            </w:tcBorders>
          </w:tcPr>
          <w:p w14:paraId="192C73E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596869CB"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Министарство финансија, Управа за трезор</w:t>
            </w:r>
          </w:p>
        </w:tc>
      </w:tr>
      <w:tr w:rsidR="00D30238" w:rsidRPr="00AA19A8" w14:paraId="669C2ABE" w14:textId="77777777" w:rsidTr="00924D5A">
        <w:tc>
          <w:tcPr>
            <w:tcW w:w="1296" w:type="pct"/>
            <w:tcBorders>
              <w:top w:val="single" w:sz="4" w:space="0" w:color="auto"/>
              <w:left w:val="single" w:sz="4" w:space="0" w:color="auto"/>
            </w:tcBorders>
          </w:tcPr>
          <w:p w14:paraId="09B4DED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7AD55EA0" w14:textId="111B6A1F"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за време трајања ПРУЈФ 2026-2030</w:t>
            </w:r>
            <w:r w:rsidR="00713D3C" w:rsidRPr="00AA19A8">
              <w:rPr>
                <w:rFonts w:ascii="Calibri" w:eastAsia="Times New Roman" w:hAnsi="Calibri" w:cs="Times New Roman"/>
                <w:bCs/>
                <w:lang w:val="sr-Cyrl-CS"/>
              </w:rPr>
              <w:t>.</w:t>
            </w:r>
          </w:p>
        </w:tc>
      </w:tr>
      <w:tr w:rsidR="00D30238" w:rsidRPr="00AA19A8" w14:paraId="6B3A0FF8" w14:textId="77777777" w:rsidTr="00924D5A">
        <w:trPr>
          <w:trHeight w:val="1181"/>
        </w:trPr>
        <w:tc>
          <w:tcPr>
            <w:tcW w:w="1296" w:type="pct"/>
            <w:tcBorders>
              <w:left w:val="single" w:sz="4" w:space="0" w:color="auto"/>
              <w:bottom w:val="single" w:sz="6" w:space="0" w:color="auto"/>
            </w:tcBorders>
          </w:tcPr>
          <w:p w14:paraId="1020965D"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lastRenderedPageBreak/>
              <w:t>Кратак опис показатеља и методологије израчунавања</w:t>
            </w:r>
          </w:p>
          <w:p w14:paraId="4D35315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0CB3DD36"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указује на израду плана даљег унапређења рачуноводства у јавном сектору које треба да се спроведе у фазама. Усвајање Плана унапређења рачуноводства има за циљ јачање целокупног рачуноводственог система уз помоћ примене међународних рачуноводствених стандарда за јавни сектор.</w:t>
            </w:r>
          </w:p>
        </w:tc>
      </w:tr>
      <w:tr w:rsidR="00D30238" w:rsidRPr="00AA19A8" w14:paraId="598C82E3" w14:textId="77777777" w:rsidTr="00924D5A">
        <w:tc>
          <w:tcPr>
            <w:tcW w:w="1296" w:type="pct"/>
            <w:vMerge w:val="restart"/>
            <w:tcBorders>
              <w:top w:val="single" w:sz="6" w:space="0" w:color="auto"/>
              <w:left w:val="single" w:sz="4" w:space="0" w:color="auto"/>
            </w:tcBorders>
          </w:tcPr>
          <w:p w14:paraId="2D839581"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2C0B4BCF"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486804CA"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FFAD56B" w14:textId="77777777" w:rsidTr="00924D5A">
        <w:tc>
          <w:tcPr>
            <w:tcW w:w="1296" w:type="pct"/>
            <w:vMerge/>
            <w:tcBorders>
              <w:left w:val="single" w:sz="4" w:space="0" w:color="auto"/>
            </w:tcBorders>
          </w:tcPr>
          <w:p w14:paraId="7E861F92" w14:textId="77777777" w:rsidR="00146165" w:rsidRPr="00AA19A8" w:rsidRDefault="00146165" w:rsidP="00146165">
            <w:pPr>
              <w:spacing w:before="0"/>
              <w:rPr>
                <w:rFonts w:ascii="Calibri" w:eastAsia="Calibri" w:hAnsi="Calibri" w:cs="Times New Roman"/>
                <w:b/>
                <w:lang w:val="sr-Cyrl-CS"/>
              </w:rPr>
            </w:pPr>
          </w:p>
        </w:tc>
        <w:tc>
          <w:tcPr>
            <w:tcW w:w="755" w:type="pct"/>
          </w:tcPr>
          <w:p w14:paraId="7A760D7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1DEF5796"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01FFE8B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51906CE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2CAFD13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1734705E" w14:textId="77777777" w:rsidTr="00924D5A">
        <w:tc>
          <w:tcPr>
            <w:tcW w:w="1296" w:type="pct"/>
            <w:vMerge/>
            <w:tcBorders>
              <w:left w:val="single" w:sz="4" w:space="0" w:color="auto"/>
            </w:tcBorders>
          </w:tcPr>
          <w:p w14:paraId="04DA55EC" w14:textId="77777777" w:rsidR="00146165" w:rsidRPr="00AA19A8" w:rsidRDefault="00146165" w:rsidP="00146165">
            <w:pPr>
              <w:spacing w:before="0"/>
              <w:rPr>
                <w:rFonts w:ascii="Calibri" w:eastAsia="Calibri" w:hAnsi="Calibri" w:cs="Times New Roman"/>
                <w:b/>
                <w:lang w:val="sr-Cyrl-CS"/>
              </w:rPr>
            </w:pPr>
          </w:p>
        </w:tc>
        <w:tc>
          <w:tcPr>
            <w:tcW w:w="755" w:type="pct"/>
          </w:tcPr>
          <w:p w14:paraId="471EEF8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673" w:type="pct"/>
          </w:tcPr>
          <w:p w14:paraId="08D757F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2" w:type="pct"/>
            <w:gridSpan w:val="2"/>
          </w:tcPr>
          <w:p w14:paraId="4855B33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585" w:type="pct"/>
          </w:tcPr>
          <w:p w14:paraId="1AC8DF5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c>
          <w:tcPr>
            <w:tcW w:w="1109" w:type="pct"/>
            <w:tcBorders>
              <w:right w:val="single" w:sz="4" w:space="0" w:color="auto"/>
            </w:tcBorders>
          </w:tcPr>
          <w:p w14:paraId="272D7D8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w:t>
            </w:r>
          </w:p>
        </w:tc>
      </w:tr>
      <w:tr w:rsidR="00D30238" w:rsidRPr="00AA19A8" w14:paraId="3E37DABF" w14:textId="77777777" w:rsidTr="00924D5A">
        <w:tc>
          <w:tcPr>
            <w:tcW w:w="1296" w:type="pct"/>
            <w:vMerge w:val="restart"/>
            <w:tcBorders>
              <w:left w:val="single" w:sz="4" w:space="0" w:color="auto"/>
            </w:tcBorders>
          </w:tcPr>
          <w:p w14:paraId="51C789F5"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6F04649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169457A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53F3E80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4F1840A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7074719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749E78CA" w14:textId="77777777" w:rsidTr="00924D5A">
        <w:tc>
          <w:tcPr>
            <w:tcW w:w="1296" w:type="pct"/>
            <w:vMerge/>
            <w:tcBorders>
              <w:left w:val="single" w:sz="4" w:space="0" w:color="auto"/>
            </w:tcBorders>
          </w:tcPr>
          <w:p w14:paraId="7FCFA022"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5B3F34E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w:t>
            </w:r>
          </w:p>
        </w:tc>
        <w:tc>
          <w:tcPr>
            <w:tcW w:w="673" w:type="pct"/>
            <w:vAlign w:val="center"/>
          </w:tcPr>
          <w:p w14:paraId="22DC97BF"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w:t>
            </w:r>
          </w:p>
        </w:tc>
        <w:tc>
          <w:tcPr>
            <w:tcW w:w="582" w:type="pct"/>
            <w:gridSpan w:val="2"/>
            <w:vAlign w:val="center"/>
          </w:tcPr>
          <w:p w14:paraId="03B6457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Да</w:t>
            </w:r>
          </w:p>
        </w:tc>
        <w:tc>
          <w:tcPr>
            <w:tcW w:w="585" w:type="pct"/>
            <w:vAlign w:val="center"/>
          </w:tcPr>
          <w:p w14:paraId="0293C039"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794203F3"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2EAE5FDD" w14:textId="77777777" w:rsidTr="00924D5A">
        <w:tc>
          <w:tcPr>
            <w:tcW w:w="1296" w:type="pct"/>
            <w:tcBorders>
              <w:left w:val="single" w:sz="4" w:space="0" w:color="auto"/>
              <w:bottom w:val="single" w:sz="4" w:space="0" w:color="auto"/>
            </w:tcBorders>
          </w:tcPr>
          <w:p w14:paraId="7E8CC35B"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792F8280"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72A06265" w14:textId="77777777" w:rsidR="00146165" w:rsidRPr="00AA19A8" w:rsidRDefault="00146165" w:rsidP="00146165">
      <w:pPr>
        <w:spacing w:after="120"/>
        <w:rPr>
          <w:rFonts w:ascii="Calibri" w:eastAsia="Times New Roman" w:hAnsi="Calibri" w:cs="Times New Roman"/>
          <w:b/>
          <w:bCs/>
          <w:lang w:val="sr-Cyrl-CS"/>
        </w:rPr>
      </w:pPr>
    </w:p>
    <w:p w14:paraId="0DEBB6FA"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6.1</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514"/>
        <w:gridCol w:w="1259"/>
        <w:gridCol w:w="533"/>
        <w:gridCol w:w="457"/>
        <w:gridCol w:w="945"/>
        <w:gridCol w:w="2012"/>
      </w:tblGrid>
      <w:tr w:rsidR="00D30238" w:rsidRPr="00AA19A8" w14:paraId="2F8D140E" w14:textId="77777777" w:rsidTr="00924D5A">
        <w:tc>
          <w:tcPr>
            <w:tcW w:w="1296" w:type="pct"/>
            <w:tcBorders>
              <w:top w:val="single" w:sz="4" w:space="0" w:color="auto"/>
              <w:left w:val="single" w:sz="4" w:space="0" w:color="auto"/>
            </w:tcBorders>
            <w:vAlign w:val="center"/>
          </w:tcPr>
          <w:p w14:paraId="26D7591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2E814050"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реализованих препорука ДРИ у року од две године од објављивања извештаја</w:t>
            </w:r>
          </w:p>
        </w:tc>
      </w:tr>
      <w:tr w:rsidR="00D30238" w:rsidRPr="00AA19A8" w14:paraId="34E43E68" w14:textId="77777777" w:rsidTr="00924D5A">
        <w:tc>
          <w:tcPr>
            <w:tcW w:w="1296" w:type="pct"/>
            <w:tcBorders>
              <w:top w:val="single" w:sz="4" w:space="0" w:color="auto"/>
              <w:left w:val="single" w:sz="4" w:space="0" w:color="auto"/>
            </w:tcBorders>
          </w:tcPr>
          <w:p w14:paraId="5247328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10695B67"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6.1</w:t>
            </w:r>
            <w:r w:rsidRPr="00AA19A8">
              <w:rPr>
                <w:rFonts w:ascii="Calibri" w:eastAsia="Calibri" w:hAnsi="Calibri" w:cs="Times New Roman"/>
                <w:lang w:val="sr-Cyrl-CS"/>
              </w:rPr>
              <w:t xml:space="preserve"> -  Јачање ефикасности и утицаја екстерне ревизије кроз интеграцију савремених технологија, унапређење методологије и комуникације са заинтересованим странама</w:t>
            </w:r>
          </w:p>
        </w:tc>
      </w:tr>
      <w:tr w:rsidR="00D30238" w:rsidRPr="00AA19A8" w14:paraId="18C0AC5B" w14:textId="77777777" w:rsidTr="00924D5A">
        <w:tc>
          <w:tcPr>
            <w:tcW w:w="1296" w:type="pct"/>
            <w:tcBorders>
              <w:left w:val="single" w:sz="4" w:space="0" w:color="auto"/>
            </w:tcBorders>
          </w:tcPr>
          <w:p w14:paraId="333AFA44"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789FDE6A"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Квалитативан</w:t>
            </w:r>
          </w:p>
        </w:tc>
        <w:tc>
          <w:tcPr>
            <w:tcW w:w="1882" w:type="pct"/>
            <w:gridSpan w:val="3"/>
            <w:tcBorders>
              <w:right w:val="single" w:sz="4" w:space="0" w:color="auto"/>
            </w:tcBorders>
          </w:tcPr>
          <w:p w14:paraId="28246EF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3A7F1D0D" w14:textId="77777777" w:rsidTr="00924D5A">
        <w:tc>
          <w:tcPr>
            <w:tcW w:w="1296" w:type="pct"/>
            <w:tcBorders>
              <w:left w:val="single" w:sz="4" w:space="0" w:color="auto"/>
            </w:tcBorders>
          </w:tcPr>
          <w:p w14:paraId="32A0D742"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5F6EBB4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36140E8E"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1FDF315C" w14:textId="77777777" w:rsidTr="00924D5A">
        <w:tc>
          <w:tcPr>
            <w:tcW w:w="1296" w:type="pct"/>
            <w:tcBorders>
              <w:left w:val="single" w:sz="4" w:space="0" w:color="auto"/>
              <w:bottom w:val="single" w:sz="4" w:space="0" w:color="auto"/>
            </w:tcBorders>
          </w:tcPr>
          <w:p w14:paraId="398A4FC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0A23F0F2"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Интерни извештаји о праћењу спровођења препорука ДРИ</w:t>
            </w:r>
          </w:p>
        </w:tc>
      </w:tr>
      <w:tr w:rsidR="00D30238" w:rsidRPr="00AA19A8" w14:paraId="2A60CB86" w14:textId="77777777" w:rsidTr="00924D5A">
        <w:tc>
          <w:tcPr>
            <w:tcW w:w="1296" w:type="pct"/>
            <w:tcBorders>
              <w:left w:val="single" w:sz="4" w:space="0" w:color="auto"/>
              <w:bottom w:val="single" w:sz="4" w:space="0" w:color="auto"/>
            </w:tcBorders>
          </w:tcPr>
          <w:p w14:paraId="507547C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3E5051D9"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Државна ревизорска институција</w:t>
            </w:r>
          </w:p>
        </w:tc>
      </w:tr>
      <w:tr w:rsidR="00D30238" w:rsidRPr="00AA19A8" w14:paraId="315AF58E" w14:textId="77777777" w:rsidTr="00924D5A">
        <w:tc>
          <w:tcPr>
            <w:tcW w:w="1296" w:type="pct"/>
            <w:tcBorders>
              <w:top w:val="single" w:sz="4" w:space="0" w:color="auto"/>
              <w:left w:val="single" w:sz="4" w:space="0" w:color="auto"/>
            </w:tcBorders>
          </w:tcPr>
          <w:p w14:paraId="5E6C976A"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06F99F25"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w:t>
            </w:r>
          </w:p>
        </w:tc>
      </w:tr>
      <w:tr w:rsidR="00D30238" w:rsidRPr="00AA19A8" w14:paraId="7E9B9CAA" w14:textId="77777777" w:rsidTr="00924D5A">
        <w:trPr>
          <w:trHeight w:val="1181"/>
        </w:trPr>
        <w:tc>
          <w:tcPr>
            <w:tcW w:w="1296" w:type="pct"/>
            <w:tcBorders>
              <w:left w:val="single" w:sz="4" w:space="0" w:color="auto"/>
              <w:bottom w:val="single" w:sz="6" w:space="0" w:color="auto"/>
            </w:tcBorders>
          </w:tcPr>
          <w:p w14:paraId="098B1B63"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38A64D6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5EF52BBB" w14:textId="77777777" w:rsidR="00146165" w:rsidRPr="00AA19A8" w:rsidRDefault="00146165" w:rsidP="00146165">
            <w:pPr>
              <w:spacing w:line="256" w:lineRule="auto"/>
              <w:jc w:val="both"/>
              <w:rPr>
                <w:rFonts w:ascii="Calibri" w:eastAsia="Times New Roman" w:hAnsi="Calibri" w:cs="Times New Roman"/>
                <w:lang w:val="sr-Cyrl-CS"/>
              </w:rPr>
            </w:pPr>
            <w:r w:rsidRPr="00AA19A8">
              <w:rPr>
                <w:rFonts w:ascii="Calibri" w:eastAsia="Times New Roman" w:hAnsi="Calibri" w:cs="Calibri"/>
                <w:lang w:val="sr-Cyrl-CS"/>
              </w:rPr>
              <w:t>Индикатор се израчунава на крају текуће године као удео препорука првог и другог приоритета које су дате субјектима ревизије претходној години, а субјекти ревизије су поступили по њима у претходној и текућој години, у односу на укупан број препорука првог и другог приоритета датих од стране ДРИ у претходној години.</w:t>
            </w:r>
          </w:p>
        </w:tc>
      </w:tr>
      <w:tr w:rsidR="00D30238" w:rsidRPr="00AA19A8" w14:paraId="1BFE8E78" w14:textId="77777777" w:rsidTr="00924D5A">
        <w:tc>
          <w:tcPr>
            <w:tcW w:w="1296" w:type="pct"/>
            <w:vMerge w:val="restart"/>
            <w:tcBorders>
              <w:top w:val="single" w:sz="6" w:space="0" w:color="auto"/>
              <w:left w:val="single" w:sz="4" w:space="0" w:color="auto"/>
            </w:tcBorders>
          </w:tcPr>
          <w:p w14:paraId="32D6300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 xml:space="preserve">Подаци о полазној вредности и години кад </w:t>
            </w:r>
            <w:r w:rsidRPr="00AA19A8">
              <w:rPr>
                <w:rFonts w:ascii="Calibri" w:eastAsia="Calibri" w:hAnsi="Calibri" w:cs="Times New Roman"/>
                <w:b/>
                <w:bCs/>
                <w:lang w:val="sr-Cyrl-CS"/>
              </w:rPr>
              <w:lastRenderedPageBreak/>
              <w:t>је измерена, као и о ранијем тренду</w:t>
            </w:r>
          </w:p>
        </w:tc>
        <w:tc>
          <w:tcPr>
            <w:tcW w:w="2595" w:type="pct"/>
            <w:gridSpan w:val="5"/>
            <w:tcBorders>
              <w:top w:val="single" w:sz="6" w:space="0" w:color="auto"/>
            </w:tcBorders>
            <w:vAlign w:val="center"/>
          </w:tcPr>
          <w:p w14:paraId="5DFC4EC8"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lastRenderedPageBreak/>
              <w:t>Ранији тренд</w:t>
            </w:r>
          </w:p>
        </w:tc>
        <w:tc>
          <w:tcPr>
            <w:tcW w:w="1109" w:type="pct"/>
            <w:tcBorders>
              <w:top w:val="single" w:sz="6" w:space="0" w:color="auto"/>
              <w:right w:val="single" w:sz="4" w:space="0" w:color="auto"/>
            </w:tcBorders>
            <w:vAlign w:val="center"/>
          </w:tcPr>
          <w:p w14:paraId="3367463E"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4B4DB4B" w14:textId="77777777" w:rsidTr="0005080D">
        <w:tc>
          <w:tcPr>
            <w:tcW w:w="1296" w:type="pct"/>
            <w:vMerge/>
            <w:tcBorders>
              <w:left w:val="single" w:sz="4" w:space="0" w:color="auto"/>
            </w:tcBorders>
          </w:tcPr>
          <w:p w14:paraId="0FAC522F" w14:textId="77777777" w:rsidR="0005080D" w:rsidRPr="00AA19A8" w:rsidRDefault="0005080D" w:rsidP="00146165">
            <w:pPr>
              <w:spacing w:before="0"/>
              <w:rPr>
                <w:rFonts w:ascii="Calibri" w:eastAsia="Calibri" w:hAnsi="Calibri" w:cs="Times New Roman"/>
                <w:b/>
                <w:lang w:val="sr-Cyrl-CS"/>
              </w:rPr>
            </w:pPr>
          </w:p>
        </w:tc>
        <w:tc>
          <w:tcPr>
            <w:tcW w:w="834" w:type="pct"/>
          </w:tcPr>
          <w:p w14:paraId="60D99E94" w14:textId="77777777" w:rsidR="0005080D" w:rsidRPr="00AA19A8" w:rsidRDefault="0005080D"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94" w:type="pct"/>
          </w:tcPr>
          <w:p w14:paraId="17A574E0" w14:textId="77777777" w:rsidR="0005080D" w:rsidRPr="00AA19A8" w:rsidRDefault="0005080D"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1066" w:type="pct"/>
            <w:gridSpan w:val="3"/>
          </w:tcPr>
          <w:p w14:paraId="41817870" w14:textId="77777777" w:rsidR="0005080D" w:rsidRPr="00AA19A8" w:rsidRDefault="0005080D" w:rsidP="0005080D">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1109" w:type="pct"/>
            <w:tcBorders>
              <w:right w:val="single" w:sz="4" w:space="0" w:color="auto"/>
            </w:tcBorders>
          </w:tcPr>
          <w:p w14:paraId="1EF629F8" w14:textId="77777777" w:rsidR="0005080D" w:rsidRPr="00AA19A8" w:rsidRDefault="0005080D"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2024. </w:t>
            </w:r>
          </w:p>
        </w:tc>
      </w:tr>
      <w:tr w:rsidR="00D30238" w:rsidRPr="00AA19A8" w14:paraId="762D3B58" w14:textId="77777777" w:rsidTr="0005080D">
        <w:tc>
          <w:tcPr>
            <w:tcW w:w="1296" w:type="pct"/>
            <w:vMerge/>
            <w:tcBorders>
              <w:left w:val="single" w:sz="4" w:space="0" w:color="auto"/>
            </w:tcBorders>
          </w:tcPr>
          <w:p w14:paraId="094DC209" w14:textId="77777777" w:rsidR="0005080D" w:rsidRPr="00AA19A8" w:rsidRDefault="0005080D" w:rsidP="00146165">
            <w:pPr>
              <w:spacing w:before="0"/>
              <w:rPr>
                <w:rFonts w:ascii="Calibri" w:eastAsia="Calibri" w:hAnsi="Calibri" w:cs="Times New Roman"/>
                <w:b/>
                <w:lang w:val="sr-Cyrl-CS"/>
              </w:rPr>
            </w:pPr>
          </w:p>
        </w:tc>
        <w:tc>
          <w:tcPr>
            <w:tcW w:w="834" w:type="pct"/>
          </w:tcPr>
          <w:p w14:paraId="07199B6E" w14:textId="77777777" w:rsidR="0005080D" w:rsidRPr="00AA19A8" w:rsidRDefault="0005080D" w:rsidP="00146165">
            <w:pPr>
              <w:tabs>
                <w:tab w:val="right" w:pos="2140"/>
              </w:tabs>
              <w:spacing w:before="0"/>
              <w:jc w:val="center"/>
              <w:rPr>
                <w:rFonts w:ascii="Calibri" w:eastAsia="Calibri" w:hAnsi="Calibri" w:cs="Times New Roman"/>
                <w:bCs/>
                <w:lang w:val="sr-Cyrl-CS"/>
              </w:rPr>
            </w:pPr>
          </w:p>
        </w:tc>
        <w:tc>
          <w:tcPr>
            <w:tcW w:w="694" w:type="pct"/>
          </w:tcPr>
          <w:p w14:paraId="7C6C7B5C" w14:textId="77777777" w:rsidR="0005080D" w:rsidRPr="00AA19A8" w:rsidRDefault="0005080D" w:rsidP="00146165">
            <w:pPr>
              <w:tabs>
                <w:tab w:val="right" w:pos="2140"/>
              </w:tabs>
              <w:spacing w:before="0"/>
              <w:jc w:val="center"/>
              <w:rPr>
                <w:rFonts w:ascii="Calibri" w:eastAsia="Calibri" w:hAnsi="Calibri" w:cs="Times New Roman"/>
                <w:bCs/>
                <w:lang w:val="sr-Cyrl-CS"/>
              </w:rPr>
            </w:pPr>
          </w:p>
        </w:tc>
        <w:tc>
          <w:tcPr>
            <w:tcW w:w="1066" w:type="pct"/>
            <w:gridSpan w:val="3"/>
          </w:tcPr>
          <w:p w14:paraId="68C585A9" w14:textId="77777777" w:rsidR="0005080D" w:rsidRPr="00AA19A8" w:rsidRDefault="0005080D" w:rsidP="0005080D">
            <w:pPr>
              <w:tabs>
                <w:tab w:val="right" w:pos="2140"/>
              </w:tabs>
              <w:spacing w:before="0"/>
              <w:jc w:val="center"/>
              <w:rPr>
                <w:rFonts w:ascii="Calibri" w:eastAsia="Calibri" w:hAnsi="Calibri" w:cs="Times New Roman"/>
                <w:bCs/>
                <w:lang w:val="sr-Cyrl-CS"/>
              </w:rPr>
            </w:pPr>
          </w:p>
        </w:tc>
        <w:tc>
          <w:tcPr>
            <w:tcW w:w="1109" w:type="pct"/>
            <w:tcBorders>
              <w:right w:val="single" w:sz="4" w:space="0" w:color="auto"/>
            </w:tcBorders>
          </w:tcPr>
          <w:p w14:paraId="7CA58D5E" w14:textId="77777777" w:rsidR="0005080D" w:rsidRPr="00AA19A8" w:rsidRDefault="0005080D"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77%</w:t>
            </w:r>
          </w:p>
        </w:tc>
      </w:tr>
      <w:tr w:rsidR="00D30238" w:rsidRPr="00AA19A8" w14:paraId="1D315E3B" w14:textId="77777777" w:rsidTr="0005080D">
        <w:tc>
          <w:tcPr>
            <w:tcW w:w="1296" w:type="pct"/>
            <w:vMerge w:val="restart"/>
            <w:tcBorders>
              <w:left w:val="single" w:sz="4" w:space="0" w:color="auto"/>
            </w:tcBorders>
          </w:tcPr>
          <w:p w14:paraId="404A83E6"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834" w:type="pct"/>
          </w:tcPr>
          <w:p w14:paraId="05B2DBC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94" w:type="pct"/>
          </w:tcPr>
          <w:p w14:paraId="39A7521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46" w:type="pct"/>
            <w:gridSpan w:val="2"/>
          </w:tcPr>
          <w:p w14:paraId="6305178B"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21" w:type="pct"/>
          </w:tcPr>
          <w:p w14:paraId="55650B8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2077562A"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7CD4A97B" w14:textId="77777777" w:rsidTr="0005080D">
        <w:tc>
          <w:tcPr>
            <w:tcW w:w="1296" w:type="pct"/>
            <w:vMerge/>
            <w:tcBorders>
              <w:left w:val="single" w:sz="4" w:space="0" w:color="auto"/>
            </w:tcBorders>
          </w:tcPr>
          <w:p w14:paraId="09F8B02A" w14:textId="77777777" w:rsidR="00146165" w:rsidRPr="00AA19A8" w:rsidRDefault="00146165" w:rsidP="00146165">
            <w:pPr>
              <w:spacing w:before="0"/>
              <w:rPr>
                <w:rFonts w:ascii="Calibri" w:eastAsia="Calibri" w:hAnsi="Calibri" w:cs="Times New Roman"/>
                <w:b/>
                <w:lang w:val="sr-Cyrl-CS"/>
              </w:rPr>
            </w:pPr>
          </w:p>
        </w:tc>
        <w:tc>
          <w:tcPr>
            <w:tcW w:w="834" w:type="pct"/>
            <w:vAlign w:val="center"/>
          </w:tcPr>
          <w:p w14:paraId="248AED9D"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80%</w:t>
            </w:r>
          </w:p>
        </w:tc>
        <w:tc>
          <w:tcPr>
            <w:tcW w:w="694" w:type="pct"/>
            <w:vAlign w:val="center"/>
          </w:tcPr>
          <w:p w14:paraId="00CA55EA"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8</w:t>
            </w:r>
            <w:r w:rsidR="0005080D" w:rsidRPr="00AA19A8">
              <w:rPr>
                <w:rFonts w:ascii="Calibri" w:eastAsia="Times New Roman" w:hAnsi="Calibri" w:cs="Times New Roman"/>
                <w:lang w:val="sr-Cyrl-CS"/>
              </w:rPr>
              <w:t>1</w:t>
            </w:r>
            <w:r w:rsidRPr="00AA19A8">
              <w:rPr>
                <w:rFonts w:ascii="Calibri" w:eastAsia="Times New Roman" w:hAnsi="Calibri" w:cs="Times New Roman"/>
                <w:lang w:val="sr-Cyrl-CS"/>
              </w:rPr>
              <w:t>%</w:t>
            </w:r>
          </w:p>
        </w:tc>
        <w:tc>
          <w:tcPr>
            <w:tcW w:w="546" w:type="pct"/>
            <w:gridSpan w:val="2"/>
            <w:vAlign w:val="center"/>
          </w:tcPr>
          <w:p w14:paraId="6D4E961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8</w:t>
            </w:r>
            <w:r w:rsidR="0005080D" w:rsidRPr="00AA19A8">
              <w:rPr>
                <w:rFonts w:ascii="Calibri" w:eastAsia="Calibri" w:hAnsi="Calibri" w:cs="Times New Roman"/>
                <w:bCs/>
                <w:lang w:val="sr-Cyrl-CS"/>
              </w:rPr>
              <w:t>2</w:t>
            </w:r>
            <w:r w:rsidRPr="00AA19A8">
              <w:rPr>
                <w:rFonts w:ascii="Calibri" w:eastAsia="Calibri" w:hAnsi="Calibri" w:cs="Times New Roman"/>
                <w:bCs/>
                <w:lang w:val="sr-Cyrl-CS"/>
              </w:rPr>
              <w:t>%</w:t>
            </w:r>
          </w:p>
        </w:tc>
        <w:tc>
          <w:tcPr>
            <w:tcW w:w="521" w:type="pct"/>
            <w:vAlign w:val="center"/>
          </w:tcPr>
          <w:p w14:paraId="7AE2123A" w14:textId="77777777" w:rsidR="00146165" w:rsidRPr="00AA19A8" w:rsidRDefault="00146165" w:rsidP="00146165">
            <w:pPr>
              <w:spacing w:before="0"/>
              <w:jc w:val="center"/>
              <w:rPr>
                <w:rFonts w:ascii="Calibri" w:eastAsia="Calibri" w:hAnsi="Calibri" w:cs="Times New Roman"/>
                <w:bCs/>
                <w:lang w:val="sr-Cyrl-CS"/>
              </w:rPr>
            </w:pPr>
          </w:p>
        </w:tc>
        <w:tc>
          <w:tcPr>
            <w:tcW w:w="1109" w:type="pct"/>
            <w:tcBorders>
              <w:right w:val="single" w:sz="4" w:space="0" w:color="auto"/>
            </w:tcBorders>
            <w:vAlign w:val="center"/>
          </w:tcPr>
          <w:p w14:paraId="4DE24743" w14:textId="77777777" w:rsidR="00146165" w:rsidRPr="00AA19A8" w:rsidRDefault="00146165" w:rsidP="00146165">
            <w:pPr>
              <w:spacing w:before="0"/>
              <w:jc w:val="center"/>
              <w:rPr>
                <w:rFonts w:ascii="Calibri" w:eastAsia="Calibri" w:hAnsi="Calibri" w:cs="Times New Roman"/>
                <w:bCs/>
                <w:lang w:val="sr-Cyrl-CS"/>
              </w:rPr>
            </w:pPr>
          </w:p>
        </w:tc>
      </w:tr>
      <w:tr w:rsidR="00146165" w:rsidRPr="00AA19A8" w14:paraId="7F7887D3" w14:textId="77777777" w:rsidTr="00924D5A">
        <w:tc>
          <w:tcPr>
            <w:tcW w:w="1296" w:type="pct"/>
            <w:tcBorders>
              <w:left w:val="single" w:sz="4" w:space="0" w:color="auto"/>
              <w:bottom w:val="single" w:sz="4" w:space="0" w:color="auto"/>
            </w:tcBorders>
          </w:tcPr>
          <w:p w14:paraId="0576D337"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3A919E73"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2% у односу на циљану вредност.</w:t>
            </w:r>
          </w:p>
        </w:tc>
      </w:tr>
    </w:tbl>
    <w:p w14:paraId="4DFFB8FD" w14:textId="77777777" w:rsidR="00146165" w:rsidRPr="00AA19A8" w:rsidRDefault="00146165" w:rsidP="00146165">
      <w:pPr>
        <w:spacing w:after="120"/>
        <w:rPr>
          <w:rFonts w:ascii="Calibri" w:eastAsia="Times New Roman" w:hAnsi="Calibri" w:cs="Times New Roman"/>
          <w:b/>
          <w:bCs/>
          <w:lang w:val="sr-Cyrl-CS"/>
        </w:rPr>
      </w:pPr>
    </w:p>
    <w:p w14:paraId="6668AE2E" w14:textId="77777777" w:rsidR="00146165" w:rsidRPr="00AA19A8" w:rsidRDefault="00146165" w:rsidP="00146165">
      <w:pPr>
        <w:spacing w:after="120"/>
        <w:rPr>
          <w:rFonts w:ascii="Calibri" w:eastAsia="Times New Roman" w:hAnsi="Calibri" w:cs="Times New Roman"/>
          <w:b/>
          <w:bCs/>
          <w:lang w:val="sr-Cyrl-CS"/>
        </w:rPr>
      </w:pPr>
      <w:r w:rsidRPr="00AA19A8">
        <w:rPr>
          <w:rFonts w:ascii="Calibri" w:eastAsia="Times New Roman" w:hAnsi="Calibri" w:cs="Times New Roman"/>
          <w:b/>
          <w:bCs/>
          <w:lang w:val="sr-Cyrl-CS"/>
        </w:rPr>
        <w:t>Показатељ на нивоу мере 6.2</w:t>
      </w: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1A7B583C" w14:textId="77777777" w:rsidTr="00924D5A">
        <w:tc>
          <w:tcPr>
            <w:tcW w:w="1296" w:type="pct"/>
            <w:tcBorders>
              <w:top w:val="single" w:sz="4" w:space="0" w:color="auto"/>
              <w:left w:val="single" w:sz="4" w:space="0" w:color="auto"/>
            </w:tcBorders>
            <w:vAlign w:val="center"/>
          </w:tcPr>
          <w:p w14:paraId="58EF069B"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Назив индикатора</w:t>
            </w:r>
          </w:p>
        </w:tc>
        <w:tc>
          <w:tcPr>
            <w:tcW w:w="3704" w:type="pct"/>
            <w:gridSpan w:val="6"/>
            <w:tcBorders>
              <w:top w:val="single" w:sz="4" w:space="0" w:color="auto"/>
              <w:right w:val="single" w:sz="4" w:space="0" w:color="auto"/>
            </w:tcBorders>
            <w:vAlign w:val="center"/>
          </w:tcPr>
          <w:p w14:paraId="64DD57BA"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Проценат извештаја ДРИ разматраних у Народној скупштини</w:t>
            </w:r>
          </w:p>
        </w:tc>
      </w:tr>
      <w:tr w:rsidR="00D30238" w:rsidRPr="00AA19A8" w14:paraId="5B46E3FE" w14:textId="77777777" w:rsidTr="00924D5A">
        <w:tc>
          <w:tcPr>
            <w:tcW w:w="1296" w:type="pct"/>
            <w:tcBorders>
              <w:top w:val="single" w:sz="4" w:space="0" w:color="auto"/>
              <w:left w:val="single" w:sz="4" w:space="0" w:color="auto"/>
            </w:tcBorders>
          </w:tcPr>
          <w:p w14:paraId="08F4AB3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2D5970BE"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6.2</w:t>
            </w:r>
            <w:r w:rsidRPr="00AA19A8">
              <w:rPr>
                <w:rFonts w:ascii="Calibri" w:eastAsia="Calibri" w:hAnsi="Calibri" w:cs="Times New Roman"/>
                <w:lang w:val="sr-Cyrl-CS"/>
              </w:rPr>
              <w:t xml:space="preserve"> – Обезбеђивање ефикасног скупштинског надзора над јавним финансијама</w:t>
            </w:r>
          </w:p>
        </w:tc>
      </w:tr>
      <w:tr w:rsidR="00D30238" w:rsidRPr="00AA19A8" w14:paraId="0EB9F41A" w14:textId="77777777" w:rsidTr="00924D5A">
        <w:tc>
          <w:tcPr>
            <w:tcW w:w="1296" w:type="pct"/>
            <w:tcBorders>
              <w:left w:val="single" w:sz="4" w:space="0" w:color="auto"/>
            </w:tcBorders>
          </w:tcPr>
          <w:p w14:paraId="49A55F3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68438A70"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0222DE6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0AE23125" w14:textId="77777777" w:rsidTr="00924D5A">
        <w:tc>
          <w:tcPr>
            <w:tcW w:w="1296" w:type="pct"/>
            <w:tcBorders>
              <w:left w:val="single" w:sz="4" w:space="0" w:color="auto"/>
            </w:tcBorders>
          </w:tcPr>
          <w:p w14:paraId="0ED63A2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4B81B732"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Проценат</w:t>
            </w:r>
          </w:p>
        </w:tc>
        <w:tc>
          <w:tcPr>
            <w:tcW w:w="1882" w:type="pct"/>
            <w:gridSpan w:val="3"/>
            <w:tcBorders>
              <w:right w:val="single" w:sz="4" w:space="0" w:color="auto"/>
            </w:tcBorders>
            <w:vAlign w:val="center"/>
          </w:tcPr>
          <w:p w14:paraId="4A5DC883"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6F7D31DA" w14:textId="77777777" w:rsidTr="00924D5A">
        <w:tc>
          <w:tcPr>
            <w:tcW w:w="1296" w:type="pct"/>
            <w:tcBorders>
              <w:left w:val="single" w:sz="4" w:space="0" w:color="auto"/>
              <w:bottom w:val="single" w:sz="4" w:space="0" w:color="auto"/>
            </w:tcBorders>
          </w:tcPr>
          <w:p w14:paraId="22840CF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3EF2463C"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Извештаји и записници Одбора за финансије, републички буџет и контролу трошења јавних средстава Народне скупштине</w:t>
            </w:r>
          </w:p>
        </w:tc>
      </w:tr>
      <w:tr w:rsidR="00D30238" w:rsidRPr="00AA19A8" w14:paraId="04B2FA00" w14:textId="77777777" w:rsidTr="00924D5A">
        <w:tc>
          <w:tcPr>
            <w:tcW w:w="1296" w:type="pct"/>
            <w:tcBorders>
              <w:left w:val="single" w:sz="4" w:space="0" w:color="auto"/>
              <w:bottom w:val="single" w:sz="4" w:space="0" w:color="auto"/>
            </w:tcBorders>
          </w:tcPr>
          <w:p w14:paraId="30EE7208"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46995DDE"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Народна скупштина, Одбор за финансије, републички буџет и контролу трошења јавних средстава</w:t>
            </w:r>
          </w:p>
        </w:tc>
      </w:tr>
      <w:tr w:rsidR="00D30238" w:rsidRPr="00AA19A8" w14:paraId="092DCB21" w14:textId="77777777" w:rsidTr="00924D5A">
        <w:tc>
          <w:tcPr>
            <w:tcW w:w="1296" w:type="pct"/>
            <w:tcBorders>
              <w:top w:val="single" w:sz="4" w:space="0" w:color="auto"/>
              <w:left w:val="single" w:sz="4" w:space="0" w:color="auto"/>
            </w:tcBorders>
          </w:tcPr>
          <w:p w14:paraId="612D782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2866C204"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w:t>
            </w:r>
          </w:p>
        </w:tc>
      </w:tr>
      <w:tr w:rsidR="00D30238" w:rsidRPr="00AA19A8" w14:paraId="21AC95AB" w14:textId="77777777" w:rsidTr="00924D5A">
        <w:trPr>
          <w:trHeight w:val="1181"/>
        </w:trPr>
        <w:tc>
          <w:tcPr>
            <w:tcW w:w="1296" w:type="pct"/>
            <w:tcBorders>
              <w:left w:val="single" w:sz="4" w:space="0" w:color="auto"/>
              <w:bottom w:val="single" w:sz="6" w:space="0" w:color="auto"/>
            </w:tcBorders>
          </w:tcPr>
          <w:p w14:paraId="3CD662E4"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079C9D9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1E57999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се односи на прикупљање података о броју разматраних и усвојених извештаја ДРИ.</w:t>
            </w:r>
          </w:p>
        </w:tc>
      </w:tr>
      <w:tr w:rsidR="00D30238" w:rsidRPr="00AA19A8" w14:paraId="22C0D4A8" w14:textId="77777777" w:rsidTr="00924D5A">
        <w:tc>
          <w:tcPr>
            <w:tcW w:w="1296" w:type="pct"/>
            <w:vMerge w:val="restart"/>
            <w:tcBorders>
              <w:top w:val="single" w:sz="6" w:space="0" w:color="auto"/>
              <w:left w:val="single" w:sz="4" w:space="0" w:color="auto"/>
            </w:tcBorders>
          </w:tcPr>
          <w:p w14:paraId="74F68A19"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311CDE23"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3B82C4B3"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6B2C0726" w14:textId="77777777" w:rsidTr="00924D5A">
        <w:tc>
          <w:tcPr>
            <w:tcW w:w="1296" w:type="pct"/>
            <w:vMerge/>
            <w:tcBorders>
              <w:left w:val="single" w:sz="4" w:space="0" w:color="auto"/>
            </w:tcBorders>
          </w:tcPr>
          <w:p w14:paraId="5AAAEB66" w14:textId="77777777" w:rsidR="00146165" w:rsidRPr="00AA19A8" w:rsidRDefault="00146165" w:rsidP="00146165">
            <w:pPr>
              <w:spacing w:before="0"/>
              <w:rPr>
                <w:rFonts w:ascii="Calibri" w:eastAsia="Calibri" w:hAnsi="Calibri" w:cs="Times New Roman"/>
                <w:b/>
                <w:lang w:val="sr-Cyrl-CS"/>
              </w:rPr>
            </w:pPr>
          </w:p>
        </w:tc>
        <w:tc>
          <w:tcPr>
            <w:tcW w:w="755" w:type="pct"/>
          </w:tcPr>
          <w:p w14:paraId="6A15950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5901FEE2"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3C9C14C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4AD690C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247D04C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7B388A51" w14:textId="77777777" w:rsidTr="00924D5A">
        <w:tc>
          <w:tcPr>
            <w:tcW w:w="1296" w:type="pct"/>
            <w:vMerge/>
            <w:tcBorders>
              <w:left w:val="single" w:sz="4" w:space="0" w:color="auto"/>
            </w:tcBorders>
          </w:tcPr>
          <w:p w14:paraId="131B2F00" w14:textId="77777777" w:rsidR="00146165" w:rsidRPr="00AA19A8" w:rsidRDefault="00146165" w:rsidP="00146165">
            <w:pPr>
              <w:spacing w:before="0"/>
              <w:rPr>
                <w:rFonts w:ascii="Calibri" w:eastAsia="Calibri" w:hAnsi="Calibri" w:cs="Times New Roman"/>
                <w:b/>
                <w:lang w:val="sr-Cyrl-CS"/>
              </w:rPr>
            </w:pPr>
          </w:p>
        </w:tc>
        <w:tc>
          <w:tcPr>
            <w:tcW w:w="755" w:type="pct"/>
          </w:tcPr>
          <w:p w14:paraId="14E6BF96" w14:textId="77777777" w:rsidR="00146165" w:rsidRPr="00AA19A8" w:rsidRDefault="00146165" w:rsidP="00146165">
            <w:pPr>
              <w:tabs>
                <w:tab w:val="right" w:pos="2140"/>
              </w:tabs>
              <w:spacing w:before="0"/>
              <w:rPr>
                <w:rFonts w:ascii="Calibri" w:eastAsia="Calibri" w:hAnsi="Calibri" w:cs="Times New Roman"/>
                <w:bCs/>
                <w:lang w:val="sr-Cyrl-CS"/>
              </w:rPr>
            </w:pPr>
          </w:p>
        </w:tc>
        <w:tc>
          <w:tcPr>
            <w:tcW w:w="673" w:type="pct"/>
          </w:tcPr>
          <w:p w14:paraId="735093E3" w14:textId="77777777" w:rsidR="00146165" w:rsidRPr="00AA19A8" w:rsidRDefault="00146165" w:rsidP="00146165">
            <w:pPr>
              <w:tabs>
                <w:tab w:val="right" w:pos="2140"/>
              </w:tabs>
              <w:spacing w:before="0"/>
              <w:rPr>
                <w:rFonts w:ascii="Calibri" w:eastAsia="Calibri" w:hAnsi="Calibri" w:cs="Times New Roman"/>
                <w:bCs/>
                <w:lang w:val="sr-Cyrl-CS"/>
              </w:rPr>
            </w:pPr>
          </w:p>
        </w:tc>
        <w:tc>
          <w:tcPr>
            <w:tcW w:w="582" w:type="pct"/>
            <w:gridSpan w:val="2"/>
          </w:tcPr>
          <w:p w14:paraId="754666B8" w14:textId="77777777" w:rsidR="00146165" w:rsidRPr="00AA19A8" w:rsidRDefault="00146165" w:rsidP="00146165">
            <w:pPr>
              <w:tabs>
                <w:tab w:val="right" w:pos="2140"/>
              </w:tabs>
              <w:spacing w:before="0"/>
              <w:rPr>
                <w:rFonts w:ascii="Calibri" w:eastAsia="Calibri" w:hAnsi="Calibri" w:cs="Times New Roman"/>
                <w:bCs/>
                <w:lang w:val="sr-Cyrl-CS"/>
              </w:rPr>
            </w:pPr>
          </w:p>
        </w:tc>
        <w:tc>
          <w:tcPr>
            <w:tcW w:w="585" w:type="pct"/>
          </w:tcPr>
          <w:p w14:paraId="28DF9968" w14:textId="77777777" w:rsidR="00146165" w:rsidRPr="00AA19A8" w:rsidRDefault="00146165" w:rsidP="00146165">
            <w:pPr>
              <w:tabs>
                <w:tab w:val="right" w:pos="2140"/>
              </w:tabs>
              <w:spacing w:before="0"/>
              <w:rPr>
                <w:rFonts w:ascii="Calibri" w:eastAsia="Calibri" w:hAnsi="Calibri" w:cs="Times New Roman"/>
                <w:bCs/>
                <w:lang w:val="sr-Cyrl-CS"/>
              </w:rPr>
            </w:pPr>
          </w:p>
        </w:tc>
        <w:tc>
          <w:tcPr>
            <w:tcW w:w="1109" w:type="pct"/>
            <w:tcBorders>
              <w:right w:val="single" w:sz="4" w:space="0" w:color="auto"/>
            </w:tcBorders>
          </w:tcPr>
          <w:p w14:paraId="250CE84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50%</w:t>
            </w:r>
          </w:p>
        </w:tc>
      </w:tr>
      <w:tr w:rsidR="00D30238" w:rsidRPr="00AA19A8" w14:paraId="62A2C7BF" w14:textId="77777777" w:rsidTr="00924D5A">
        <w:tc>
          <w:tcPr>
            <w:tcW w:w="1296" w:type="pct"/>
            <w:vMerge w:val="restart"/>
            <w:tcBorders>
              <w:left w:val="single" w:sz="4" w:space="0" w:color="auto"/>
            </w:tcBorders>
          </w:tcPr>
          <w:p w14:paraId="431F360B"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1F691E23"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1EB5EBE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44279F76"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3F1D4197"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606A21E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50FDEFE0" w14:textId="77777777" w:rsidTr="00924D5A">
        <w:tc>
          <w:tcPr>
            <w:tcW w:w="1296" w:type="pct"/>
            <w:vMerge/>
            <w:tcBorders>
              <w:left w:val="single" w:sz="4" w:space="0" w:color="auto"/>
            </w:tcBorders>
          </w:tcPr>
          <w:p w14:paraId="19D5D2C4"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3B035DA7"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55%</w:t>
            </w:r>
          </w:p>
        </w:tc>
        <w:tc>
          <w:tcPr>
            <w:tcW w:w="673" w:type="pct"/>
            <w:vAlign w:val="center"/>
          </w:tcPr>
          <w:p w14:paraId="0B2CAF35"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60%</w:t>
            </w:r>
          </w:p>
        </w:tc>
        <w:tc>
          <w:tcPr>
            <w:tcW w:w="582" w:type="pct"/>
            <w:gridSpan w:val="2"/>
            <w:vAlign w:val="center"/>
          </w:tcPr>
          <w:p w14:paraId="4C4A281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65%</w:t>
            </w:r>
          </w:p>
        </w:tc>
        <w:tc>
          <w:tcPr>
            <w:tcW w:w="585" w:type="pct"/>
            <w:vAlign w:val="center"/>
          </w:tcPr>
          <w:p w14:paraId="53F00DA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70%</w:t>
            </w:r>
          </w:p>
        </w:tc>
        <w:tc>
          <w:tcPr>
            <w:tcW w:w="1109" w:type="pct"/>
            <w:tcBorders>
              <w:right w:val="single" w:sz="4" w:space="0" w:color="auto"/>
            </w:tcBorders>
            <w:vAlign w:val="center"/>
          </w:tcPr>
          <w:p w14:paraId="3B47EA8D"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75%</w:t>
            </w:r>
          </w:p>
        </w:tc>
      </w:tr>
      <w:tr w:rsidR="00146165" w:rsidRPr="00AA19A8" w14:paraId="68908939" w14:textId="77777777" w:rsidTr="00924D5A">
        <w:tc>
          <w:tcPr>
            <w:tcW w:w="1296" w:type="pct"/>
            <w:tcBorders>
              <w:left w:val="single" w:sz="4" w:space="0" w:color="auto"/>
              <w:bottom w:val="single" w:sz="4" w:space="0" w:color="auto"/>
            </w:tcBorders>
          </w:tcPr>
          <w:p w14:paraId="38E8373F"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3F9C41AE"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Дозвољено одступање до 5%.</w:t>
            </w:r>
          </w:p>
        </w:tc>
      </w:tr>
    </w:tbl>
    <w:p w14:paraId="0BED47D2" w14:textId="77777777" w:rsidR="00146165" w:rsidRPr="00AA19A8" w:rsidRDefault="00146165" w:rsidP="00146165">
      <w:pPr>
        <w:spacing w:after="120"/>
        <w:rPr>
          <w:rFonts w:ascii="Calibri" w:eastAsia="Times New Roman" w:hAnsi="Calibri" w:cs="Times New Roman"/>
          <w:b/>
          <w:bCs/>
          <w:lang w:val="sr-Cyrl-CS"/>
        </w:rPr>
      </w:pP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52"/>
        <w:gridCol w:w="1370"/>
        <w:gridCol w:w="1221"/>
        <w:gridCol w:w="715"/>
        <w:gridCol w:w="341"/>
        <w:gridCol w:w="1061"/>
        <w:gridCol w:w="2012"/>
      </w:tblGrid>
      <w:tr w:rsidR="00D30238" w:rsidRPr="00AA19A8" w14:paraId="5D16FD40" w14:textId="77777777" w:rsidTr="00924D5A">
        <w:tc>
          <w:tcPr>
            <w:tcW w:w="1296" w:type="pct"/>
            <w:tcBorders>
              <w:top w:val="single" w:sz="4" w:space="0" w:color="auto"/>
              <w:left w:val="single" w:sz="4" w:space="0" w:color="auto"/>
            </w:tcBorders>
            <w:vAlign w:val="center"/>
          </w:tcPr>
          <w:p w14:paraId="28E8FD49"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lastRenderedPageBreak/>
              <w:t>Назив индикатора</w:t>
            </w:r>
          </w:p>
        </w:tc>
        <w:tc>
          <w:tcPr>
            <w:tcW w:w="3704" w:type="pct"/>
            <w:gridSpan w:val="6"/>
            <w:tcBorders>
              <w:top w:val="single" w:sz="4" w:space="0" w:color="auto"/>
              <w:right w:val="single" w:sz="4" w:space="0" w:color="auto"/>
            </w:tcBorders>
            <w:vAlign w:val="center"/>
          </w:tcPr>
          <w:p w14:paraId="0D49A3A1" w14:textId="77777777" w:rsidR="00146165" w:rsidRPr="00AA19A8" w:rsidRDefault="00146165" w:rsidP="00146165">
            <w:pPr>
              <w:tabs>
                <w:tab w:val="right" w:pos="2140"/>
              </w:tabs>
              <w:spacing w:before="0"/>
              <w:rPr>
                <w:rFonts w:ascii="Calibri" w:eastAsia="Calibri" w:hAnsi="Calibri" w:cs="Times New Roman"/>
                <w:b/>
                <w:i/>
                <w:lang w:val="sr-Cyrl-CS"/>
              </w:rPr>
            </w:pPr>
            <w:r w:rsidRPr="00AA19A8">
              <w:rPr>
                <w:rFonts w:ascii="Calibri" w:eastAsia="Calibri" w:hAnsi="Calibri" w:cs="Times New Roman"/>
                <w:b/>
                <w:i/>
                <w:lang w:val="sr-Cyrl-CS"/>
              </w:rPr>
              <w:t>Број одржаних седница/састанака Одбора за разматрање препорука за измене закона у присуству ДРИ и Министарства финансија</w:t>
            </w:r>
          </w:p>
        </w:tc>
      </w:tr>
      <w:tr w:rsidR="00D30238" w:rsidRPr="00AA19A8" w14:paraId="6A391551" w14:textId="77777777" w:rsidTr="00924D5A">
        <w:tc>
          <w:tcPr>
            <w:tcW w:w="1296" w:type="pct"/>
            <w:tcBorders>
              <w:top w:val="single" w:sz="4" w:space="0" w:color="auto"/>
              <w:left w:val="single" w:sz="4" w:space="0" w:color="auto"/>
            </w:tcBorders>
          </w:tcPr>
          <w:p w14:paraId="55FE6F11"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Одговарајући општи циљ, посебан циљ или мера</w:t>
            </w:r>
          </w:p>
        </w:tc>
        <w:tc>
          <w:tcPr>
            <w:tcW w:w="3704" w:type="pct"/>
            <w:gridSpan w:val="6"/>
            <w:tcBorders>
              <w:top w:val="single" w:sz="4" w:space="0" w:color="auto"/>
              <w:right w:val="single" w:sz="4" w:space="0" w:color="auto"/>
            </w:tcBorders>
          </w:tcPr>
          <w:p w14:paraId="1CF7D1D2" w14:textId="77777777" w:rsidR="00146165" w:rsidRPr="00AA19A8" w:rsidRDefault="00146165" w:rsidP="00146165">
            <w:pPr>
              <w:tabs>
                <w:tab w:val="right" w:pos="2140"/>
              </w:tabs>
              <w:spacing w:before="0"/>
              <w:rPr>
                <w:rFonts w:ascii="Calibri" w:eastAsia="Calibri" w:hAnsi="Calibri" w:cs="Times New Roman"/>
                <w:lang w:val="sr-Cyrl-CS"/>
              </w:rPr>
            </w:pPr>
            <w:r w:rsidRPr="00AA19A8">
              <w:rPr>
                <w:rFonts w:ascii="Calibri" w:eastAsia="Calibri" w:hAnsi="Calibri" w:cs="Times New Roman"/>
                <w:b/>
                <w:lang w:val="sr-Cyrl-CS"/>
              </w:rPr>
              <w:t>Мера 6.2</w:t>
            </w:r>
            <w:r w:rsidRPr="00AA19A8">
              <w:rPr>
                <w:rFonts w:ascii="Calibri" w:eastAsia="Calibri" w:hAnsi="Calibri" w:cs="Times New Roman"/>
                <w:lang w:val="sr-Cyrl-CS"/>
              </w:rPr>
              <w:t xml:space="preserve"> – Обезбеђивање ефикасног скупштинског надзора над јавним финансијама</w:t>
            </w:r>
          </w:p>
        </w:tc>
      </w:tr>
      <w:tr w:rsidR="00D30238" w:rsidRPr="00AA19A8" w14:paraId="7B81AFBD" w14:textId="77777777" w:rsidTr="00924D5A">
        <w:tc>
          <w:tcPr>
            <w:tcW w:w="1296" w:type="pct"/>
            <w:tcBorders>
              <w:left w:val="single" w:sz="4" w:space="0" w:color="auto"/>
            </w:tcBorders>
          </w:tcPr>
          <w:p w14:paraId="2AF3AED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 xml:space="preserve">Тип показатеља </w:t>
            </w:r>
          </w:p>
        </w:tc>
        <w:tc>
          <w:tcPr>
            <w:tcW w:w="1822" w:type="pct"/>
            <w:gridSpan w:val="3"/>
            <w:tcBorders>
              <w:right w:val="single" w:sz="4" w:space="0" w:color="auto"/>
            </w:tcBorders>
          </w:tcPr>
          <w:p w14:paraId="6186ABC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Квантитативни</w:t>
            </w:r>
          </w:p>
        </w:tc>
        <w:tc>
          <w:tcPr>
            <w:tcW w:w="1882" w:type="pct"/>
            <w:gridSpan w:val="3"/>
            <w:tcBorders>
              <w:right w:val="single" w:sz="4" w:space="0" w:color="auto"/>
            </w:tcBorders>
          </w:tcPr>
          <w:p w14:paraId="06796E1B"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резултата</w:t>
            </w:r>
          </w:p>
        </w:tc>
      </w:tr>
      <w:tr w:rsidR="00D30238" w:rsidRPr="00AA19A8" w14:paraId="604B6CFD" w14:textId="77777777" w:rsidTr="00924D5A">
        <w:tc>
          <w:tcPr>
            <w:tcW w:w="1296" w:type="pct"/>
            <w:tcBorders>
              <w:left w:val="single" w:sz="4" w:space="0" w:color="auto"/>
            </w:tcBorders>
          </w:tcPr>
          <w:p w14:paraId="393FCCC3"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Јединица мере и природа</w:t>
            </w:r>
          </w:p>
        </w:tc>
        <w:tc>
          <w:tcPr>
            <w:tcW w:w="1822" w:type="pct"/>
            <w:gridSpan w:val="3"/>
            <w:tcBorders>
              <w:right w:val="single" w:sz="4" w:space="0" w:color="auto"/>
            </w:tcBorders>
          </w:tcPr>
          <w:p w14:paraId="5F9F2C48"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Број</w:t>
            </w:r>
          </w:p>
        </w:tc>
        <w:tc>
          <w:tcPr>
            <w:tcW w:w="1882" w:type="pct"/>
            <w:gridSpan w:val="3"/>
            <w:tcBorders>
              <w:right w:val="single" w:sz="4" w:space="0" w:color="auto"/>
            </w:tcBorders>
            <w:vAlign w:val="center"/>
          </w:tcPr>
          <w:p w14:paraId="78729F05" w14:textId="77777777" w:rsidR="00146165" w:rsidRPr="00AA19A8" w:rsidRDefault="00146165" w:rsidP="00146165">
            <w:pPr>
              <w:spacing w:beforeAutospacing="1" w:after="100" w:afterAutospacing="1" w:line="256" w:lineRule="auto"/>
              <w:ind w:firstLine="75"/>
              <w:rPr>
                <w:rFonts w:ascii="Calibri" w:eastAsia="Times New Roman" w:hAnsi="Calibri" w:cs="Times New Roman"/>
                <w:lang w:val="sr-Cyrl-CS"/>
              </w:rPr>
            </w:pPr>
            <w:r w:rsidRPr="00AA19A8">
              <w:rPr>
                <w:rFonts w:ascii="Calibri" w:eastAsia="Times New Roman" w:hAnsi="Calibri" w:cs="Times New Roman"/>
                <w:lang w:val="sr-Cyrl-CS"/>
              </w:rPr>
              <w:t>Већа вредност је боља</w:t>
            </w:r>
          </w:p>
        </w:tc>
      </w:tr>
      <w:tr w:rsidR="00D30238" w:rsidRPr="00AA19A8" w14:paraId="13C400FA" w14:textId="77777777" w:rsidTr="00924D5A">
        <w:tc>
          <w:tcPr>
            <w:tcW w:w="1296" w:type="pct"/>
            <w:tcBorders>
              <w:left w:val="single" w:sz="4" w:space="0" w:color="auto"/>
              <w:bottom w:val="single" w:sz="4" w:space="0" w:color="auto"/>
            </w:tcBorders>
          </w:tcPr>
          <w:p w14:paraId="48A10E96"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Извор података</w:t>
            </w:r>
          </w:p>
        </w:tc>
        <w:tc>
          <w:tcPr>
            <w:tcW w:w="3704" w:type="pct"/>
            <w:gridSpan w:val="6"/>
            <w:tcBorders>
              <w:bottom w:val="single" w:sz="4" w:space="0" w:color="auto"/>
              <w:right w:val="single" w:sz="4" w:space="0" w:color="auto"/>
            </w:tcBorders>
          </w:tcPr>
          <w:p w14:paraId="65B960D0"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Записници са седница/састанака Одбора за финансије, републички буџет и контролу трошења јавних средстава Народне скупштине.</w:t>
            </w:r>
          </w:p>
        </w:tc>
      </w:tr>
      <w:tr w:rsidR="00D30238" w:rsidRPr="00AA19A8" w14:paraId="69D1793A" w14:textId="77777777" w:rsidTr="00924D5A">
        <w:tc>
          <w:tcPr>
            <w:tcW w:w="1296" w:type="pct"/>
            <w:tcBorders>
              <w:left w:val="single" w:sz="4" w:space="0" w:color="auto"/>
              <w:bottom w:val="single" w:sz="4" w:space="0" w:color="auto"/>
            </w:tcBorders>
          </w:tcPr>
          <w:p w14:paraId="6166427F"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Назив носиоца прикупљања података</w:t>
            </w:r>
          </w:p>
        </w:tc>
        <w:tc>
          <w:tcPr>
            <w:tcW w:w="3704" w:type="pct"/>
            <w:gridSpan w:val="6"/>
            <w:tcBorders>
              <w:bottom w:val="single" w:sz="4" w:space="0" w:color="auto"/>
              <w:right w:val="single" w:sz="4" w:space="0" w:color="auto"/>
            </w:tcBorders>
          </w:tcPr>
          <w:p w14:paraId="2B11ED83"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Народна скупштина, Одбор за финансије, републички буџет и контролу трошења јавних средстава</w:t>
            </w:r>
          </w:p>
        </w:tc>
      </w:tr>
      <w:tr w:rsidR="00D30238" w:rsidRPr="00AA19A8" w14:paraId="74AF5824" w14:textId="77777777" w:rsidTr="00924D5A">
        <w:tc>
          <w:tcPr>
            <w:tcW w:w="1296" w:type="pct"/>
            <w:tcBorders>
              <w:top w:val="single" w:sz="4" w:space="0" w:color="auto"/>
              <w:left w:val="single" w:sz="4" w:space="0" w:color="auto"/>
            </w:tcBorders>
          </w:tcPr>
          <w:p w14:paraId="2424A095"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lang w:val="sr-Cyrl-CS"/>
              </w:rPr>
              <w:t>Учесталост</w:t>
            </w:r>
          </w:p>
        </w:tc>
        <w:tc>
          <w:tcPr>
            <w:tcW w:w="3704" w:type="pct"/>
            <w:gridSpan w:val="6"/>
            <w:tcBorders>
              <w:top w:val="single" w:sz="4" w:space="0" w:color="auto"/>
              <w:right w:val="single" w:sz="4" w:space="0" w:color="auto"/>
            </w:tcBorders>
          </w:tcPr>
          <w:p w14:paraId="2C3126EF" w14:textId="77777777" w:rsidR="00146165" w:rsidRPr="00AA19A8" w:rsidRDefault="00146165" w:rsidP="00146165">
            <w:pPr>
              <w:spacing w:line="256" w:lineRule="auto"/>
              <w:rPr>
                <w:rFonts w:ascii="Calibri" w:eastAsia="Times New Roman" w:hAnsi="Calibri" w:cs="Times New Roman"/>
                <w:bCs/>
                <w:lang w:val="sr-Cyrl-CS"/>
              </w:rPr>
            </w:pPr>
            <w:r w:rsidRPr="00AA19A8">
              <w:rPr>
                <w:rFonts w:ascii="Calibri" w:eastAsia="Times New Roman" w:hAnsi="Calibri" w:cs="Times New Roman"/>
                <w:bCs/>
                <w:lang w:val="sr-Cyrl-CS"/>
              </w:rPr>
              <w:t>Једном годишње</w:t>
            </w:r>
          </w:p>
        </w:tc>
      </w:tr>
      <w:tr w:rsidR="00D30238" w:rsidRPr="00AA19A8" w14:paraId="1AB51958" w14:textId="77777777" w:rsidTr="00924D5A">
        <w:trPr>
          <w:trHeight w:val="1181"/>
        </w:trPr>
        <w:tc>
          <w:tcPr>
            <w:tcW w:w="1296" w:type="pct"/>
            <w:tcBorders>
              <w:left w:val="single" w:sz="4" w:space="0" w:color="auto"/>
              <w:bottom w:val="single" w:sz="6" w:space="0" w:color="auto"/>
            </w:tcBorders>
          </w:tcPr>
          <w:p w14:paraId="05D55B90"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Кратак опис показатеља и методологије израчунавања</w:t>
            </w:r>
          </w:p>
          <w:p w14:paraId="652647CD" w14:textId="77777777" w:rsidR="00146165" w:rsidRPr="00AA19A8" w:rsidRDefault="00146165" w:rsidP="00146165">
            <w:pPr>
              <w:tabs>
                <w:tab w:val="right" w:pos="2140"/>
              </w:tabs>
              <w:spacing w:before="0"/>
              <w:rPr>
                <w:rFonts w:ascii="Calibri" w:eastAsia="Calibri" w:hAnsi="Calibri" w:cs="Times New Roman"/>
                <w:b/>
                <w:lang w:val="sr-Cyrl-CS"/>
              </w:rPr>
            </w:pPr>
            <w:r w:rsidRPr="00AA19A8">
              <w:rPr>
                <w:rFonts w:ascii="Calibri" w:eastAsia="Calibri" w:hAnsi="Calibri" w:cs="Times New Roman"/>
                <w:b/>
                <w:bCs/>
                <w:lang w:val="sr-Cyrl-CS"/>
              </w:rPr>
              <w:t>(формуле/једначине)</w:t>
            </w:r>
          </w:p>
        </w:tc>
        <w:tc>
          <w:tcPr>
            <w:tcW w:w="3704" w:type="pct"/>
            <w:gridSpan w:val="6"/>
            <w:tcBorders>
              <w:right w:val="single" w:sz="4" w:space="0" w:color="auto"/>
            </w:tcBorders>
          </w:tcPr>
          <w:p w14:paraId="089D6EEC" w14:textId="77777777" w:rsidR="00146165" w:rsidRPr="00AA19A8" w:rsidRDefault="00146165" w:rsidP="00146165">
            <w:pPr>
              <w:spacing w:line="256" w:lineRule="auto"/>
              <w:rPr>
                <w:rFonts w:ascii="Calibri" w:eastAsia="Times New Roman" w:hAnsi="Calibri" w:cs="Times New Roman"/>
                <w:lang w:val="sr-Cyrl-CS"/>
              </w:rPr>
            </w:pPr>
            <w:r w:rsidRPr="00AA19A8">
              <w:rPr>
                <w:rFonts w:ascii="Calibri" w:eastAsia="Times New Roman" w:hAnsi="Calibri" w:cs="Times New Roman"/>
                <w:lang w:val="sr-Cyrl-CS"/>
              </w:rPr>
              <w:t>Показатељ се односи на праћење броја одржаних седница/састанака Одбора за разматрање препорука за измене закона у присуству ДРИ и Министарства финансија</w:t>
            </w:r>
          </w:p>
        </w:tc>
      </w:tr>
      <w:tr w:rsidR="00D30238" w:rsidRPr="00AA19A8" w14:paraId="19D18315" w14:textId="77777777" w:rsidTr="00924D5A">
        <w:tc>
          <w:tcPr>
            <w:tcW w:w="1296" w:type="pct"/>
            <w:vMerge w:val="restart"/>
            <w:tcBorders>
              <w:top w:val="single" w:sz="6" w:space="0" w:color="auto"/>
              <w:left w:val="single" w:sz="4" w:space="0" w:color="auto"/>
            </w:tcBorders>
          </w:tcPr>
          <w:p w14:paraId="309A14FE" w14:textId="77777777" w:rsidR="00146165" w:rsidRPr="00AA19A8" w:rsidRDefault="00146165" w:rsidP="00146165">
            <w:pPr>
              <w:spacing w:before="0"/>
              <w:rPr>
                <w:rFonts w:ascii="Calibri" w:eastAsia="Calibri" w:hAnsi="Calibri" w:cs="Times New Roman"/>
                <w:b/>
                <w:bCs/>
                <w:lang w:val="sr-Cyrl-CS"/>
              </w:rPr>
            </w:pPr>
            <w:r w:rsidRPr="00AA19A8">
              <w:rPr>
                <w:rFonts w:ascii="Calibri" w:eastAsia="Calibri" w:hAnsi="Calibri" w:cs="Times New Roman"/>
                <w:b/>
                <w:bCs/>
                <w:lang w:val="sr-Cyrl-CS"/>
              </w:rPr>
              <w:t>Подаци о полазној вредности и години кад је измерена, као и о ранијем тренду</w:t>
            </w:r>
          </w:p>
        </w:tc>
        <w:tc>
          <w:tcPr>
            <w:tcW w:w="2595" w:type="pct"/>
            <w:gridSpan w:val="5"/>
            <w:tcBorders>
              <w:top w:val="single" w:sz="6" w:space="0" w:color="auto"/>
            </w:tcBorders>
            <w:vAlign w:val="center"/>
          </w:tcPr>
          <w:p w14:paraId="22242DD1"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lang w:val="sr-Cyrl-CS"/>
              </w:rPr>
              <w:t>Ранији тренд</w:t>
            </w:r>
          </w:p>
        </w:tc>
        <w:tc>
          <w:tcPr>
            <w:tcW w:w="1109" w:type="pct"/>
            <w:tcBorders>
              <w:top w:val="single" w:sz="6" w:space="0" w:color="auto"/>
              <w:right w:val="single" w:sz="4" w:space="0" w:color="auto"/>
            </w:tcBorders>
            <w:vAlign w:val="center"/>
          </w:tcPr>
          <w:p w14:paraId="60FE60B9"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lang w:val="sr-Cyrl-CS"/>
              </w:rPr>
              <w:t>Полазна вредност</w:t>
            </w:r>
          </w:p>
        </w:tc>
      </w:tr>
      <w:tr w:rsidR="00D30238" w:rsidRPr="00AA19A8" w14:paraId="52527F57" w14:textId="77777777" w:rsidTr="00924D5A">
        <w:tc>
          <w:tcPr>
            <w:tcW w:w="1296" w:type="pct"/>
            <w:vMerge/>
            <w:tcBorders>
              <w:left w:val="single" w:sz="4" w:space="0" w:color="auto"/>
            </w:tcBorders>
          </w:tcPr>
          <w:p w14:paraId="159E895C" w14:textId="77777777" w:rsidR="00146165" w:rsidRPr="00AA19A8" w:rsidRDefault="00146165" w:rsidP="00146165">
            <w:pPr>
              <w:spacing w:before="0"/>
              <w:rPr>
                <w:rFonts w:ascii="Calibri" w:eastAsia="Calibri" w:hAnsi="Calibri" w:cs="Times New Roman"/>
                <w:b/>
                <w:lang w:val="sr-Cyrl-CS"/>
              </w:rPr>
            </w:pPr>
          </w:p>
        </w:tc>
        <w:tc>
          <w:tcPr>
            <w:tcW w:w="755" w:type="pct"/>
          </w:tcPr>
          <w:p w14:paraId="7E0841E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2021.</w:t>
            </w:r>
          </w:p>
        </w:tc>
        <w:tc>
          <w:tcPr>
            <w:tcW w:w="673" w:type="pct"/>
          </w:tcPr>
          <w:p w14:paraId="1DD4E63B"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2022.</w:t>
            </w:r>
          </w:p>
        </w:tc>
        <w:tc>
          <w:tcPr>
            <w:tcW w:w="582" w:type="pct"/>
            <w:gridSpan w:val="2"/>
          </w:tcPr>
          <w:p w14:paraId="0B91189D"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2023.</w:t>
            </w:r>
          </w:p>
        </w:tc>
        <w:tc>
          <w:tcPr>
            <w:tcW w:w="585" w:type="pct"/>
          </w:tcPr>
          <w:p w14:paraId="5869F4D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2024.</w:t>
            </w:r>
          </w:p>
        </w:tc>
        <w:tc>
          <w:tcPr>
            <w:tcW w:w="1109" w:type="pct"/>
            <w:tcBorders>
              <w:right w:val="single" w:sz="4" w:space="0" w:color="auto"/>
            </w:tcBorders>
          </w:tcPr>
          <w:p w14:paraId="73E27940"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 xml:space="preserve">2025. </w:t>
            </w:r>
          </w:p>
        </w:tc>
      </w:tr>
      <w:tr w:rsidR="00D30238" w:rsidRPr="00AA19A8" w14:paraId="12564962" w14:textId="77777777" w:rsidTr="00924D5A">
        <w:tc>
          <w:tcPr>
            <w:tcW w:w="1296" w:type="pct"/>
            <w:vMerge/>
            <w:tcBorders>
              <w:left w:val="single" w:sz="4" w:space="0" w:color="auto"/>
            </w:tcBorders>
          </w:tcPr>
          <w:p w14:paraId="41EC0672" w14:textId="77777777" w:rsidR="00146165" w:rsidRPr="00AA19A8" w:rsidRDefault="00146165" w:rsidP="00146165">
            <w:pPr>
              <w:spacing w:before="0"/>
              <w:rPr>
                <w:rFonts w:ascii="Calibri" w:eastAsia="Calibri" w:hAnsi="Calibri" w:cs="Times New Roman"/>
                <w:b/>
                <w:lang w:val="sr-Cyrl-CS"/>
              </w:rPr>
            </w:pPr>
          </w:p>
        </w:tc>
        <w:tc>
          <w:tcPr>
            <w:tcW w:w="755" w:type="pct"/>
          </w:tcPr>
          <w:p w14:paraId="16C01517"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c>
          <w:tcPr>
            <w:tcW w:w="673" w:type="pct"/>
          </w:tcPr>
          <w:p w14:paraId="61F5C661"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c>
          <w:tcPr>
            <w:tcW w:w="582" w:type="pct"/>
            <w:gridSpan w:val="2"/>
          </w:tcPr>
          <w:p w14:paraId="2CC86BD4"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c>
          <w:tcPr>
            <w:tcW w:w="585" w:type="pct"/>
          </w:tcPr>
          <w:p w14:paraId="1FDD6FC5"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c>
          <w:tcPr>
            <w:tcW w:w="1109" w:type="pct"/>
            <w:tcBorders>
              <w:right w:val="single" w:sz="4" w:space="0" w:color="auto"/>
            </w:tcBorders>
          </w:tcPr>
          <w:p w14:paraId="0D15A48C" w14:textId="77777777" w:rsidR="00146165" w:rsidRPr="00AA19A8" w:rsidRDefault="00146165" w:rsidP="00146165">
            <w:pPr>
              <w:tabs>
                <w:tab w:val="right" w:pos="2140"/>
              </w:tabs>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r>
      <w:tr w:rsidR="00D30238" w:rsidRPr="00AA19A8" w14:paraId="7BF57371" w14:textId="77777777" w:rsidTr="00924D5A">
        <w:tc>
          <w:tcPr>
            <w:tcW w:w="1296" w:type="pct"/>
            <w:vMerge w:val="restart"/>
            <w:tcBorders>
              <w:left w:val="single" w:sz="4" w:space="0" w:color="auto"/>
            </w:tcBorders>
          </w:tcPr>
          <w:p w14:paraId="1349E2C3"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Подаци о циљној вредност</w:t>
            </w:r>
          </w:p>
        </w:tc>
        <w:tc>
          <w:tcPr>
            <w:tcW w:w="755" w:type="pct"/>
          </w:tcPr>
          <w:p w14:paraId="148D021F"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2026.</w:t>
            </w:r>
          </w:p>
        </w:tc>
        <w:tc>
          <w:tcPr>
            <w:tcW w:w="673" w:type="pct"/>
          </w:tcPr>
          <w:p w14:paraId="00972A5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2027.</w:t>
            </w:r>
          </w:p>
        </w:tc>
        <w:tc>
          <w:tcPr>
            <w:tcW w:w="582" w:type="pct"/>
            <w:gridSpan w:val="2"/>
          </w:tcPr>
          <w:p w14:paraId="42402598"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2028.</w:t>
            </w:r>
          </w:p>
        </w:tc>
        <w:tc>
          <w:tcPr>
            <w:tcW w:w="585" w:type="pct"/>
          </w:tcPr>
          <w:p w14:paraId="31EF17D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2029.</w:t>
            </w:r>
          </w:p>
        </w:tc>
        <w:tc>
          <w:tcPr>
            <w:tcW w:w="1109" w:type="pct"/>
            <w:tcBorders>
              <w:right w:val="single" w:sz="4" w:space="0" w:color="auto"/>
            </w:tcBorders>
          </w:tcPr>
          <w:p w14:paraId="3C71FCA1"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2030.</w:t>
            </w:r>
          </w:p>
        </w:tc>
      </w:tr>
      <w:tr w:rsidR="00D30238" w:rsidRPr="00AA19A8" w14:paraId="032CD562" w14:textId="77777777" w:rsidTr="00924D5A">
        <w:tc>
          <w:tcPr>
            <w:tcW w:w="1296" w:type="pct"/>
            <w:vMerge/>
            <w:tcBorders>
              <w:left w:val="single" w:sz="4" w:space="0" w:color="auto"/>
            </w:tcBorders>
          </w:tcPr>
          <w:p w14:paraId="125AB6C8" w14:textId="77777777" w:rsidR="00146165" w:rsidRPr="00AA19A8" w:rsidRDefault="00146165" w:rsidP="00146165">
            <w:pPr>
              <w:spacing w:before="0"/>
              <w:rPr>
                <w:rFonts w:ascii="Calibri" w:eastAsia="Calibri" w:hAnsi="Calibri" w:cs="Times New Roman"/>
                <w:b/>
                <w:lang w:val="sr-Cyrl-CS"/>
              </w:rPr>
            </w:pPr>
          </w:p>
        </w:tc>
        <w:tc>
          <w:tcPr>
            <w:tcW w:w="755" w:type="pct"/>
            <w:vAlign w:val="center"/>
          </w:tcPr>
          <w:p w14:paraId="3D22CC88"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w:t>
            </w:r>
          </w:p>
        </w:tc>
        <w:tc>
          <w:tcPr>
            <w:tcW w:w="673" w:type="pct"/>
            <w:vAlign w:val="center"/>
          </w:tcPr>
          <w:p w14:paraId="7B0D47E2" w14:textId="77777777" w:rsidR="00146165" w:rsidRPr="00AA19A8" w:rsidRDefault="00146165" w:rsidP="00146165">
            <w:pPr>
              <w:spacing w:line="256" w:lineRule="auto"/>
              <w:jc w:val="center"/>
              <w:rPr>
                <w:rFonts w:ascii="Calibri" w:eastAsia="Times New Roman" w:hAnsi="Calibri" w:cs="Times New Roman"/>
                <w:lang w:val="sr-Cyrl-CS"/>
              </w:rPr>
            </w:pPr>
            <w:r w:rsidRPr="00AA19A8">
              <w:rPr>
                <w:rFonts w:ascii="Calibri" w:eastAsia="Times New Roman" w:hAnsi="Calibri" w:cs="Times New Roman"/>
                <w:lang w:val="sr-Cyrl-CS"/>
              </w:rPr>
              <w:t>1</w:t>
            </w:r>
          </w:p>
        </w:tc>
        <w:tc>
          <w:tcPr>
            <w:tcW w:w="582" w:type="pct"/>
            <w:gridSpan w:val="2"/>
            <w:vAlign w:val="center"/>
          </w:tcPr>
          <w:p w14:paraId="478B981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c>
          <w:tcPr>
            <w:tcW w:w="585" w:type="pct"/>
            <w:vAlign w:val="center"/>
          </w:tcPr>
          <w:p w14:paraId="5155C4D4"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c>
          <w:tcPr>
            <w:tcW w:w="1109" w:type="pct"/>
            <w:tcBorders>
              <w:right w:val="single" w:sz="4" w:space="0" w:color="auto"/>
            </w:tcBorders>
            <w:vAlign w:val="center"/>
          </w:tcPr>
          <w:p w14:paraId="626CCE22" w14:textId="77777777" w:rsidR="00146165" w:rsidRPr="00AA19A8" w:rsidRDefault="00146165" w:rsidP="00146165">
            <w:pPr>
              <w:spacing w:before="0"/>
              <w:jc w:val="center"/>
              <w:rPr>
                <w:rFonts w:ascii="Calibri" w:eastAsia="Calibri" w:hAnsi="Calibri" w:cs="Times New Roman"/>
                <w:bCs/>
                <w:lang w:val="sr-Cyrl-CS"/>
              </w:rPr>
            </w:pPr>
            <w:r w:rsidRPr="00AA19A8">
              <w:rPr>
                <w:rFonts w:ascii="Calibri" w:eastAsia="Calibri" w:hAnsi="Calibri" w:cs="Times New Roman"/>
                <w:bCs/>
                <w:lang w:val="sr-Cyrl-CS"/>
              </w:rPr>
              <w:t>1</w:t>
            </w:r>
          </w:p>
        </w:tc>
      </w:tr>
      <w:tr w:rsidR="00146165" w:rsidRPr="00AA19A8" w14:paraId="734DA73F" w14:textId="77777777" w:rsidTr="00924D5A">
        <w:tc>
          <w:tcPr>
            <w:tcW w:w="1296" w:type="pct"/>
            <w:tcBorders>
              <w:left w:val="single" w:sz="4" w:space="0" w:color="auto"/>
              <w:bottom w:val="single" w:sz="4" w:space="0" w:color="auto"/>
            </w:tcBorders>
          </w:tcPr>
          <w:p w14:paraId="6A02BAB6" w14:textId="77777777" w:rsidR="00146165" w:rsidRPr="00AA19A8" w:rsidRDefault="00146165" w:rsidP="00146165">
            <w:pPr>
              <w:spacing w:before="0"/>
              <w:rPr>
                <w:rFonts w:ascii="Calibri" w:eastAsia="Calibri" w:hAnsi="Calibri" w:cs="Times New Roman"/>
                <w:b/>
                <w:lang w:val="sr-Cyrl-CS"/>
              </w:rPr>
            </w:pPr>
            <w:r w:rsidRPr="00AA19A8">
              <w:rPr>
                <w:rFonts w:ascii="Calibri" w:eastAsia="Calibri" w:hAnsi="Calibri" w:cs="Times New Roman"/>
                <w:b/>
                <w:lang w:val="sr-Cyrl-CS"/>
              </w:rPr>
              <w:t>Процена успешности:</w:t>
            </w:r>
          </w:p>
        </w:tc>
        <w:tc>
          <w:tcPr>
            <w:tcW w:w="3704" w:type="pct"/>
            <w:gridSpan w:val="6"/>
            <w:tcBorders>
              <w:bottom w:val="single" w:sz="4" w:space="0" w:color="auto"/>
              <w:right w:val="single" w:sz="4" w:space="0" w:color="auto"/>
            </w:tcBorders>
          </w:tcPr>
          <w:p w14:paraId="05C1B51C" w14:textId="77777777" w:rsidR="00146165" w:rsidRPr="00AA19A8" w:rsidRDefault="00146165" w:rsidP="00146165">
            <w:pPr>
              <w:tabs>
                <w:tab w:val="right" w:pos="2140"/>
              </w:tabs>
              <w:spacing w:before="0"/>
              <w:rPr>
                <w:rFonts w:ascii="Calibri" w:eastAsia="Calibri" w:hAnsi="Calibri" w:cs="Times New Roman"/>
                <w:bCs/>
                <w:lang w:val="sr-Cyrl-CS"/>
              </w:rPr>
            </w:pPr>
            <w:r w:rsidRPr="00AA19A8">
              <w:rPr>
                <w:rFonts w:ascii="Calibri" w:eastAsia="Calibri" w:hAnsi="Calibri" w:cs="Times New Roman"/>
                <w:bCs/>
                <w:lang w:val="sr-Cyrl-CS"/>
              </w:rPr>
              <w:t>Одступање није дозвољено.</w:t>
            </w:r>
          </w:p>
        </w:tc>
      </w:tr>
    </w:tbl>
    <w:p w14:paraId="0515FEF2" w14:textId="77777777" w:rsidR="00146165" w:rsidRPr="00AA19A8" w:rsidRDefault="00146165" w:rsidP="00146165">
      <w:pPr>
        <w:spacing w:after="120"/>
        <w:rPr>
          <w:rFonts w:ascii="Calibri" w:eastAsia="Times New Roman" w:hAnsi="Calibri" w:cs="Times New Roman"/>
          <w:b/>
          <w:bCs/>
          <w:lang w:val="sr-Cyrl-CS"/>
        </w:rPr>
      </w:pPr>
    </w:p>
    <w:p w14:paraId="37E2427C" w14:textId="77777777" w:rsidR="0088470A" w:rsidRPr="00AA19A8" w:rsidRDefault="0088470A" w:rsidP="0088470A">
      <w:pPr>
        <w:ind w:firstLine="708"/>
        <w:jc w:val="both"/>
        <w:rPr>
          <w:lang w:val="sr-Cyrl-CS"/>
        </w:rPr>
      </w:pPr>
    </w:p>
    <w:p w14:paraId="7E1D6E34" w14:textId="77777777" w:rsidR="0088470A" w:rsidRPr="00AA19A8" w:rsidRDefault="0088470A" w:rsidP="0088470A">
      <w:pPr>
        <w:ind w:firstLine="708"/>
        <w:jc w:val="both"/>
        <w:rPr>
          <w:rFonts w:ascii="Times New Roman" w:eastAsia="Times New Roman" w:hAnsi="Times New Roman" w:cs="Times New Roman"/>
          <w:i/>
          <w:shd w:val="clear" w:color="auto" w:fill="FFFFFF"/>
          <w:lang w:val="sr-Cyrl-CS"/>
        </w:rPr>
      </w:pPr>
    </w:p>
    <w:p w14:paraId="4A19B4F4" w14:textId="77777777" w:rsidR="0088470A" w:rsidRPr="00AA19A8" w:rsidRDefault="0088470A" w:rsidP="0088470A">
      <w:pPr>
        <w:jc w:val="both"/>
        <w:rPr>
          <w:rFonts w:ascii="Times New Roman" w:eastAsia="Times New Roman" w:hAnsi="Times New Roman" w:cs="Times New Roman"/>
          <w:i/>
          <w:shd w:val="clear" w:color="auto" w:fill="FFFFFF"/>
          <w:lang w:val="sr-Cyrl-CS"/>
        </w:rPr>
      </w:pPr>
    </w:p>
    <w:p w14:paraId="1104AB65" w14:textId="77777777" w:rsidR="006B65DC" w:rsidRPr="00AA19A8" w:rsidRDefault="006B65DC" w:rsidP="0088470A">
      <w:pPr>
        <w:jc w:val="both"/>
        <w:rPr>
          <w:rFonts w:ascii="Times New Roman" w:eastAsia="Times New Roman" w:hAnsi="Times New Roman" w:cs="Times New Roman"/>
          <w:i/>
          <w:shd w:val="clear" w:color="auto" w:fill="FFFFFF"/>
          <w:lang w:val="sr-Cyrl-CS"/>
        </w:rPr>
      </w:pPr>
    </w:p>
    <w:p w14:paraId="799287A7" w14:textId="77777777" w:rsidR="006B65DC" w:rsidRPr="00AA19A8" w:rsidRDefault="006B65DC" w:rsidP="0088470A">
      <w:pPr>
        <w:jc w:val="both"/>
        <w:rPr>
          <w:rFonts w:ascii="Times New Roman" w:eastAsia="Times New Roman" w:hAnsi="Times New Roman" w:cs="Times New Roman"/>
          <w:i/>
          <w:shd w:val="clear" w:color="auto" w:fill="FFFFFF"/>
          <w:lang w:val="sr-Cyrl-CS"/>
        </w:rPr>
      </w:pPr>
    </w:p>
    <w:p w14:paraId="7657783D" w14:textId="55660CAC" w:rsidR="006B65DC" w:rsidRPr="00AA19A8" w:rsidRDefault="006B65DC" w:rsidP="0088470A">
      <w:pPr>
        <w:jc w:val="both"/>
        <w:rPr>
          <w:rFonts w:ascii="Times New Roman" w:eastAsia="Times New Roman" w:hAnsi="Times New Roman" w:cs="Times New Roman"/>
          <w:i/>
          <w:shd w:val="clear" w:color="auto" w:fill="FFFFFF"/>
          <w:lang w:val="sr-Cyrl-CS"/>
        </w:rPr>
      </w:pPr>
    </w:p>
    <w:sectPr w:rsidR="006B65DC" w:rsidRPr="00AA19A8" w:rsidSect="00146165">
      <w:pgSz w:w="11906" w:h="16838" w:code="9"/>
      <w:pgMar w:top="1440" w:right="1440" w:bottom="1440" w:left="1440" w:header="43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00DE" w14:textId="77777777" w:rsidR="009F224A" w:rsidRPr="008F3809" w:rsidRDefault="009F224A" w:rsidP="007D6B29">
      <w:pPr>
        <w:spacing w:after="0" w:line="240" w:lineRule="auto"/>
      </w:pPr>
      <w:r w:rsidRPr="008F3809">
        <w:separator/>
      </w:r>
    </w:p>
  </w:endnote>
  <w:endnote w:type="continuationSeparator" w:id="0">
    <w:p w14:paraId="7B2414B4" w14:textId="77777777" w:rsidR="009F224A" w:rsidRPr="008F3809" w:rsidRDefault="009F224A" w:rsidP="007D6B29">
      <w:pPr>
        <w:spacing w:after="0" w:line="240" w:lineRule="auto"/>
      </w:pPr>
      <w:r w:rsidRPr="008F3809">
        <w:continuationSeparator/>
      </w:r>
    </w:p>
  </w:endnote>
  <w:endnote w:type="continuationNotice" w:id="1">
    <w:p w14:paraId="2543C724" w14:textId="77777777" w:rsidR="009F224A" w:rsidRPr="008F3809" w:rsidRDefault="009F22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Times">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boto-Regular">
    <w:panose1 w:val="00000000000000000000"/>
    <w:charset w:val="00"/>
    <w:family w:val="roman"/>
    <w:notTrueType/>
    <w:pitch w:val="default"/>
  </w:font>
  <w:font w:name="DejaVu Sans Mono">
    <w:altName w:val="Verdana"/>
    <w:charset w:val="00"/>
    <w:family w:val="modern"/>
    <w:pitch w:val="fixed"/>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Mono">
    <w:altName w:val="MS Gothic"/>
    <w:charset w:val="00"/>
    <w:family w:val="modern"/>
    <w:pitch w:val="fixed"/>
  </w:font>
  <w:font w:name="DejaVu Sans">
    <w:altName w:val="Verdan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iberation Serif">
    <w:altName w:val="Times New Roman"/>
    <w:charset w:val="EE"/>
    <w:family w:val="roman"/>
    <w:pitch w:val="variable"/>
  </w:font>
  <w:font w:name="FreeSans">
    <w:altName w:val="MS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Narrow">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06716"/>
      <w:docPartObj>
        <w:docPartGallery w:val="Page Numbers (Bottom of Page)"/>
        <w:docPartUnique/>
      </w:docPartObj>
    </w:sdtPr>
    <w:sdtContent>
      <w:p w14:paraId="4AC7BADE" w14:textId="4D5C8D2D" w:rsidR="00BB001A" w:rsidRPr="008F3809" w:rsidRDefault="00BB001A">
        <w:pPr>
          <w:pStyle w:val="Footer"/>
          <w:jc w:val="center"/>
        </w:pPr>
        <w:r w:rsidRPr="008F3809">
          <w:fldChar w:fldCharType="begin"/>
        </w:r>
        <w:r w:rsidRPr="008F3809">
          <w:instrText xml:space="preserve"> PAGE   \* MERGEFORMAT </w:instrText>
        </w:r>
        <w:r w:rsidRPr="008F3809">
          <w:fldChar w:fldCharType="separate"/>
        </w:r>
        <w:r w:rsidR="00AF0FE3">
          <w:rPr>
            <w:noProof/>
          </w:rPr>
          <w:t>94</w:t>
        </w:r>
        <w:r w:rsidRPr="008F3809">
          <w:fldChar w:fldCharType="end"/>
        </w:r>
      </w:p>
    </w:sdtContent>
  </w:sdt>
  <w:p w14:paraId="6B58ACD0" w14:textId="77777777" w:rsidR="00BB001A" w:rsidRPr="008F3809" w:rsidRDefault="00BB001A">
    <w:pPr>
      <w:pStyle w:val="Footer"/>
    </w:pPr>
  </w:p>
  <w:p w14:paraId="43EAA36B" w14:textId="77777777" w:rsidR="00BB001A" w:rsidRPr="008F3809" w:rsidRDefault="00BB00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BFDD" w14:textId="77777777" w:rsidR="009F224A" w:rsidRPr="008F3809" w:rsidRDefault="009F224A" w:rsidP="007D6B29">
      <w:pPr>
        <w:spacing w:after="0" w:line="240" w:lineRule="auto"/>
      </w:pPr>
      <w:r w:rsidRPr="008F3809">
        <w:separator/>
      </w:r>
    </w:p>
  </w:footnote>
  <w:footnote w:type="continuationSeparator" w:id="0">
    <w:p w14:paraId="2D429A99" w14:textId="77777777" w:rsidR="009F224A" w:rsidRPr="008F3809" w:rsidRDefault="009F224A" w:rsidP="007D6B29">
      <w:pPr>
        <w:spacing w:after="0" w:line="240" w:lineRule="auto"/>
      </w:pPr>
      <w:r w:rsidRPr="008F3809">
        <w:continuationSeparator/>
      </w:r>
    </w:p>
  </w:footnote>
  <w:footnote w:type="continuationNotice" w:id="1">
    <w:p w14:paraId="5E72DAA2" w14:textId="77777777" w:rsidR="009F224A" w:rsidRPr="008F3809" w:rsidRDefault="009F224A">
      <w:pPr>
        <w:spacing w:before="0" w:after="0" w:line="240" w:lineRule="auto"/>
      </w:pPr>
    </w:p>
  </w:footnote>
  <w:footnote w:id="2">
    <w:p w14:paraId="40E3821B" w14:textId="77777777" w:rsidR="00BB001A" w:rsidRDefault="00BB001A" w:rsidP="00F617BE">
      <w:pPr>
        <w:pStyle w:val="FootnoteText"/>
      </w:pPr>
      <w:r>
        <w:rPr>
          <w:rStyle w:val="FootnoteReference"/>
        </w:rPr>
        <w:footnoteRef/>
      </w:r>
      <w:r>
        <w:t xml:space="preserve"> </w:t>
      </w:r>
      <w:r w:rsidRPr="001D3BC9">
        <w:t>TAIEX</w:t>
      </w:r>
      <w:r w:rsidRPr="001D3BC9">
        <w:rPr>
          <w:lang w:val="sr-Latn-ME"/>
        </w:rPr>
        <w:t xml:space="preserve"> подршка се реализује кроз техничку помоћ коју директно финансира Европска комисија, без додељивања унапред дефинисаног буџета корисничкој институцији. </w:t>
      </w:r>
      <w:r>
        <w:t xml:space="preserve">У пракси то подразумева добијање </w:t>
      </w:r>
      <w:r w:rsidRPr="001D3BC9">
        <w:t>експертск</w:t>
      </w:r>
      <w:r>
        <w:t>е</w:t>
      </w:r>
      <w:r w:rsidRPr="001D3BC9">
        <w:t xml:space="preserve"> подршк</w:t>
      </w:r>
      <w:r>
        <w:t>е</w:t>
      </w:r>
      <w:r w:rsidRPr="001D3BC9">
        <w:t>, а не финансијск</w:t>
      </w:r>
      <w:r>
        <w:t>их</w:t>
      </w:r>
      <w:r w:rsidRPr="001D3BC9">
        <w:t xml:space="preserve"> средст</w:t>
      </w:r>
      <w:r>
        <w:t>ава.</w:t>
      </w:r>
    </w:p>
  </w:footnote>
  <w:footnote w:id="3">
    <w:p w14:paraId="73030F16" w14:textId="77777777" w:rsidR="00BB001A" w:rsidRPr="00E31AD0" w:rsidRDefault="00BB001A" w:rsidP="00F617BE">
      <w:pPr>
        <w:pStyle w:val="FootnoteText"/>
      </w:pPr>
      <w:r>
        <w:rPr>
          <w:rStyle w:val="FootnoteReference"/>
        </w:rPr>
        <w:footnoteRef/>
      </w:r>
      <w:r>
        <w:t xml:space="preserve"> </w:t>
      </w:r>
      <w:r>
        <w:t>ИДИ – Развојна иницијатива ИНТОСАИ (Међународне организације врховних ревизорских институција)</w:t>
      </w:r>
    </w:p>
  </w:footnote>
  <w:footnote w:id="4">
    <w:p w14:paraId="5766B18E" w14:textId="77777777" w:rsidR="00BB001A" w:rsidRPr="00E31AD0" w:rsidRDefault="00BB001A" w:rsidP="00F617BE">
      <w:pPr>
        <w:pStyle w:val="FootnoteText"/>
      </w:pPr>
      <w:r>
        <w:rPr>
          <w:rStyle w:val="FootnoteReference"/>
        </w:rPr>
        <w:footnoteRef/>
      </w:r>
      <w:r>
        <w:t xml:space="preserve"> </w:t>
      </w:r>
      <w:r>
        <w:t xml:space="preserve">ЕУРОСАИ </w:t>
      </w:r>
      <w:r>
        <w:t>– Европска организација врховних ревизорских институција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D4"/>
      </v:shape>
    </w:pict>
  </w:numPicBullet>
  <w:abstractNum w:abstractNumId="0" w15:restartNumberingAfterBreak="0">
    <w:nsid w:val="FFFFFF89"/>
    <w:multiLevelType w:val="singleLevel"/>
    <w:tmpl w:val="BD145C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A048C"/>
    <w:multiLevelType w:val="hybridMultilevel"/>
    <w:tmpl w:val="82FA5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C27B2"/>
    <w:multiLevelType w:val="hybridMultilevel"/>
    <w:tmpl w:val="2A4A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5FA7"/>
    <w:multiLevelType w:val="hybridMultilevel"/>
    <w:tmpl w:val="051C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74F05"/>
    <w:multiLevelType w:val="hybridMultilevel"/>
    <w:tmpl w:val="2A4A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A5B39"/>
    <w:multiLevelType w:val="hybridMultilevel"/>
    <w:tmpl w:val="E564EB6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1297EA8"/>
    <w:multiLevelType w:val="hybridMultilevel"/>
    <w:tmpl w:val="9DA2F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A2841"/>
    <w:multiLevelType w:val="hybridMultilevel"/>
    <w:tmpl w:val="DAF2FD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05CA9"/>
    <w:multiLevelType w:val="hybridMultilevel"/>
    <w:tmpl w:val="42423320"/>
    <w:lvl w:ilvl="0" w:tplc="D28835AC">
      <w:start w:val="1"/>
      <w:numFmt w:val="decimal"/>
      <w:pStyle w:val="ParagraphNumbering"/>
      <w:lvlText w:val="%1.     "/>
      <w:lvlJc w:val="left"/>
      <w:pPr>
        <w:tabs>
          <w:tab w:val="num" w:pos="1260"/>
        </w:tabs>
        <w:ind w:left="54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C155D7"/>
    <w:multiLevelType w:val="hybridMultilevel"/>
    <w:tmpl w:val="2A4A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77384"/>
    <w:multiLevelType w:val="hybridMultilevel"/>
    <w:tmpl w:val="9D12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44564"/>
    <w:multiLevelType w:val="hybridMultilevel"/>
    <w:tmpl w:val="B1F6BB26"/>
    <w:lvl w:ilvl="0" w:tplc="6178AF76">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70EA7"/>
    <w:multiLevelType w:val="hybridMultilevel"/>
    <w:tmpl w:val="7D50E81C"/>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2606448"/>
    <w:multiLevelType w:val="multilevel"/>
    <w:tmpl w:val="A6E4EC1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C11367"/>
    <w:multiLevelType w:val="hybridMultilevel"/>
    <w:tmpl w:val="39780398"/>
    <w:lvl w:ilvl="0" w:tplc="4C5E19C2">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44F91"/>
    <w:multiLevelType w:val="hybridMultilevel"/>
    <w:tmpl w:val="DA5452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F0A49"/>
    <w:multiLevelType w:val="hybridMultilevel"/>
    <w:tmpl w:val="93AA524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7" w15:restartNumberingAfterBreak="0">
    <w:nsid w:val="348E79B0"/>
    <w:multiLevelType w:val="hybridMultilevel"/>
    <w:tmpl w:val="BB1CB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06749"/>
    <w:multiLevelType w:val="hybridMultilevel"/>
    <w:tmpl w:val="6A0851EE"/>
    <w:lvl w:ilvl="0" w:tplc="04090007">
      <w:start w:val="1"/>
      <w:numFmt w:val="bullet"/>
      <w:lvlText w:val=""/>
      <w:lvlPicBulletId w:val="0"/>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A271974"/>
    <w:multiLevelType w:val="hybridMultilevel"/>
    <w:tmpl w:val="EC64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D6B45"/>
    <w:multiLevelType w:val="hybridMultilevel"/>
    <w:tmpl w:val="9DEC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3E27EFB"/>
    <w:multiLevelType w:val="multilevel"/>
    <w:tmpl w:val="864C839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C96157"/>
    <w:multiLevelType w:val="hybridMultilevel"/>
    <w:tmpl w:val="1A20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7119A"/>
    <w:multiLevelType w:val="hybridMultilevel"/>
    <w:tmpl w:val="C7FA6B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476F3947"/>
    <w:multiLevelType w:val="hybridMultilevel"/>
    <w:tmpl w:val="3FE8018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6" w15:restartNumberingAfterBreak="0">
    <w:nsid w:val="48B1029E"/>
    <w:multiLevelType w:val="multilevel"/>
    <w:tmpl w:val="41BE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975D8A"/>
    <w:multiLevelType w:val="hybridMultilevel"/>
    <w:tmpl w:val="6F0C9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E55BC8"/>
    <w:multiLevelType w:val="hybridMultilevel"/>
    <w:tmpl w:val="9DEC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85CFF"/>
    <w:multiLevelType w:val="hybridMultilevel"/>
    <w:tmpl w:val="10248B50"/>
    <w:lvl w:ilvl="0" w:tplc="AC8642C6">
      <w:start w:val="202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5B117C"/>
    <w:multiLevelType w:val="hybridMultilevel"/>
    <w:tmpl w:val="B1942A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27C6A8C"/>
    <w:multiLevelType w:val="hybridMultilevel"/>
    <w:tmpl w:val="F7643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62A36"/>
    <w:multiLevelType w:val="multilevel"/>
    <w:tmpl w:val="0ED2E2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0C31DE"/>
    <w:multiLevelType w:val="multilevel"/>
    <w:tmpl w:val="528ACAE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6E83575E"/>
    <w:multiLevelType w:val="multilevel"/>
    <w:tmpl w:val="0E7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D6FF0"/>
    <w:multiLevelType w:val="multilevel"/>
    <w:tmpl w:val="1A84A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F7590"/>
    <w:multiLevelType w:val="hybridMultilevel"/>
    <w:tmpl w:val="D7044BCE"/>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7" w15:restartNumberingAfterBreak="0">
    <w:nsid w:val="717451FE"/>
    <w:multiLevelType w:val="hybridMultilevel"/>
    <w:tmpl w:val="A33E036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F1376"/>
    <w:multiLevelType w:val="multilevel"/>
    <w:tmpl w:val="7A1E3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4583B"/>
    <w:multiLevelType w:val="multilevel"/>
    <w:tmpl w:val="21D8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FA3FD0"/>
    <w:multiLevelType w:val="hybridMultilevel"/>
    <w:tmpl w:val="04A6B77E"/>
    <w:lvl w:ilvl="0" w:tplc="3DFE8AF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544BD2"/>
    <w:multiLevelType w:val="multilevel"/>
    <w:tmpl w:val="D4FA0A5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1141919888">
    <w:abstractNumId w:val="21"/>
  </w:num>
  <w:num w:numId="2" w16cid:durableId="2015645902">
    <w:abstractNumId w:val="7"/>
  </w:num>
  <w:num w:numId="3" w16cid:durableId="500506681">
    <w:abstractNumId w:val="37"/>
  </w:num>
  <w:num w:numId="4" w16cid:durableId="298850450">
    <w:abstractNumId w:val="33"/>
  </w:num>
  <w:num w:numId="5" w16cid:durableId="1590315117">
    <w:abstractNumId w:val="11"/>
  </w:num>
  <w:num w:numId="6" w16cid:durableId="122315324">
    <w:abstractNumId w:val="10"/>
  </w:num>
  <w:num w:numId="7" w16cid:durableId="1754080689">
    <w:abstractNumId w:val="23"/>
  </w:num>
  <w:num w:numId="8" w16cid:durableId="804737822">
    <w:abstractNumId w:val="8"/>
  </w:num>
  <w:num w:numId="9" w16cid:durableId="1201017046">
    <w:abstractNumId w:val="0"/>
  </w:num>
  <w:num w:numId="10" w16cid:durableId="1422721969">
    <w:abstractNumId w:val="17"/>
  </w:num>
  <w:num w:numId="11" w16cid:durableId="837817317">
    <w:abstractNumId w:val="18"/>
  </w:num>
  <w:num w:numId="12" w16cid:durableId="14015131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922256">
    <w:abstractNumId w:val="31"/>
  </w:num>
  <w:num w:numId="14" w16cid:durableId="1111778539">
    <w:abstractNumId w:val="15"/>
  </w:num>
  <w:num w:numId="15" w16cid:durableId="508174698">
    <w:abstractNumId w:val="32"/>
  </w:num>
  <w:num w:numId="16" w16cid:durableId="916208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79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0085699">
    <w:abstractNumId w:val="40"/>
  </w:num>
  <w:num w:numId="19" w16cid:durableId="1467895229">
    <w:abstractNumId w:val="24"/>
  </w:num>
  <w:num w:numId="20" w16cid:durableId="1976838695">
    <w:abstractNumId w:val="30"/>
  </w:num>
  <w:num w:numId="21" w16cid:durableId="1167744862">
    <w:abstractNumId w:val="13"/>
  </w:num>
  <w:num w:numId="22" w16cid:durableId="1601182194">
    <w:abstractNumId w:val="22"/>
    <w:lvlOverride w:ilvl="0">
      <w:lvl w:ilvl="0">
        <w:numFmt w:val="decimal"/>
        <w:lvlText w:val="%1."/>
        <w:lvlJc w:val="left"/>
      </w:lvl>
    </w:lvlOverride>
  </w:num>
  <w:num w:numId="23" w16cid:durableId="250705823">
    <w:abstractNumId w:val="38"/>
  </w:num>
  <w:num w:numId="24" w16cid:durableId="1602566429">
    <w:abstractNumId w:val="5"/>
  </w:num>
  <w:num w:numId="25" w16cid:durableId="1277827465">
    <w:abstractNumId w:val="35"/>
  </w:num>
  <w:num w:numId="26" w16cid:durableId="571625324">
    <w:abstractNumId w:val="16"/>
  </w:num>
  <w:num w:numId="27" w16cid:durableId="1352683418">
    <w:abstractNumId w:val="29"/>
  </w:num>
  <w:num w:numId="28" w16cid:durableId="1255014963">
    <w:abstractNumId w:val="39"/>
  </w:num>
  <w:num w:numId="29" w16cid:durableId="934634244">
    <w:abstractNumId w:val="3"/>
  </w:num>
  <w:num w:numId="30" w16cid:durableId="1909731637">
    <w:abstractNumId w:val="1"/>
  </w:num>
  <w:num w:numId="31" w16cid:durableId="407046042">
    <w:abstractNumId w:val="4"/>
  </w:num>
  <w:num w:numId="32" w16cid:durableId="1928348862">
    <w:abstractNumId w:val="2"/>
  </w:num>
  <w:num w:numId="33" w16cid:durableId="1985547324">
    <w:abstractNumId w:val="9"/>
  </w:num>
  <w:num w:numId="34" w16cid:durableId="526599602">
    <w:abstractNumId w:val="28"/>
  </w:num>
  <w:num w:numId="35" w16cid:durableId="1507280549">
    <w:abstractNumId w:val="20"/>
  </w:num>
  <w:num w:numId="36" w16cid:durableId="439763475">
    <w:abstractNumId w:val="14"/>
  </w:num>
  <w:num w:numId="37" w16cid:durableId="13383637">
    <w:abstractNumId w:val="19"/>
  </w:num>
  <w:num w:numId="38" w16cid:durableId="963580133">
    <w:abstractNumId w:val="34"/>
  </w:num>
  <w:num w:numId="39" w16cid:durableId="2080518179">
    <w:abstractNumId w:val="26"/>
  </w:num>
  <w:num w:numId="40" w16cid:durableId="1034766984">
    <w:abstractNumId w:val="12"/>
  </w:num>
  <w:num w:numId="41" w16cid:durableId="1366059525">
    <w:abstractNumId w:val="36"/>
  </w:num>
  <w:num w:numId="42" w16cid:durableId="1453859536">
    <w:abstractNumId w:val="6"/>
  </w:num>
  <w:num w:numId="43" w16cid:durableId="145597610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29"/>
    <w:rsid w:val="000004BE"/>
    <w:rsid w:val="00000851"/>
    <w:rsid w:val="00000957"/>
    <w:rsid w:val="00000BA5"/>
    <w:rsid w:val="000011EB"/>
    <w:rsid w:val="00001817"/>
    <w:rsid w:val="0000259A"/>
    <w:rsid w:val="00002808"/>
    <w:rsid w:val="00002ACB"/>
    <w:rsid w:val="00002D91"/>
    <w:rsid w:val="00003065"/>
    <w:rsid w:val="00003251"/>
    <w:rsid w:val="000032D2"/>
    <w:rsid w:val="00003481"/>
    <w:rsid w:val="000038E4"/>
    <w:rsid w:val="00003FA8"/>
    <w:rsid w:val="00004D42"/>
    <w:rsid w:val="00004EB6"/>
    <w:rsid w:val="00005039"/>
    <w:rsid w:val="000052E7"/>
    <w:rsid w:val="000065E3"/>
    <w:rsid w:val="000066BF"/>
    <w:rsid w:val="0000692E"/>
    <w:rsid w:val="00006E86"/>
    <w:rsid w:val="00006F6F"/>
    <w:rsid w:val="000070E9"/>
    <w:rsid w:val="0000741C"/>
    <w:rsid w:val="00007458"/>
    <w:rsid w:val="00007793"/>
    <w:rsid w:val="00007E0B"/>
    <w:rsid w:val="00010971"/>
    <w:rsid w:val="00010987"/>
    <w:rsid w:val="00010C04"/>
    <w:rsid w:val="00010CE7"/>
    <w:rsid w:val="00010F1B"/>
    <w:rsid w:val="000110FF"/>
    <w:rsid w:val="00011580"/>
    <w:rsid w:val="0001198A"/>
    <w:rsid w:val="00011E7E"/>
    <w:rsid w:val="00012177"/>
    <w:rsid w:val="000125F1"/>
    <w:rsid w:val="00012D3F"/>
    <w:rsid w:val="000138B4"/>
    <w:rsid w:val="000138E9"/>
    <w:rsid w:val="00013FF2"/>
    <w:rsid w:val="000140FE"/>
    <w:rsid w:val="000143EE"/>
    <w:rsid w:val="00014523"/>
    <w:rsid w:val="0001453B"/>
    <w:rsid w:val="00014822"/>
    <w:rsid w:val="00014985"/>
    <w:rsid w:val="00014D12"/>
    <w:rsid w:val="00014EF2"/>
    <w:rsid w:val="000150CE"/>
    <w:rsid w:val="00015112"/>
    <w:rsid w:val="000151DD"/>
    <w:rsid w:val="00015479"/>
    <w:rsid w:val="00015DC7"/>
    <w:rsid w:val="0001602C"/>
    <w:rsid w:val="00016C5E"/>
    <w:rsid w:val="00016DF0"/>
    <w:rsid w:val="0001701A"/>
    <w:rsid w:val="00017D66"/>
    <w:rsid w:val="00017FB4"/>
    <w:rsid w:val="00020857"/>
    <w:rsid w:val="000208B4"/>
    <w:rsid w:val="00020C31"/>
    <w:rsid w:val="0002177B"/>
    <w:rsid w:val="00021E43"/>
    <w:rsid w:val="00021F6D"/>
    <w:rsid w:val="000221EF"/>
    <w:rsid w:val="00022740"/>
    <w:rsid w:val="00022DD0"/>
    <w:rsid w:val="00023B2B"/>
    <w:rsid w:val="00023CA9"/>
    <w:rsid w:val="00023EE1"/>
    <w:rsid w:val="00023FDA"/>
    <w:rsid w:val="00023FF2"/>
    <w:rsid w:val="00024500"/>
    <w:rsid w:val="00024FE0"/>
    <w:rsid w:val="0002643D"/>
    <w:rsid w:val="00026657"/>
    <w:rsid w:val="00026DF3"/>
    <w:rsid w:val="00027DB3"/>
    <w:rsid w:val="00030506"/>
    <w:rsid w:val="00030E6C"/>
    <w:rsid w:val="00031049"/>
    <w:rsid w:val="000312CA"/>
    <w:rsid w:val="00031570"/>
    <w:rsid w:val="0003197F"/>
    <w:rsid w:val="00031AF3"/>
    <w:rsid w:val="00031BDC"/>
    <w:rsid w:val="0003277C"/>
    <w:rsid w:val="00032C0E"/>
    <w:rsid w:val="00032FB8"/>
    <w:rsid w:val="000332D9"/>
    <w:rsid w:val="0003339F"/>
    <w:rsid w:val="0003371F"/>
    <w:rsid w:val="000341E9"/>
    <w:rsid w:val="00034445"/>
    <w:rsid w:val="00034BA2"/>
    <w:rsid w:val="00034E82"/>
    <w:rsid w:val="000358B2"/>
    <w:rsid w:val="00035A83"/>
    <w:rsid w:val="00035A93"/>
    <w:rsid w:val="0003612D"/>
    <w:rsid w:val="000365FE"/>
    <w:rsid w:val="00036EC6"/>
    <w:rsid w:val="00036FD8"/>
    <w:rsid w:val="000370B8"/>
    <w:rsid w:val="000372F6"/>
    <w:rsid w:val="00037D70"/>
    <w:rsid w:val="00040009"/>
    <w:rsid w:val="00040155"/>
    <w:rsid w:val="00040787"/>
    <w:rsid w:val="000409BD"/>
    <w:rsid w:val="00040B2F"/>
    <w:rsid w:val="00040D94"/>
    <w:rsid w:val="00041307"/>
    <w:rsid w:val="000428D9"/>
    <w:rsid w:val="00042F9F"/>
    <w:rsid w:val="00043066"/>
    <w:rsid w:val="000432F2"/>
    <w:rsid w:val="000433AF"/>
    <w:rsid w:val="00043550"/>
    <w:rsid w:val="00043C29"/>
    <w:rsid w:val="00043D81"/>
    <w:rsid w:val="00044ADB"/>
    <w:rsid w:val="00044E9C"/>
    <w:rsid w:val="00045068"/>
    <w:rsid w:val="00045710"/>
    <w:rsid w:val="00045B77"/>
    <w:rsid w:val="00045CB1"/>
    <w:rsid w:val="00046B2B"/>
    <w:rsid w:val="00046B65"/>
    <w:rsid w:val="000470CE"/>
    <w:rsid w:val="000473AA"/>
    <w:rsid w:val="000476C0"/>
    <w:rsid w:val="00047DE7"/>
    <w:rsid w:val="0005080D"/>
    <w:rsid w:val="00050A2C"/>
    <w:rsid w:val="00051AC5"/>
    <w:rsid w:val="00051D5E"/>
    <w:rsid w:val="00051FFF"/>
    <w:rsid w:val="0005273D"/>
    <w:rsid w:val="00052E0F"/>
    <w:rsid w:val="00053051"/>
    <w:rsid w:val="00053797"/>
    <w:rsid w:val="00053CE7"/>
    <w:rsid w:val="00054755"/>
    <w:rsid w:val="00054A63"/>
    <w:rsid w:val="00054FF0"/>
    <w:rsid w:val="000551C8"/>
    <w:rsid w:val="0005532E"/>
    <w:rsid w:val="0005566E"/>
    <w:rsid w:val="00055B50"/>
    <w:rsid w:val="00055CCB"/>
    <w:rsid w:val="00055D2D"/>
    <w:rsid w:val="00055E14"/>
    <w:rsid w:val="00056A94"/>
    <w:rsid w:val="00056CE9"/>
    <w:rsid w:val="00057631"/>
    <w:rsid w:val="00057939"/>
    <w:rsid w:val="00060301"/>
    <w:rsid w:val="00061054"/>
    <w:rsid w:val="00061E9A"/>
    <w:rsid w:val="00062188"/>
    <w:rsid w:val="0006253C"/>
    <w:rsid w:val="00062A72"/>
    <w:rsid w:val="00062CED"/>
    <w:rsid w:val="00062E07"/>
    <w:rsid w:val="00062E2A"/>
    <w:rsid w:val="00062F15"/>
    <w:rsid w:val="000630ED"/>
    <w:rsid w:val="00064977"/>
    <w:rsid w:val="00064B74"/>
    <w:rsid w:val="00064DBC"/>
    <w:rsid w:val="00064F1A"/>
    <w:rsid w:val="00064F24"/>
    <w:rsid w:val="000656BD"/>
    <w:rsid w:val="0006580D"/>
    <w:rsid w:val="000659F8"/>
    <w:rsid w:val="00065DB1"/>
    <w:rsid w:val="00066178"/>
    <w:rsid w:val="00066A22"/>
    <w:rsid w:val="00066E28"/>
    <w:rsid w:val="00066E89"/>
    <w:rsid w:val="00067329"/>
    <w:rsid w:val="0006754F"/>
    <w:rsid w:val="00067822"/>
    <w:rsid w:val="00067A2C"/>
    <w:rsid w:val="00067C14"/>
    <w:rsid w:val="00067DF3"/>
    <w:rsid w:val="0007017D"/>
    <w:rsid w:val="000708F5"/>
    <w:rsid w:val="00070E4E"/>
    <w:rsid w:val="00070E58"/>
    <w:rsid w:val="000713DC"/>
    <w:rsid w:val="000713F4"/>
    <w:rsid w:val="000726FF"/>
    <w:rsid w:val="00072C42"/>
    <w:rsid w:val="00072CC7"/>
    <w:rsid w:val="00072ECC"/>
    <w:rsid w:val="00072EF7"/>
    <w:rsid w:val="0007317B"/>
    <w:rsid w:val="00073184"/>
    <w:rsid w:val="000734C3"/>
    <w:rsid w:val="00073AD2"/>
    <w:rsid w:val="000740BD"/>
    <w:rsid w:val="00074777"/>
    <w:rsid w:val="00074CEF"/>
    <w:rsid w:val="00074EF7"/>
    <w:rsid w:val="00074FE4"/>
    <w:rsid w:val="00074FFE"/>
    <w:rsid w:val="000750AD"/>
    <w:rsid w:val="00075979"/>
    <w:rsid w:val="00075F40"/>
    <w:rsid w:val="000765BD"/>
    <w:rsid w:val="00077AAF"/>
    <w:rsid w:val="00077EBB"/>
    <w:rsid w:val="0008066B"/>
    <w:rsid w:val="000809F5"/>
    <w:rsid w:val="000811C4"/>
    <w:rsid w:val="00081258"/>
    <w:rsid w:val="00081AC2"/>
    <w:rsid w:val="00081B32"/>
    <w:rsid w:val="00081F02"/>
    <w:rsid w:val="00081FA1"/>
    <w:rsid w:val="00082214"/>
    <w:rsid w:val="00082246"/>
    <w:rsid w:val="00082CDA"/>
    <w:rsid w:val="0008302C"/>
    <w:rsid w:val="000830B6"/>
    <w:rsid w:val="0008312A"/>
    <w:rsid w:val="0008381D"/>
    <w:rsid w:val="00083C0B"/>
    <w:rsid w:val="000846BE"/>
    <w:rsid w:val="00084955"/>
    <w:rsid w:val="00084B75"/>
    <w:rsid w:val="000866D7"/>
    <w:rsid w:val="0008698D"/>
    <w:rsid w:val="00087CD4"/>
    <w:rsid w:val="00087ECD"/>
    <w:rsid w:val="000901D9"/>
    <w:rsid w:val="00090B79"/>
    <w:rsid w:val="00090CBA"/>
    <w:rsid w:val="00090F6B"/>
    <w:rsid w:val="0009149A"/>
    <w:rsid w:val="00091516"/>
    <w:rsid w:val="0009174C"/>
    <w:rsid w:val="0009210D"/>
    <w:rsid w:val="00092464"/>
    <w:rsid w:val="0009311A"/>
    <w:rsid w:val="000940CD"/>
    <w:rsid w:val="000941A9"/>
    <w:rsid w:val="0009423C"/>
    <w:rsid w:val="00094490"/>
    <w:rsid w:val="00094B9F"/>
    <w:rsid w:val="0009529E"/>
    <w:rsid w:val="00095431"/>
    <w:rsid w:val="00095CCD"/>
    <w:rsid w:val="00096023"/>
    <w:rsid w:val="00096507"/>
    <w:rsid w:val="000965EC"/>
    <w:rsid w:val="0009660A"/>
    <w:rsid w:val="000967F9"/>
    <w:rsid w:val="000969A5"/>
    <w:rsid w:val="00096A4D"/>
    <w:rsid w:val="00096D2A"/>
    <w:rsid w:val="000971BE"/>
    <w:rsid w:val="000971F1"/>
    <w:rsid w:val="000973CD"/>
    <w:rsid w:val="00097786"/>
    <w:rsid w:val="00097BD3"/>
    <w:rsid w:val="00097DD6"/>
    <w:rsid w:val="00097DEC"/>
    <w:rsid w:val="000A0122"/>
    <w:rsid w:val="000A095F"/>
    <w:rsid w:val="000A0A73"/>
    <w:rsid w:val="000A0B1C"/>
    <w:rsid w:val="000A0BB1"/>
    <w:rsid w:val="000A11A0"/>
    <w:rsid w:val="000A1616"/>
    <w:rsid w:val="000A17FF"/>
    <w:rsid w:val="000A249A"/>
    <w:rsid w:val="000A2A00"/>
    <w:rsid w:val="000A3875"/>
    <w:rsid w:val="000A3ED7"/>
    <w:rsid w:val="000A401E"/>
    <w:rsid w:val="000A481D"/>
    <w:rsid w:val="000A4844"/>
    <w:rsid w:val="000A4B39"/>
    <w:rsid w:val="000A681A"/>
    <w:rsid w:val="000A69FF"/>
    <w:rsid w:val="000A6D58"/>
    <w:rsid w:val="000A6D8A"/>
    <w:rsid w:val="000A7729"/>
    <w:rsid w:val="000A7870"/>
    <w:rsid w:val="000A7AE8"/>
    <w:rsid w:val="000A7D6E"/>
    <w:rsid w:val="000B0550"/>
    <w:rsid w:val="000B1210"/>
    <w:rsid w:val="000B1450"/>
    <w:rsid w:val="000B1464"/>
    <w:rsid w:val="000B1BA4"/>
    <w:rsid w:val="000B1F5F"/>
    <w:rsid w:val="000B1FEC"/>
    <w:rsid w:val="000B21E4"/>
    <w:rsid w:val="000B2401"/>
    <w:rsid w:val="000B2ACE"/>
    <w:rsid w:val="000B2EE4"/>
    <w:rsid w:val="000B2FC4"/>
    <w:rsid w:val="000B309B"/>
    <w:rsid w:val="000B34DE"/>
    <w:rsid w:val="000B35BF"/>
    <w:rsid w:val="000B3AFF"/>
    <w:rsid w:val="000B3CAF"/>
    <w:rsid w:val="000B4190"/>
    <w:rsid w:val="000B4374"/>
    <w:rsid w:val="000B4557"/>
    <w:rsid w:val="000B4A62"/>
    <w:rsid w:val="000B4B65"/>
    <w:rsid w:val="000B4B9F"/>
    <w:rsid w:val="000B52C1"/>
    <w:rsid w:val="000B54AD"/>
    <w:rsid w:val="000B58CC"/>
    <w:rsid w:val="000B59D7"/>
    <w:rsid w:val="000B632E"/>
    <w:rsid w:val="000B639C"/>
    <w:rsid w:val="000B66BC"/>
    <w:rsid w:val="000B6D13"/>
    <w:rsid w:val="000B79FF"/>
    <w:rsid w:val="000C009D"/>
    <w:rsid w:val="000C05B8"/>
    <w:rsid w:val="000C05F8"/>
    <w:rsid w:val="000C098A"/>
    <w:rsid w:val="000C0B08"/>
    <w:rsid w:val="000C16B8"/>
    <w:rsid w:val="000C19B8"/>
    <w:rsid w:val="000C2240"/>
    <w:rsid w:val="000C22F0"/>
    <w:rsid w:val="000C2C78"/>
    <w:rsid w:val="000C3214"/>
    <w:rsid w:val="000C34A3"/>
    <w:rsid w:val="000C3986"/>
    <w:rsid w:val="000C3C4A"/>
    <w:rsid w:val="000C3EE7"/>
    <w:rsid w:val="000C3FAE"/>
    <w:rsid w:val="000C4048"/>
    <w:rsid w:val="000C425D"/>
    <w:rsid w:val="000C471B"/>
    <w:rsid w:val="000C4A1B"/>
    <w:rsid w:val="000C6272"/>
    <w:rsid w:val="000C6F0D"/>
    <w:rsid w:val="000C7B0A"/>
    <w:rsid w:val="000D03A6"/>
    <w:rsid w:val="000D0D8F"/>
    <w:rsid w:val="000D1158"/>
    <w:rsid w:val="000D2165"/>
    <w:rsid w:val="000D21BD"/>
    <w:rsid w:val="000D274A"/>
    <w:rsid w:val="000D2B8A"/>
    <w:rsid w:val="000D2DAA"/>
    <w:rsid w:val="000D3652"/>
    <w:rsid w:val="000D3735"/>
    <w:rsid w:val="000D3ECD"/>
    <w:rsid w:val="000D43A8"/>
    <w:rsid w:val="000D47CC"/>
    <w:rsid w:val="000D4DCB"/>
    <w:rsid w:val="000D4FB4"/>
    <w:rsid w:val="000D4FFB"/>
    <w:rsid w:val="000D605B"/>
    <w:rsid w:val="000D62DA"/>
    <w:rsid w:val="000D7AA1"/>
    <w:rsid w:val="000E082B"/>
    <w:rsid w:val="000E0861"/>
    <w:rsid w:val="000E0ACA"/>
    <w:rsid w:val="000E1382"/>
    <w:rsid w:val="000E1A86"/>
    <w:rsid w:val="000E1B99"/>
    <w:rsid w:val="000E1E16"/>
    <w:rsid w:val="000E24EA"/>
    <w:rsid w:val="000E2518"/>
    <w:rsid w:val="000E373C"/>
    <w:rsid w:val="000E3A89"/>
    <w:rsid w:val="000E3B57"/>
    <w:rsid w:val="000E3BBE"/>
    <w:rsid w:val="000E3FB0"/>
    <w:rsid w:val="000E407F"/>
    <w:rsid w:val="000E4442"/>
    <w:rsid w:val="000E49A0"/>
    <w:rsid w:val="000E4D36"/>
    <w:rsid w:val="000E53C7"/>
    <w:rsid w:val="000E53D1"/>
    <w:rsid w:val="000E5F7E"/>
    <w:rsid w:val="000E630F"/>
    <w:rsid w:val="000E6965"/>
    <w:rsid w:val="000E7063"/>
    <w:rsid w:val="000E762A"/>
    <w:rsid w:val="000E7F1C"/>
    <w:rsid w:val="000F039D"/>
    <w:rsid w:val="000F0592"/>
    <w:rsid w:val="000F05E5"/>
    <w:rsid w:val="000F06FA"/>
    <w:rsid w:val="000F097E"/>
    <w:rsid w:val="000F0BE6"/>
    <w:rsid w:val="000F10FA"/>
    <w:rsid w:val="000F151B"/>
    <w:rsid w:val="000F1643"/>
    <w:rsid w:val="000F17CA"/>
    <w:rsid w:val="000F1B95"/>
    <w:rsid w:val="000F1D9D"/>
    <w:rsid w:val="000F1F9E"/>
    <w:rsid w:val="000F1FA8"/>
    <w:rsid w:val="000F2C71"/>
    <w:rsid w:val="000F3877"/>
    <w:rsid w:val="000F42B0"/>
    <w:rsid w:val="000F4307"/>
    <w:rsid w:val="000F44DB"/>
    <w:rsid w:val="000F45EC"/>
    <w:rsid w:val="000F4679"/>
    <w:rsid w:val="000F493F"/>
    <w:rsid w:val="000F52B3"/>
    <w:rsid w:val="000F53F1"/>
    <w:rsid w:val="000F54AD"/>
    <w:rsid w:val="000F684E"/>
    <w:rsid w:val="000F6C49"/>
    <w:rsid w:val="000F719C"/>
    <w:rsid w:val="000F72BF"/>
    <w:rsid w:val="000F7466"/>
    <w:rsid w:val="000F752B"/>
    <w:rsid w:val="000F76D7"/>
    <w:rsid w:val="000F7718"/>
    <w:rsid w:val="000F7B01"/>
    <w:rsid w:val="000F7B8D"/>
    <w:rsid w:val="000F7D84"/>
    <w:rsid w:val="00100026"/>
    <w:rsid w:val="00100150"/>
    <w:rsid w:val="001002B2"/>
    <w:rsid w:val="00100614"/>
    <w:rsid w:val="001006FD"/>
    <w:rsid w:val="001009E3"/>
    <w:rsid w:val="00100ADD"/>
    <w:rsid w:val="001010BE"/>
    <w:rsid w:val="00101A58"/>
    <w:rsid w:val="00101C11"/>
    <w:rsid w:val="00102089"/>
    <w:rsid w:val="0010282D"/>
    <w:rsid w:val="00102A82"/>
    <w:rsid w:val="00102BC7"/>
    <w:rsid w:val="00103650"/>
    <w:rsid w:val="00103B09"/>
    <w:rsid w:val="00103B98"/>
    <w:rsid w:val="00104810"/>
    <w:rsid w:val="00105436"/>
    <w:rsid w:val="0010572B"/>
    <w:rsid w:val="001064D8"/>
    <w:rsid w:val="0010653A"/>
    <w:rsid w:val="00106858"/>
    <w:rsid w:val="001069B5"/>
    <w:rsid w:val="00107918"/>
    <w:rsid w:val="0011014B"/>
    <w:rsid w:val="001107CF"/>
    <w:rsid w:val="00110987"/>
    <w:rsid w:val="00111803"/>
    <w:rsid w:val="001119FF"/>
    <w:rsid w:val="0011322F"/>
    <w:rsid w:val="001135F4"/>
    <w:rsid w:val="00113C29"/>
    <w:rsid w:val="00113E34"/>
    <w:rsid w:val="00114628"/>
    <w:rsid w:val="00114740"/>
    <w:rsid w:val="00114924"/>
    <w:rsid w:val="00114A66"/>
    <w:rsid w:val="00114A99"/>
    <w:rsid w:val="001154D0"/>
    <w:rsid w:val="001158CF"/>
    <w:rsid w:val="00115EC7"/>
    <w:rsid w:val="0011647E"/>
    <w:rsid w:val="001178B9"/>
    <w:rsid w:val="00117C23"/>
    <w:rsid w:val="00117E13"/>
    <w:rsid w:val="00120445"/>
    <w:rsid w:val="00120F4A"/>
    <w:rsid w:val="001215E0"/>
    <w:rsid w:val="00121721"/>
    <w:rsid w:val="0012193E"/>
    <w:rsid w:val="00121B93"/>
    <w:rsid w:val="00121D69"/>
    <w:rsid w:val="00121E60"/>
    <w:rsid w:val="00122288"/>
    <w:rsid w:val="00122530"/>
    <w:rsid w:val="00122E60"/>
    <w:rsid w:val="00123097"/>
    <w:rsid w:val="00123136"/>
    <w:rsid w:val="00123277"/>
    <w:rsid w:val="001234FB"/>
    <w:rsid w:val="001237F3"/>
    <w:rsid w:val="00123C7C"/>
    <w:rsid w:val="00123E0C"/>
    <w:rsid w:val="0012418B"/>
    <w:rsid w:val="0012619D"/>
    <w:rsid w:val="00126382"/>
    <w:rsid w:val="001263C1"/>
    <w:rsid w:val="001267A3"/>
    <w:rsid w:val="001269CC"/>
    <w:rsid w:val="00127082"/>
    <w:rsid w:val="0012712D"/>
    <w:rsid w:val="00127628"/>
    <w:rsid w:val="001277AA"/>
    <w:rsid w:val="00127972"/>
    <w:rsid w:val="00127DAC"/>
    <w:rsid w:val="00130298"/>
    <w:rsid w:val="00130705"/>
    <w:rsid w:val="0013077E"/>
    <w:rsid w:val="00130C32"/>
    <w:rsid w:val="001314D8"/>
    <w:rsid w:val="001318C8"/>
    <w:rsid w:val="0013195A"/>
    <w:rsid w:val="0013217D"/>
    <w:rsid w:val="00133810"/>
    <w:rsid w:val="00133DA0"/>
    <w:rsid w:val="001340DA"/>
    <w:rsid w:val="00134B2B"/>
    <w:rsid w:val="001350E9"/>
    <w:rsid w:val="0013549C"/>
    <w:rsid w:val="00135B08"/>
    <w:rsid w:val="00136C94"/>
    <w:rsid w:val="001375BC"/>
    <w:rsid w:val="00137B6D"/>
    <w:rsid w:val="00140413"/>
    <w:rsid w:val="00140AF4"/>
    <w:rsid w:val="00140C81"/>
    <w:rsid w:val="001417ED"/>
    <w:rsid w:val="00141EF4"/>
    <w:rsid w:val="00142EB7"/>
    <w:rsid w:val="00142FD7"/>
    <w:rsid w:val="001435E9"/>
    <w:rsid w:val="0014397B"/>
    <w:rsid w:val="00144318"/>
    <w:rsid w:val="00144504"/>
    <w:rsid w:val="00144B87"/>
    <w:rsid w:val="00144F77"/>
    <w:rsid w:val="0014544A"/>
    <w:rsid w:val="001456B7"/>
    <w:rsid w:val="00145F9A"/>
    <w:rsid w:val="0014607A"/>
    <w:rsid w:val="00146165"/>
    <w:rsid w:val="00146186"/>
    <w:rsid w:val="00146274"/>
    <w:rsid w:val="00146322"/>
    <w:rsid w:val="00146733"/>
    <w:rsid w:val="00146789"/>
    <w:rsid w:val="00146AD5"/>
    <w:rsid w:val="00146B09"/>
    <w:rsid w:val="00146B8A"/>
    <w:rsid w:val="00146CD1"/>
    <w:rsid w:val="00146D01"/>
    <w:rsid w:val="00146DDC"/>
    <w:rsid w:val="00146F3A"/>
    <w:rsid w:val="001473BB"/>
    <w:rsid w:val="0014759E"/>
    <w:rsid w:val="00147BEA"/>
    <w:rsid w:val="00147C11"/>
    <w:rsid w:val="00147C33"/>
    <w:rsid w:val="00147F53"/>
    <w:rsid w:val="00150375"/>
    <w:rsid w:val="0015063D"/>
    <w:rsid w:val="00150726"/>
    <w:rsid w:val="00150878"/>
    <w:rsid w:val="00150974"/>
    <w:rsid w:val="00150B14"/>
    <w:rsid w:val="001514AE"/>
    <w:rsid w:val="00151B1C"/>
    <w:rsid w:val="001521D9"/>
    <w:rsid w:val="001523D5"/>
    <w:rsid w:val="00152710"/>
    <w:rsid w:val="00152BB7"/>
    <w:rsid w:val="00152BEB"/>
    <w:rsid w:val="00152C57"/>
    <w:rsid w:val="00152E82"/>
    <w:rsid w:val="0015340E"/>
    <w:rsid w:val="001538B1"/>
    <w:rsid w:val="00153CE5"/>
    <w:rsid w:val="001544E3"/>
    <w:rsid w:val="001549A2"/>
    <w:rsid w:val="00154AE6"/>
    <w:rsid w:val="0015513C"/>
    <w:rsid w:val="0015589A"/>
    <w:rsid w:val="00156518"/>
    <w:rsid w:val="001565DC"/>
    <w:rsid w:val="001566ED"/>
    <w:rsid w:val="00156A1C"/>
    <w:rsid w:val="001606DA"/>
    <w:rsid w:val="00160795"/>
    <w:rsid w:val="00160B32"/>
    <w:rsid w:val="00160F68"/>
    <w:rsid w:val="00162228"/>
    <w:rsid w:val="0016281C"/>
    <w:rsid w:val="00162871"/>
    <w:rsid w:val="001631B0"/>
    <w:rsid w:val="00163AE9"/>
    <w:rsid w:val="00163B2F"/>
    <w:rsid w:val="00163CAE"/>
    <w:rsid w:val="001641FD"/>
    <w:rsid w:val="0016466D"/>
    <w:rsid w:val="00164F8F"/>
    <w:rsid w:val="00165A8B"/>
    <w:rsid w:val="00165D82"/>
    <w:rsid w:val="00166BCF"/>
    <w:rsid w:val="00166C61"/>
    <w:rsid w:val="00166F0E"/>
    <w:rsid w:val="00167066"/>
    <w:rsid w:val="001676D5"/>
    <w:rsid w:val="00167854"/>
    <w:rsid w:val="00167DF1"/>
    <w:rsid w:val="001703AF"/>
    <w:rsid w:val="00170DCF"/>
    <w:rsid w:val="00170EAA"/>
    <w:rsid w:val="001715D6"/>
    <w:rsid w:val="00171DC7"/>
    <w:rsid w:val="00171E6C"/>
    <w:rsid w:val="0017208C"/>
    <w:rsid w:val="001721C1"/>
    <w:rsid w:val="001729C3"/>
    <w:rsid w:val="00172DA8"/>
    <w:rsid w:val="00172F33"/>
    <w:rsid w:val="00173290"/>
    <w:rsid w:val="001738CB"/>
    <w:rsid w:val="00173D22"/>
    <w:rsid w:val="00174586"/>
    <w:rsid w:val="00174663"/>
    <w:rsid w:val="00174AE6"/>
    <w:rsid w:val="00174BBD"/>
    <w:rsid w:val="00175116"/>
    <w:rsid w:val="00175BC2"/>
    <w:rsid w:val="00175C7F"/>
    <w:rsid w:val="00175E9A"/>
    <w:rsid w:val="00177D4E"/>
    <w:rsid w:val="0018051D"/>
    <w:rsid w:val="00180F42"/>
    <w:rsid w:val="001816C2"/>
    <w:rsid w:val="001817FA"/>
    <w:rsid w:val="00182857"/>
    <w:rsid w:val="00182AF7"/>
    <w:rsid w:val="00182BBA"/>
    <w:rsid w:val="00182BDD"/>
    <w:rsid w:val="00182D48"/>
    <w:rsid w:val="00183141"/>
    <w:rsid w:val="00183536"/>
    <w:rsid w:val="00183763"/>
    <w:rsid w:val="001839BC"/>
    <w:rsid w:val="001840FC"/>
    <w:rsid w:val="00184624"/>
    <w:rsid w:val="00184BB0"/>
    <w:rsid w:val="001853D5"/>
    <w:rsid w:val="001856C4"/>
    <w:rsid w:val="0018661C"/>
    <w:rsid w:val="00186851"/>
    <w:rsid w:val="00186930"/>
    <w:rsid w:val="00187740"/>
    <w:rsid w:val="00187963"/>
    <w:rsid w:val="00187CB1"/>
    <w:rsid w:val="00187F4F"/>
    <w:rsid w:val="0019019A"/>
    <w:rsid w:val="001901D0"/>
    <w:rsid w:val="00190D84"/>
    <w:rsid w:val="001913BB"/>
    <w:rsid w:val="00191894"/>
    <w:rsid w:val="00191D99"/>
    <w:rsid w:val="00192373"/>
    <w:rsid w:val="0019279E"/>
    <w:rsid w:val="00192AC8"/>
    <w:rsid w:val="00192F08"/>
    <w:rsid w:val="00192FF9"/>
    <w:rsid w:val="0019304F"/>
    <w:rsid w:val="00193807"/>
    <w:rsid w:val="00193A0C"/>
    <w:rsid w:val="00194033"/>
    <w:rsid w:val="001942F5"/>
    <w:rsid w:val="00194A08"/>
    <w:rsid w:val="00194AE8"/>
    <w:rsid w:val="00194B02"/>
    <w:rsid w:val="00194BC3"/>
    <w:rsid w:val="0019525B"/>
    <w:rsid w:val="00195822"/>
    <w:rsid w:val="00195BA0"/>
    <w:rsid w:val="00195DCE"/>
    <w:rsid w:val="001962F5"/>
    <w:rsid w:val="0019631D"/>
    <w:rsid w:val="00196377"/>
    <w:rsid w:val="00196829"/>
    <w:rsid w:val="001969B0"/>
    <w:rsid w:val="00196CF3"/>
    <w:rsid w:val="00197031"/>
    <w:rsid w:val="00197560"/>
    <w:rsid w:val="00197963"/>
    <w:rsid w:val="001A028A"/>
    <w:rsid w:val="001A0DC8"/>
    <w:rsid w:val="001A212D"/>
    <w:rsid w:val="001A22AC"/>
    <w:rsid w:val="001A2B54"/>
    <w:rsid w:val="001A2E38"/>
    <w:rsid w:val="001A30EF"/>
    <w:rsid w:val="001A3510"/>
    <w:rsid w:val="001A3562"/>
    <w:rsid w:val="001A356A"/>
    <w:rsid w:val="001A36AB"/>
    <w:rsid w:val="001A372C"/>
    <w:rsid w:val="001A3D3D"/>
    <w:rsid w:val="001A4CD6"/>
    <w:rsid w:val="001A4E34"/>
    <w:rsid w:val="001A5B55"/>
    <w:rsid w:val="001A5CC8"/>
    <w:rsid w:val="001A6241"/>
    <w:rsid w:val="001A6441"/>
    <w:rsid w:val="001A66AF"/>
    <w:rsid w:val="001A6BE0"/>
    <w:rsid w:val="001A6ECE"/>
    <w:rsid w:val="001A773D"/>
    <w:rsid w:val="001A774D"/>
    <w:rsid w:val="001A7952"/>
    <w:rsid w:val="001A7C9A"/>
    <w:rsid w:val="001B0641"/>
    <w:rsid w:val="001B074B"/>
    <w:rsid w:val="001B091A"/>
    <w:rsid w:val="001B0AA3"/>
    <w:rsid w:val="001B0D61"/>
    <w:rsid w:val="001B1692"/>
    <w:rsid w:val="001B2423"/>
    <w:rsid w:val="001B28AC"/>
    <w:rsid w:val="001B2AAA"/>
    <w:rsid w:val="001B429D"/>
    <w:rsid w:val="001B42AD"/>
    <w:rsid w:val="001B452E"/>
    <w:rsid w:val="001B4B2F"/>
    <w:rsid w:val="001B50B5"/>
    <w:rsid w:val="001B5319"/>
    <w:rsid w:val="001B56BB"/>
    <w:rsid w:val="001B592A"/>
    <w:rsid w:val="001B5E7C"/>
    <w:rsid w:val="001B6D1F"/>
    <w:rsid w:val="001B6DE8"/>
    <w:rsid w:val="001B6F10"/>
    <w:rsid w:val="001B7003"/>
    <w:rsid w:val="001B7247"/>
    <w:rsid w:val="001B7382"/>
    <w:rsid w:val="001B7436"/>
    <w:rsid w:val="001B7ED7"/>
    <w:rsid w:val="001C00C3"/>
    <w:rsid w:val="001C04B7"/>
    <w:rsid w:val="001C07E0"/>
    <w:rsid w:val="001C0835"/>
    <w:rsid w:val="001C08AA"/>
    <w:rsid w:val="001C1D7C"/>
    <w:rsid w:val="001C1DA5"/>
    <w:rsid w:val="001C1F82"/>
    <w:rsid w:val="001C241E"/>
    <w:rsid w:val="001C25A4"/>
    <w:rsid w:val="001C290F"/>
    <w:rsid w:val="001C2D29"/>
    <w:rsid w:val="001C320D"/>
    <w:rsid w:val="001C3633"/>
    <w:rsid w:val="001C3B74"/>
    <w:rsid w:val="001C41FF"/>
    <w:rsid w:val="001C46E2"/>
    <w:rsid w:val="001C493D"/>
    <w:rsid w:val="001C4BD5"/>
    <w:rsid w:val="001C4FC6"/>
    <w:rsid w:val="001C5504"/>
    <w:rsid w:val="001C55A2"/>
    <w:rsid w:val="001C56C0"/>
    <w:rsid w:val="001C5950"/>
    <w:rsid w:val="001C5EDF"/>
    <w:rsid w:val="001C630E"/>
    <w:rsid w:val="001C66A4"/>
    <w:rsid w:val="001C77DF"/>
    <w:rsid w:val="001D065C"/>
    <w:rsid w:val="001D0F39"/>
    <w:rsid w:val="001D102D"/>
    <w:rsid w:val="001D10FD"/>
    <w:rsid w:val="001D152B"/>
    <w:rsid w:val="001D1803"/>
    <w:rsid w:val="001D214F"/>
    <w:rsid w:val="001D2A37"/>
    <w:rsid w:val="001D3105"/>
    <w:rsid w:val="001D4418"/>
    <w:rsid w:val="001D44C7"/>
    <w:rsid w:val="001D4617"/>
    <w:rsid w:val="001D49E8"/>
    <w:rsid w:val="001D54A2"/>
    <w:rsid w:val="001D5A71"/>
    <w:rsid w:val="001D5E36"/>
    <w:rsid w:val="001D60AD"/>
    <w:rsid w:val="001D6DF4"/>
    <w:rsid w:val="001D6DF7"/>
    <w:rsid w:val="001D703B"/>
    <w:rsid w:val="001D7DB7"/>
    <w:rsid w:val="001E058C"/>
    <w:rsid w:val="001E05A5"/>
    <w:rsid w:val="001E0FE7"/>
    <w:rsid w:val="001E11E0"/>
    <w:rsid w:val="001E15E7"/>
    <w:rsid w:val="001E1600"/>
    <w:rsid w:val="001E262A"/>
    <w:rsid w:val="001E2924"/>
    <w:rsid w:val="001E2AD2"/>
    <w:rsid w:val="001E2E19"/>
    <w:rsid w:val="001E3A85"/>
    <w:rsid w:val="001E3DDB"/>
    <w:rsid w:val="001E4DBA"/>
    <w:rsid w:val="001E4F59"/>
    <w:rsid w:val="001E50EC"/>
    <w:rsid w:val="001E51BC"/>
    <w:rsid w:val="001E6120"/>
    <w:rsid w:val="001E6182"/>
    <w:rsid w:val="001E62B0"/>
    <w:rsid w:val="001E64CC"/>
    <w:rsid w:val="001E6A2C"/>
    <w:rsid w:val="001E73FC"/>
    <w:rsid w:val="001E7871"/>
    <w:rsid w:val="001E7ABC"/>
    <w:rsid w:val="001E7C2F"/>
    <w:rsid w:val="001F01D1"/>
    <w:rsid w:val="001F031D"/>
    <w:rsid w:val="001F0A18"/>
    <w:rsid w:val="001F0CAC"/>
    <w:rsid w:val="001F0FBD"/>
    <w:rsid w:val="001F1354"/>
    <w:rsid w:val="001F190B"/>
    <w:rsid w:val="001F1AAC"/>
    <w:rsid w:val="001F213D"/>
    <w:rsid w:val="001F2A38"/>
    <w:rsid w:val="001F2CBB"/>
    <w:rsid w:val="001F305A"/>
    <w:rsid w:val="001F31D2"/>
    <w:rsid w:val="001F3812"/>
    <w:rsid w:val="001F38D7"/>
    <w:rsid w:val="001F3B03"/>
    <w:rsid w:val="001F3B14"/>
    <w:rsid w:val="001F3E1E"/>
    <w:rsid w:val="001F3FCE"/>
    <w:rsid w:val="001F421E"/>
    <w:rsid w:val="001F442E"/>
    <w:rsid w:val="001F5007"/>
    <w:rsid w:val="001F539F"/>
    <w:rsid w:val="001F550F"/>
    <w:rsid w:val="001F57E2"/>
    <w:rsid w:val="001F5CB0"/>
    <w:rsid w:val="001F5F2F"/>
    <w:rsid w:val="001F638A"/>
    <w:rsid w:val="001F654A"/>
    <w:rsid w:val="001F6CDF"/>
    <w:rsid w:val="001F6F83"/>
    <w:rsid w:val="001F7147"/>
    <w:rsid w:val="001F75C9"/>
    <w:rsid w:val="001F7E43"/>
    <w:rsid w:val="001F7EE3"/>
    <w:rsid w:val="00200108"/>
    <w:rsid w:val="002002ED"/>
    <w:rsid w:val="00200656"/>
    <w:rsid w:val="002006F2"/>
    <w:rsid w:val="002007AB"/>
    <w:rsid w:val="002009AF"/>
    <w:rsid w:val="00200AD8"/>
    <w:rsid w:val="0020140E"/>
    <w:rsid w:val="00201805"/>
    <w:rsid w:val="00201A35"/>
    <w:rsid w:val="00201A4C"/>
    <w:rsid w:val="00201CFE"/>
    <w:rsid w:val="00201FDB"/>
    <w:rsid w:val="0020256F"/>
    <w:rsid w:val="0020269B"/>
    <w:rsid w:val="00202ACE"/>
    <w:rsid w:val="00202BBD"/>
    <w:rsid w:val="00202E1A"/>
    <w:rsid w:val="00202E56"/>
    <w:rsid w:val="0020320D"/>
    <w:rsid w:val="00203CC2"/>
    <w:rsid w:val="002040E7"/>
    <w:rsid w:val="0020411E"/>
    <w:rsid w:val="00204509"/>
    <w:rsid w:val="00204A82"/>
    <w:rsid w:val="002051F5"/>
    <w:rsid w:val="0020560A"/>
    <w:rsid w:val="00205747"/>
    <w:rsid w:val="00205C79"/>
    <w:rsid w:val="00205CE7"/>
    <w:rsid w:val="0020683C"/>
    <w:rsid w:val="0020698A"/>
    <w:rsid w:val="00206A23"/>
    <w:rsid w:val="00206A7E"/>
    <w:rsid w:val="00206C58"/>
    <w:rsid w:val="0020700A"/>
    <w:rsid w:val="002076AF"/>
    <w:rsid w:val="00207979"/>
    <w:rsid w:val="00210114"/>
    <w:rsid w:val="002105ED"/>
    <w:rsid w:val="00211D1D"/>
    <w:rsid w:val="00211D48"/>
    <w:rsid w:val="00211DB0"/>
    <w:rsid w:val="00212023"/>
    <w:rsid w:val="002123DF"/>
    <w:rsid w:val="002125A4"/>
    <w:rsid w:val="00212660"/>
    <w:rsid w:val="00212B64"/>
    <w:rsid w:val="002131DE"/>
    <w:rsid w:val="00213292"/>
    <w:rsid w:val="00213595"/>
    <w:rsid w:val="00213F62"/>
    <w:rsid w:val="00214D42"/>
    <w:rsid w:val="0021573D"/>
    <w:rsid w:val="002163C2"/>
    <w:rsid w:val="002167A5"/>
    <w:rsid w:val="0021681B"/>
    <w:rsid w:val="0021686A"/>
    <w:rsid w:val="00216C0C"/>
    <w:rsid w:val="00216CA2"/>
    <w:rsid w:val="00216EA4"/>
    <w:rsid w:val="00217454"/>
    <w:rsid w:val="0021747B"/>
    <w:rsid w:val="00217B2A"/>
    <w:rsid w:val="00220006"/>
    <w:rsid w:val="00220188"/>
    <w:rsid w:val="0022098F"/>
    <w:rsid w:val="00220E1E"/>
    <w:rsid w:val="00221379"/>
    <w:rsid w:val="00221430"/>
    <w:rsid w:val="002215A9"/>
    <w:rsid w:val="002215FC"/>
    <w:rsid w:val="0022184E"/>
    <w:rsid w:val="00221996"/>
    <w:rsid w:val="00221D1E"/>
    <w:rsid w:val="00221D22"/>
    <w:rsid w:val="002220A7"/>
    <w:rsid w:val="00223161"/>
    <w:rsid w:val="0022365A"/>
    <w:rsid w:val="00223998"/>
    <w:rsid w:val="00223C96"/>
    <w:rsid w:val="00224089"/>
    <w:rsid w:val="00224439"/>
    <w:rsid w:val="002244A3"/>
    <w:rsid w:val="00224B69"/>
    <w:rsid w:val="00224B94"/>
    <w:rsid w:val="00224D3E"/>
    <w:rsid w:val="00225185"/>
    <w:rsid w:val="002254EC"/>
    <w:rsid w:val="00225609"/>
    <w:rsid w:val="002257ED"/>
    <w:rsid w:val="00225978"/>
    <w:rsid w:val="002261A1"/>
    <w:rsid w:val="00226342"/>
    <w:rsid w:val="002267DA"/>
    <w:rsid w:val="00226964"/>
    <w:rsid w:val="002270A3"/>
    <w:rsid w:val="0022788A"/>
    <w:rsid w:val="002278C9"/>
    <w:rsid w:val="00227A1A"/>
    <w:rsid w:val="00227CB3"/>
    <w:rsid w:val="00227E39"/>
    <w:rsid w:val="00227FD4"/>
    <w:rsid w:val="00230F29"/>
    <w:rsid w:val="00230F80"/>
    <w:rsid w:val="002313BD"/>
    <w:rsid w:val="00231624"/>
    <w:rsid w:val="00231717"/>
    <w:rsid w:val="00231727"/>
    <w:rsid w:val="00231731"/>
    <w:rsid w:val="00231A8E"/>
    <w:rsid w:val="002322B9"/>
    <w:rsid w:val="00232544"/>
    <w:rsid w:val="00232690"/>
    <w:rsid w:val="00232D69"/>
    <w:rsid w:val="00232F05"/>
    <w:rsid w:val="00233085"/>
    <w:rsid w:val="00233095"/>
    <w:rsid w:val="00233831"/>
    <w:rsid w:val="002343BE"/>
    <w:rsid w:val="002345AD"/>
    <w:rsid w:val="002345D7"/>
    <w:rsid w:val="00234889"/>
    <w:rsid w:val="00234C01"/>
    <w:rsid w:val="00234EA5"/>
    <w:rsid w:val="0023504F"/>
    <w:rsid w:val="002351EA"/>
    <w:rsid w:val="002351FB"/>
    <w:rsid w:val="0023521F"/>
    <w:rsid w:val="00235395"/>
    <w:rsid w:val="0023563B"/>
    <w:rsid w:val="00235BAF"/>
    <w:rsid w:val="00235BE4"/>
    <w:rsid w:val="00236443"/>
    <w:rsid w:val="00236788"/>
    <w:rsid w:val="00237011"/>
    <w:rsid w:val="00237051"/>
    <w:rsid w:val="0023787A"/>
    <w:rsid w:val="00237B1A"/>
    <w:rsid w:val="00240120"/>
    <w:rsid w:val="002401D3"/>
    <w:rsid w:val="00240ADE"/>
    <w:rsid w:val="00241D0F"/>
    <w:rsid w:val="00241DFC"/>
    <w:rsid w:val="00242160"/>
    <w:rsid w:val="00242F11"/>
    <w:rsid w:val="00243688"/>
    <w:rsid w:val="00243B14"/>
    <w:rsid w:val="00243F1A"/>
    <w:rsid w:val="00244EA3"/>
    <w:rsid w:val="00245A05"/>
    <w:rsid w:val="00245F68"/>
    <w:rsid w:val="00246260"/>
    <w:rsid w:val="00246352"/>
    <w:rsid w:val="00246530"/>
    <w:rsid w:val="0024674D"/>
    <w:rsid w:val="00247765"/>
    <w:rsid w:val="00247859"/>
    <w:rsid w:val="00247A64"/>
    <w:rsid w:val="00247BD2"/>
    <w:rsid w:val="00247E88"/>
    <w:rsid w:val="00247EAB"/>
    <w:rsid w:val="00247FD6"/>
    <w:rsid w:val="0025001E"/>
    <w:rsid w:val="002501BF"/>
    <w:rsid w:val="002508FB"/>
    <w:rsid w:val="0025157C"/>
    <w:rsid w:val="00251FB0"/>
    <w:rsid w:val="002521ED"/>
    <w:rsid w:val="002523F0"/>
    <w:rsid w:val="00252548"/>
    <w:rsid w:val="00252BB8"/>
    <w:rsid w:val="00252E4E"/>
    <w:rsid w:val="00253532"/>
    <w:rsid w:val="002539FD"/>
    <w:rsid w:val="00253D35"/>
    <w:rsid w:val="00254443"/>
    <w:rsid w:val="00255258"/>
    <w:rsid w:val="0025585E"/>
    <w:rsid w:val="00256033"/>
    <w:rsid w:val="002563A6"/>
    <w:rsid w:val="002568CF"/>
    <w:rsid w:val="00256997"/>
    <w:rsid w:val="00256D19"/>
    <w:rsid w:val="00256E50"/>
    <w:rsid w:val="00256F0B"/>
    <w:rsid w:val="00260052"/>
    <w:rsid w:val="002603BB"/>
    <w:rsid w:val="002603D3"/>
    <w:rsid w:val="00260466"/>
    <w:rsid w:val="0026052D"/>
    <w:rsid w:val="00260727"/>
    <w:rsid w:val="00261093"/>
    <w:rsid w:val="00261382"/>
    <w:rsid w:val="00261453"/>
    <w:rsid w:val="0026156D"/>
    <w:rsid w:val="00261718"/>
    <w:rsid w:val="00261810"/>
    <w:rsid w:val="00261BA7"/>
    <w:rsid w:val="00262260"/>
    <w:rsid w:val="00262412"/>
    <w:rsid w:val="00262783"/>
    <w:rsid w:val="002629C4"/>
    <w:rsid w:val="00263147"/>
    <w:rsid w:val="00263366"/>
    <w:rsid w:val="00263861"/>
    <w:rsid w:val="00263864"/>
    <w:rsid w:val="0026387F"/>
    <w:rsid w:val="00263F0B"/>
    <w:rsid w:val="0026414D"/>
    <w:rsid w:val="00264406"/>
    <w:rsid w:val="00264A0B"/>
    <w:rsid w:val="00264A1A"/>
    <w:rsid w:val="00264DB8"/>
    <w:rsid w:val="00265C8A"/>
    <w:rsid w:val="0026619D"/>
    <w:rsid w:val="0026625E"/>
    <w:rsid w:val="002662BB"/>
    <w:rsid w:val="0026672E"/>
    <w:rsid w:val="00267432"/>
    <w:rsid w:val="0026749E"/>
    <w:rsid w:val="00267E6E"/>
    <w:rsid w:val="00270175"/>
    <w:rsid w:val="002704A9"/>
    <w:rsid w:val="00270B36"/>
    <w:rsid w:val="0027170A"/>
    <w:rsid w:val="0027173E"/>
    <w:rsid w:val="00271B05"/>
    <w:rsid w:val="0027214B"/>
    <w:rsid w:val="0027241D"/>
    <w:rsid w:val="00272553"/>
    <w:rsid w:val="002728D8"/>
    <w:rsid w:val="00273391"/>
    <w:rsid w:val="002735DD"/>
    <w:rsid w:val="002737ED"/>
    <w:rsid w:val="00273CD2"/>
    <w:rsid w:val="00274524"/>
    <w:rsid w:val="00274732"/>
    <w:rsid w:val="00274DF7"/>
    <w:rsid w:val="002750E5"/>
    <w:rsid w:val="00275176"/>
    <w:rsid w:val="0027518C"/>
    <w:rsid w:val="00275789"/>
    <w:rsid w:val="002757B9"/>
    <w:rsid w:val="0027608F"/>
    <w:rsid w:val="0027659C"/>
    <w:rsid w:val="0027728D"/>
    <w:rsid w:val="002773A6"/>
    <w:rsid w:val="002775DA"/>
    <w:rsid w:val="00277763"/>
    <w:rsid w:val="00277851"/>
    <w:rsid w:val="002779DA"/>
    <w:rsid w:val="0028099E"/>
    <w:rsid w:val="00280CC7"/>
    <w:rsid w:val="00280FCE"/>
    <w:rsid w:val="00281176"/>
    <w:rsid w:val="002811EE"/>
    <w:rsid w:val="00281333"/>
    <w:rsid w:val="0028197E"/>
    <w:rsid w:val="00281C66"/>
    <w:rsid w:val="002822B8"/>
    <w:rsid w:val="002823A3"/>
    <w:rsid w:val="002824DA"/>
    <w:rsid w:val="00282719"/>
    <w:rsid w:val="00282921"/>
    <w:rsid w:val="002830B4"/>
    <w:rsid w:val="002833C0"/>
    <w:rsid w:val="00284274"/>
    <w:rsid w:val="00285B39"/>
    <w:rsid w:val="00286879"/>
    <w:rsid w:val="00286C2C"/>
    <w:rsid w:val="00286C2E"/>
    <w:rsid w:val="00286CA6"/>
    <w:rsid w:val="00286DE0"/>
    <w:rsid w:val="002871EA"/>
    <w:rsid w:val="002873AA"/>
    <w:rsid w:val="00287510"/>
    <w:rsid w:val="002878F3"/>
    <w:rsid w:val="00287A6C"/>
    <w:rsid w:val="00287DCC"/>
    <w:rsid w:val="00287F6C"/>
    <w:rsid w:val="002908D2"/>
    <w:rsid w:val="00290976"/>
    <w:rsid w:val="00290A11"/>
    <w:rsid w:val="00290BD1"/>
    <w:rsid w:val="00290BE4"/>
    <w:rsid w:val="00290E1A"/>
    <w:rsid w:val="00291379"/>
    <w:rsid w:val="00291417"/>
    <w:rsid w:val="0029200B"/>
    <w:rsid w:val="00292294"/>
    <w:rsid w:val="002922AD"/>
    <w:rsid w:val="002928F0"/>
    <w:rsid w:val="00293215"/>
    <w:rsid w:val="00293356"/>
    <w:rsid w:val="00293C19"/>
    <w:rsid w:val="002940BF"/>
    <w:rsid w:val="002940F8"/>
    <w:rsid w:val="0029448F"/>
    <w:rsid w:val="002945A3"/>
    <w:rsid w:val="00295CEE"/>
    <w:rsid w:val="00295E56"/>
    <w:rsid w:val="00296255"/>
    <w:rsid w:val="002963B2"/>
    <w:rsid w:val="00296C61"/>
    <w:rsid w:val="00297244"/>
    <w:rsid w:val="00297248"/>
    <w:rsid w:val="00297F6A"/>
    <w:rsid w:val="002A008E"/>
    <w:rsid w:val="002A02F5"/>
    <w:rsid w:val="002A0519"/>
    <w:rsid w:val="002A0604"/>
    <w:rsid w:val="002A0E53"/>
    <w:rsid w:val="002A0F61"/>
    <w:rsid w:val="002A16E0"/>
    <w:rsid w:val="002A18ED"/>
    <w:rsid w:val="002A1FE2"/>
    <w:rsid w:val="002A20AC"/>
    <w:rsid w:val="002A2207"/>
    <w:rsid w:val="002A2851"/>
    <w:rsid w:val="002A2B5A"/>
    <w:rsid w:val="002A2DC1"/>
    <w:rsid w:val="002A3455"/>
    <w:rsid w:val="002A3AB5"/>
    <w:rsid w:val="002A3F0E"/>
    <w:rsid w:val="002A42A3"/>
    <w:rsid w:val="002A47E7"/>
    <w:rsid w:val="002A4ACB"/>
    <w:rsid w:val="002A4B39"/>
    <w:rsid w:val="002A52A7"/>
    <w:rsid w:val="002A543E"/>
    <w:rsid w:val="002A619B"/>
    <w:rsid w:val="002A61BC"/>
    <w:rsid w:val="002A6455"/>
    <w:rsid w:val="002A6505"/>
    <w:rsid w:val="002A67CD"/>
    <w:rsid w:val="002A6B68"/>
    <w:rsid w:val="002A701D"/>
    <w:rsid w:val="002A703D"/>
    <w:rsid w:val="002A72AB"/>
    <w:rsid w:val="002A789B"/>
    <w:rsid w:val="002A7C09"/>
    <w:rsid w:val="002B00C9"/>
    <w:rsid w:val="002B0582"/>
    <w:rsid w:val="002B0623"/>
    <w:rsid w:val="002B0656"/>
    <w:rsid w:val="002B083D"/>
    <w:rsid w:val="002B0CEC"/>
    <w:rsid w:val="002B13B4"/>
    <w:rsid w:val="002B1E58"/>
    <w:rsid w:val="002B224A"/>
    <w:rsid w:val="002B22B9"/>
    <w:rsid w:val="002B24DA"/>
    <w:rsid w:val="002B2B60"/>
    <w:rsid w:val="002B2F4F"/>
    <w:rsid w:val="002B2FA8"/>
    <w:rsid w:val="002B304C"/>
    <w:rsid w:val="002B333E"/>
    <w:rsid w:val="002B3E04"/>
    <w:rsid w:val="002B4016"/>
    <w:rsid w:val="002B4BC1"/>
    <w:rsid w:val="002B4C5F"/>
    <w:rsid w:val="002B5042"/>
    <w:rsid w:val="002B5C0E"/>
    <w:rsid w:val="002B5D2F"/>
    <w:rsid w:val="002B6094"/>
    <w:rsid w:val="002B617A"/>
    <w:rsid w:val="002B63AA"/>
    <w:rsid w:val="002B7011"/>
    <w:rsid w:val="002B762C"/>
    <w:rsid w:val="002B78BF"/>
    <w:rsid w:val="002B7BE5"/>
    <w:rsid w:val="002C00AF"/>
    <w:rsid w:val="002C04EB"/>
    <w:rsid w:val="002C072A"/>
    <w:rsid w:val="002C07F7"/>
    <w:rsid w:val="002C0890"/>
    <w:rsid w:val="002C136D"/>
    <w:rsid w:val="002C1411"/>
    <w:rsid w:val="002C1423"/>
    <w:rsid w:val="002C16B9"/>
    <w:rsid w:val="002C171C"/>
    <w:rsid w:val="002C1C9C"/>
    <w:rsid w:val="002C1CD3"/>
    <w:rsid w:val="002C245F"/>
    <w:rsid w:val="002C25D8"/>
    <w:rsid w:val="002C2761"/>
    <w:rsid w:val="002C2EDC"/>
    <w:rsid w:val="002C2EF1"/>
    <w:rsid w:val="002C3298"/>
    <w:rsid w:val="002C3605"/>
    <w:rsid w:val="002C3F88"/>
    <w:rsid w:val="002C467C"/>
    <w:rsid w:val="002C4A48"/>
    <w:rsid w:val="002C4F21"/>
    <w:rsid w:val="002C50C8"/>
    <w:rsid w:val="002C5679"/>
    <w:rsid w:val="002C56DD"/>
    <w:rsid w:val="002C5BA9"/>
    <w:rsid w:val="002C5CA5"/>
    <w:rsid w:val="002C6C31"/>
    <w:rsid w:val="002C7315"/>
    <w:rsid w:val="002D0362"/>
    <w:rsid w:val="002D0560"/>
    <w:rsid w:val="002D0BF8"/>
    <w:rsid w:val="002D118B"/>
    <w:rsid w:val="002D155B"/>
    <w:rsid w:val="002D161E"/>
    <w:rsid w:val="002D1C0A"/>
    <w:rsid w:val="002D210B"/>
    <w:rsid w:val="002D257F"/>
    <w:rsid w:val="002D274A"/>
    <w:rsid w:val="002D2ADE"/>
    <w:rsid w:val="002D2B36"/>
    <w:rsid w:val="002D309B"/>
    <w:rsid w:val="002D33D7"/>
    <w:rsid w:val="002D3511"/>
    <w:rsid w:val="002D39ED"/>
    <w:rsid w:val="002D3E55"/>
    <w:rsid w:val="002D3EC8"/>
    <w:rsid w:val="002D3FF7"/>
    <w:rsid w:val="002D40B1"/>
    <w:rsid w:val="002D4CE2"/>
    <w:rsid w:val="002D57A5"/>
    <w:rsid w:val="002D58B1"/>
    <w:rsid w:val="002D5DB6"/>
    <w:rsid w:val="002D5FB1"/>
    <w:rsid w:val="002D684B"/>
    <w:rsid w:val="002D6D66"/>
    <w:rsid w:val="002D6D6F"/>
    <w:rsid w:val="002D6F9E"/>
    <w:rsid w:val="002D71E5"/>
    <w:rsid w:val="002E0E79"/>
    <w:rsid w:val="002E1376"/>
    <w:rsid w:val="002E1D22"/>
    <w:rsid w:val="002E2ED1"/>
    <w:rsid w:val="002E3556"/>
    <w:rsid w:val="002E38AD"/>
    <w:rsid w:val="002E3F0E"/>
    <w:rsid w:val="002E48DB"/>
    <w:rsid w:val="002E4B64"/>
    <w:rsid w:val="002E4E96"/>
    <w:rsid w:val="002E514D"/>
    <w:rsid w:val="002E536A"/>
    <w:rsid w:val="002E5539"/>
    <w:rsid w:val="002E5615"/>
    <w:rsid w:val="002E5759"/>
    <w:rsid w:val="002E58EF"/>
    <w:rsid w:val="002E5A66"/>
    <w:rsid w:val="002E5BEC"/>
    <w:rsid w:val="002E6610"/>
    <w:rsid w:val="002E699D"/>
    <w:rsid w:val="002E6FC3"/>
    <w:rsid w:val="002E71A3"/>
    <w:rsid w:val="002E72AB"/>
    <w:rsid w:val="002E789C"/>
    <w:rsid w:val="002E7A8F"/>
    <w:rsid w:val="002E7BBE"/>
    <w:rsid w:val="002E7C72"/>
    <w:rsid w:val="002F007B"/>
    <w:rsid w:val="002F09AF"/>
    <w:rsid w:val="002F0B11"/>
    <w:rsid w:val="002F0EF4"/>
    <w:rsid w:val="002F1024"/>
    <w:rsid w:val="002F164F"/>
    <w:rsid w:val="002F17BF"/>
    <w:rsid w:val="002F1D13"/>
    <w:rsid w:val="002F2B70"/>
    <w:rsid w:val="002F2E8A"/>
    <w:rsid w:val="002F3103"/>
    <w:rsid w:val="002F3834"/>
    <w:rsid w:val="002F4086"/>
    <w:rsid w:val="002F45B9"/>
    <w:rsid w:val="002F4A1A"/>
    <w:rsid w:val="002F4C36"/>
    <w:rsid w:val="002F5FD5"/>
    <w:rsid w:val="002F6254"/>
    <w:rsid w:val="002F65B6"/>
    <w:rsid w:val="002F69B3"/>
    <w:rsid w:val="002F7087"/>
    <w:rsid w:val="002F71D9"/>
    <w:rsid w:val="002F725B"/>
    <w:rsid w:val="002F7411"/>
    <w:rsid w:val="002F77ED"/>
    <w:rsid w:val="002F78DE"/>
    <w:rsid w:val="002F7A07"/>
    <w:rsid w:val="002F7C97"/>
    <w:rsid w:val="002F7CBD"/>
    <w:rsid w:val="0030021B"/>
    <w:rsid w:val="003002D1"/>
    <w:rsid w:val="00300918"/>
    <w:rsid w:val="00300A05"/>
    <w:rsid w:val="00300A77"/>
    <w:rsid w:val="00300C6D"/>
    <w:rsid w:val="00300E27"/>
    <w:rsid w:val="003016CD"/>
    <w:rsid w:val="00301C65"/>
    <w:rsid w:val="00302299"/>
    <w:rsid w:val="003022CC"/>
    <w:rsid w:val="0030285B"/>
    <w:rsid w:val="00303075"/>
    <w:rsid w:val="003046B5"/>
    <w:rsid w:val="0030481F"/>
    <w:rsid w:val="00304969"/>
    <w:rsid w:val="003050D6"/>
    <w:rsid w:val="00305A93"/>
    <w:rsid w:val="00305B4A"/>
    <w:rsid w:val="003067FA"/>
    <w:rsid w:val="00306974"/>
    <w:rsid w:val="00306F2D"/>
    <w:rsid w:val="0030722B"/>
    <w:rsid w:val="00307504"/>
    <w:rsid w:val="003076C9"/>
    <w:rsid w:val="00307E9A"/>
    <w:rsid w:val="00310377"/>
    <w:rsid w:val="00310B93"/>
    <w:rsid w:val="00310BEC"/>
    <w:rsid w:val="00310E06"/>
    <w:rsid w:val="00311534"/>
    <w:rsid w:val="003115E1"/>
    <w:rsid w:val="00311934"/>
    <w:rsid w:val="00311B17"/>
    <w:rsid w:val="00311C2B"/>
    <w:rsid w:val="00312FF9"/>
    <w:rsid w:val="00312FFA"/>
    <w:rsid w:val="0031343D"/>
    <w:rsid w:val="003138E9"/>
    <w:rsid w:val="003139E0"/>
    <w:rsid w:val="00314C76"/>
    <w:rsid w:val="00314E98"/>
    <w:rsid w:val="00315470"/>
    <w:rsid w:val="003156B5"/>
    <w:rsid w:val="00315825"/>
    <w:rsid w:val="0031630E"/>
    <w:rsid w:val="0031649C"/>
    <w:rsid w:val="00316562"/>
    <w:rsid w:val="00316A4B"/>
    <w:rsid w:val="00316E65"/>
    <w:rsid w:val="003171AF"/>
    <w:rsid w:val="00317212"/>
    <w:rsid w:val="0031747A"/>
    <w:rsid w:val="00317A34"/>
    <w:rsid w:val="00317A65"/>
    <w:rsid w:val="00317BE6"/>
    <w:rsid w:val="00317C2A"/>
    <w:rsid w:val="00320671"/>
    <w:rsid w:val="00320873"/>
    <w:rsid w:val="00320914"/>
    <w:rsid w:val="00320DE7"/>
    <w:rsid w:val="00320DEC"/>
    <w:rsid w:val="00321C38"/>
    <w:rsid w:val="00322789"/>
    <w:rsid w:val="00322CA6"/>
    <w:rsid w:val="003239C9"/>
    <w:rsid w:val="0032448F"/>
    <w:rsid w:val="00324C80"/>
    <w:rsid w:val="00324CC5"/>
    <w:rsid w:val="00325389"/>
    <w:rsid w:val="003254F6"/>
    <w:rsid w:val="00325728"/>
    <w:rsid w:val="00325C72"/>
    <w:rsid w:val="00326460"/>
    <w:rsid w:val="00326520"/>
    <w:rsid w:val="00326539"/>
    <w:rsid w:val="00326683"/>
    <w:rsid w:val="00326847"/>
    <w:rsid w:val="00326DA1"/>
    <w:rsid w:val="00327505"/>
    <w:rsid w:val="003278D5"/>
    <w:rsid w:val="00327BB9"/>
    <w:rsid w:val="00330328"/>
    <w:rsid w:val="00330BE8"/>
    <w:rsid w:val="003311D6"/>
    <w:rsid w:val="003312BB"/>
    <w:rsid w:val="0033146B"/>
    <w:rsid w:val="00331551"/>
    <w:rsid w:val="003319B2"/>
    <w:rsid w:val="0033201C"/>
    <w:rsid w:val="00332043"/>
    <w:rsid w:val="00332067"/>
    <w:rsid w:val="0033261E"/>
    <w:rsid w:val="00332BB8"/>
    <w:rsid w:val="00332C3B"/>
    <w:rsid w:val="003344B5"/>
    <w:rsid w:val="003349C0"/>
    <w:rsid w:val="003350A8"/>
    <w:rsid w:val="00335ABD"/>
    <w:rsid w:val="00335B7A"/>
    <w:rsid w:val="00335EA8"/>
    <w:rsid w:val="00336262"/>
    <w:rsid w:val="003368CE"/>
    <w:rsid w:val="00337253"/>
    <w:rsid w:val="003372FE"/>
    <w:rsid w:val="00337770"/>
    <w:rsid w:val="0034021F"/>
    <w:rsid w:val="0034033D"/>
    <w:rsid w:val="003403C7"/>
    <w:rsid w:val="003406A9"/>
    <w:rsid w:val="00341117"/>
    <w:rsid w:val="003413CF"/>
    <w:rsid w:val="003414D7"/>
    <w:rsid w:val="0034150F"/>
    <w:rsid w:val="00341578"/>
    <w:rsid w:val="00341924"/>
    <w:rsid w:val="0034195C"/>
    <w:rsid w:val="00341BB4"/>
    <w:rsid w:val="00341C8E"/>
    <w:rsid w:val="00341D2D"/>
    <w:rsid w:val="00341E34"/>
    <w:rsid w:val="00341F6E"/>
    <w:rsid w:val="00342C19"/>
    <w:rsid w:val="00343DA7"/>
    <w:rsid w:val="0034439C"/>
    <w:rsid w:val="003445AE"/>
    <w:rsid w:val="00345157"/>
    <w:rsid w:val="003463BC"/>
    <w:rsid w:val="003468B1"/>
    <w:rsid w:val="00346D45"/>
    <w:rsid w:val="00347396"/>
    <w:rsid w:val="0034743C"/>
    <w:rsid w:val="00347924"/>
    <w:rsid w:val="003504A1"/>
    <w:rsid w:val="003504FA"/>
    <w:rsid w:val="00350621"/>
    <w:rsid w:val="003506FA"/>
    <w:rsid w:val="00350846"/>
    <w:rsid w:val="003509C7"/>
    <w:rsid w:val="00350D36"/>
    <w:rsid w:val="00350D3F"/>
    <w:rsid w:val="003512D5"/>
    <w:rsid w:val="00351344"/>
    <w:rsid w:val="00351C89"/>
    <w:rsid w:val="00351CCB"/>
    <w:rsid w:val="00351D47"/>
    <w:rsid w:val="00351F26"/>
    <w:rsid w:val="003520CA"/>
    <w:rsid w:val="0035216F"/>
    <w:rsid w:val="0035248D"/>
    <w:rsid w:val="00352585"/>
    <w:rsid w:val="0035290B"/>
    <w:rsid w:val="00352ADE"/>
    <w:rsid w:val="00353117"/>
    <w:rsid w:val="003532B7"/>
    <w:rsid w:val="00353320"/>
    <w:rsid w:val="00354074"/>
    <w:rsid w:val="00354181"/>
    <w:rsid w:val="003546D5"/>
    <w:rsid w:val="00354C3B"/>
    <w:rsid w:val="00354D77"/>
    <w:rsid w:val="00354F37"/>
    <w:rsid w:val="003556B4"/>
    <w:rsid w:val="00355721"/>
    <w:rsid w:val="00356683"/>
    <w:rsid w:val="0035680D"/>
    <w:rsid w:val="00356979"/>
    <w:rsid w:val="00357064"/>
    <w:rsid w:val="00357245"/>
    <w:rsid w:val="0035779A"/>
    <w:rsid w:val="00357A60"/>
    <w:rsid w:val="00357D37"/>
    <w:rsid w:val="003600CF"/>
    <w:rsid w:val="00360126"/>
    <w:rsid w:val="0036014D"/>
    <w:rsid w:val="00360295"/>
    <w:rsid w:val="00360EDF"/>
    <w:rsid w:val="0036103D"/>
    <w:rsid w:val="00361994"/>
    <w:rsid w:val="00361A90"/>
    <w:rsid w:val="0036211D"/>
    <w:rsid w:val="00362524"/>
    <w:rsid w:val="0036256A"/>
    <w:rsid w:val="0036287E"/>
    <w:rsid w:val="003628F5"/>
    <w:rsid w:val="00362D28"/>
    <w:rsid w:val="00363029"/>
    <w:rsid w:val="00363042"/>
    <w:rsid w:val="003632E3"/>
    <w:rsid w:val="0036365D"/>
    <w:rsid w:val="00363D42"/>
    <w:rsid w:val="00364240"/>
    <w:rsid w:val="0036459E"/>
    <w:rsid w:val="003650C7"/>
    <w:rsid w:val="00365234"/>
    <w:rsid w:val="0036633E"/>
    <w:rsid w:val="00366459"/>
    <w:rsid w:val="0036679C"/>
    <w:rsid w:val="00366992"/>
    <w:rsid w:val="00366B02"/>
    <w:rsid w:val="00367033"/>
    <w:rsid w:val="0036730C"/>
    <w:rsid w:val="003676D4"/>
    <w:rsid w:val="00367AB8"/>
    <w:rsid w:val="00367B53"/>
    <w:rsid w:val="00367C9A"/>
    <w:rsid w:val="00367EBF"/>
    <w:rsid w:val="00370BAA"/>
    <w:rsid w:val="003717AB"/>
    <w:rsid w:val="00371BBA"/>
    <w:rsid w:val="00372583"/>
    <w:rsid w:val="00372F81"/>
    <w:rsid w:val="00373232"/>
    <w:rsid w:val="00373752"/>
    <w:rsid w:val="003737C0"/>
    <w:rsid w:val="00373DF1"/>
    <w:rsid w:val="00373E3F"/>
    <w:rsid w:val="0037411D"/>
    <w:rsid w:val="00374294"/>
    <w:rsid w:val="00374330"/>
    <w:rsid w:val="00374927"/>
    <w:rsid w:val="00374DBB"/>
    <w:rsid w:val="003752C7"/>
    <w:rsid w:val="00375449"/>
    <w:rsid w:val="003757AB"/>
    <w:rsid w:val="00375C57"/>
    <w:rsid w:val="00375E17"/>
    <w:rsid w:val="0037620E"/>
    <w:rsid w:val="00376816"/>
    <w:rsid w:val="00376E70"/>
    <w:rsid w:val="00377161"/>
    <w:rsid w:val="00377B74"/>
    <w:rsid w:val="00377C1B"/>
    <w:rsid w:val="003800B3"/>
    <w:rsid w:val="00380331"/>
    <w:rsid w:val="00381F13"/>
    <w:rsid w:val="00382694"/>
    <w:rsid w:val="003828D3"/>
    <w:rsid w:val="00382B63"/>
    <w:rsid w:val="0038350C"/>
    <w:rsid w:val="00384032"/>
    <w:rsid w:val="00384121"/>
    <w:rsid w:val="00384272"/>
    <w:rsid w:val="00384606"/>
    <w:rsid w:val="00384CCB"/>
    <w:rsid w:val="003857C0"/>
    <w:rsid w:val="0038614D"/>
    <w:rsid w:val="00386DC8"/>
    <w:rsid w:val="00386F05"/>
    <w:rsid w:val="00387010"/>
    <w:rsid w:val="00387069"/>
    <w:rsid w:val="003875EC"/>
    <w:rsid w:val="003877C2"/>
    <w:rsid w:val="003877FC"/>
    <w:rsid w:val="00387A1D"/>
    <w:rsid w:val="00387A7A"/>
    <w:rsid w:val="003901C1"/>
    <w:rsid w:val="003902FC"/>
    <w:rsid w:val="0039046A"/>
    <w:rsid w:val="00391260"/>
    <w:rsid w:val="0039139C"/>
    <w:rsid w:val="003913E7"/>
    <w:rsid w:val="00391B2C"/>
    <w:rsid w:val="003925CA"/>
    <w:rsid w:val="00392858"/>
    <w:rsid w:val="00392F64"/>
    <w:rsid w:val="00393893"/>
    <w:rsid w:val="003939ED"/>
    <w:rsid w:val="00393DA3"/>
    <w:rsid w:val="003941CF"/>
    <w:rsid w:val="003944C8"/>
    <w:rsid w:val="00394953"/>
    <w:rsid w:val="00394DEE"/>
    <w:rsid w:val="00394F69"/>
    <w:rsid w:val="0039507A"/>
    <w:rsid w:val="00395168"/>
    <w:rsid w:val="00395A09"/>
    <w:rsid w:val="00395DA8"/>
    <w:rsid w:val="00396125"/>
    <w:rsid w:val="00396145"/>
    <w:rsid w:val="003968F8"/>
    <w:rsid w:val="0039692C"/>
    <w:rsid w:val="00396B5D"/>
    <w:rsid w:val="0039713F"/>
    <w:rsid w:val="00397641"/>
    <w:rsid w:val="003A05F2"/>
    <w:rsid w:val="003A082A"/>
    <w:rsid w:val="003A0A42"/>
    <w:rsid w:val="003A0CD5"/>
    <w:rsid w:val="003A0ED8"/>
    <w:rsid w:val="003A1370"/>
    <w:rsid w:val="003A15A8"/>
    <w:rsid w:val="003A15D0"/>
    <w:rsid w:val="003A18BF"/>
    <w:rsid w:val="003A1A01"/>
    <w:rsid w:val="003A1C5D"/>
    <w:rsid w:val="003A1D74"/>
    <w:rsid w:val="003A21EB"/>
    <w:rsid w:val="003A22B8"/>
    <w:rsid w:val="003A27FC"/>
    <w:rsid w:val="003A34CB"/>
    <w:rsid w:val="003A369C"/>
    <w:rsid w:val="003A3988"/>
    <w:rsid w:val="003A3DC0"/>
    <w:rsid w:val="003A4199"/>
    <w:rsid w:val="003A440D"/>
    <w:rsid w:val="003A4790"/>
    <w:rsid w:val="003A4B36"/>
    <w:rsid w:val="003A4CE2"/>
    <w:rsid w:val="003A51D9"/>
    <w:rsid w:val="003A574E"/>
    <w:rsid w:val="003A582C"/>
    <w:rsid w:val="003A62C9"/>
    <w:rsid w:val="003A641D"/>
    <w:rsid w:val="003A6E25"/>
    <w:rsid w:val="003A6E9E"/>
    <w:rsid w:val="003A6F1F"/>
    <w:rsid w:val="003A7435"/>
    <w:rsid w:val="003A76AA"/>
    <w:rsid w:val="003A7E14"/>
    <w:rsid w:val="003B03B5"/>
    <w:rsid w:val="003B09E8"/>
    <w:rsid w:val="003B0AE7"/>
    <w:rsid w:val="003B0E29"/>
    <w:rsid w:val="003B169A"/>
    <w:rsid w:val="003B1BD1"/>
    <w:rsid w:val="003B1E1D"/>
    <w:rsid w:val="003B1F76"/>
    <w:rsid w:val="003B230D"/>
    <w:rsid w:val="003B2F8A"/>
    <w:rsid w:val="003B31A0"/>
    <w:rsid w:val="003B3853"/>
    <w:rsid w:val="003B3B38"/>
    <w:rsid w:val="003B42FC"/>
    <w:rsid w:val="003B4344"/>
    <w:rsid w:val="003B4538"/>
    <w:rsid w:val="003B4965"/>
    <w:rsid w:val="003B4E3E"/>
    <w:rsid w:val="003B5304"/>
    <w:rsid w:val="003B538A"/>
    <w:rsid w:val="003B5608"/>
    <w:rsid w:val="003B57DF"/>
    <w:rsid w:val="003B5990"/>
    <w:rsid w:val="003B5BF0"/>
    <w:rsid w:val="003B649C"/>
    <w:rsid w:val="003B64D6"/>
    <w:rsid w:val="003B6AB1"/>
    <w:rsid w:val="003B7031"/>
    <w:rsid w:val="003B749A"/>
    <w:rsid w:val="003B76C0"/>
    <w:rsid w:val="003B79DA"/>
    <w:rsid w:val="003C0365"/>
    <w:rsid w:val="003C0382"/>
    <w:rsid w:val="003C07C4"/>
    <w:rsid w:val="003C08CC"/>
    <w:rsid w:val="003C08FD"/>
    <w:rsid w:val="003C0E18"/>
    <w:rsid w:val="003C1108"/>
    <w:rsid w:val="003C1363"/>
    <w:rsid w:val="003C13A6"/>
    <w:rsid w:val="003C19D6"/>
    <w:rsid w:val="003C203B"/>
    <w:rsid w:val="003C2880"/>
    <w:rsid w:val="003C2934"/>
    <w:rsid w:val="003C29F9"/>
    <w:rsid w:val="003C32F7"/>
    <w:rsid w:val="003C3A63"/>
    <w:rsid w:val="003C423D"/>
    <w:rsid w:val="003C4B86"/>
    <w:rsid w:val="003C52CE"/>
    <w:rsid w:val="003C5749"/>
    <w:rsid w:val="003C5921"/>
    <w:rsid w:val="003C5EE9"/>
    <w:rsid w:val="003C630B"/>
    <w:rsid w:val="003C683C"/>
    <w:rsid w:val="003C76F8"/>
    <w:rsid w:val="003C7D14"/>
    <w:rsid w:val="003C7D65"/>
    <w:rsid w:val="003D0017"/>
    <w:rsid w:val="003D04C8"/>
    <w:rsid w:val="003D137A"/>
    <w:rsid w:val="003D1919"/>
    <w:rsid w:val="003D28DA"/>
    <w:rsid w:val="003D2B2B"/>
    <w:rsid w:val="003D2CD1"/>
    <w:rsid w:val="003D2F0E"/>
    <w:rsid w:val="003D37B8"/>
    <w:rsid w:val="003D37EA"/>
    <w:rsid w:val="003D3B0C"/>
    <w:rsid w:val="003D4FF4"/>
    <w:rsid w:val="003D5050"/>
    <w:rsid w:val="003D5163"/>
    <w:rsid w:val="003D57CA"/>
    <w:rsid w:val="003D5A29"/>
    <w:rsid w:val="003D620B"/>
    <w:rsid w:val="003D6258"/>
    <w:rsid w:val="003D7154"/>
    <w:rsid w:val="003D7E43"/>
    <w:rsid w:val="003E0329"/>
    <w:rsid w:val="003E0821"/>
    <w:rsid w:val="003E0F66"/>
    <w:rsid w:val="003E128E"/>
    <w:rsid w:val="003E167A"/>
    <w:rsid w:val="003E1D8E"/>
    <w:rsid w:val="003E1F0B"/>
    <w:rsid w:val="003E22F1"/>
    <w:rsid w:val="003E288C"/>
    <w:rsid w:val="003E29B3"/>
    <w:rsid w:val="003E2A17"/>
    <w:rsid w:val="003E2A27"/>
    <w:rsid w:val="003E2BFB"/>
    <w:rsid w:val="003E31E2"/>
    <w:rsid w:val="003E35DA"/>
    <w:rsid w:val="003E38D5"/>
    <w:rsid w:val="003E3CF7"/>
    <w:rsid w:val="003E438C"/>
    <w:rsid w:val="003E441A"/>
    <w:rsid w:val="003E48BA"/>
    <w:rsid w:val="003E498C"/>
    <w:rsid w:val="003E4BFF"/>
    <w:rsid w:val="003E4EF7"/>
    <w:rsid w:val="003E514C"/>
    <w:rsid w:val="003E585B"/>
    <w:rsid w:val="003E5F13"/>
    <w:rsid w:val="003E62B8"/>
    <w:rsid w:val="003E6555"/>
    <w:rsid w:val="003E6DEE"/>
    <w:rsid w:val="003E75A3"/>
    <w:rsid w:val="003E7DB4"/>
    <w:rsid w:val="003E7ECA"/>
    <w:rsid w:val="003F017F"/>
    <w:rsid w:val="003F03C7"/>
    <w:rsid w:val="003F082E"/>
    <w:rsid w:val="003F0935"/>
    <w:rsid w:val="003F0977"/>
    <w:rsid w:val="003F109D"/>
    <w:rsid w:val="003F273F"/>
    <w:rsid w:val="003F361A"/>
    <w:rsid w:val="003F38F3"/>
    <w:rsid w:val="003F3932"/>
    <w:rsid w:val="003F39A3"/>
    <w:rsid w:val="003F39ED"/>
    <w:rsid w:val="003F401B"/>
    <w:rsid w:val="003F4ABC"/>
    <w:rsid w:val="003F5EF0"/>
    <w:rsid w:val="003F5FAB"/>
    <w:rsid w:val="003F6CBC"/>
    <w:rsid w:val="003F6CFF"/>
    <w:rsid w:val="0040062E"/>
    <w:rsid w:val="004007E8"/>
    <w:rsid w:val="00401182"/>
    <w:rsid w:val="00401407"/>
    <w:rsid w:val="0040145F"/>
    <w:rsid w:val="00401A6B"/>
    <w:rsid w:val="00402C08"/>
    <w:rsid w:val="00402F81"/>
    <w:rsid w:val="00402F9F"/>
    <w:rsid w:val="00403187"/>
    <w:rsid w:val="004033AC"/>
    <w:rsid w:val="004039C1"/>
    <w:rsid w:val="0040410B"/>
    <w:rsid w:val="0040453B"/>
    <w:rsid w:val="004049B3"/>
    <w:rsid w:val="00404C13"/>
    <w:rsid w:val="00404DFB"/>
    <w:rsid w:val="00405113"/>
    <w:rsid w:val="0040528C"/>
    <w:rsid w:val="00405835"/>
    <w:rsid w:val="00405BC3"/>
    <w:rsid w:val="00406B71"/>
    <w:rsid w:val="004075D1"/>
    <w:rsid w:val="00407E86"/>
    <w:rsid w:val="004101E2"/>
    <w:rsid w:val="004102F2"/>
    <w:rsid w:val="0041038A"/>
    <w:rsid w:val="004107F5"/>
    <w:rsid w:val="00410A26"/>
    <w:rsid w:val="00411075"/>
    <w:rsid w:val="0041148B"/>
    <w:rsid w:val="00412359"/>
    <w:rsid w:val="00412510"/>
    <w:rsid w:val="00412B13"/>
    <w:rsid w:val="004131F2"/>
    <w:rsid w:val="00413791"/>
    <w:rsid w:val="00413E07"/>
    <w:rsid w:val="0041409D"/>
    <w:rsid w:val="00414355"/>
    <w:rsid w:val="00414C09"/>
    <w:rsid w:val="00414D49"/>
    <w:rsid w:val="00415064"/>
    <w:rsid w:val="0041566C"/>
    <w:rsid w:val="00415C8F"/>
    <w:rsid w:val="00415EE2"/>
    <w:rsid w:val="004161CF"/>
    <w:rsid w:val="00416B04"/>
    <w:rsid w:val="00416F88"/>
    <w:rsid w:val="004172A9"/>
    <w:rsid w:val="004178D5"/>
    <w:rsid w:val="00417DB9"/>
    <w:rsid w:val="00417DFF"/>
    <w:rsid w:val="00417F01"/>
    <w:rsid w:val="004208B4"/>
    <w:rsid w:val="00420FF2"/>
    <w:rsid w:val="00421962"/>
    <w:rsid w:val="00421C05"/>
    <w:rsid w:val="00421C47"/>
    <w:rsid w:val="00421F3B"/>
    <w:rsid w:val="00421F5F"/>
    <w:rsid w:val="004221A5"/>
    <w:rsid w:val="00422573"/>
    <w:rsid w:val="004226B8"/>
    <w:rsid w:val="004227C4"/>
    <w:rsid w:val="004228EE"/>
    <w:rsid w:val="0042305F"/>
    <w:rsid w:val="004238BD"/>
    <w:rsid w:val="00423E3A"/>
    <w:rsid w:val="00423FF1"/>
    <w:rsid w:val="0042455E"/>
    <w:rsid w:val="00424668"/>
    <w:rsid w:val="00424AB5"/>
    <w:rsid w:val="0042518B"/>
    <w:rsid w:val="004255E6"/>
    <w:rsid w:val="00426153"/>
    <w:rsid w:val="0042649C"/>
    <w:rsid w:val="00426527"/>
    <w:rsid w:val="004265B8"/>
    <w:rsid w:val="0042684B"/>
    <w:rsid w:val="004268D8"/>
    <w:rsid w:val="00426A49"/>
    <w:rsid w:val="00426BDC"/>
    <w:rsid w:val="00426D9C"/>
    <w:rsid w:val="00426E69"/>
    <w:rsid w:val="00426FFE"/>
    <w:rsid w:val="0042756E"/>
    <w:rsid w:val="004277A9"/>
    <w:rsid w:val="004277BF"/>
    <w:rsid w:val="00427808"/>
    <w:rsid w:val="0042798F"/>
    <w:rsid w:val="00427C9D"/>
    <w:rsid w:val="00430991"/>
    <w:rsid w:val="00430A8B"/>
    <w:rsid w:val="00431223"/>
    <w:rsid w:val="00431B48"/>
    <w:rsid w:val="00431E7F"/>
    <w:rsid w:val="00431F3E"/>
    <w:rsid w:val="00431F90"/>
    <w:rsid w:val="004322C3"/>
    <w:rsid w:val="004325E1"/>
    <w:rsid w:val="004327FA"/>
    <w:rsid w:val="00432926"/>
    <w:rsid w:val="00432DA0"/>
    <w:rsid w:val="00433566"/>
    <w:rsid w:val="00433588"/>
    <w:rsid w:val="0043391E"/>
    <w:rsid w:val="00433B37"/>
    <w:rsid w:val="00433D2C"/>
    <w:rsid w:val="00433F99"/>
    <w:rsid w:val="00434043"/>
    <w:rsid w:val="004341F5"/>
    <w:rsid w:val="00434DE2"/>
    <w:rsid w:val="004350D4"/>
    <w:rsid w:val="0043522A"/>
    <w:rsid w:val="00435775"/>
    <w:rsid w:val="00435C0F"/>
    <w:rsid w:val="004363E3"/>
    <w:rsid w:val="004372B9"/>
    <w:rsid w:val="00437789"/>
    <w:rsid w:val="00440797"/>
    <w:rsid w:val="004408ED"/>
    <w:rsid w:val="00440CFE"/>
    <w:rsid w:val="00440D37"/>
    <w:rsid w:val="00440F31"/>
    <w:rsid w:val="004414C1"/>
    <w:rsid w:val="00441572"/>
    <w:rsid w:val="004415DD"/>
    <w:rsid w:val="004419D3"/>
    <w:rsid w:val="00441C44"/>
    <w:rsid w:val="00442275"/>
    <w:rsid w:val="004430FA"/>
    <w:rsid w:val="00443124"/>
    <w:rsid w:val="00444084"/>
    <w:rsid w:val="00444935"/>
    <w:rsid w:val="00444D3D"/>
    <w:rsid w:val="00444DF1"/>
    <w:rsid w:val="004451B5"/>
    <w:rsid w:val="004452F6"/>
    <w:rsid w:val="00445BD7"/>
    <w:rsid w:val="00445DD8"/>
    <w:rsid w:val="00445DE7"/>
    <w:rsid w:val="00445EFC"/>
    <w:rsid w:val="0044624B"/>
    <w:rsid w:val="0044661F"/>
    <w:rsid w:val="00446777"/>
    <w:rsid w:val="00446A33"/>
    <w:rsid w:val="00446A38"/>
    <w:rsid w:val="00446A66"/>
    <w:rsid w:val="004474C2"/>
    <w:rsid w:val="00447A1A"/>
    <w:rsid w:val="00447B0F"/>
    <w:rsid w:val="00447DF9"/>
    <w:rsid w:val="00450121"/>
    <w:rsid w:val="00450176"/>
    <w:rsid w:val="00450450"/>
    <w:rsid w:val="00450B55"/>
    <w:rsid w:val="00450B67"/>
    <w:rsid w:val="00450BAD"/>
    <w:rsid w:val="00451C87"/>
    <w:rsid w:val="00452295"/>
    <w:rsid w:val="00452A7E"/>
    <w:rsid w:val="00452C4D"/>
    <w:rsid w:val="00452D5A"/>
    <w:rsid w:val="0045321A"/>
    <w:rsid w:val="00453BA5"/>
    <w:rsid w:val="004543E7"/>
    <w:rsid w:val="00454538"/>
    <w:rsid w:val="00454833"/>
    <w:rsid w:val="00454A46"/>
    <w:rsid w:val="00454F87"/>
    <w:rsid w:val="004552ED"/>
    <w:rsid w:val="00455375"/>
    <w:rsid w:val="004554CA"/>
    <w:rsid w:val="004555A6"/>
    <w:rsid w:val="00456635"/>
    <w:rsid w:val="00457407"/>
    <w:rsid w:val="004576C3"/>
    <w:rsid w:val="00457901"/>
    <w:rsid w:val="00457AE9"/>
    <w:rsid w:val="00457F40"/>
    <w:rsid w:val="0046005C"/>
    <w:rsid w:val="0046021B"/>
    <w:rsid w:val="00460637"/>
    <w:rsid w:val="00460652"/>
    <w:rsid w:val="004606CD"/>
    <w:rsid w:val="00460B42"/>
    <w:rsid w:val="00460D8E"/>
    <w:rsid w:val="00461071"/>
    <w:rsid w:val="00461F64"/>
    <w:rsid w:val="004620BD"/>
    <w:rsid w:val="004622BB"/>
    <w:rsid w:val="004623F5"/>
    <w:rsid w:val="004627ED"/>
    <w:rsid w:val="00462CC3"/>
    <w:rsid w:val="00462D1A"/>
    <w:rsid w:val="004630C3"/>
    <w:rsid w:val="00463138"/>
    <w:rsid w:val="0046377C"/>
    <w:rsid w:val="00463AD8"/>
    <w:rsid w:val="00464122"/>
    <w:rsid w:val="00464374"/>
    <w:rsid w:val="004644D3"/>
    <w:rsid w:val="00465DD3"/>
    <w:rsid w:val="00465F90"/>
    <w:rsid w:val="004661B8"/>
    <w:rsid w:val="00466547"/>
    <w:rsid w:val="0046678F"/>
    <w:rsid w:val="004668A6"/>
    <w:rsid w:val="00466AEB"/>
    <w:rsid w:val="00466F35"/>
    <w:rsid w:val="00467261"/>
    <w:rsid w:val="0046751F"/>
    <w:rsid w:val="004676B3"/>
    <w:rsid w:val="004679C8"/>
    <w:rsid w:val="00470120"/>
    <w:rsid w:val="0047038D"/>
    <w:rsid w:val="0047040A"/>
    <w:rsid w:val="0047061E"/>
    <w:rsid w:val="00470658"/>
    <w:rsid w:val="0047071C"/>
    <w:rsid w:val="0047084D"/>
    <w:rsid w:val="00470E18"/>
    <w:rsid w:val="00471547"/>
    <w:rsid w:val="00471B63"/>
    <w:rsid w:val="00471C9C"/>
    <w:rsid w:val="0047243A"/>
    <w:rsid w:val="004724B9"/>
    <w:rsid w:val="004728C2"/>
    <w:rsid w:val="004729BE"/>
    <w:rsid w:val="0047330E"/>
    <w:rsid w:val="00473573"/>
    <w:rsid w:val="00473B02"/>
    <w:rsid w:val="00474726"/>
    <w:rsid w:val="00474C96"/>
    <w:rsid w:val="00475013"/>
    <w:rsid w:val="00475124"/>
    <w:rsid w:val="00475153"/>
    <w:rsid w:val="004761FD"/>
    <w:rsid w:val="00476662"/>
    <w:rsid w:val="00476947"/>
    <w:rsid w:val="00476B79"/>
    <w:rsid w:val="00477FCC"/>
    <w:rsid w:val="00480567"/>
    <w:rsid w:val="00482012"/>
    <w:rsid w:val="00482096"/>
    <w:rsid w:val="004822AC"/>
    <w:rsid w:val="00482D9E"/>
    <w:rsid w:val="00482F70"/>
    <w:rsid w:val="00482FE9"/>
    <w:rsid w:val="00483B7C"/>
    <w:rsid w:val="00483F83"/>
    <w:rsid w:val="00483F8D"/>
    <w:rsid w:val="00484185"/>
    <w:rsid w:val="0048467F"/>
    <w:rsid w:val="00484728"/>
    <w:rsid w:val="00484C96"/>
    <w:rsid w:val="00484EEA"/>
    <w:rsid w:val="00485141"/>
    <w:rsid w:val="00486211"/>
    <w:rsid w:val="004868DC"/>
    <w:rsid w:val="00487286"/>
    <w:rsid w:val="00487573"/>
    <w:rsid w:val="00487A7E"/>
    <w:rsid w:val="00487E03"/>
    <w:rsid w:val="00487EF2"/>
    <w:rsid w:val="004900CB"/>
    <w:rsid w:val="004900D6"/>
    <w:rsid w:val="00490125"/>
    <w:rsid w:val="004902C9"/>
    <w:rsid w:val="00490976"/>
    <w:rsid w:val="00490E08"/>
    <w:rsid w:val="00491543"/>
    <w:rsid w:val="00491614"/>
    <w:rsid w:val="00491DCD"/>
    <w:rsid w:val="0049204E"/>
    <w:rsid w:val="004922F2"/>
    <w:rsid w:val="004925A8"/>
    <w:rsid w:val="00493197"/>
    <w:rsid w:val="00493400"/>
    <w:rsid w:val="00493AA5"/>
    <w:rsid w:val="00493C46"/>
    <w:rsid w:val="00493E0D"/>
    <w:rsid w:val="00493E5E"/>
    <w:rsid w:val="00493FC4"/>
    <w:rsid w:val="004941A0"/>
    <w:rsid w:val="004942EE"/>
    <w:rsid w:val="00494CD7"/>
    <w:rsid w:val="004950AA"/>
    <w:rsid w:val="004956B6"/>
    <w:rsid w:val="00495CC5"/>
    <w:rsid w:val="00495F16"/>
    <w:rsid w:val="00496091"/>
    <w:rsid w:val="0049616D"/>
    <w:rsid w:val="004967E2"/>
    <w:rsid w:val="00496937"/>
    <w:rsid w:val="00496C9D"/>
    <w:rsid w:val="00496CBB"/>
    <w:rsid w:val="00496EA2"/>
    <w:rsid w:val="00496F51"/>
    <w:rsid w:val="00496FA1"/>
    <w:rsid w:val="00497258"/>
    <w:rsid w:val="00497523"/>
    <w:rsid w:val="00497697"/>
    <w:rsid w:val="00497BE6"/>
    <w:rsid w:val="00497E6C"/>
    <w:rsid w:val="004A0400"/>
    <w:rsid w:val="004A045C"/>
    <w:rsid w:val="004A08AE"/>
    <w:rsid w:val="004A0DE4"/>
    <w:rsid w:val="004A0E68"/>
    <w:rsid w:val="004A0F88"/>
    <w:rsid w:val="004A1344"/>
    <w:rsid w:val="004A15EC"/>
    <w:rsid w:val="004A2161"/>
    <w:rsid w:val="004A2487"/>
    <w:rsid w:val="004A3315"/>
    <w:rsid w:val="004A3647"/>
    <w:rsid w:val="004A392C"/>
    <w:rsid w:val="004A3D4B"/>
    <w:rsid w:val="004A3E5B"/>
    <w:rsid w:val="004A4070"/>
    <w:rsid w:val="004A44A6"/>
    <w:rsid w:val="004A4EC3"/>
    <w:rsid w:val="004A593A"/>
    <w:rsid w:val="004A625E"/>
    <w:rsid w:val="004A6771"/>
    <w:rsid w:val="004A6838"/>
    <w:rsid w:val="004A6A97"/>
    <w:rsid w:val="004A6CEF"/>
    <w:rsid w:val="004A6D60"/>
    <w:rsid w:val="004A7305"/>
    <w:rsid w:val="004A76A4"/>
    <w:rsid w:val="004A7992"/>
    <w:rsid w:val="004A7998"/>
    <w:rsid w:val="004A7C18"/>
    <w:rsid w:val="004B05FA"/>
    <w:rsid w:val="004B08EB"/>
    <w:rsid w:val="004B0A73"/>
    <w:rsid w:val="004B192C"/>
    <w:rsid w:val="004B19E2"/>
    <w:rsid w:val="004B1D13"/>
    <w:rsid w:val="004B2527"/>
    <w:rsid w:val="004B28A6"/>
    <w:rsid w:val="004B35A3"/>
    <w:rsid w:val="004B3F38"/>
    <w:rsid w:val="004B453A"/>
    <w:rsid w:val="004B4544"/>
    <w:rsid w:val="004B4586"/>
    <w:rsid w:val="004B4652"/>
    <w:rsid w:val="004B4D71"/>
    <w:rsid w:val="004B564E"/>
    <w:rsid w:val="004B5854"/>
    <w:rsid w:val="004B59E0"/>
    <w:rsid w:val="004B5E38"/>
    <w:rsid w:val="004B6020"/>
    <w:rsid w:val="004B69AB"/>
    <w:rsid w:val="004B6D8D"/>
    <w:rsid w:val="004B7013"/>
    <w:rsid w:val="004B71D1"/>
    <w:rsid w:val="004B736E"/>
    <w:rsid w:val="004B7401"/>
    <w:rsid w:val="004B760B"/>
    <w:rsid w:val="004C03A3"/>
    <w:rsid w:val="004C0437"/>
    <w:rsid w:val="004C051C"/>
    <w:rsid w:val="004C0A0F"/>
    <w:rsid w:val="004C0B13"/>
    <w:rsid w:val="004C0B53"/>
    <w:rsid w:val="004C1312"/>
    <w:rsid w:val="004C150E"/>
    <w:rsid w:val="004C1884"/>
    <w:rsid w:val="004C1F28"/>
    <w:rsid w:val="004C20B7"/>
    <w:rsid w:val="004C21A4"/>
    <w:rsid w:val="004C28B2"/>
    <w:rsid w:val="004C3232"/>
    <w:rsid w:val="004C36F2"/>
    <w:rsid w:val="004C48D0"/>
    <w:rsid w:val="004C4F1B"/>
    <w:rsid w:val="004C545E"/>
    <w:rsid w:val="004C61F1"/>
    <w:rsid w:val="004C6888"/>
    <w:rsid w:val="004C6B4F"/>
    <w:rsid w:val="004C6CB3"/>
    <w:rsid w:val="004C6FBB"/>
    <w:rsid w:val="004C7060"/>
    <w:rsid w:val="004C720E"/>
    <w:rsid w:val="004C7423"/>
    <w:rsid w:val="004C758A"/>
    <w:rsid w:val="004C7716"/>
    <w:rsid w:val="004C7AA2"/>
    <w:rsid w:val="004D0595"/>
    <w:rsid w:val="004D1430"/>
    <w:rsid w:val="004D196B"/>
    <w:rsid w:val="004D19F1"/>
    <w:rsid w:val="004D1CA3"/>
    <w:rsid w:val="004D20F1"/>
    <w:rsid w:val="004D23A3"/>
    <w:rsid w:val="004D23EA"/>
    <w:rsid w:val="004D246A"/>
    <w:rsid w:val="004D2767"/>
    <w:rsid w:val="004D2798"/>
    <w:rsid w:val="004D2DC9"/>
    <w:rsid w:val="004D3324"/>
    <w:rsid w:val="004D387A"/>
    <w:rsid w:val="004D4187"/>
    <w:rsid w:val="004D4829"/>
    <w:rsid w:val="004D4D72"/>
    <w:rsid w:val="004D5142"/>
    <w:rsid w:val="004D52D4"/>
    <w:rsid w:val="004D5806"/>
    <w:rsid w:val="004D58E8"/>
    <w:rsid w:val="004D5932"/>
    <w:rsid w:val="004D5AD8"/>
    <w:rsid w:val="004D5BE7"/>
    <w:rsid w:val="004D635C"/>
    <w:rsid w:val="004D65FE"/>
    <w:rsid w:val="004D6AC0"/>
    <w:rsid w:val="004D7006"/>
    <w:rsid w:val="004D7C2E"/>
    <w:rsid w:val="004D7C3F"/>
    <w:rsid w:val="004E0375"/>
    <w:rsid w:val="004E03AD"/>
    <w:rsid w:val="004E0541"/>
    <w:rsid w:val="004E09D6"/>
    <w:rsid w:val="004E0D24"/>
    <w:rsid w:val="004E0D82"/>
    <w:rsid w:val="004E0E9B"/>
    <w:rsid w:val="004E179C"/>
    <w:rsid w:val="004E1A4D"/>
    <w:rsid w:val="004E1EA7"/>
    <w:rsid w:val="004E2687"/>
    <w:rsid w:val="004E268E"/>
    <w:rsid w:val="004E29C3"/>
    <w:rsid w:val="004E2B97"/>
    <w:rsid w:val="004E2F63"/>
    <w:rsid w:val="004E35E6"/>
    <w:rsid w:val="004E3713"/>
    <w:rsid w:val="004E3968"/>
    <w:rsid w:val="004E39C1"/>
    <w:rsid w:val="004E45A8"/>
    <w:rsid w:val="004E4711"/>
    <w:rsid w:val="004E4DD3"/>
    <w:rsid w:val="004E5138"/>
    <w:rsid w:val="004E562E"/>
    <w:rsid w:val="004E5875"/>
    <w:rsid w:val="004E5F4E"/>
    <w:rsid w:val="004E628B"/>
    <w:rsid w:val="004E6DCE"/>
    <w:rsid w:val="004E75B2"/>
    <w:rsid w:val="004E7E4F"/>
    <w:rsid w:val="004F0432"/>
    <w:rsid w:val="004F0552"/>
    <w:rsid w:val="004F0A59"/>
    <w:rsid w:val="004F1556"/>
    <w:rsid w:val="004F16D1"/>
    <w:rsid w:val="004F1714"/>
    <w:rsid w:val="004F1C38"/>
    <w:rsid w:val="004F1E1B"/>
    <w:rsid w:val="004F1F81"/>
    <w:rsid w:val="004F2CA3"/>
    <w:rsid w:val="004F2E80"/>
    <w:rsid w:val="004F307A"/>
    <w:rsid w:val="004F4379"/>
    <w:rsid w:val="004F4435"/>
    <w:rsid w:val="004F4F5D"/>
    <w:rsid w:val="004F6D72"/>
    <w:rsid w:val="004F7682"/>
    <w:rsid w:val="004F79AB"/>
    <w:rsid w:val="00500376"/>
    <w:rsid w:val="00500685"/>
    <w:rsid w:val="00500732"/>
    <w:rsid w:val="0050074B"/>
    <w:rsid w:val="00500DC1"/>
    <w:rsid w:val="00500F56"/>
    <w:rsid w:val="0050106F"/>
    <w:rsid w:val="00503519"/>
    <w:rsid w:val="0050384E"/>
    <w:rsid w:val="00503988"/>
    <w:rsid w:val="005039E1"/>
    <w:rsid w:val="00503A4C"/>
    <w:rsid w:val="00503A89"/>
    <w:rsid w:val="00503E91"/>
    <w:rsid w:val="005041AF"/>
    <w:rsid w:val="0050447A"/>
    <w:rsid w:val="0050537D"/>
    <w:rsid w:val="00505509"/>
    <w:rsid w:val="005059CE"/>
    <w:rsid w:val="00505EC8"/>
    <w:rsid w:val="00506332"/>
    <w:rsid w:val="0050634F"/>
    <w:rsid w:val="005064CC"/>
    <w:rsid w:val="00507022"/>
    <w:rsid w:val="0050730A"/>
    <w:rsid w:val="0050734C"/>
    <w:rsid w:val="005073DA"/>
    <w:rsid w:val="005074AB"/>
    <w:rsid w:val="0050779D"/>
    <w:rsid w:val="00507982"/>
    <w:rsid w:val="00507A85"/>
    <w:rsid w:val="00507DE4"/>
    <w:rsid w:val="00510592"/>
    <w:rsid w:val="005105BE"/>
    <w:rsid w:val="00510D42"/>
    <w:rsid w:val="00511168"/>
    <w:rsid w:val="00511486"/>
    <w:rsid w:val="00511741"/>
    <w:rsid w:val="00511818"/>
    <w:rsid w:val="00511A60"/>
    <w:rsid w:val="005128B8"/>
    <w:rsid w:val="0051298D"/>
    <w:rsid w:val="00512A49"/>
    <w:rsid w:val="00512DD2"/>
    <w:rsid w:val="00512E73"/>
    <w:rsid w:val="005135A9"/>
    <w:rsid w:val="00513B1B"/>
    <w:rsid w:val="00513BB1"/>
    <w:rsid w:val="00513F87"/>
    <w:rsid w:val="005141CB"/>
    <w:rsid w:val="0051453C"/>
    <w:rsid w:val="00514C16"/>
    <w:rsid w:val="00514EBA"/>
    <w:rsid w:val="005155C7"/>
    <w:rsid w:val="005158D4"/>
    <w:rsid w:val="00516138"/>
    <w:rsid w:val="0051697B"/>
    <w:rsid w:val="00516A98"/>
    <w:rsid w:val="00516AC2"/>
    <w:rsid w:val="00516ADB"/>
    <w:rsid w:val="00516C9D"/>
    <w:rsid w:val="00516F46"/>
    <w:rsid w:val="00516FC6"/>
    <w:rsid w:val="005171FB"/>
    <w:rsid w:val="00517EDE"/>
    <w:rsid w:val="0052028D"/>
    <w:rsid w:val="00520C50"/>
    <w:rsid w:val="00520EFA"/>
    <w:rsid w:val="00521049"/>
    <w:rsid w:val="00521075"/>
    <w:rsid w:val="005218B5"/>
    <w:rsid w:val="00521A36"/>
    <w:rsid w:val="00521D38"/>
    <w:rsid w:val="00521DEA"/>
    <w:rsid w:val="005227F4"/>
    <w:rsid w:val="00522984"/>
    <w:rsid w:val="005229E7"/>
    <w:rsid w:val="00522EE2"/>
    <w:rsid w:val="0052394D"/>
    <w:rsid w:val="00524B20"/>
    <w:rsid w:val="00524C71"/>
    <w:rsid w:val="00524D7E"/>
    <w:rsid w:val="00524E5D"/>
    <w:rsid w:val="005266C6"/>
    <w:rsid w:val="00526EA1"/>
    <w:rsid w:val="00527290"/>
    <w:rsid w:val="0052729D"/>
    <w:rsid w:val="00527B00"/>
    <w:rsid w:val="00530C3A"/>
    <w:rsid w:val="00531091"/>
    <w:rsid w:val="00531140"/>
    <w:rsid w:val="005319B3"/>
    <w:rsid w:val="00531A6E"/>
    <w:rsid w:val="00531B81"/>
    <w:rsid w:val="00532D39"/>
    <w:rsid w:val="0053308C"/>
    <w:rsid w:val="005334F9"/>
    <w:rsid w:val="005337F9"/>
    <w:rsid w:val="00534963"/>
    <w:rsid w:val="005349C4"/>
    <w:rsid w:val="00534E0D"/>
    <w:rsid w:val="005355AF"/>
    <w:rsid w:val="005356F1"/>
    <w:rsid w:val="00535F13"/>
    <w:rsid w:val="00535FDD"/>
    <w:rsid w:val="00536770"/>
    <w:rsid w:val="0053790B"/>
    <w:rsid w:val="00537B94"/>
    <w:rsid w:val="00537EFA"/>
    <w:rsid w:val="0054028F"/>
    <w:rsid w:val="0054046E"/>
    <w:rsid w:val="00540940"/>
    <w:rsid w:val="00540E4D"/>
    <w:rsid w:val="005411B7"/>
    <w:rsid w:val="005415E3"/>
    <w:rsid w:val="00541B86"/>
    <w:rsid w:val="0054267B"/>
    <w:rsid w:val="0054280F"/>
    <w:rsid w:val="005429CC"/>
    <w:rsid w:val="00542CE0"/>
    <w:rsid w:val="00543258"/>
    <w:rsid w:val="0054349B"/>
    <w:rsid w:val="005434FE"/>
    <w:rsid w:val="0054386D"/>
    <w:rsid w:val="00543BD0"/>
    <w:rsid w:val="005441BD"/>
    <w:rsid w:val="00544377"/>
    <w:rsid w:val="00544671"/>
    <w:rsid w:val="00544981"/>
    <w:rsid w:val="00544A4C"/>
    <w:rsid w:val="0054550A"/>
    <w:rsid w:val="00545897"/>
    <w:rsid w:val="00545A71"/>
    <w:rsid w:val="00545AAE"/>
    <w:rsid w:val="005462EB"/>
    <w:rsid w:val="00546724"/>
    <w:rsid w:val="00546951"/>
    <w:rsid w:val="005469FE"/>
    <w:rsid w:val="00546A8D"/>
    <w:rsid w:val="00546F41"/>
    <w:rsid w:val="005471C5"/>
    <w:rsid w:val="005474C4"/>
    <w:rsid w:val="005477EB"/>
    <w:rsid w:val="00547B5F"/>
    <w:rsid w:val="00547FD7"/>
    <w:rsid w:val="00550696"/>
    <w:rsid w:val="00550C62"/>
    <w:rsid w:val="00550DC0"/>
    <w:rsid w:val="005511D9"/>
    <w:rsid w:val="005512C4"/>
    <w:rsid w:val="005519E0"/>
    <w:rsid w:val="00551AF4"/>
    <w:rsid w:val="0055265C"/>
    <w:rsid w:val="00553032"/>
    <w:rsid w:val="00553925"/>
    <w:rsid w:val="00553D84"/>
    <w:rsid w:val="00554445"/>
    <w:rsid w:val="005548E1"/>
    <w:rsid w:val="00554A2D"/>
    <w:rsid w:val="00554DAE"/>
    <w:rsid w:val="005555AC"/>
    <w:rsid w:val="00555FC8"/>
    <w:rsid w:val="00556273"/>
    <w:rsid w:val="005564C9"/>
    <w:rsid w:val="00556572"/>
    <w:rsid w:val="0055689B"/>
    <w:rsid w:val="00556939"/>
    <w:rsid w:val="00556B65"/>
    <w:rsid w:val="005576FC"/>
    <w:rsid w:val="0055777F"/>
    <w:rsid w:val="00557BDC"/>
    <w:rsid w:val="00557E7D"/>
    <w:rsid w:val="0056058C"/>
    <w:rsid w:val="00560E6F"/>
    <w:rsid w:val="0056239C"/>
    <w:rsid w:val="00563116"/>
    <w:rsid w:val="0056348A"/>
    <w:rsid w:val="00564271"/>
    <w:rsid w:val="0056435D"/>
    <w:rsid w:val="00564E99"/>
    <w:rsid w:val="0056501D"/>
    <w:rsid w:val="00565E98"/>
    <w:rsid w:val="005670D0"/>
    <w:rsid w:val="005674F2"/>
    <w:rsid w:val="00567BBC"/>
    <w:rsid w:val="005700EF"/>
    <w:rsid w:val="005703FA"/>
    <w:rsid w:val="00570C15"/>
    <w:rsid w:val="00570EC6"/>
    <w:rsid w:val="005717FF"/>
    <w:rsid w:val="00571CD6"/>
    <w:rsid w:val="0057235E"/>
    <w:rsid w:val="005723F5"/>
    <w:rsid w:val="0057265D"/>
    <w:rsid w:val="0057284F"/>
    <w:rsid w:val="00572DF3"/>
    <w:rsid w:val="005731AC"/>
    <w:rsid w:val="005733FA"/>
    <w:rsid w:val="005738B6"/>
    <w:rsid w:val="0057391A"/>
    <w:rsid w:val="00573EEE"/>
    <w:rsid w:val="00574100"/>
    <w:rsid w:val="00574930"/>
    <w:rsid w:val="005749C8"/>
    <w:rsid w:val="005752CE"/>
    <w:rsid w:val="00575A57"/>
    <w:rsid w:val="00575B08"/>
    <w:rsid w:val="00575C4D"/>
    <w:rsid w:val="00576583"/>
    <w:rsid w:val="00576A02"/>
    <w:rsid w:val="005770CC"/>
    <w:rsid w:val="00577216"/>
    <w:rsid w:val="005807DA"/>
    <w:rsid w:val="00580808"/>
    <w:rsid w:val="00580DD5"/>
    <w:rsid w:val="00581875"/>
    <w:rsid w:val="005821ED"/>
    <w:rsid w:val="0058252F"/>
    <w:rsid w:val="00582A0D"/>
    <w:rsid w:val="00582ADA"/>
    <w:rsid w:val="00583040"/>
    <w:rsid w:val="005833A6"/>
    <w:rsid w:val="005837DD"/>
    <w:rsid w:val="005838FA"/>
    <w:rsid w:val="00583A36"/>
    <w:rsid w:val="00583A83"/>
    <w:rsid w:val="005840E4"/>
    <w:rsid w:val="0058431A"/>
    <w:rsid w:val="00584382"/>
    <w:rsid w:val="00584A5B"/>
    <w:rsid w:val="00584ACA"/>
    <w:rsid w:val="0058516A"/>
    <w:rsid w:val="0058549B"/>
    <w:rsid w:val="00585735"/>
    <w:rsid w:val="00585BBB"/>
    <w:rsid w:val="005860D3"/>
    <w:rsid w:val="00587462"/>
    <w:rsid w:val="0058749B"/>
    <w:rsid w:val="00590573"/>
    <w:rsid w:val="005908A8"/>
    <w:rsid w:val="00590F26"/>
    <w:rsid w:val="00591125"/>
    <w:rsid w:val="0059168F"/>
    <w:rsid w:val="00591AA4"/>
    <w:rsid w:val="00591CDA"/>
    <w:rsid w:val="00591FD7"/>
    <w:rsid w:val="00592001"/>
    <w:rsid w:val="00592926"/>
    <w:rsid w:val="00592959"/>
    <w:rsid w:val="00592AD5"/>
    <w:rsid w:val="00592B30"/>
    <w:rsid w:val="00592C07"/>
    <w:rsid w:val="00592DA7"/>
    <w:rsid w:val="005933F9"/>
    <w:rsid w:val="0059345F"/>
    <w:rsid w:val="00593B7C"/>
    <w:rsid w:val="00593E54"/>
    <w:rsid w:val="00594407"/>
    <w:rsid w:val="00594630"/>
    <w:rsid w:val="005946FB"/>
    <w:rsid w:val="0059486F"/>
    <w:rsid w:val="00594D63"/>
    <w:rsid w:val="00594FEC"/>
    <w:rsid w:val="00595125"/>
    <w:rsid w:val="00595278"/>
    <w:rsid w:val="00595380"/>
    <w:rsid w:val="005953B8"/>
    <w:rsid w:val="00595BD8"/>
    <w:rsid w:val="00595DBD"/>
    <w:rsid w:val="00596395"/>
    <w:rsid w:val="0059649C"/>
    <w:rsid w:val="00596F7C"/>
    <w:rsid w:val="00597004"/>
    <w:rsid w:val="0059790B"/>
    <w:rsid w:val="00597E7B"/>
    <w:rsid w:val="005A0088"/>
    <w:rsid w:val="005A0983"/>
    <w:rsid w:val="005A10DE"/>
    <w:rsid w:val="005A164A"/>
    <w:rsid w:val="005A196A"/>
    <w:rsid w:val="005A1CB4"/>
    <w:rsid w:val="005A1F7C"/>
    <w:rsid w:val="005A2A6F"/>
    <w:rsid w:val="005A2BAD"/>
    <w:rsid w:val="005A343E"/>
    <w:rsid w:val="005A426B"/>
    <w:rsid w:val="005A4509"/>
    <w:rsid w:val="005A48EE"/>
    <w:rsid w:val="005A4A5D"/>
    <w:rsid w:val="005A4C5B"/>
    <w:rsid w:val="005A5219"/>
    <w:rsid w:val="005A5874"/>
    <w:rsid w:val="005A5ABC"/>
    <w:rsid w:val="005A5CA7"/>
    <w:rsid w:val="005A5D50"/>
    <w:rsid w:val="005A6164"/>
    <w:rsid w:val="005A668D"/>
    <w:rsid w:val="005A7289"/>
    <w:rsid w:val="005A7FB7"/>
    <w:rsid w:val="005B027B"/>
    <w:rsid w:val="005B030F"/>
    <w:rsid w:val="005B03B8"/>
    <w:rsid w:val="005B1158"/>
    <w:rsid w:val="005B1297"/>
    <w:rsid w:val="005B1398"/>
    <w:rsid w:val="005B1797"/>
    <w:rsid w:val="005B1F82"/>
    <w:rsid w:val="005B2223"/>
    <w:rsid w:val="005B256D"/>
    <w:rsid w:val="005B2671"/>
    <w:rsid w:val="005B2788"/>
    <w:rsid w:val="005B2A4E"/>
    <w:rsid w:val="005B2D2A"/>
    <w:rsid w:val="005B2E45"/>
    <w:rsid w:val="005B3224"/>
    <w:rsid w:val="005B3419"/>
    <w:rsid w:val="005B36B4"/>
    <w:rsid w:val="005B37C6"/>
    <w:rsid w:val="005B388B"/>
    <w:rsid w:val="005B3963"/>
    <w:rsid w:val="005B3E34"/>
    <w:rsid w:val="005B4169"/>
    <w:rsid w:val="005B41C2"/>
    <w:rsid w:val="005B420A"/>
    <w:rsid w:val="005B48B6"/>
    <w:rsid w:val="005B4972"/>
    <w:rsid w:val="005B51D3"/>
    <w:rsid w:val="005B5248"/>
    <w:rsid w:val="005B5A33"/>
    <w:rsid w:val="005B5BB9"/>
    <w:rsid w:val="005B6303"/>
    <w:rsid w:val="005B6C61"/>
    <w:rsid w:val="005B71BF"/>
    <w:rsid w:val="005B7732"/>
    <w:rsid w:val="005B78AA"/>
    <w:rsid w:val="005C049A"/>
    <w:rsid w:val="005C0630"/>
    <w:rsid w:val="005C06C8"/>
    <w:rsid w:val="005C0798"/>
    <w:rsid w:val="005C0A3C"/>
    <w:rsid w:val="005C0E3E"/>
    <w:rsid w:val="005C1093"/>
    <w:rsid w:val="005C10F3"/>
    <w:rsid w:val="005C1588"/>
    <w:rsid w:val="005C1704"/>
    <w:rsid w:val="005C1BFA"/>
    <w:rsid w:val="005C2629"/>
    <w:rsid w:val="005C2D6D"/>
    <w:rsid w:val="005C3A47"/>
    <w:rsid w:val="005C3BCA"/>
    <w:rsid w:val="005C3D90"/>
    <w:rsid w:val="005C3F96"/>
    <w:rsid w:val="005C4392"/>
    <w:rsid w:val="005C47E9"/>
    <w:rsid w:val="005C5149"/>
    <w:rsid w:val="005C5BFC"/>
    <w:rsid w:val="005C602B"/>
    <w:rsid w:val="005C676E"/>
    <w:rsid w:val="005C685F"/>
    <w:rsid w:val="005C6DC6"/>
    <w:rsid w:val="005C73E1"/>
    <w:rsid w:val="005C75C7"/>
    <w:rsid w:val="005C7F2A"/>
    <w:rsid w:val="005D0119"/>
    <w:rsid w:val="005D0419"/>
    <w:rsid w:val="005D04FC"/>
    <w:rsid w:val="005D051E"/>
    <w:rsid w:val="005D0790"/>
    <w:rsid w:val="005D177F"/>
    <w:rsid w:val="005D1858"/>
    <w:rsid w:val="005D18A5"/>
    <w:rsid w:val="005D20CE"/>
    <w:rsid w:val="005D233B"/>
    <w:rsid w:val="005D279D"/>
    <w:rsid w:val="005D2BA2"/>
    <w:rsid w:val="005D33E8"/>
    <w:rsid w:val="005D3A81"/>
    <w:rsid w:val="005D3F17"/>
    <w:rsid w:val="005D408F"/>
    <w:rsid w:val="005D4169"/>
    <w:rsid w:val="005D4699"/>
    <w:rsid w:val="005D54A5"/>
    <w:rsid w:val="005D5E2E"/>
    <w:rsid w:val="005D5E3A"/>
    <w:rsid w:val="005D5F40"/>
    <w:rsid w:val="005D6FED"/>
    <w:rsid w:val="005D71EE"/>
    <w:rsid w:val="005D733A"/>
    <w:rsid w:val="005D7578"/>
    <w:rsid w:val="005D7A26"/>
    <w:rsid w:val="005E07AA"/>
    <w:rsid w:val="005E0A00"/>
    <w:rsid w:val="005E0D05"/>
    <w:rsid w:val="005E0D7D"/>
    <w:rsid w:val="005E1300"/>
    <w:rsid w:val="005E155C"/>
    <w:rsid w:val="005E1B83"/>
    <w:rsid w:val="005E1D13"/>
    <w:rsid w:val="005E25AE"/>
    <w:rsid w:val="005E265D"/>
    <w:rsid w:val="005E2808"/>
    <w:rsid w:val="005E2BC9"/>
    <w:rsid w:val="005E3443"/>
    <w:rsid w:val="005E4323"/>
    <w:rsid w:val="005E4EAE"/>
    <w:rsid w:val="005E55BD"/>
    <w:rsid w:val="005E5900"/>
    <w:rsid w:val="005E5D45"/>
    <w:rsid w:val="005E6B68"/>
    <w:rsid w:val="005E6E3B"/>
    <w:rsid w:val="005E72CB"/>
    <w:rsid w:val="005E7412"/>
    <w:rsid w:val="005F0AC3"/>
    <w:rsid w:val="005F0C63"/>
    <w:rsid w:val="005F0F7C"/>
    <w:rsid w:val="005F1B1F"/>
    <w:rsid w:val="005F1D0F"/>
    <w:rsid w:val="005F2469"/>
    <w:rsid w:val="005F2BBE"/>
    <w:rsid w:val="005F3209"/>
    <w:rsid w:val="005F3255"/>
    <w:rsid w:val="005F332D"/>
    <w:rsid w:val="005F35D5"/>
    <w:rsid w:val="005F3628"/>
    <w:rsid w:val="005F3A7C"/>
    <w:rsid w:val="005F4DDC"/>
    <w:rsid w:val="005F54D0"/>
    <w:rsid w:val="005F56DB"/>
    <w:rsid w:val="005F587D"/>
    <w:rsid w:val="005F5D87"/>
    <w:rsid w:val="005F5D8E"/>
    <w:rsid w:val="005F7F42"/>
    <w:rsid w:val="005F7FD5"/>
    <w:rsid w:val="00600253"/>
    <w:rsid w:val="006002C1"/>
    <w:rsid w:val="006006C1"/>
    <w:rsid w:val="00600F1F"/>
    <w:rsid w:val="006011DD"/>
    <w:rsid w:val="00601329"/>
    <w:rsid w:val="00601757"/>
    <w:rsid w:val="00601B26"/>
    <w:rsid w:val="00602ABE"/>
    <w:rsid w:val="00602EC3"/>
    <w:rsid w:val="00602F74"/>
    <w:rsid w:val="00603F71"/>
    <w:rsid w:val="00603FE3"/>
    <w:rsid w:val="006041D1"/>
    <w:rsid w:val="006042ED"/>
    <w:rsid w:val="00604E79"/>
    <w:rsid w:val="00604E95"/>
    <w:rsid w:val="0060525A"/>
    <w:rsid w:val="0060552E"/>
    <w:rsid w:val="00605E60"/>
    <w:rsid w:val="00606827"/>
    <w:rsid w:val="006069E9"/>
    <w:rsid w:val="00606CFE"/>
    <w:rsid w:val="00606FBD"/>
    <w:rsid w:val="00607741"/>
    <w:rsid w:val="006100F8"/>
    <w:rsid w:val="006103EB"/>
    <w:rsid w:val="006107E9"/>
    <w:rsid w:val="006108A1"/>
    <w:rsid w:val="00610AFD"/>
    <w:rsid w:val="00611AE4"/>
    <w:rsid w:val="00611B93"/>
    <w:rsid w:val="00611F47"/>
    <w:rsid w:val="00612156"/>
    <w:rsid w:val="00612F41"/>
    <w:rsid w:val="00613320"/>
    <w:rsid w:val="0061375C"/>
    <w:rsid w:val="006138F9"/>
    <w:rsid w:val="00613A1C"/>
    <w:rsid w:val="00613ABC"/>
    <w:rsid w:val="00613C47"/>
    <w:rsid w:val="00613C7F"/>
    <w:rsid w:val="0061412D"/>
    <w:rsid w:val="0061434F"/>
    <w:rsid w:val="00614430"/>
    <w:rsid w:val="00614614"/>
    <w:rsid w:val="006147A8"/>
    <w:rsid w:val="00615363"/>
    <w:rsid w:val="00615539"/>
    <w:rsid w:val="006157C4"/>
    <w:rsid w:val="00615ECF"/>
    <w:rsid w:val="00616155"/>
    <w:rsid w:val="0061621D"/>
    <w:rsid w:val="006165FE"/>
    <w:rsid w:val="00616827"/>
    <w:rsid w:val="00616B30"/>
    <w:rsid w:val="006175B3"/>
    <w:rsid w:val="0062013C"/>
    <w:rsid w:val="0062059D"/>
    <w:rsid w:val="00620E0A"/>
    <w:rsid w:val="00621450"/>
    <w:rsid w:val="006219AF"/>
    <w:rsid w:val="00621B72"/>
    <w:rsid w:val="00621BB3"/>
    <w:rsid w:val="00621BE3"/>
    <w:rsid w:val="00622E4C"/>
    <w:rsid w:val="00622E88"/>
    <w:rsid w:val="006230A0"/>
    <w:rsid w:val="00623380"/>
    <w:rsid w:val="00623691"/>
    <w:rsid w:val="00623FA5"/>
    <w:rsid w:val="006241A3"/>
    <w:rsid w:val="00624367"/>
    <w:rsid w:val="006251DE"/>
    <w:rsid w:val="00625A7F"/>
    <w:rsid w:val="00625CEA"/>
    <w:rsid w:val="00625E5D"/>
    <w:rsid w:val="0062627E"/>
    <w:rsid w:val="006262BC"/>
    <w:rsid w:val="00626447"/>
    <w:rsid w:val="00626655"/>
    <w:rsid w:val="00626A85"/>
    <w:rsid w:val="0062715C"/>
    <w:rsid w:val="00627240"/>
    <w:rsid w:val="006277BF"/>
    <w:rsid w:val="00627BB5"/>
    <w:rsid w:val="006301FC"/>
    <w:rsid w:val="006303C4"/>
    <w:rsid w:val="00630616"/>
    <w:rsid w:val="00630B5C"/>
    <w:rsid w:val="00630E37"/>
    <w:rsid w:val="0063177B"/>
    <w:rsid w:val="00631B38"/>
    <w:rsid w:val="00631D2E"/>
    <w:rsid w:val="00632649"/>
    <w:rsid w:val="00632AD3"/>
    <w:rsid w:val="00632E5B"/>
    <w:rsid w:val="00633DBF"/>
    <w:rsid w:val="00634002"/>
    <w:rsid w:val="00634087"/>
    <w:rsid w:val="00634446"/>
    <w:rsid w:val="00634484"/>
    <w:rsid w:val="00634EBE"/>
    <w:rsid w:val="00635207"/>
    <w:rsid w:val="006353DB"/>
    <w:rsid w:val="0063582D"/>
    <w:rsid w:val="00635BD8"/>
    <w:rsid w:val="00636189"/>
    <w:rsid w:val="00636646"/>
    <w:rsid w:val="00636C5F"/>
    <w:rsid w:val="00636FA0"/>
    <w:rsid w:val="006372D9"/>
    <w:rsid w:val="0064055A"/>
    <w:rsid w:val="006412FF"/>
    <w:rsid w:val="00641334"/>
    <w:rsid w:val="00641CFC"/>
    <w:rsid w:val="00642218"/>
    <w:rsid w:val="006427FA"/>
    <w:rsid w:val="00642887"/>
    <w:rsid w:val="00643919"/>
    <w:rsid w:val="00643B55"/>
    <w:rsid w:val="00643BA6"/>
    <w:rsid w:val="006441B8"/>
    <w:rsid w:val="0064452B"/>
    <w:rsid w:val="006445C5"/>
    <w:rsid w:val="00644BFD"/>
    <w:rsid w:val="006456C1"/>
    <w:rsid w:val="00645C0A"/>
    <w:rsid w:val="00645F7B"/>
    <w:rsid w:val="006460BD"/>
    <w:rsid w:val="0064621E"/>
    <w:rsid w:val="006464B7"/>
    <w:rsid w:val="0064657F"/>
    <w:rsid w:val="006468F6"/>
    <w:rsid w:val="00646B05"/>
    <w:rsid w:val="00647000"/>
    <w:rsid w:val="0064745C"/>
    <w:rsid w:val="00650127"/>
    <w:rsid w:val="006501BB"/>
    <w:rsid w:val="006503E7"/>
    <w:rsid w:val="00650413"/>
    <w:rsid w:val="0065080B"/>
    <w:rsid w:val="00650CF4"/>
    <w:rsid w:val="006516C5"/>
    <w:rsid w:val="00651C05"/>
    <w:rsid w:val="00652565"/>
    <w:rsid w:val="00652BC8"/>
    <w:rsid w:val="00652D91"/>
    <w:rsid w:val="00653121"/>
    <w:rsid w:val="00653284"/>
    <w:rsid w:val="006535FF"/>
    <w:rsid w:val="00653A72"/>
    <w:rsid w:val="00653C27"/>
    <w:rsid w:val="00654B33"/>
    <w:rsid w:val="00654C78"/>
    <w:rsid w:val="00654CF9"/>
    <w:rsid w:val="00655D1E"/>
    <w:rsid w:val="006560DD"/>
    <w:rsid w:val="00656263"/>
    <w:rsid w:val="00656363"/>
    <w:rsid w:val="00656886"/>
    <w:rsid w:val="00656D3B"/>
    <w:rsid w:val="00657088"/>
    <w:rsid w:val="006576A1"/>
    <w:rsid w:val="00657AD3"/>
    <w:rsid w:val="00660256"/>
    <w:rsid w:val="0066043D"/>
    <w:rsid w:val="006605FF"/>
    <w:rsid w:val="006610AF"/>
    <w:rsid w:val="00661CFF"/>
    <w:rsid w:val="00661D0D"/>
    <w:rsid w:val="00662762"/>
    <w:rsid w:val="0066288D"/>
    <w:rsid w:val="00662B88"/>
    <w:rsid w:val="00662C56"/>
    <w:rsid w:val="00662FB9"/>
    <w:rsid w:val="00663DC7"/>
    <w:rsid w:val="0066422B"/>
    <w:rsid w:val="006646DE"/>
    <w:rsid w:val="0066473F"/>
    <w:rsid w:val="00664C96"/>
    <w:rsid w:val="00664DAB"/>
    <w:rsid w:val="00664E84"/>
    <w:rsid w:val="00665D60"/>
    <w:rsid w:val="006660D4"/>
    <w:rsid w:val="0066641D"/>
    <w:rsid w:val="006665A4"/>
    <w:rsid w:val="00666968"/>
    <w:rsid w:val="00666A69"/>
    <w:rsid w:val="0066740F"/>
    <w:rsid w:val="00670453"/>
    <w:rsid w:val="00670A08"/>
    <w:rsid w:val="00670A15"/>
    <w:rsid w:val="00670EC5"/>
    <w:rsid w:val="00670FFA"/>
    <w:rsid w:val="006713DD"/>
    <w:rsid w:val="00671FDC"/>
    <w:rsid w:val="006725A6"/>
    <w:rsid w:val="0067271E"/>
    <w:rsid w:val="00672727"/>
    <w:rsid w:val="00672B9B"/>
    <w:rsid w:val="00672D69"/>
    <w:rsid w:val="00672E79"/>
    <w:rsid w:val="00673206"/>
    <w:rsid w:val="00673C07"/>
    <w:rsid w:val="006741B6"/>
    <w:rsid w:val="0067440C"/>
    <w:rsid w:val="0067511E"/>
    <w:rsid w:val="0067567D"/>
    <w:rsid w:val="00675750"/>
    <w:rsid w:val="00675EDF"/>
    <w:rsid w:val="00676056"/>
    <w:rsid w:val="00676284"/>
    <w:rsid w:val="00676DFD"/>
    <w:rsid w:val="00677257"/>
    <w:rsid w:val="00677724"/>
    <w:rsid w:val="00677876"/>
    <w:rsid w:val="00677DE5"/>
    <w:rsid w:val="006809F9"/>
    <w:rsid w:val="00680B7E"/>
    <w:rsid w:val="00680CE0"/>
    <w:rsid w:val="0068187D"/>
    <w:rsid w:val="0068244C"/>
    <w:rsid w:val="00682734"/>
    <w:rsid w:val="00682ED3"/>
    <w:rsid w:val="00682FD2"/>
    <w:rsid w:val="00683475"/>
    <w:rsid w:val="006838DD"/>
    <w:rsid w:val="00683B9D"/>
    <w:rsid w:val="00683C84"/>
    <w:rsid w:val="00683D3B"/>
    <w:rsid w:val="0068438C"/>
    <w:rsid w:val="00684422"/>
    <w:rsid w:val="00684AA6"/>
    <w:rsid w:val="00684BC6"/>
    <w:rsid w:val="00684C90"/>
    <w:rsid w:val="006854F2"/>
    <w:rsid w:val="00685504"/>
    <w:rsid w:val="006855A3"/>
    <w:rsid w:val="006856EA"/>
    <w:rsid w:val="00685B3B"/>
    <w:rsid w:val="00686202"/>
    <w:rsid w:val="00686840"/>
    <w:rsid w:val="00686A90"/>
    <w:rsid w:val="00686BF2"/>
    <w:rsid w:val="00686F7C"/>
    <w:rsid w:val="0068748D"/>
    <w:rsid w:val="006874D6"/>
    <w:rsid w:val="00687E13"/>
    <w:rsid w:val="00690303"/>
    <w:rsid w:val="00690A3D"/>
    <w:rsid w:val="00690A58"/>
    <w:rsid w:val="00690ACE"/>
    <w:rsid w:val="0069103A"/>
    <w:rsid w:val="0069121E"/>
    <w:rsid w:val="0069127A"/>
    <w:rsid w:val="0069133A"/>
    <w:rsid w:val="00691839"/>
    <w:rsid w:val="00691F09"/>
    <w:rsid w:val="0069295D"/>
    <w:rsid w:val="0069470B"/>
    <w:rsid w:val="006948DE"/>
    <w:rsid w:val="00694983"/>
    <w:rsid w:val="00694B3C"/>
    <w:rsid w:val="00695282"/>
    <w:rsid w:val="00695721"/>
    <w:rsid w:val="00695899"/>
    <w:rsid w:val="00695A34"/>
    <w:rsid w:val="00695AD0"/>
    <w:rsid w:val="00696A05"/>
    <w:rsid w:val="00696ECC"/>
    <w:rsid w:val="006972E8"/>
    <w:rsid w:val="0069775F"/>
    <w:rsid w:val="006978FC"/>
    <w:rsid w:val="00697D4D"/>
    <w:rsid w:val="006A02AC"/>
    <w:rsid w:val="006A0CE3"/>
    <w:rsid w:val="006A0DAF"/>
    <w:rsid w:val="006A110C"/>
    <w:rsid w:val="006A1272"/>
    <w:rsid w:val="006A13C6"/>
    <w:rsid w:val="006A2210"/>
    <w:rsid w:val="006A2678"/>
    <w:rsid w:val="006A2729"/>
    <w:rsid w:val="006A2B30"/>
    <w:rsid w:val="006A32F1"/>
    <w:rsid w:val="006A34B2"/>
    <w:rsid w:val="006A3F90"/>
    <w:rsid w:val="006A488D"/>
    <w:rsid w:val="006A5383"/>
    <w:rsid w:val="006A5C5D"/>
    <w:rsid w:val="006A6381"/>
    <w:rsid w:val="006A6396"/>
    <w:rsid w:val="006A640F"/>
    <w:rsid w:val="006A662F"/>
    <w:rsid w:val="006A66DE"/>
    <w:rsid w:val="006A672B"/>
    <w:rsid w:val="006A6893"/>
    <w:rsid w:val="006A6973"/>
    <w:rsid w:val="006A6CFF"/>
    <w:rsid w:val="006A6D6D"/>
    <w:rsid w:val="006A6F57"/>
    <w:rsid w:val="006A6FC0"/>
    <w:rsid w:val="006A7580"/>
    <w:rsid w:val="006A76D5"/>
    <w:rsid w:val="006A784C"/>
    <w:rsid w:val="006A7CEC"/>
    <w:rsid w:val="006A7F9D"/>
    <w:rsid w:val="006A7FB4"/>
    <w:rsid w:val="006B0B4F"/>
    <w:rsid w:val="006B1E28"/>
    <w:rsid w:val="006B2AEC"/>
    <w:rsid w:val="006B32D4"/>
    <w:rsid w:val="006B36D7"/>
    <w:rsid w:val="006B3F20"/>
    <w:rsid w:val="006B508F"/>
    <w:rsid w:val="006B524A"/>
    <w:rsid w:val="006B65DC"/>
    <w:rsid w:val="006B710F"/>
    <w:rsid w:val="006B7757"/>
    <w:rsid w:val="006B77BE"/>
    <w:rsid w:val="006C00B1"/>
    <w:rsid w:val="006C058F"/>
    <w:rsid w:val="006C05FF"/>
    <w:rsid w:val="006C0638"/>
    <w:rsid w:val="006C0991"/>
    <w:rsid w:val="006C0D01"/>
    <w:rsid w:val="006C121E"/>
    <w:rsid w:val="006C1291"/>
    <w:rsid w:val="006C1A7E"/>
    <w:rsid w:val="006C205F"/>
    <w:rsid w:val="006C22F9"/>
    <w:rsid w:val="006C2875"/>
    <w:rsid w:val="006C2C30"/>
    <w:rsid w:val="006C320B"/>
    <w:rsid w:val="006C3387"/>
    <w:rsid w:val="006C34A6"/>
    <w:rsid w:val="006C4C5C"/>
    <w:rsid w:val="006C5416"/>
    <w:rsid w:val="006C553C"/>
    <w:rsid w:val="006C591A"/>
    <w:rsid w:val="006C59B2"/>
    <w:rsid w:val="006C5B4E"/>
    <w:rsid w:val="006C5C68"/>
    <w:rsid w:val="006C5DB6"/>
    <w:rsid w:val="006C5F89"/>
    <w:rsid w:val="006C650D"/>
    <w:rsid w:val="006C65AA"/>
    <w:rsid w:val="006C65CA"/>
    <w:rsid w:val="006C6A07"/>
    <w:rsid w:val="006C6B55"/>
    <w:rsid w:val="006C6FAD"/>
    <w:rsid w:val="006C763F"/>
    <w:rsid w:val="006D0241"/>
    <w:rsid w:val="006D06E7"/>
    <w:rsid w:val="006D1098"/>
    <w:rsid w:val="006D1C0C"/>
    <w:rsid w:val="006D238B"/>
    <w:rsid w:val="006D33F7"/>
    <w:rsid w:val="006D379F"/>
    <w:rsid w:val="006D3EE2"/>
    <w:rsid w:val="006D3FEC"/>
    <w:rsid w:val="006D4548"/>
    <w:rsid w:val="006D558B"/>
    <w:rsid w:val="006D5AF9"/>
    <w:rsid w:val="006D62AF"/>
    <w:rsid w:val="006D649C"/>
    <w:rsid w:val="006D6689"/>
    <w:rsid w:val="006D6E83"/>
    <w:rsid w:val="006D6FED"/>
    <w:rsid w:val="006E0C2C"/>
    <w:rsid w:val="006E23BE"/>
    <w:rsid w:val="006E2BA9"/>
    <w:rsid w:val="006E2EC3"/>
    <w:rsid w:val="006E2F4F"/>
    <w:rsid w:val="006E3759"/>
    <w:rsid w:val="006E3A35"/>
    <w:rsid w:val="006E3A5A"/>
    <w:rsid w:val="006E401E"/>
    <w:rsid w:val="006E4066"/>
    <w:rsid w:val="006E415D"/>
    <w:rsid w:val="006E4BEE"/>
    <w:rsid w:val="006E4D74"/>
    <w:rsid w:val="006E51B5"/>
    <w:rsid w:val="006E54E4"/>
    <w:rsid w:val="006E5612"/>
    <w:rsid w:val="006E5E98"/>
    <w:rsid w:val="006E662F"/>
    <w:rsid w:val="006E6712"/>
    <w:rsid w:val="006E6D5D"/>
    <w:rsid w:val="006E7004"/>
    <w:rsid w:val="006E72AE"/>
    <w:rsid w:val="006E72D0"/>
    <w:rsid w:val="006E74BD"/>
    <w:rsid w:val="006E7980"/>
    <w:rsid w:val="006E7BC3"/>
    <w:rsid w:val="006E7D4A"/>
    <w:rsid w:val="006E7D8F"/>
    <w:rsid w:val="006E7FBB"/>
    <w:rsid w:val="006F01F5"/>
    <w:rsid w:val="006F0906"/>
    <w:rsid w:val="006F09DE"/>
    <w:rsid w:val="006F0DF8"/>
    <w:rsid w:val="006F10C0"/>
    <w:rsid w:val="006F1A08"/>
    <w:rsid w:val="006F1E80"/>
    <w:rsid w:val="006F2082"/>
    <w:rsid w:val="006F2691"/>
    <w:rsid w:val="006F32CE"/>
    <w:rsid w:val="006F34D7"/>
    <w:rsid w:val="006F3E8B"/>
    <w:rsid w:val="006F5643"/>
    <w:rsid w:val="006F609C"/>
    <w:rsid w:val="006F6C9B"/>
    <w:rsid w:val="006F6CA8"/>
    <w:rsid w:val="006F7D53"/>
    <w:rsid w:val="006F7DAA"/>
    <w:rsid w:val="006F7E56"/>
    <w:rsid w:val="006F7E74"/>
    <w:rsid w:val="0070007C"/>
    <w:rsid w:val="007001D9"/>
    <w:rsid w:val="0070059B"/>
    <w:rsid w:val="00700B5E"/>
    <w:rsid w:val="0070105D"/>
    <w:rsid w:val="0070151A"/>
    <w:rsid w:val="0070179E"/>
    <w:rsid w:val="00701846"/>
    <w:rsid w:val="00701C76"/>
    <w:rsid w:val="00701CA8"/>
    <w:rsid w:val="00702A14"/>
    <w:rsid w:val="00702E61"/>
    <w:rsid w:val="00702E69"/>
    <w:rsid w:val="00702EC3"/>
    <w:rsid w:val="0070373B"/>
    <w:rsid w:val="00703D08"/>
    <w:rsid w:val="00704146"/>
    <w:rsid w:val="00704370"/>
    <w:rsid w:val="00704B9C"/>
    <w:rsid w:val="00704ECB"/>
    <w:rsid w:val="007066D1"/>
    <w:rsid w:val="00706A74"/>
    <w:rsid w:val="00706B06"/>
    <w:rsid w:val="00706B96"/>
    <w:rsid w:val="00706CBA"/>
    <w:rsid w:val="00707B5D"/>
    <w:rsid w:val="00707F05"/>
    <w:rsid w:val="007100CC"/>
    <w:rsid w:val="007102D6"/>
    <w:rsid w:val="007112C9"/>
    <w:rsid w:val="007113B9"/>
    <w:rsid w:val="0071179C"/>
    <w:rsid w:val="007118AA"/>
    <w:rsid w:val="0071256E"/>
    <w:rsid w:val="00712709"/>
    <w:rsid w:val="007127FF"/>
    <w:rsid w:val="00712ED3"/>
    <w:rsid w:val="007138CA"/>
    <w:rsid w:val="00713D3C"/>
    <w:rsid w:val="0071442D"/>
    <w:rsid w:val="007147A2"/>
    <w:rsid w:val="00714857"/>
    <w:rsid w:val="007150CF"/>
    <w:rsid w:val="007153E5"/>
    <w:rsid w:val="00715447"/>
    <w:rsid w:val="007154A8"/>
    <w:rsid w:val="00715680"/>
    <w:rsid w:val="00715CCF"/>
    <w:rsid w:val="00716082"/>
    <w:rsid w:val="00716424"/>
    <w:rsid w:val="007167C3"/>
    <w:rsid w:val="007169C6"/>
    <w:rsid w:val="00717838"/>
    <w:rsid w:val="007178EE"/>
    <w:rsid w:val="007178F4"/>
    <w:rsid w:val="00720062"/>
    <w:rsid w:val="00720DB0"/>
    <w:rsid w:val="00720E02"/>
    <w:rsid w:val="0072117A"/>
    <w:rsid w:val="00721398"/>
    <w:rsid w:val="0072152B"/>
    <w:rsid w:val="007227D5"/>
    <w:rsid w:val="00722D0B"/>
    <w:rsid w:val="00722EDA"/>
    <w:rsid w:val="00723E41"/>
    <w:rsid w:val="0072491D"/>
    <w:rsid w:val="00724AC0"/>
    <w:rsid w:val="007250CA"/>
    <w:rsid w:val="00725112"/>
    <w:rsid w:val="00725312"/>
    <w:rsid w:val="00725623"/>
    <w:rsid w:val="00725D20"/>
    <w:rsid w:val="00726314"/>
    <w:rsid w:val="007265BB"/>
    <w:rsid w:val="007266E6"/>
    <w:rsid w:val="00726FE9"/>
    <w:rsid w:val="0072727D"/>
    <w:rsid w:val="007273D2"/>
    <w:rsid w:val="00727528"/>
    <w:rsid w:val="00727E2B"/>
    <w:rsid w:val="00727EE5"/>
    <w:rsid w:val="007303C4"/>
    <w:rsid w:val="007306B9"/>
    <w:rsid w:val="007310DA"/>
    <w:rsid w:val="0073147B"/>
    <w:rsid w:val="00731AAA"/>
    <w:rsid w:val="00731AB0"/>
    <w:rsid w:val="00731FB9"/>
    <w:rsid w:val="007320FF"/>
    <w:rsid w:val="00732824"/>
    <w:rsid w:val="00733180"/>
    <w:rsid w:val="00733358"/>
    <w:rsid w:val="00733861"/>
    <w:rsid w:val="00733F90"/>
    <w:rsid w:val="007346BA"/>
    <w:rsid w:val="00734ECC"/>
    <w:rsid w:val="00735775"/>
    <w:rsid w:val="00735943"/>
    <w:rsid w:val="007361C0"/>
    <w:rsid w:val="007363AA"/>
    <w:rsid w:val="007368D2"/>
    <w:rsid w:val="007369D6"/>
    <w:rsid w:val="00736DF9"/>
    <w:rsid w:val="0073730D"/>
    <w:rsid w:val="00737794"/>
    <w:rsid w:val="00737D0A"/>
    <w:rsid w:val="00737F1F"/>
    <w:rsid w:val="00737F2C"/>
    <w:rsid w:val="007406E3"/>
    <w:rsid w:val="007409EE"/>
    <w:rsid w:val="00740BF1"/>
    <w:rsid w:val="00741233"/>
    <w:rsid w:val="00741723"/>
    <w:rsid w:val="007418CB"/>
    <w:rsid w:val="0074208A"/>
    <w:rsid w:val="0074212B"/>
    <w:rsid w:val="007425D8"/>
    <w:rsid w:val="00742C6D"/>
    <w:rsid w:val="00742D3B"/>
    <w:rsid w:val="00742FB7"/>
    <w:rsid w:val="00742FEF"/>
    <w:rsid w:val="007437F0"/>
    <w:rsid w:val="007451DE"/>
    <w:rsid w:val="00745597"/>
    <w:rsid w:val="007461D7"/>
    <w:rsid w:val="00746B5A"/>
    <w:rsid w:val="00747536"/>
    <w:rsid w:val="00747BB6"/>
    <w:rsid w:val="00747DA6"/>
    <w:rsid w:val="00750100"/>
    <w:rsid w:val="007504B3"/>
    <w:rsid w:val="00750691"/>
    <w:rsid w:val="0075090F"/>
    <w:rsid w:val="00750938"/>
    <w:rsid w:val="007519DC"/>
    <w:rsid w:val="007523D2"/>
    <w:rsid w:val="007530ED"/>
    <w:rsid w:val="00753677"/>
    <w:rsid w:val="00753A44"/>
    <w:rsid w:val="0075452F"/>
    <w:rsid w:val="0075479B"/>
    <w:rsid w:val="007549D6"/>
    <w:rsid w:val="00754C7C"/>
    <w:rsid w:val="00754F75"/>
    <w:rsid w:val="00755028"/>
    <w:rsid w:val="007551F4"/>
    <w:rsid w:val="00755238"/>
    <w:rsid w:val="00755528"/>
    <w:rsid w:val="00755C11"/>
    <w:rsid w:val="00756696"/>
    <w:rsid w:val="00756FF6"/>
    <w:rsid w:val="00757194"/>
    <w:rsid w:val="007577D3"/>
    <w:rsid w:val="0076001F"/>
    <w:rsid w:val="007600A9"/>
    <w:rsid w:val="007600E7"/>
    <w:rsid w:val="00760496"/>
    <w:rsid w:val="00760A05"/>
    <w:rsid w:val="00760C9F"/>
    <w:rsid w:val="00760F27"/>
    <w:rsid w:val="0076183B"/>
    <w:rsid w:val="00761936"/>
    <w:rsid w:val="00762245"/>
    <w:rsid w:val="00762509"/>
    <w:rsid w:val="00762701"/>
    <w:rsid w:val="007629F5"/>
    <w:rsid w:val="00762DF0"/>
    <w:rsid w:val="007637D5"/>
    <w:rsid w:val="00764367"/>
    <w:rsid w:val="00764769"/>
    <w:rsid w:val="00764790"/>
    <w:rsid w:val="00764862"/>
    <w:rsid w:val="00765355"/>
    <w:rsid w:val="00765A6D"/>
    <w:rsid w:val="007670B4"/>
    <w:rsid w:val="007675A8"/>
    <w:rsid w:val="00767BDE"/>
    <w:rsid w:val="00767E29"/>
    <w:rsid w:val="00767EB1"/>
    <w:rsid w:val="00770DEF"/>
    <w:rsid w:val="00770F6D"/>
    <w:rsid w:val="0077115C"/>
    <w:rsid w:val="0077150B"/>
    <w:rsid w:val="00771752"/>
    <w:rsid w:val="007718D7"/>
    <w:rsid w:val="007725CC"/>
    <w:rsid w:val="0077264E"/>
    <w:rsid w:val="00772A33"/>
    <w:rsid w:val="00773245"/>
    <w:rsid w:val="007738AE"/>
    <w:rsid w:val="00773948"/>
    <w:rsid w:val="00774638"/>
    <w:rsid w:val="00774B50"/>
    <w:rsid w:val="00774D49"/>
    <w:rsid w:val="00774DC0"/>
    <w:rsid w:val="00774F6D"/>
    <w:rsid w:val="0077501C"/>
    <w:rsid w:val="0077505D"/>
    <w:rsid w:val="00775270"/>
    <w:rsid w:val="0077574C"/>
    <w:rsid w:val="0077605A"/>
    <w:rsid w:val="00776226"/>
    <w:rsid w:val="0077679F"/>
    <w:rsid w:val="0077696C"/>
    <w:rsid w:val="007800C5"/>
    <w:rsid w:val="0078011F"/>
    <w:rsid w:val="007801EA"/>
    <w:rsid w:val="0078039D"/>
    <w:rsid w:val="00780579"/>
    <w:rsid w:val="00780ED9"/>
    <w:rsid w:val="00781233"/>
    <w:rsid w:val="00781A4F"/>
    <w:rsid w:val="00781C76"/>
    <w:rsid w:val="00781EAB"/>
    <w:rsid w:val="00781FC4"/>
    <w:rsid w:val="00782058"/>
    <w:rsid w:val="0078206F"/>
    <w:rsid w:val="0078208A"/>
    <w:rsid w:val="00783F4C"/>
    <w:rsid w:val="0078454A"/>
    <w:rsid w:val="007846CE"/>
    <w:rsid w:val="00784861"/>
    <w:rsid w:val="00784B79"/>
    <w:rsid w:val="00784CDD"/>
    <w:rsid w:val="007855DB"/>
    <w:rsid w:val="007856E2"/>
    <w:rsid w:val="007857FE"/>
    <w:rsid w:val="0078717E"/>
    <w:rsid w:val="007876CF"/>
    <w:rsid w:val="007879E0"/>
    <w:rsid w:val="00787EFE"/>
    <w:rsid w:val="00787F04"/>
    <w:rsid w:val="007900F2"/>
    <w:rsid w:val="0079016A"/>
    <w:rsid w:val="0079139E"/>
    <w:rsid w:val="0079145D"/>
    <w:rsid w:val="007918D2"/>
    <w:rsid w:val="00791B24"/>
    <w:rsid w:val="00791B33"/>
    <w:rsid w:val="00791CCB"/>
    <w:rsid w:val="00791E2D"/>
    <w:rsid w:val="00791F26"/>
    <w:rsid w:val="00791F84"/>
    <w:rsid w:val="00792284"/>
    <w:rsid w:val="00792C72"/>
    <w:rsid w:val="00792CB4"/>
    <w:rsid w:val="007931E5"/>
    <w:rsid w:val="007931E9"/>
    <w:rsid w:val="00793DF5"/>
    <w:rsid w:val="00794173"/>
    <w:rsid w:val="007945EC"/>
    <w:rsid w:val="00794CAC"/>
    <w:rsid w:val="00795EB6"/>
    <w:rsid w:val="0079675C"/>
    <w:rsid w:val="00796CA1"/>
    <w:rsid w:val="007970EE"/>
    <w:rsid w:val="00797C17"/>
    <w:rsid w:val="007A0E7C"/>
    <w:rsid w:val="007A0EA9"/>
    <w:rsid w:val="007A12A4"/>
    <w:rsid w:val="007A1601"/>
    <w:rsid w:val="007A1789"/>
    <w:rsid w:val="007A18FF"/>
    <w:rsid w:val="007A193A"/>
    <w:rsid w:val="007A1DAC"/>
    <w:rsid w:val="007A1EB8"/>
    <w:rsid w:val="007A1F04"/>
    <w:rsid w:val="007A27FB"/>
    <w:rsid w:val="007A2FA2"/>
    <w:rsid w:val="007A2FA6"/>
    <w:rsid w:val="007A3613"/>
    <w:rsid w:val="007A376F"/>
    <w:rsid w:val="007A3CF3"/>
    <w:rsid w:val="007A3D2B"/>
    <w:rsid w:val="007A4015"/>
    <w:rsid w:val="007A44C4"/>
    <w:rsid w:val="007A4504"/>
    <w:rsid w:val="007A4542"/>
    <w:rsid w:val="007A4558"/>
    <w:rsid w:val="007A45D2"/>
    <w:rsid w:val="007A4840"/>
    <w:rsid w:val="007A4B64"/>
    <w:rsid w:val="007A4B8C"/>
    <w:rsid w:val="007A50B7"/>
    <w:rsid w:val="007A5DC1"/>
    <w:rsid w:val="007A6949"/>
    <w:rsid w:val="007A7A5E"/>
    <w:rsid w:val="007A7BE5"/>
    <w:rsid w:val="007B00D9"/>
    <w:rsid w:val="007B01C8"/>
    <w:rsid w:val="007B01FC"/>
    <w:rsid w:val="007B0315"/>
    <w:rsid w:val="007B096F"/>
    <w:rsid w:val="007B0995"/>
    <w:rsid w:val="007B0B87"/>
    <w:rsid w:val="007B11BC"/>
    <w:rsid w:val="007B1237"/>
    <w:rsid w:val="007B164C"/>
    <w:rsid w:val="007B1733"/>
    <w:rsid w:val="007B21EE"/>
    <w:rsid w:val="007B25CA"/>
    <w:rsid w:val="007B287C"/>
    <w:rsid w:val="007B28BB"/>
    <w:rsid w:val="007B2C53"/>
    <w:rsid w:val="007B2FF8"/>
    <w:rsid w:val="007B399B"/>
    <w:rsid w:val="007B4112"/>
    <w:rsid w:val="007B4852"/>
    <w:rsid w:val="007B4D40"/>
    <w:rsid w:val="007B5122"/>
    <w:rsid w:val="007B536B"/>
    <w:rsid w:val="007B599A"/>
    <w:rsid w:val="007B61FC"/>
    <w:rsid w:val="007B62F3"/>
    <w:rsid w:val="007B6519"/>
    <w:rsid w:val="007B65CF"/>
    <w:rsid w:val="007B6834"/>
    <w:rsid w:val="007B6A55"/>
    <w:rsid w:val="007B6ECE"/>
    <w:rsid w:val="007B7724"/>
    <w:rsid w:val="007B7EFE"/>
    <w:rsid w:val="007C175C"/>
    <w:rsid w:val="007C221A"/>
    <w:rsid w:val="007C27F2"/>
    <w:rsid w:val="007C29B3"/>
    <w:rsid w:val="007C2EEE"/>
    <w:rsid w:val="007C3668"/>
    <w:rsid w:val="007C45A7"/>
    <w:rsid w:val="007C466A"/>
    <w:rsid w:val="007C49CD"/>
    <w:rsid w:val="007C4B5A"/>
    <w:rsid w:val="007C5426"/>
    <w:rsid w:val="007C5F98"/>
    <w:rsid w:val="007C6032"/>
    <w:rsid w:val="007C633C"/>
    <w:rsid w:val="007C647E"/>
    <w:rsid w:val="007C6A2B"/>
    <w:rsid w:val="007C6FEF"/>
    <w:rsid w:val="007C70A9"/>
    <w:rsid w:val="007C7A66"/>
    <w:rsid w:val="007C7B73"/>
    <w:rsid w:val="007C7CD5"/>
    <w:rsid w:val="007C7D14"/>
    <w:rsid w:val="007C7F5E"/>
    <w:rsid w:val="007D0046"/>
    <w:rsid w:val="007D0A9E"/>
    <w:rsid w:val="007D1333"/>
    <w:rsid w:val="007D1906"/>
    <w:rsid w:val="007D21E6"/>
    <w:rsid w:val="007D232F"/>
    <w:rsid w:val="007D2553"/>
    <w:rsid w:val="007D2F5C"/>
    <w:rsid w:val="007D2FA1"/>
    <w:rsid w:val="007D2FF6"/>
    <w:rsid w:val="007D347A"/>
    <w:rsid w:val="007D3BA9"/>
    <w:rsid w:val="007D3E69"/>
    <w:rsid w:val="007D4025"/>
    <w:rsid w:val="007D442A"/>
    <w:rsid w:val="007D4736"/>
    <w:rsid w:val="007D56FE"/>
    <w:rsid w:val="007D59CD"/>
    <w:rsid w:val="007D5B2E"/>
    <w:rsid w:val="007D61D1"/>
    <w:rsid w:val="007D63B5"/>
    <w:rsid w:val="007D6403"/>
    <w:rsid w:val="007D6840"/>
    <w:rsid w:val="007D69BA"/>
    <w:rsid w:val="007D6B29"/>
    <w:rsid w:val="007D6DC9"/>
    <w:rsid w:val="007D7447"/>
    <w:rsid w:val="007D747D"/>
    <w:rsid w:val="007D7672"/>
    <w:rsid w:val="007E0341"/>
    <w:rsid w:val="007E03DE"/>
    <w:rsid w:val="007E0746"/>
    <w:rsid w:val="007E09F5"/>
    <w:rsid w:val="007E0B7E"/>
    <w:rsid w:val="007E0C63"/>
    <w:rsid w:val="007E0D7E"/>
    <w:rsid w:val="007E0EB4"/>
    <w:rsid w:val="007E11C4"/>
    <w:rsid w:val="007E1BF5"/>
    <w:rsid w:val="007E1FBB"/>
    <w:rsid w:val="007E2142"/>
    <w:rsid w:val="007E21F0"/>
    <w:rsid w:val="007E36CF"/>
    <w:rsid w:val="007E3E22"/>
    <w:rsid w:val="007E3E64"/>
    <w:rsid w:val="007E3E95"/>
    <w:rsid w:val="007E4E70"/>
    <w:rsid w:val="007E5654"/>
    <w:rsid w:val="007E5C3B"/>
    <w:rsid w:val="007E634B"/>
    <w:rsid w:val="007E66B8"/>
    <w:rsid w:val="007E6F4C"/>
    <w:rsid w:val="007E727E"/>
    <w:rsid w:val="007E728E"/>
    <w:rsid w:val="007E72D9"/>
    <w:rsid w:val="007E760F"/>
    <w:rsid w:val="007E784B"/>
    <w:rsid w:val="007E7E19"/>
    <w:rsid w:val="007F054D"/>
    <w:rsid w:val="007F062B"/>
    <w:rsid w:val="007F08B9"/>
    <w:rsid w:val="007F1530"/>
    <w:rsid w:val="007F15B5"/>
    <w:rsid w:val="007F16C8"/>
    <w:rsid w:val="007F1A0D"/>
    <w:rsid w:val="007F2186"/>
    <w:rsid w:val="007F2EBE"/>
    <w:rsid w:val="007F3054"/>
    <w:rsid w:val="007F30B2"/>
    <w:rsid w:val="007F37AF"/>
    <w:rsid w:val="007F38FF"/>
    <w:rsid w:val="007F3A63"/>
    <w:rsid w:val="007F407B"/>
    <w:rsid w:val="007F4087"/>
    <w:rsid w:val="007F4736"/>
    <w:rsid w:val="007F4EBF"/>
    <w:rsid w:val="007F5200"/>
    <w:rsid w:val="007F5481"/>
    <w:rsid w:val="007F62FF"/>
    <w:rsid w:val="007F6656"/>
    <w:rsid w:val="007F7E9A"/>
    <w:rsid w:val="008007AA"/>
    <w:rsid w:val="00800DA9"/>
    <w:rsid w:val="0080111F"/>
    <w:rsid w:val="00801D1C"/>
    <w:rsid w:val="00801F78"/>
    <w:rsid w:val="00802569"/>
    <w:rsid w:val="008025FE"/>
    <w:rsid w:val="0080296A"/>
    <w:rsid w:val="00802980"/>
    <w:rsid w:val="008033E6"/>
    <w:rsid w:val="00803DD2"/>
    <w:rsid w:val="00803EE4"/>
    <w:rsid w:val="00803F1C"/>
    <w:rsid w:val="00804501"/>
    <w:rsid w:val="00804B4C"/>
    <w:rsid w:val="00804C77"/>
    <w:rsid w:val="00805C36"/>
    <w:rsid w:val="00805C99"/>
    <w:rsid w:val="0080637D"/>
    <w:rsid w:val="00806534"/>
    <w:rsid w:val="00806F62"/>
    <w:rsid w:val="00807394"/>
    <w:rsid w:val="00807571"/>
    <w:rsid w:val="00807B54"/>
    <w:rsid w:val="00807BDB"/>
    <w:rsid w:val="0081009F"/>
    <w:rsid w:val="008100DB"/>
    <w:rsid w:val="0081081E"/>
    <w:rsid w:val="0081082A"/>
    <w:rsid w:val="008112BD"/>
    <w:rsid w:val="00811B7D"/>
    <w:rsid w:val="00811D10"/>
    <w:rsid w:val="008125ED"/>
    <w:rsid w:val="00812DA2"/>
    <w:rsid w:val="00812E17"/>
    <w:rsid w:val="008131A7"/>
    <w:rsid w:val="00813485"/>
    <w:rsid w:val="00813BE0"/>
    <w:rsid w:val="00814036"/>
    <w:rsid w:val="0081472F"/>
    <w:rsid w:val="008147DD"/>
    <w:rsid w:val="00814CA0"/>
    <w:rsid w:val="00815B5E"/>
    <w:rsid w:val="00815D89"/>
    <w:rsid w:val="00816BA6"/>
    <w:rsid w:val="0081774D"/>
    <w:rsid w:val="0081778B"/>
    <w:rsid w:val="008177A7"/>
    <w:rsid w:val="00817C66"/>
    <w:rsid w:val="008200E4"/>
    <w:rsid w:val="008205BA"/>
    <w:rsid w:val="00820700"/>
    <w:rsid w:val="00820D7F"/>
    <w:rsid w:val="00821605"/>
    <w:rsid w:val="00821672"/>
    <w:rsid w:val="0082167E"/>
    <w:rsid w:val="008218D9"/>
    <w:rsid w:val="008224EA"/>
    <w:rsid w:val="0082266C"/>
    <w:rsid w:val="008226AD"/>
    <w:rsid w:val="00822B98"/>
    <w:rsid w:val="00822CBF"/>
    <w:rsid w:val="00822D55"/>
    <w:rsid w:val="00822DA3"/>
    <w:rsid w:val="00822E27"/>
    <w:rsid w:val="00823232"/>
    <w:rsid w:val="0082384E"/>
    <w:rsid w:val="008239C2"/>
    <w:rsid w:val="00823AD0"/>
    <w:rsid w:val="00823E3A"/>
    <w:rsid w:val="00824391"/>
    <w:rsid w:val="008244C3"/>
    <w:rsid w:val="00824BAC"/>
    <w:rsid w:val="00824CB5"/>
    <w:rsid w:val="00825228"/>
    <w:rsid w:val="008253F7"/>
    <w:rsid w:val="0082582D"/>
    <w:rsid w:val="0082589E"/>
    <w:rsid w:val="008258C3"/>
    <w:rsid w:val="00826650"/>
    <w:rsid w:val="00826B22"/>
    <w:rsid w:val="00826D94"/>
    <w:rsid w:val="00827538"/>
    <w:rsid w:val="00827CD0"/>
    <w:rsid w:val="00830278"/>
    <w:rsid w:val="00830642"/>
    <w:rsid w:val="00830A26"/>
    <w:rsid w:val="00830BFB"/>
    <w:rsid w:val="00830DA2"/>
    <w:rsid w:val="00831613"/>
    <w:rsid w:val="008316A0"/>
    <w:rsid w:val="00831B8E"/>
    <w:rsid w:val="00831E1D"/>
    <w:rsid w:val="00831F23"/>
    <w:rsid w:val="0083219B"/>
    <w:rsid w:val="00832205"/>
    <w:rsid w:val="008325A1"/>
    <w:rsid w:val="00832681"/>
    <w:rsid w:val="00832CD8"/>
    <w:rsid w:val="008330BC"/>
    <w:rsid w:val="0083321E"/>
    <w:rsid w:val="00833630"/>
    <w:rsid w:val="00833B82"/>
    <w:rsid w:val="00834063"/>
    <w:rsid w:val="0083412F"/>
    <w:rsid w:val="008343A6"/>
    <w:rsid w:val="00834749"/>
    <w:rsid w:val="00834751"/>
    <w:rsid w:val="00834C69"/>
    <w:rsid w:val="00835064"/>
    <w:rsid w:val="00835789"/>
    <w:rsid w:val="00835AB7"/>
    <w:rsid w:val="00835CD0"/>
    <w:rsid w:val="0083606F"/>
    <w:rsid w:val="00836324"/>
    <w:rsid w:val="008368FB"/>
    <w:rsid w:val="008369EF"/>
    <w:rsid w:val="00836B41"/>
    <w:rsid w:val="00836F1D"/>
    <w:rsid w:val="0083711E"/>
    <w:rsid w:val="00837572"/>
    <w:rsid w:val="008406E6"/>
    <w:rsid w:val="00840714"/>
    <w:rsid w:val="00840D12"/>
    <w:rsid w:val="00840D75"/>
    <w:rsid w:val="00840E22"/>
    <w:rsid w:val="00840E98"/>
    <w:rsid w:val="00841586"/>
    <w:rsid w:val="00841E15"/>
    <w:rsid w:val="00842159"/>
    <w:rsid w:val="00842543"/>
    <w:rsid w:val="00842916"/>
    <w:rsid w:val="00843951"/>
    <w:rsid w:val="00844546"/>
    <w:rsid w:val="008448A2"/>
    <w:rsid w:val="00844DF1"/>
    <w:rsid w:val="00844E17"/>
    <w:rsid w:val="008451F0"/>
    <w:rsid w:val="008457CE"/>
    <w:rsid w:val="00845D5A"/>
    <w:rsid w:val="008468C5"/>
    <w:rsid w:val="00847136"/>
    <w:rsid w:val="008472B4"/>
    <w:rsid w:val="00847511"/>
    <w:rsid w:val="0084785C"/>
    <w:rsid w:val="00847B79"/>
    <w:rsid w:val="00850C2A"/>
    <w:rsid w:val="00850D88"/>
    <w:rsid w:val="00850EFB"/>
    <w:rsid w:val="008515F5"/>
    <w:rsid w:val="0085182C"/>
    <w:rsid w:val="00851B99"/>
    <w:rsid w:val="008522B5"/>
    <w:rsid w:val="008524D3"/>
    <w:rsid w:val="00852663"/>
    <w:rsid w:val="00852BBD"/>
    <w:rsid w:val="0085337C"/>
    <w:rsid w:val="00853501"/>
    <w:rsid w:val="00853711"/>
    <w:rsid w:val="00853BE4"/>
    <w:rsid w:val="00853F16"/>
    <w:rsid w:val="00853FF8"/>
    <w:rsid w:val="008542F6"/>
    <w:rsid w:val="00854839"/>
    <w:rsid w:val="00856838"/>
    <w:rsid w:val="00856965"/>
    <w:rsid w:val="00856A36"/>
    <w:rsid w:val="00856B96"/>
    <w:rsid w:val="00856CDF"/>
    <w:rsid w:val="00856D67"/>
    <w:rsid w:val="00857416"/>
    <w:rsid w:val="00857906"/>
    <w:rsid w:val="00857932"/>
    <w:rsid w:val="00857D67"/>
    <w:rsid w:val="00857F77"/>
    <w:rsid w:val="008601E9"/>
    <w:rsid w:val="00860230"/>
    <w:rsid w:val="00860E8C"/>
    <w:rsid w:val="008615B9"/>
    <w:rsid w:val="008615C8"/>
    <w:rsid w:val="008619D9"/>
    <w:rsid w:val="00861A3D"/>
    <w:rsid w:val="00861BA3"/>
    <w:rsid w:val="00862B04"/>
    <w:rsid w:val="00862C03"/>
    <w:rsid w:val="00862F10"/>
    <w:rsid w:val="00863061"/>
    <w:rsid w:val="008634A6"/>
    <w:rsid w:val="00863869"/>
    <w:rsid w:val="00863AF3"/>
    <w:rsid w:val="00863C6E"/>
    <w:rsid w:val="00864CBB"/>
    <w:rsid w:val="00864E1B"/>
    <w:rsid w:val="0086546D"/>
    <w:rsid w:val="00865761"/>
    <w:rsid w:val="00865791"/>
    <w:rsid w:val="008659B4"/>
    <w:rsid w:val="008661AD"/>
    <w:rsid w:val="0086652A"/>
    <w:rsid w:val="0086671F"/>
    <w:rsid w:val="008669B1"/>
    <w:rsid w:val="00866D22"/>
    <w:rsid w:val="00866E73"/>
    <w:rsid w:val="00866FB5"/>
    <w:rsid w:val="00867349"/>
    <w:rsid w:val="00867472"/>
    <w:rsid w:val="00867654"/>
    <w:rsid w:val="00867B6F"/>
    <w:rsid w:val="00867D79"/>
    <w:rsid w:val="00867E77"/>
    <w:rsid w:val="00870460"/>
    <w:rsid w:val="00870633"/>
    <w:rsid w:val="00870D02"/>
    <w:rsid w:val="008716C0"/>
    <w:rsid w:val="00871AED"/>
    <w:rsid w:val="00871B3D"/>
    <w:rsid w:val="008720B5"/>
    <w:rsid w:val="008721AE"/>
    <w:rsid w:val="0087226E"/>
    <w:rsid w:val="00872501"/>
    <w:rsid w:val="008725C2"/>
    <w:rsid w:val="00872A94"/>
    <w:rsid w:val="008730C6"/>
    <w:rsid w:val="008734E4"/>
    <w:rsid w:val="00873675"/>
    <w:rsid w:val="00873701"/>
    <w:rsid w:val="008737C6"/>
    <w:rsid w:val="00873C3D"/>
    <w:rsid w:val="00873E09"/>
    <w:rsid w:val="008743A9"/>
    <w:rsid w:val="0087467F"/>
    <w:rsid w:val="00874CA6"/>
    <w:rsid w:val="008754CF"/>
    <w:rsid w:val="00875FCE"/>
    <w:rsid w:val="00876006"/>
    <w:rsid w:val="00876088"/>
    <w:rsid w:val="008761E0"/>
    <w:rsid w:val="008774CA"/>
    <w:rsid w:val="00877C55"/>
    <w:rsid w:val="00880664"/>
    <w:rsid w:val="008808F9"/>
    <w:rsid w:val="00880A15"/>
    <w:rsid w:val="00880C18"/>
    <w:rsid w:val="00880F69"/>
    <w:rsid w:val="00881301"/>
    <w:rsid w:val="00881547"/>
    <w:rsid w:val="00881800"/>
    <w:rsid w:val="008818C2"/>
    <w:rsid w:val="00881B8C"/>
    <w:rsid w:val="00881CA5"/>
    <w:rsid w:val="00882434"/>
    <w:rsid w:val="00882E7F"/>
    <w:rsid w:val="00882E8D"/>
    <w:rsid w:val="008835C2"/>
    <w:rsid w:val="00883AEE"/>
    <w:rsid w:val="00883E33"/>
    <w:rsid w:val="00883E81"/>
    <w:rsid w:val="008841F0"/>
    <w:rsid w:val="0088467E"/>
    <w:rsid w:val="0088470A"/>
    <w:rsid w:val="00884738"/>
    <w:rsid w:val="0088490A"/>
    <w:rsid w:val="00884A02"/>
    <w:rsid w:val="008850E6"/>
    <w:rsid w:val="008854DC"/>
    <w:rsid w:val="00885A19"/>
    <w:rsid w:val="00885E40"/>
    <w:rsid w:val="00885ED6"/>
    <w:rsid w:val="00886063"/>
    <w:rsid w:val="008868D3"/>
    <w:rsid w:val="008868DA"/>
    <w:rsid w:val="00886BBF"/>
    <w:rsid w:val="00887183"/>
    <w:rsid w:val="008874EE"/>
    <w:rsid w:val="00887675"/>
    <w:rsid w:val="00887BA2"/>
    <w:rsid w:val="00887FB1"/>
    <w:rsid w:val="00890909"/>
    <w:rsid w:val="00890BB4"/>
    <w:rsid w:val="00890F66"/>
    <w:rsid w:val="0089104E"/>
    <w:rsid w:val="00891AAC"/>
    <w:rsid w:val="00891D3F"/>
    <w:rsid w:val="0089201D"/>
    <w:rsid w:val="0089212D"/>
    <w:rsid w:val="0089242D"/>
    <w:rsid w:val="0089255F"/>
    <w:rsid w:val="008935BA"/>
    <w:rsid w:val="00893D4D"/>
    <w:rsid w:val="008941B6"/>
    <w:rsid w:val="00894346"/>
    <w:rsid w:val="008943AD"/>
    <w:rsid w:val="008944B8"/>
    <w:rsid w:val="008944BF"/>
    <w:rsid w:val="008959F0"/>
    <w:rsid w:val="00895F72"/>
    <w:rsid w:val="008962FB"/>
    <w:rsid w:val="00896375"/>
    <w:rsid w:val="008974AD"/>
    <w:rsid w:val="00897713"/>
    <w:rsid w:val="00897D54"/>
    <w:rsid w:val="008A09BC"/>
    <w:rsid w:val="008A1714"/>
    <w:rsid w:val="008A18CD"/>
    <w:rsid w:val="008A1B8B"/>
    <w:rsid w:val="008A1EBC"/>
    <w:rsid w:val="008A1F56"/>
    <w:rsid w:val="008A2719"/>
    <w:rsid w:val="008A320C"/>
    <w:rsid w:val="008A32F6"/>
    <w:rsid w:val="008A343A"/>
    <w:rsid w:val="008A3D5A"/>
    <w:rsid w:val="008A3D7E"/>
    <w:rsid w:val="008A43A4"/>
    <w:rsid w:val="008A454B"/>
    <w:rsid w:val="008A4E7E"/>
    <w:rsid w:val="008A4EAC"/>
    <w:rsid w:val="008A579A"/>
    <w:rsid w:val="008A5B2A"/>
    <w:rsid w:val="008A629E"/>
    <w:rsid w:val="008A6DD6"/>
    <w:rsid w:val="008A6DEB"/>
    <w:rsid w:val="008A6F2D"/>
    <w:rsid w:val="008A70F7"/>
    <w:rsid w:val="008A72DA"/>
    <w:rsid w:val="008A7348"/>
    <w:rsid w:val="008A7C12"/>
    <w:rsid w:val="008A7DF5"/>
    <w:rsid w:val="008B08BF"/>
    <w:rsid w:val="008B0FFB"/>
    <w:rsid w:val="008B1335"/>
    <w:rsid w:val="008B16B4"/>
    <w:rsid w:val="008B1F03"/>
    <w:rsid w:val="008B1F6A"/>
    <w:rsid w:val="008B20BD"/>
    <w:rsid w:val="008B21D6"/>
    <w:rsid w:val="008B2699"/>
    <w:rsid w:val="008B3476"/>
    <w:rsid w:val="008B387F"/>
    <w:rsid w:val="008B3998"/>
    <w:rsid w:val="008B3BCD"/>
    <w:rsid w:val="008B512E"/>
    <w:rsid w:val="008B5170"/>
    <w:rsid w:val="008B563A"/>
    <w:rsid w:val="008B5F4F"/>
    <w:rsid w:val="008B6136"/>
    <w:rsid w:val="008B7113"/>
    <w:rsid w:val="008B745F"/>
    <w:rsid w:val="008B77EB"/>
    <w:rsid w:val="008B7F93"/>
    <w:rsid w:val="008C0297"/>
    <w:rsid w:val="008C09F0"/>
    <w:rsid w:val="008C0BCE"/>
    <w:rsid w:val="008C0D87"/>
    <w:rsid w:val="008C0EC8"/>
    <w:rsid w:val="008C1DF3"/>
    <w:rsid w:val="008C20B5"/>
    <w:rsid w:val="008C2522"/>
    <w:rsid w:val="008C2981"/>
    <w:rsid w:val="008C2BFB"/>
    <w:rsid w:val="008C2F09"/>
    <w:rsid w:val="008C2F3C"/>
    <w:rsid w:val="008C3292"/>
    <w:rsid w:val="008C35E5"/>
    <w:rsid w:val="008C419F"/>
    <w:rsid w:val="008C4432"/>
    <w:rsid w:val="008C4896"/>
    <w:rsid w:val="008C5F51"/>
    <w:rsid w:val="008D05C4"/>
    <w:rsid w:val="008D0C36"/>
    <w:rsid w:val="008D1672"/>
    <w:rsid w:val="008D20A1"/>
    <w:rsid w:val="008D29C1"/>
    <w:rsid w:val="008D2C1A"/>
    <w:rsid w:val="008D3195"/>
    <w:rsid w:val="008D3781"/>
    <w:rsid w:val="008D39DC"/>
    <w:rsid w:val="008D500F"/>
    <w:rsid w:val="008D55FA"/>
    <w:rsid w:val="008D66D6"/>
    <w:rsid w:val="008D67D0"/>
    <w:rsid w:val="008D6CBB"/>
    <w:rsid w:val="008D7658"/>
    <w:rsid w:val="008E0614"/>
    <w:rsid w:val="008E099C"/>
    <w:rsid w:val="008E1174"/>
    <w:rsid w:val="008E161E"/>
    <w:rsid w:val="008E19FD"/>
    <w:rsid w:val="008E1B12"/>
    <w:rsid w:val="008E2B83"/>
    <w:rsid w:val="008E3565"/>
    <w:rsid w:val="008E3A6D"/>
    <w:rsid w:val="008E3CF0"/>
    <w:rsid w:val="008E4109"/>
    <w:rsid w:val="008E47A5"/>
    <w:rsid w:val="008E50AA"/>
    <w:rsid w:val="008E56D3"/>
    <w:rsid w:val="008E5D1F"/>
    <w:rsid w:val="008E5DB4"/>
    <w:rsid w:val="008E6DCB"/>
    <w:rsid w:val="008E75DB"/>
    <w:rsid w:val="008E794B"/>
    <w:rsid w:val="008F0022"/>
    <w:rsid w:val="008F04C4"/>
    <w:rsid w:val="008F05B9"/>
    <w:rsid w:val="008F0ABF"/>
    <w:rsid w:val="008F0EAB"/>
    <w:rsid w:val="008F17B5"/>
    <w:rsid w:val="008F3809"/>
    <w:rsid w:val="008F3C6C"/>
    <w:rsid w:val="008F3DCB"/>
    <w:rsid w:val="008F416F"/>
    <w:rsid w:val="008F42DD"/>
    <w:rsid w:val="008F4584"/>
    <w:rsid w:val="008F4743"/>
    <w:rsid w:val="008F4B2D"/>
    <w:rsid w:val="008F5028"/>
    <w:rsid w:val="008F507B"/>
    <w:rsid w:val="008F51DB"/>
    <w:rsid w:val="008F58C6"/>
    <w:rsid w:val="008F5A2F"/>
    <w:rsid w:val="008F5E38"/>
    <w:rsid w:val="008F6025"/>
    <w:rsid w:val="008F6303"/>
    <w:rsid w:val="008F63C3"/>
    <w:rsid w:val="008F6B98"/>
    <w:rsid w:val="008F6E18"/>
    <w:rsid w:val="008F6E2C"/>
    <w:rsid w:val="008F6E8B"/>
    <w:rsid w:val="008F743A"/>
    <w:rsid w:val="008F7F32"/>
    <w:rsid w:val="009000DF"/>
    <w:rsid w:val="0090031C"/>
    <w:rsid w:val="00900684"/>
    <w:rsid w:val="00900749"/>
    <w:rsid w:val="009013C0"/>
    <w:rsid w:val="009014A5"/>
    <w:rsid w:val="00901757"/>
    <w:rsid w:val="00901E54"/>
    <w:rsid w:val="009024C0"/>
    <w:rsid w:val="00902EDF"/>
    <w:rsid w:val="009036AF"/>
    <w:rsid w:val="0090453C"/>
    <w:rsid w:val="009047ED"/>
    <w:rsid w:val="00904D08"/>
    <w:rsid w:val="0090521E"/>
    <w:rsid w:val="009063F7"/>
    <w:rsid w:val="00910A2B"/>
    <w:rsid w:val="00910DF9"/>
    <w:rsid w:val="0091108D"/>
    <w:rsid w:val="009111D6"/>
    <w:rsid w:val="009113B1"/>
    <w:rsid w:val="00911457"/>
    <w:rsid w:val="00911F22"/>
    <w:rsid w:val="009121A7"/>
    <w:rsid w:val="009122B2"/>
    <w:rsid w:val="00912B67"/>
    <w:rsid w:val="00912E7A"/>
    <w:rsid w:val="00912FB9"/>
    <w:rsid w:val="00912FE1"/>
    <w:rsid w:val="00912FE3"/>
    <w:rsid w:val="009136DE"/>
    <w:rsid w:val="00913B6B"/>
    <w:rsid w:val="00913D78"/>
    <w:rsid w:val="00914501"/>
    <w:rsid w:val="009156A5"/>
    <w:rsid w:val="00915766"/>
    <w:rsid w:val="00915E3A"/>
    <w:rsid w:val="00916237"/>
    <w:rsid w:val="00916391"/>
    <w:rsid w:val="00916D57"/>
    <w:rsid w:val="00916D89"/>
    <w:rsid w:val="00916F91"/>
    <w:rsid w:val="009175EF"/>
    <w:rsid w:val="00917D5A"/>
    <w:rsid w:val="009200B5"/>
    <w:rsid w:val="009206C6"/>
    <w:rsid w:val="00921B3C"/>
    <w:rsid w:val="00921F94"/>
    <w:rsid w:val="009221B1"/>
    <w:rsid w:val="0092295F"/>
    <w:rsid w:val="00922CB7"/>
    <w:rsid w:val="00922DD3"/>
    <w:rsid w:val="00923333"/>
    <w:rsid w:val="00923366"/>
    <w:rsid w:val="009239A4"/>
    <w:rsid w:val="00923E00"/>
    <w:rsid w:val="0092491C"/>
    <w:rsid w:val="00924A80"/>
    <w:rsid w:val="00924D5A"/>
    <w:rsid w:val="00924E94"/>
    <w:rsid w:val="00924F45"/>
    <w:rsid w:val="00925088"/>
    <w:rsid w:val="009252B5"/>
    <w:rsid w:val="009254B1"/>
    <w:rsid w:val="00926007"/>
    <w:rsid w:val="009264FE"/>
    <w:rsid w:val="0092653C"/>
    <w:rsid w:val="00926944"/>
    <w:rsid w:val="00926B9C"/>
    <w:rsid w:val="00926C15"/>
    <w:rsid w:val="00926F0C"/>
    <w:rsid w:val="00927675"/>
    <w:rsid w:val="00927780"/>
    <w:rsid w:val="00927A04"/>
    <w:rsid w:val="00930F5C"/>
    <w:rsid w:val="00930F62"/>
    <w:rsid w:val="00931A2C"/>
    <w:rsid w:val="00931ED2"/>
    <w:rsid w:val="00931F9E"/>
    <w:rsid w:val="009322C5"/>
    <w:rsid w:val="00932705"/>
    <w:rsid w:val="0093288A"/>
    <w:rsid w:val="00932B80"/>
    <w:rsid w:val="00932DE9"/>
    <w:rsid w:val="009330AE"/>
    <w:rsid w:val="009331B7"/>
    <w:rsid w:val="00933B3B"/>
    <w:rsid w:val="00933BE3"/>
    <w:rsid w:val="00933F56"/>
    <w:rsid w:val="009349EF"/>
    <w:rsid w:val="00934B88"/>
    <w:rsid w:val="00934D98"/>
    <w:rsid w:val="00935083"/>
    <w:rsid w:val="00935C20"/>
    <w:rsid w:val="00935D2D"/>
    <w:rsid w:val="00935E7D"/>
    <w:rsid w:val="00936352"/>
    <w:rsid w:val="00936434"/>
    <w:rsid w:val="00936B68"/>
    <w:rsid w:val="00936DCF"/>
    <w:rsid w:val="009378FE"/>
    <w:rsid w:val="00937D69"/>
    <w:rsid w:val="00937FD2"/>
    <w:rsid w:val="00940300"/>
    <w:rsid w:val="009404CE"/>
    <w:rsid w:val="009405AF"/>
    <w:rsid w:val="00940D8F"/>
    <w:rsid w:val="009412AB"/>
    <w:rsid w:val="00941B2A"/>
    <w:rsid w:val="00941B47"/>
    <w:rsid w:val="00941BF8"/>
    <w:rsid w:val="00942633"/>
    <w:rsid w:val="00943417"/>
    <w:rsid w:val="00943685"/>
    <w:rsid w:val="009437BF"/>
    <w:rsid w:val="00943B9A"/>
    <w:rsid w:val="00943C88"/>
    <w:rsid w:val="00943ECA"/>
    <w:rsid w:val="009440E9"/>
    <w:rsid w:val="00944319"/>
    <w:rsid w:val="00944636"/>
    <w:rsid w:val="009448FC"/>
    <w:rsid w:val="00945056"/>
    <w:rsid w:val="00945A4F"/>
    <w:rsid w:val="00946315"/>
    <w:rsid w:val="0094638E"/>
    <w:rsid w:val="009465AE"/>
    <w:rsid w:val="00946E2B"/>
    <w:rsid w:val="00947E21"/>
    <w:rsid w:val="00950400"/>
    <w:rsid w:val="00950473"/>
    <w:rsid w:val="0095089F"/>
    <w:rsid w:val="0095099D"/>
    <w:rsid w:val="00951B42"/>
    <w:rsid w:val="0095204A"/>
    <w:rsid w:val="0095235A"/>
    <w:rsid w:val="009525AF"/>
    <w:rsid w:val="0095279E"/>
    <w:rsid w:val="00952C52"/>
    <w:rsid w:val="0095311C"/>
    <w:rsid w:val="0095315B"/>
    <w:rsid w:val="0095319C"/>
    <w:rsid w:val="00953C56"/>
    <w:rsid w:val="009540A0"/>
    <w:rsid w:val="0095438A"/>
    <w:rsid w:val="009543D0"/>
    <w:rsid w:val="00954491"/>
    <w:rsid w:val="00954494"/>
    <w:rsid w:val="00954747"/>
    <w:rsid w:val="009547EE"/>
    <w:rsid w:val="009548DC"/>
    <w:rsid w:val="009549E3"/>
    <w:rsid w:val="00954B35"/>
    <w:rsid w:val="00954CAB"/>
    <w:rsid w:val="00954CFC"/>
    <w:rsid w:val="009551C7"/>
    <w:rsid w:val="009557D7"/>
    <w:rsid w:val="00955B2F"/>
    <w:rsid w:val="00955C54"/>
    <w:rsid w:val="00955E21"/>
    <w:rsid w:val="00956A12"/>
    <w:rsid w:val="0096008A"/>
    <w:rsid w:val="00960332"/>
    <w:rsid w:val="00960968"/>
    <w:rsid w:val="00960ACD"/>
    <w:rsid w:val="00960C2C"/>
    <w:rsid w:val="00961604"/>
    <w:rsid w:val="009616C1"/>
    <w:rsid w:val="009617BD"/>
    <w:rsid w:val="00961EA1"/>
    <w:rsid w:val="009621C4"/>
    <w:rsid w:val="009623E0"/>
    <w:rsid w:val="009624B4"/>
    <w:rsid w:val="009624E4"/>
    <w:rsid w:val="00962539"/>
    <w:rsid w:val="00962612"/>
    <w:rsid w:val="00962670"/>
    <w:rsid w:val="00962C7D"/>
    <w:rsid w:val="00962D57"/>
    <w:rsid w:val="00963631"/>
    <w:rsid w:val="009638FC"/>
    <w:rsid w:val="0096441C"/>
    <w:rsid w:val="00964577"/>
    <w:rsid w:val="00964B34"/>
    <w:rsid w:val="00964E4D"/>
    <w:rsid w:val="00965027"/>
    <w:rsid w:val="00965826"/>
    <w:rsid w:val="00965948"/>
    <w:rsid w:val="00965AD4"/>
    <w:rsid w:val="00966085"/>
    <w:rsid w:val="0096663F"/>
    <w:rsid w:val="00966742"/>
    <w:rsid w:val="009667E1"/>
    <w:rsid w:val="00966FA7"/>
    <w:rsid w:val="00966FAA"/>
    <w:rsid w:val="009671BE"/>
    <w:rsid w:val="00967FCC"/>
    <w:rsid w:val="009703CF"/>
    <w:rsid w:val="0097094B"/>
    <w:rsid w:val="00970F87"/>
    <w:rsid w:val="009712B4"/>
    <w:rsid w:val="009713B8"/>
    <w:rsid w:val="009713D7"/>
    <w:rsid w:val="00971410"/>
    <w:rsid w:val="009715CD"/>
    <w:rsid w:val="0097179C"/>
    <w:rsid w:val="00971CA4"/>
    <w:rsid w:val="00972381"/>
    <w:rsid w:val="00972438"/>
    <w:rsid w:val="00972746"/>
    <w:rsid w:val="0097288C"/>
    <w:rsid w:val="00972C62"/>
    <w:rsid w:val="0097308C"/>
    <w:rsid w:val="00973D04"/>
    <w:rsid w:val="00974046"/>
    <w:rsid w:val="00974613"/>
    <w:rsid w:val="009747D2"/>
    <w:rsid w:val="00974E10"/>
    <w:rsid w:val="009759A7"/>
    <w:rsid w:val="00975C86"/>
    <w:rsid w:val="00975D57"/>
    <w:rsid w:val="00976447"/>
    <w:rsid w:val="00976CB4"/>
    <w:rsid w:val="00977010"/>
    <w:rsid w:val="00977048"/>
    <w:rsid w:val="009770A9"/>
    <w:rsid w:val="009773F3"/>
    <w:rsid w:val="00977D97"/>
    <w:rsid w:val="0098047A"/>
    <w:rsid w:val="009807B3"/>
    <w:rsid w:val="009808BE"/>
    <w:rsid w:val="00980AF8"/>
    <w:rsid w:val="00981843"/>
    <w:rsid w:val="00981CD6"/>
    <w:rsid w:val="00982416"/>
    <w:rsid w:val="0098280C"/>
    <w:rsid w:val="0098295D"/>
    <w:rsid w:val="00982EC3"/>
    <w:rsid w:val="009834EE"/>
    <w:rsid w:val="009839A5"/>
    <w:rsid w:val="00983AAA"/>
    <w:rsid w:val="00984739"/>
    <w:rsid w:val="00984BD0"/>
    <w:rsid w:val="00984F1E"/>
    <w:rsid w:val="00985574"/>
    <w:rsid w:val="00985F2C"/>
    <w:rsid w:val="00985F6E"/>
    <w:rsid w:val="00986050"/>
    <w:rsid w:val="009876E4"/>
    <w:rsid w:val="009877DC"/>
    <w:rsid w:val="0098782A"/>
    <w:rsid w:val="009878CB"/>
    <w:rsid w:val="009879F8"/>
    <w:rsid w:val="00987C3A"/>
    <w:rsid w:val="00990249"/>
    <w:rsid w:val="00990743"/>
    <w:rsid w:val="00991193"/>
    <w:rsid w:val="00991436"/>
    <w:rsid w:val="00991496"/>
    <w:rsid w:val="0099189A"/>
    <w:rsid w:val="0099210F"/>
    <w:rsid w:val="009923ED"/>
    <w:rsid w:val="00992C2B"/>
    <w:rsid w:val="00993297"/>
    <w:rsid w:val="00993485"/>
    <w:rsid w:val="00993646"/>
    <w:rsid w:val="00993F9C"/>
    <w:rsid w:val="00994F03"/>
    <w:rsid w:val="00994F0B"/>
    <w:rsid w:val="00994F1E"/>
    <w:rsid w:val="009950AE"/>
    <w:rsid w:val="00995246"/>
    <w:rsid w:val="00995488"/>
    <w:rsid w:val="00996055"/>
    <w:rsid w:val="0099618A"/>
    <w:rsid w:val="009969DE"/>
    <w:rsid w:val="00996FA1"/>
    <w:rsid w:val="00997403"/>
    <w:rsid w:val="009977A9"/>
    <w:rsid w:val="00997E5E"/>
    <w:rsid w:val="009A01A0"/>
    <w:rsid w:val="009A04DD"/>
    <w:rsid w:val="009A068B"/>
    <w:rsid w:val="009A0BC7"/>
    <w:rsid w:val="009A0E63"/>
    <w:rsid w:val="009A11A9"/>
    <w:rsid w:val="009A120D"/>
    <w:rsid w:val="009A1323"/>
    <w:rsid w:val="009A1560"/>
    <w:rsid w:val="009A18EA"/>
    <w:rsid w:val="009A1C7A"/>
    <w:rsid w:val="009A2360"/>
    <w:rsid w:val="009A253D"/>
    <w:rsid w:val="009A254C"/>
    <w:rsid w:val="009A2F71"/>
    <w:rsid w:val="009A466A"/>
    <w:rsid w:val="009A46D3"/>
    <w:rsid w:val="009A4D69"/>
    <w:rsid w:val="009A5F20"/>
    <w:rsid w:val="009A7018"/>
    <w:rsid w:val="009A7124"/>
    <w:rsid w:val="009A73F6"/>
    <w:rsid w:val="009A7520"/>
    <w:rsid w:val="009A7B0B"/>
    <w:rsid w:val="009A7FB9"/>
    <w:rsid w:val="009B01C2"/>
    <w:rsid w:val="009B0AC2"/>
    <w:rsid w:val="009B0F1B"/>
    <w:rsid w:val="009B1B18"/>
    <w:rsid w:val="009B1DB3"/>
    <w:rsid w:val="009B2E49"/>
    <w:rsid w:val="009B2F70"/>
    <w:rsid w:val="009B3230"/>
    <w:rsid w:val="009B3415"/>
    <w:rsid w:val="009B345C"/>
    <w:rsid w:val="009B3C4E"/>
    <w:rsid w:val="009B40A5"/>
    <w:rsid w:val="009B42C1"/>
    <w:rsid w:val="009B43F8"/>
    <w:rsid w:val="009B46F2"/>
    <w:rsid w:val="009B488E"/>
    <w:rsid w:val="009B49DE"/>
    <w:rsid w:val="009B4B5C"/>
    <w:rsid w:val="009B5220"/>
    <w:rsid w:val="009B6455"/>
    <w:rsid w:val="009B6518"/>
    <w:rsid w:val="009B668A"/>
    <w:rsid w:val="009B6D27"/>
    <w:rsid w:val="009B6E83"/>
    <w:rsid w:val="009B733E"/>
    <w:rsid w:val="009B7368"/>
    <w:rsid w:val="009B7D79"/>
    <w:rsid w:val="009B7E08"/>
    <w:rsid w:val="009C00BC"/>
    <w:rsid w:val="009C03C9"/>
    <w:rsid w:val="009C07B2"/>
    <w:rsid w:val="009C082D"/>
    <w:rsid w:val="009C09C7"/>
    <w:rsid w:val="009C1F26"/>
    <w:rsid w:val="009C2146"/>
    <w:rsid w:val="009C320C"/>
    <w:rsid w:val="009C34DC"/>
    <w:rsid w:val="009C38AD"/>
    <w:rsid w:val="009C421E"/>
    <w:rsid w:val="009C45F1"/>
    <w:rsid w:val="009C489F"/>
    <w:rsid w:val="009C4DB7"/>
    <w:rsid w:val="009C572D"/>
    <w:rsid w:val="009C5973"/>
    <w:rsid w:val="009C613B"/>
    <w:rsid w:val="009C62AB"/>
    <w:rsid w:val="009C6462"/>
    <w:rsid w:val="009C6504"/>
    <w:rsid w:val="009C6630"/>
    <w:rsid w:val="009C672B"/>
    <w:rsid w:val="009C6A3C"/>
    <w:rsid w:val="009C7469"/>
    <w:rsid w:val="009D046E"/>
    <w:rsid w:val="009D1516"/>
    <w:rsid w:val="009D15B8"/>
    <w:rsid w:val="009D1B9C"/>
    <w:rsid w:val="009D2674"/>
    <w:rsid w:val="009D2827"/>
    <w:rsid w:val="009D2B2A"/>
    <w:rsid w:val="009D2C14"/>
    <w:rsid w:val="009D2C98"/>
    <w:rsid w:val="009D2D97"/>
    <w:rsid w:val="009D3066"/>
    <w:rsid w:val="009D31CC"/>
    <w:rsid w:val="009D333D"/>
    <w:rsid w:val="009D39EC"/>
    <w:rsid w:val="009D4114"/>
    <w:rsid w:val="009D4472"/>
    <w:rsid w:val="009D44F4"/>
    <w:rsid w:val="009D522A"/>
    <w:rsid w:val="009D5261"/>
    <w:rsid w:val="009D5367"/>
    <w:rsid w:val="009D571F"/>
    <w:rsid w:val="009D5788"/>
    <w:rsid w:val="009D59E8"/>
    <w:rsid w:val="009D5B25"/>
    <w:rsid w:val="009D5D11"/>
    <w:rsid w:val="009D62F2"/>
    <w:rsid w:val="009D6778"/>
    <w:rsid w:val="009D6E8A"/>
    <w:rsid w:val="009D7D74"/>
    <w:rsid w:val="009E09B9"/>
    <w:rsid w:val="009E13E8"/>
    <w:rsid w:val="009E16E9"/>
    <w:rsid w:val="009E1FDB"/>
    <w:rsid w:val="009E2061"/>
    <w:rsid w:val="009E2468"/>
    <w:rsid w:val="009E255B"/>
    <w:rsid w:val="009E258C"/>
    <w:rsid w:val="009E29CA"/>
    <w:rsid w:val="009E2D7E"/>
    <w:rsid w:val="009E327A"/>
    <w:rsid w:val="009E32E0"/>
    <w:rsid w:val="009E3541"/>
    <w:rsid w:val="009E3C9B"/>
    <w:rsid w:val="009E3FD6"/>
    <w:rsid w:val="009E4024"/>
    <w:rsid w:val="009E44DE"/>
    <w:rsid w:val="009E479A"/>
    <w:rsid w:val="009E4910"/>
    <w:rsid w:val="009E4D1B"/>
    <w:rsid w:val="009E56B6"/>
    <w:rsid w:val="009E5ABF"/>
    <w:rsid w:val="009E5EC1"/>
    <w:rsid w:val="009E6181"/>
    <w:rsid w:val="009E652F"/>
    <w:rsid w:val="009E69C7"/>
    <w:rsid w:val="009E6A7B"/>
    <w:rsid w:val="009E79A0"/>
    <w:rsid w:val="009E7D93"/>
    <w:rsid w:val="009F07B4"/>
    <w:rsid w:val="009F0D72"/>
    <w:rsid w:val="009F1048"/>
    <w:rsid w:val="009F16FE"/>
    <w:rsid w:val="009F1D1B"/>
    <w:rsid w:val="009F224A"/>
    <w:rsid w:val="009F2C1B"/>
    <w:rsid w:val="009F2F4E"/>
    <w:rsid w:val="009F34A3"/>
    <w:rsid w:val="009F34C8"/>
    <w:rsid w:val="009F3B39"/>
    <w:rsid w:val="009F4407"/>
    <w:rsid w:val="009F4582"/>
    <w:rsid w:val="009F4800"/>
    <w:rsid w:val="009F4CF3"/>
    <w:rsid w:val="009F506C"/>
    <w:rsid w:val="009F526E"/>
    <w:rsid w:val="009F54E0"/>
    <w:rsid w:val="009F5CAD"/>
    <w:rsid w:val="009F5D35"/>
    <w:rsid w:val="009F67EB"/>
    <w:rsid w:val="009F6922"/>
    <w:rsid w:val="009F6930"/>
    <w:rsid w:val="009F6DD0"/>
    <w:rsid w:val="009F7402"/>
    <w:rsid w:val="009F7573"/>
    <w:rsid w:val="009F7B12"/>
    <w:rsid w:val="00A0031C"/>
    <w:rsid w:val="00A00455"/>
    <w:rsid w:val="00A00982"/>
    <w:rsid w:val="00A00A2E"/>
    <w:rsid w:val="00A00D67"/>
    <w:rsid w:val="00A00EEB"/>
    <w:rsid w:val="00A01299"/>
    <w:rsid w:val="00A015EC"/>
    <w:rsid w:val="00A0162C"/>
    <w:rsid w:val="00A01981"/>
    <w:rsid w:val="00A019B1"/>
    <w:rsid w:val="00A01BE3"/>
    <w:rsid w:val="00A0220E"/>
    <w:rsid w:val="00A02280"/>
    <w:rsid w:val="00A0295C"/>
    <w:rsid w:val="00A02F70"/>
    <w:rsid w:val="00A03323"/>
    <w:rsid w:val="00A03F36"/>
    <w:rsid w:val="00A03FC7"/>
    <w:rsid w:val="00A04032"/>
    <w:rsid w:val="00A044CF"/>
    <w:rsid w:val="00A04687"/>
    <w:rsid w:val="00A046BD"/>
    <w:rsid w:val="00A05459"/>
    <w:rsid w:val="00A064E1"/>
    <w:rsid w:val="00A066A4"/>
    <w:rsid w:val="00A0685E"/>
    <w:rsid w:val="00A06956"/>
    <w:rsid w:val="00A0729D"/>
    <w:rsid w:val="00A0734D"/>
    <w:rsid w:val="00A0771B"/>
    <w:rsid w:val="00A0776D"/>
    <w:rsid w:val="00A079AA"/>
    <w:rsid w:val="00A10031"/>
    <w:rsid w:val="00A1003F"/>
    <w:rsid w:val="00A1046D"/>
    <w:rsid w:val="00A10961"/>
    <w:rsid w:val="00A10B5D"/>
    <w:rsid w:val="00A10B75"/>
    <w:rsid w:val="00A112F7"/>
    <w:rsid w:val="00A11C13"/>
    <w:rsid w:val="00A11C57"/>
    <w:rsid w:val="00A11D7F"/>
    <w:rsid w:val="00A11D84"/>
    <w:rsid w:val="00A12045"/>
    <w:rsid w:val="00A120B9"/>
    <w:rsid w:val="00A1211D"/>
    <w:rsid w:val="00A122D2"/>
    <w:rsid w:val="00A122F9"/>
    <w:rsid w:val="00A12479"/>
    <w:rsid w:val="00A124A6"/>
    <w:rsid w:val="00A12BF6"/>
    <w:rsid w:val="00A12D05"/>
    <w:rsid w:val="00A12F29"/>
    <w:rsid w:val="00A1343F"/>
    <w:rsid w:val="00A13CEA"/>
    <w:rsid w:val="00A13F2D"/>
    <w:rsid w:val="00A14A25"/>
    <w:rsid w:val="00A14EE9"/>
    <w:rsid w:val="00A15116"/>
    <w:rsid w:val="00A163C6"/>
    <w:rsid w:val="00A1663C"/>
    <w:rsid w:val="00A16830"/>
    <w:rsid w:val="00A16B31"/>
    <w:rsid w:val="00A16D68"/>
    <w:rsid w:val="00A16DC1"/>
    <w:rsid w:val="00A1782B"/>
    <w:rsid w:val="00A17F3A"/>
    <w:rsid w:val="00A2006F"/>
    <w:rsid w:val="00A204F9"/>
    <w:rsid w:val="00A20960"/>
    <w:rsid w:val="00A21039"/>
    <w:rsid w:val="00A2117A"/>
    <w:rsid w:val="00A21CB5"/>
    <w:rsid w:val="00A2214B"/>
    <w:rsid w:val="00A22B21"/>
    <w:rsid w:val="00A22B72"/>
    <w:rsid w:val="00A22CA6"/>
    <w:rsid w:val="00A22CED"/>
    <w:rsid w:val="00A2306B"/>
    <w:rsid w:val="00A2315D"/>
    <w:rsid w:val="00A23371"/>
    <w:rsid w:val="00A23590"/>
    <w:rsid w:val="00A23CFF"/>
    <w:rsid w:val="00A23F94"/>
    <w:rsid w:val="00A2419F"/>
    <w:rsid w:val="00A2470B"/>
    <w:rsid w:val="00A2484A"/>
    <w:rsid w:val="00A24AA1"/>
    <w:rsid w:val="00A24EA4"/>
    <w:rsid w:val="00A24F0A"/>
    <w:rsid w:val="00A2513C"/>
    <w:rsid w:val="00A2525F"/>
    <w:rsid w:val="00A259A7"/>
    <w:rsid w:val="00A259AD"/>
    <w:rsid w:val="00A25A0C"/>
    <w:rsid w:val="00A2602B"/>
    <w:rsid w:val="00A26615"/>
    <w:rsid w:val="00A27215"/>
    <w:rsid w:val="00A278C3"/>
    <w:rsid w:val="00A27D63"/>
    <w:rsid w:val="00A3065C"/>
    <w:rsid w:val="00A30910"/>
    <w:rsid w:val="00A3140A"/>
    <w:rsid w:val="00A3142C"/>
    <w:rsid w:val="00A3164F"/>
    <w:rsid w:val="00A31654"/>
    <w:rsid w:val="00A31F9C"/>
    <w:rsid w:val="00A3202D"/>
    <w:rsid w:val="00A32034"/>
    <w:rsid w:val="00A320DB"/>
    <w:rsid w:val="00A324E3"/>
    <w:rsid w:val="00A3281A"/>
    <w:rsid w:val="00A32A14"/>
    <w:rsid w:val="00A32A7D"/>
    <w:rsid w:val="00A32CAD"/>
    <w:rsid w:val="00A32D2C"/>
    <w:rsid w:val="00A32FC6"/>
    <w:rsid w:val="00A330E6"/>
    <w:rsid w:val="00A33103"/>
    <w:rsid w:val="00A3454A"/>
    <w:rsid w:val="00A345AE"/>
    <w:rsid w:val="00A34AE0"/>
    <w:rsid w:val="00A34DE1"/>
    <w:rsid w:val="00A34F58"/>
    <w:rsid w:val="00A351B3"/>
    <w:rsid w:val="00A35217"/>
    <w:rsid w:val="00A35473"/>
    <w:rsid w:val="00A35E63"/>
    <w:rsid w:val="00A35F21"/>
    <w:rsid w:val="00A365FC"/>
    <w:rsid w:val="00A36A4C"/>
    <w:rsid w:val="00A36E60"/>
    <w:rsid w:val="00A37049"/>
    <w:rsid w:val="00A3791C"/>
    <w:rsid w:val="00A37B67"/>
    <w:rsid w:val="00A403BC"/>
    <w:rsid w:val="00A406BC"/>
    <w:rsid w:val="00A40C57"/>
    <w:rsid w:val="00A40E09"/>
    <w:rsid w:val="00A40FF2"/>
    <w:rsid w:val="00A41CF2"/>
    <w:rsid w:val="00A42211"/>
    <w:rsid w:val="00A42C06"/>
    <w:rsid w:val="00A42DA0"/>
    <w:rsid w:val="00A42F88"/>
    <w:rsid w:val="00A430B3"/>
    <w:rsid w:val="00A43439"/>
    <w:rsid w:val="00A43C7D"/>
    <w:rsid w:val="00A441AB"/>
    <w:rsid w:val="00A447AA"/>
    <w:rsid w:val="00A45677"/>
    <w:rsid w:val="00A4682F"/>
    <w:rsid w:val="00A46982"/>
    <w:rsid w:val="00A46DA1"/>
    <w:rsid w:val="00A47CAB"/>
    <w:rsid w:val="00A5020C"/>
    <w:rsid w:val="00A50282"/>
    <w:rsid w:val="00A504B7"/>
    <w:rsid w:val="00A509D9"/>
    <w:rsid w:val="00A517D9"/>
    <w:rsid w:val="00A523BB"/>
    <w:rsid w:val="00A529BB"/>
    <w:rsid w:val="00A52B3F"/>
    <w:rsid w:val="00A52C2B"/>
    <w:rsid w:val="00A538AE"/>
    <w:rsid w:val="00A53A09"/>
    <w:rsid w:val="00A53B99"/>
    <w:rsid w:val="00A53BDD"/>
    <w:rsid w:val="00A53C17"/>
    <w:rsid w:val="00A54411"/>
    <w:rsid w:val="00A545D2"/>
    <w:rsid w:val="00A54DEC"/>
    <w:rsid w:val="00A54E1A"/>
    <w:rsid w:val="00A55088"/>
    <w:rsid w:val="00A55752"/>
    <w:rsid w:val="00A563CD"/>
    <w:rsid w:val="00A564F0"/>
    <w:rsid w:val="00A56617"/>
    <w:rsid w:val="00A5720B"/>
    <w:rsid w:val="00A576E2"/>
    <w:rsid w:val="00A57A64"/>
    <w:rsid w:val="00A57AE2"/>
    <w:rsid w:val="00A57AFA"/>
    <w:rsid w:val="00A57D50"/>
    <w:rsid w:val="00A60182"/>
    <w:rsid w:val="00A601AC"/>
    <w:rsid w:val="00A60733"/>
    <w:rsid w:val="00A60906"/>
    <w:rsid w:val="00A60ADA"/>
    <w:rsid w:val="00A60F14"/>
    <w:rsid w:val="00A60FC2"/>
    <w:rsid w:val="00A6152D"/>
    <w:rsid w:val="00A617F9"/>
    <w:rsid w:val="00A61D97"/>
    <w:rsid w:val="00A620D3"/>
    <w:rsid w:val="00A62218"/>
    <w:rsid w:val="00A63182"/>
    <w:rsid w:val="00A63B38"/>
    <w:rsid w:val="00A645CB"/>
    <w:rsid w:val="00A6498A"/>
    <w:rsid w:val="00A64B07"/>
    <w:rsid w:val="00A64D8E"/>
    <w:rsid w:val="00A65899"/>
    <w:rsid w:val="00A658C4"/>
    <w:rsid w:val="00A65B46"/>
    <w:rsid w:val="00A66212"/>
    <w:rsid w:val="00A673E2"/>
    <w:rsid w:val="00A67EDD"/>
    <w:rsid w:val="00A70123"/>
    <w:rsid w:val="00A7074F"/>
    <w:rsid w:val="00A70750"/>
    <w:rsid w:val="00A707E5"/>
    <w:rsid w:val="00A70911"/>
    <w:rsid w:val="00A70B7F"/>
    <w:rsid w:val="00A7141A"/>
    <w:rsid w:val="00A7182C"/>
    <w:rsid w:val="00A729CE"/>
    <w:rsid w:val="00A72AE4"/>
    <w:rsid w:val="00A72E09"/>
    <w:rsid w:val="00A73368"/>
    <w:rsid w:val="00A7369F"/>
    <w:rsid w:val="00A73AFC"/>
    <w:rsid w:val="00A7420D"/>
    <w:rsid w:val="00A7421F"/>
    <w:rsid w:val="00A743FC"/>
    <w:rsid w:val="00A753C0"/>
    <w:rsid w:val="00A76590"/>
    <w:rsid w:val="00A76B52"/>
    <w:rsid w:val="00A76C39"/>
    <w:rsid w:val="00A76F20"/>
    <w:rsid w:val="00A77111"/>
    <w:rsid w:val="00A77397"/>
    <w:rsid w:val="00A77DC1"/>
    <w:rsid w:val="00A802B9"/>
    <w:rsid w:val="00A808AA"/>
    <w:rsid w:val="00A808F5"/>
    <w:rsid w:val="00A81006"/>
    <w:rsid w:val="00A81069"/>
    <w:rsid w:val="00A811BF"/>
    <w:rsid w:val="00A81C42"/>
    <w:rsid w:val="00A81E48"/>
    <w:rsid w:val="00A826EC"/>
    <w:rsid w:val="00A827B5"/>
    <w:rsid w:val="00A82EA8"/>
    <w:rsid w:val="00A83194"/>
    <w:rsid w:val="00A832FB"/>
    <w:rsid w:val="00A83F1C"/>
    <w:rsid w:val="00A84597"/>
    <w:rsid w:val="00A84893"/>
    <w:rsid w:val="00A84E1E"/>
    <w:rsid w:val="00A85196"/>
    <w:rsid w:val="00A85204"/>
    <w:rsid w:val="00A8565C"/>
    <w:rsid w:val="00A858FA"/>
    <w:rsid w:val="00A8592E"/>
    <w:rsid w:val="00A8642B"/>
    <w:rsid w:val="00A86548"/>
    <w:rsid w:val="00A865A2"/>
    <w:rsid w:val="00A86631"/>
    <w:rsid w:val="00A86912"/>
    <w:rsid w:val="00A86A3A"/>
    <w:rsid w:val="00A871E2"/>
    <w:rsid w:val="00A87643"/>
    <w:rsid w:val="00A87A3D"/>
    <w:rsid w:val="00A90912"/>
    <w:rsid w:val="00A909BF"/>
    <w:rsid w:val="00A90B91"/>
    <w:rsid w:val="00A90B95"/>
    <w:rsid w:val="00A91218"/>
    <w:rsid w:val="00A919E3"/>
    <w:rsid w:val="00A91BEA"/>
    <w:rsid w:val="00A92693"/>
    <w:rsid w:val="00A93105"/>
    <w:rsid w:val="00A93CB6"/>
    <w:rsid w:val="00A94874"/>
    <w:rsid w:val="00A955D6"/>
    <w:rsid w:val="00A956FE"/>
    <w:rsid w:val="00A959CC"/>
    <w:rsid w:val="00A95C9E"/>
    <w:rsid w:val="00A96429"/>
    <w:rsid w:val="00A96561"/>
    <w:rsid w:val="00A96A41"/>
    <w:rsid w:val="00A971BC"/>
    <w:rsid w:val="00A9795C"/>
    <w:rsid w:val="00A979FD"/>
    <w:rsid w:val="00A97F2E"/>
    <w:rsid w:val="00AA04D8"/>
    <w:rsid w:val="00AA076E"/>
    <w:rsid w:val="00AA0833"/>
    <w:rsid w:val="00AA0A44"/>
    <w:rsid w:val="00AA0E0D"/>
    <w:rsid w:val="00AA19A8"/>
    <w:rsid w:val="00AA1C45"/>
    <w:rsid w:val="00AA1EF2"/>
    <w:rsid w:val="00AA211B"/>
    <w:rsid w:val="00AA2620"/>
    <w:rsid w:val="00AA2D36"/>
    <w:rsid w:val="00AA2F6E"/>
    <w:rsid w:val="00AA30A6"/>
    <w:rsid w:val="00AA31A5"/>
    <w:rsid w:val="00AA32D0"/>
    <w:rsid w:val="00AA330C"/>
    <w:rsid w:val="00AA340C"/>
    <w:rsid w:val="00AA36B5"/>
    <w:rsid w:val="00AA3846"/>
    <w:rsid w:val="00AA38A7"/>
    <w:rsid w:val="00AA397E"/>
    <w:rsid w:val="00AA3D75"/>
    <w:rsid w:val="00AA3E15"/>
    <w:rsid w:val="00AA43FC"/>
    <w:rsid w:val="00AA45C7"/>
    <w:rsid w:val="00AA4A8D"/>
    <w:rsid w:val="00AA5828"/>
    <w:rsid w:val="00AA6182"/>
    <w:rsid w:val="00AA698C"/>
    <w:rsid w:val="00AA75EF"/>
    <w:rsid w:val="00AA78FB"/>
    <w:rsid w:val="00AA7D81"/>
    <w:rsid w:val="00AA7FD3"/>
    <w:rsid w:val="00AB006D"/>
    <w:rsid w:val="00AB00BB"/>
    <w:rsid w:val="00AB050C"/>
    <w:rsid w:val="00AB0A74"/>
    <w:rsid w:val="00AB10D9"/>
    <w:rsid w:val="00AB19F9"/>
    <w:rsid w:val="00AB1A44"/>
    <w:rsid w:val="00AB1B30"/>
    <w:rsid w:val="00AB220C"/>
    <w:rsid w:val="00AB223E"/>
    <w:rsid w:val="00AB2781"/>
    <w:rsid w:val="00AB278B"/>
    <w:rsid w:val="00AB2A29"/>
    <w:rsid w:val="00AB2DFE"/>
    <w:rsid w:val="00AB2F03"/>
    <w:rsid w:val="00AB36A7"/>
    <w:rsid w:val="00AB374E"/>
    <w:rsid w:val="00AB3D4C"/>
    <w:rsid w:val="00AB3E81"/>
    <w:rsid w:val="00AB43D3"/>
    <w:rsid w:val="00AB4441"/>
    <w:rsid w:val="00AB482B"/>
    <w:rsid w:val="00AB489D"/>
    <w:rsid w:val="00AB4A52"/>
    <w:rsid w:val="00AB4BCA"/>
    <w:rsid w:val="00AB4BDE"/>
    <w:rsid w:val="00AB4DCF"/>
    <w:rsid w:val="00AB51B2"/>
    <w:rsid w:val="00AB608F"/>
    <w:rsid w:val="00AB70AC"/>
    <w:rsid w:val="00AB7313"/>
    <w:rsid w:val="00AB790E"/>
    <w:rsid w:val="00AB79AD"/>
    <w:rsid w:val="00AB7E1E"/>
    <w:rsid w:val="00AB7F6E"/>
    <w:rsid w:val="00AB7FDA"/>
    <w:rsid w:val="00AC0325"/>
    <w:rsid w:val="00AC0506"/>
    <w:rsid w:val="00AC1653"/>
    <w:rsid w:val="00AC1AAC"/>
    <w:rsid w:val="00AC1AF3"/>
    <w:rsid w:val="00AC1B11"/>
    <w:rsid w:val="00AC1B30"/>
    <w:rsid w:val="00AC1EEC"/>
    <w:rsid w:val="00AC1F5E"/>
    <w:rsid w:val="00AC21D5"/>
    <w:rsid w:val="00AC2C87"/>
    <w:rsid w:val="00AC31C6"/>
    <w:rsid w:val="00AC38ED"/>
    <w:rsid w:val="00AC3BB7"/>
    <w:rsid w:val="00AC3D61"/>
    <w:rsid w:val="00AC40C3"/>
    <w:rsid w:val="00AC455F"/>
    <w:rsid w:val="00AC4C48"/>
    <w:rsid w:val="00AC52C4"/>
    <w:rsid w:val="00AC55AC"/>
    <w:rsid w:val="00AC56EA"/>
    <w:rsid w:val="00AC5E36"/>
    <w:rsid w:val="00AC5FD6"/>
    <w:rsid w:val="00AC601F"/>
    <w:rsid w:val="00AC642D"/>
    <w:rsid w:val="00AC67B4"/>
    <w:rsid w:val="00AC6C2D"/>
    <w:rsid w:val="00AC7466"/>
    <w:rsid w:val="00AC77A9"/>
    <w:rsid w:val="00AC7853"/>
    <w:rsid w:val="00AC7E63"/>
    <w:rsid w:val="00AD0D8B"/>
    <w:rsid w:val="00AD0F53"/>
    <w:rsid w:val="00AD1513"/>
    <w:rsid w:val="00AD3851"/>
    <w:rsid w:val="00AD40A4"/>
    <w:rsid w:val="00AD44D7"/>
    <w:rsid w:val="00AD488F"/>
    <w:rsid w:val="00AD4EFB"/>
    <w:rsid w:val="00AD56CB"/>
    <w:rsid w:val="00AD5D62"/>
    <w:rsid w:val="00AD5DF7"/>
    <w:rsid w:val="00AD6066"/>
    <w:rsid w:val="00AD6161"/>
    <w:rsid w:val="00AD62F7"/>
    <w:rsid w:val="00AD69CB"/>
    <w:rsid w:val="00AD7583"/>
    <w:rsid w:val="00AD7862"/>
    <w:rsid w:val="00AD7967"/>
    <w:rsid w:val="00AD7AF3"/>
    <w:rsid w:val="00AE04F4"/>
    <w:rsid w:val="00AE0B7B"/>
    <w:rsid w:val="00AE1130"/>
    <w:rsid w:val="00AE1E64"/>
    <w:rsid w:val="00AE2373"/>
    <w:rsid w:val="00AE2486"/>
    <w:rsid w:val="00AE2C67"/>
    <w:rsid w:val="00AE2F0B"/>
    <w:rsid w:val="00AE3377"/>
    <w:rsid w:val="00AE3425"/>
    <w:rsid w:val="00AE3577"/>
    <w:rsid w:val="00AE3C4E"/>
    <w:rsid w:val="00AE3C79"/>
    <w:rsid w:val="00AE433D"/>
    <w:rsid w:val="00AE4786"/>
    <w:rsid w:val="00AE50B1"/>
    <w:rsid w:val="00AE5490"/>
    <w:rsid w:val="00AE5987"/>
    <w:rsid w:val="00AE604F"/>
    <w:rsid w:val="00AE634B"/>
    <w:rsid w:val="00AE6B2A"/>
    <w:rsid w:val="00AE6D29"/>
    <w:rsid w:val="00AE76F6"/>
    <w:rsid w:val="00AE78FE"/>
    <w:rsid w:val="00AE7B8A"/>
    <w:rsid w:val="00AE7D95"/>
    <w:rsid w:val="00AE7E7D"/>
    <w:rsid w:val="00AF03C0"/>
    <w:rsid w:val="00AF09F7"/>
    <w:rsid w:val="00AF0F45"/>
    <w:rsid w:val="00AF0FE3"/>
    <w:rsid w:val="00AF11A9"/>
    <w:rsid w:val="00AF14C5"/>
    <w:rsid w:val="00AF14F2"/>
    <w:rsid w:val="00AF1709"/>
    <w:rsid w:val="00AF184B"/>
    <w:rsid w:val="00AF1966"/>
    <w:rsid w:val="00AF23E9"/>
    <w:rsid w:val="00AF24BB"/>
    <w:rsid w:val="00AF2840"/>
    <w:rsid w:val="00AF34EB"/>
    <w:rsid w:val="00AF357D"/>
    <w:rsid w:val="00AF3872"/>
    <w:rsid w:val="00AF3E7C"/>
    <w:rsid w:val="00AF4217"/>
    <w:rsid w:val="00AF42E3"/>
    <w:rsid w:val="00AF46EF"/>
    <w:rsid w:val="00AF5479"/>
    <w:rsid w:val="00AF59DA"/>
    <w:rsid w:val="00AF5CD1"/>
    <w:rsid w:val="00AF5FED"/>
    <w:rsid w:val="00AF5FF9"/>
    <w:rsid w:val="00AF6275"/>
    <w:rsid w:val="00AF63CA"/>
    <w:rsid w:val="00AF6426"/>
    <w:rsid w:val="00AF6446"/>
    <w:rsid w:val="00AF675C"/>
    <w:rsid w:val="00AF681B"/>
    <w:rsid w:val="00AF6977"/>
    <w:rsid w:val="00AF6DC9"/>
    <w:rsid w:val="00AF716A"/>
    <w:rsid w:val="00AF788F"/>
    <w:rsid w:val="00AF7913"/>
    <w:rsid w:val="00B005DD"/>
    <w:rsid w:val="00B006E3"/>
    <w:rsid w:val="00B00EC2"/>
    <w:rsid w:val="00B014E1"/>
    <w:rsid w:val="00B02D05"/>
    <w:rsid w:val="00B036AB"/>
    <w:rsid w:val="00B036D7"/>
    <w:rsid w:val="00B03CEA"/>
    <w:rsid w:val="00B043A1"/>
    <w:rsid w:val="00B0575F"/>
    <w:rsid w:val="00B05967"/>
    <w:rsid w:val="00B07E07"/>
    <w:rsid w:val="00B103AC"/>
    <w:rsid w:val="00B104C6"/>
    <w:rsid w:val="00B1091F"/>
    <w:rsid w:val="00B10D85"/>
    <w:rsid w:val="00B1104C"/>
    <w:rsid w:val="00B11C6E"/>
    <w:rsid w:val="00B11D36"/>
    <w:rsid w:val="00B11DA7"/>
    <w:rsid w:val="00B12E23"/>
    <w:rsid w:val="00B136DC"/>
    <w:rsid w:val="00B13BEF"/>
    <w:rsid w:val="00B13E49"/>
    <w:rsid w:val="00B1409F"/>
    <w:rsid w:val="00B14770"/>
    <w:rsid w:val="00B14839"/>
    <w:rsid w:val="00B15059"/>
    <w:rsid w:val="00B159F3"/>
    <w:rsid w:val="00B160D4"/>
    <w:rsid w:val="00B16763"/>
    <w:rsid w:val="00B16C77"/>
    <w:rsid w:val="00B16D8F"/>
    <w:rsid w:val="00B17717"/>
    <w:rsid w:val="00B17762"/>
    <w:rsid w:val="00B17AAF"/>
    <w:rsid w:val="00B20538"/>
    <w:rsid w:val="00B205B4"/>
    <w:rsid w:val="00B207D3"/>
    <w:rsid w:val="00B20D26"/>
    <w:rsid w:val="00B2151F"/>
    <w:rsid w:val="00B21A07"/>
    <w:rsid w:val="00B21DE7"/>
    <w:rsid w:val="00B2254F"/>
    <w:rsid w:val="00B22636"/>
    <w:rsid w:val="00B23458"/>
    <w:rsid w:val="00B23B85"/>
    <w:rsid w:val="00B23ED0"/>
    <w:rsid w:val="00B24169"/>
    <w:rsid w:val="00B24509"/>
    <w:rsid w:val="00B245BD"/>
    <w:rsid w:val="00B24D3F"/>
    <w:rsid w:val="00B258A0"/>
    <w:rsid w:val="00B25CAE"/>
    <w:rsid w:val="00B25F76"/>
    <w:rsid w:val="00B26289"/>
    <w:rsid w:val="00B2698B"/>
    <w:rsid w:val="00B26B4D"/>
    <w:rsid w:val="00B26F8C"/>
    <w:rsid w:val="00B271FD"/>
    <w:rsid w:val="00B27306"/>
    <w:rsid w:val="00B275DF"/>
    <w:rsid w:val="00B27695"/>
    <w:rsid w:val="00B27F38"/>
    <w:rsid w:val="00B3048D"/>
    <w:rsid w:val="00B306AF"/>
    <w:rsid w:val="00B30F4B"/>
    <w:rsid w:val="00B31026"/>
    <w:rsid w:val="00B310C0"/>
    <w:rsid w:val="00B31452"/>
    <w:rsid w:val="00B314EA"/>
    <w:rsid w:val="00B318F1"/>
    <w:rsid w:val="00B319A4"/>
    <w:rsid w:val="00B319F3"/>
    <w:rsid w:val="00B3238A"/>
    <w:rsid w:val="00B32A65"/>
    <w:rsid w:val="00B32BD0"/>
    <w:rsid w:val="00B32D97"/>
    <w:rsid w:val="00B32DA5"/>
    <w:rsid w:val="00B32FF8"/>
    <w:rsid w:val="00B3414D"/>
    <w:rsid w:val="00B345F8"/>
    <w:rsid w:val="00B347DC"/>
    <w:rsid w:val="00B34A76"/>
    <w:rsid w:val="00B34B2F"/>
    <w:rsid w:val="00B351E9"/>
    <w:rsid w:val="00B351F5"/>
    <w:rsid w:val="00B3575D"/>
    <w:rsid w:val="00B35BA9"/>
    <w:rsid w:val="00B35BE9"/>
    <w:rsid w:val="00B35C69"/>
    <w:rsid w:val="00B3601A"/>
    <w:rsid w:val="00B36A7F"/>
    <w:rsid w:val="00B36AF3"/>
    <w:rsid w:val="00B36BD5"/>
    <w:rsid w:val="00B36DDA"/>
    <w:rsid w:val="00B378E8"/>
    <w:rsid w:val="00B37939"/>
    <w:rsid w:val="00B40287"/>
    <w:rsid w:val="00B40A1D"/>
    <w:rsid w:val="00B40F25"/>
    <w:rsid w:val="00B41056"/>
    <w:rsid w:val="00B42020"/>
    <w:rsid w:val="00B42179"/>
    <w:rsid w:val="00B42342"/>
    <w:rsid w:val="00B42D6A"/>
    <w:rsid w:val="00B43160"/>
    <w:rsid w:val="00B43299"/>
    <w:rsid w:val="00B43B9F"/>
    <w:rsid w:val="00B44319"/>
    <w:rsid w:val="00B4444D"/>
    <w:rsid w:val="00B445EB"/>
    <w:rsid w:val="00B44915"/>
    <w:rsid w:val="00B44A30"/>
    <w:rsid w:val="00B45644"/>
    <w:rsid w:val="00B4569B"/>
    <w:rsid w:val="00B45E7B"/>
    <w:rsid w:val="00B46271"/>
    <w:rsid w:val="00B4645F"/>
    <w:rsid w:val="00B46B3D"/>
    <w:rsid w:val="00B47627"/>
    <w:rsid w:val="00B5029C"/>
    <w:rsid w:val="00B502A0"/>
    <w:rsid w:val="00B502AE"/>
    <w:rsid w:val="00B50387"/>
    <w:rsid w:val="00B51256"/>
    <w:rsid w:val="00B514E6"/>
    <w:rsid w:val="00B52A33"/>
    <w:rsid w:val="00B53533"/>
    <w:rsid w:val="00B53D06"/>
    <w:rsid w:val="00B546F2"/>
    <w:rsid w:val="00B54959"/>
    <w:rsid w:val="00B54D9F"/>
    <w:rsid w:val="00B55703"/>
    <w:rsid w:val="00B559A0"/>
    <w:rsid w:val="00B55D02"/>
    <w:rsid w:val="00B55DD1"/>
    <w:rsid w:val="00B55FDD"/>
    <w:rsid w:val="00B56AFD"/>
    <w:rsid w:val="00B56B0A"/>
    <w:rsid w:val="00B56B2B"/>
    <w:rsid w:val="00B57029"/>
    <w:rsid w:val="00B573CF"/>
    <w:rsid w:val="00B573F2"/>
    <w:rsid w:val="00B577EF"/>
    <w:rsid w:val="00B57946"/>
    <w:rsid w:val="00B603AE"/>
    <w:rsid w:val="00B60E4C"/>
    <w:rsid w:val="00B610DF"/>
    <w:rsid w:val="00B6145F"/>
    <w:rsid w:val="00B61AA2"/>
    <w:rsid w:val="00B6213D"/>
    <w:rsid w:val="00B6231E"/>
    <w:rsid w:val="00B626CF"/>
    <w:rsid w:val="00B626E9"/>
    <w:rsid w:val="00B6284C"/>
    <w:rsid w:val="00B6348D"/>
    <w:rsid w:val="00B641A2"/>
    <w:rsid w:val="00B64418"/>
    <w:rsid w:val="00B64AB1"/>
    <w:rsid w:val="00B64C10"/>
    <w:rsid w:val="00B655EA"/>
    <w:rsid w:val="00B65D6D"/>
    <w:rsid w:val="00B660BD"/>
    <w:rsid w:val="00B6672A"/>
    <w:rsid w:val="00B66A6B"/>
    <w:rsid w:val="00B66B12"/>
    <w:rsid w:val="00B66DC4"/>
    <w:rsid w:val="00B66E43"/>
    <w:rsid w:val="00B66FC4"/>
    <w:rsid w:val="00B67015"/>
    <w:rsid w:val="00B671C8"/>
    <w:rsid w:val="00B673C2"/>
    <w:rsid w:val="00B67411"/>
    <w:rsid w:val="00B6741A"/>
    <w:rsid w:val="00B674F9"/>
    <w:rsid w:val="00B67D0A"/>
    <w:rsid w:val="00B70A3C"/>
    <w:rsid w:val="00B7122A"/>
    <w:rsid w:val="00B71237"/>
    <w:rsid w:val="00B716EA"/>
    <w:rsid w:val="00B7176E"/>
    <w:rsid w:val="00B71FF4"/>
    <w:rsid w:val="00B724F0"/>
    <w:rsid w:val="00B7266C"/>
    <w:rsid w:val="00B72749"/>
    <w:rsid w:val="00B7319A"/>
    <w:rsid w:val="00B734EB"/>
    <w:rsid w:val="00B73788"/>
    <w:rsid w:val="00B73EAC"/>
    <w:rsid w:val="00B740B4"/>
    <w:rsid w:val="00B740C4"/>
    <w:rsid w:val="00B74BEA"/>
    <w:rsid w:val="00B7511E"/>
    <w:rsid w:val="00B752DB"/>
    <w:rsid w:val="00B752EC"/>
    <w:rsid w:val="00B757E2"/>
    <w:rsid w:val="00B75DFC"/>
    <w:rsid w:val="00B75EAE"/>
    <w:rsid w:val="00B7662D"/>
    <w:rsid w:val="00B7675F"/>
    <w:rsid w:val="00B77019"/>
    <w:rsid w:val="00B77135"/>
    <w:rsid w:val="00B775A2"/>
    <w:rsid w:val="00B77962"/>
    <w:rsid w:val="00B779BB"/>
    <w:rsid w:val="00B77F73"/>
    <w:rsid w:val="00B801D2"/>
    <w:rsid w:val="00B80B27"/>
    <w:rsid w:val="00B80C6A"/>
    <w:rsid w:val="00B80D5D"/>
    <w:rsid w:val="00B81287"/>
    <w:rsid w:val="00B81305"/>
    <w:rsid w:val="00B8185C"/>
    <w:rsid w:val="00B81987"/>
    <w:rsid w:val="00B81C0C"/>
    <w:rsid w:val="00B82AE5"/>
    <w:rsid w:val="00B83D43"/>
    <w:rsid w:val="00B841F1"/>
    <w:rsid w:val="00B84559"/>
    <w:rsid w:val="00B84A34"/>
    <w:rsid w:val="00B854D2"/>
    <w:rsid w:val="00B85E8B"/>
    <w:rsid w:val="00B85F84"/>
    <w:rsid w:val="00B86C14"/>
    <w:rsid w:val="00B86C33"/>
    <w:rsid w:val="00B87261"/>
    <w:rsid w:val="00B874C3"/>
    <w:rsid w:val="00B907DA"/>
    <w:rsid w:val="00B9089E"/>
    <w:rsid w:val="00B90A2F"/>
    <w:rsid w:val="00B90BC0"/>
    <w:rsid w:val="00B9113E"/>
    <w:rsid w:val="00B911DF"/>
    <w:rsid w:val="00B913B9"/>
    <w:rsid w:val="00B91429"/>
    <w:rsid w:val="00B914D3"/>
    <w:rsid w:val="00B917F3"/>
    <w:rsid w:val="00B92A8A"/>
    <w:rsid w:val="00B92FFB"/>
    <w:rsid w:val="00B935A4"/>
    <w:rsid w:val="00B93DAB"/>
    <w:rsid w:val="00B93DCD"/>
    <w:rsid w:val="00B94478"/>
    <w:rsid w:val="00B94634"/>
    <w:rsid w:val="00B948EA"/>
    <w:rsid w:val="00B94F02"/>
    <w:rsid w:val="00B94F78"/>
    <w:rsid w:val="00B956C2"/>
    <w:rsid w:val="00B9575F"/>
    <w:rsid w:val="00B95A18"/>
    <w:rsid w:val="00B95C5A"/>
    <w:rsid w:val="00B95E7A"/>
    <w:rsid w:val="00B962A8"/>
    <w:rsid w:val="00B963FD"/>
    <w:rsid w:val="00B96400"/>
    <w:rsid w:val="00B9685D"/>
    <w:rsid w:val="00B968E5"/>
    <w:rsid w:val="00B97700"/>
    <w:rsid w:val="00B97932"/>
    <w:rsid w:val="00BA08BB"/>
    <w:rsid w:val="00BA08BF"/>
    <w:rsid w:val="00BA09E0"/>
    <w:rsid w:val="00BA0EA5"/>
    <w:rsid w:val="00BA1391"/>
    <w:rsid w:val="00BA1B08"/>
    <w:rsid w:val="00BA1C77"/>
    <w:rsid w:val="00BA1EB9"/>
    <w:rsid w:val="00BA24CC"/>
    <w:rsid w:val="00BA2548"/>
    <w:rsid w:val="00BA3289"/>
    <w:rsid w:val="00BA3C8B"/>
    <w:rsid w:val="00BA3CB3"/>
    <w:rsid w:val="00BA4146"/>
    <w:rsid w:val="00BA450F"/>
    <w:rsid w:val="00BA50A5"/>
    <w:rsid w:val="00BA50F2"/>
    <w:rsid w:val="00BA5E36"/>
    <w:rsid w:val="00BA5F8B"/>
    <w:rsid w:val="00BA6B74"/>
    <w:rsid w:val="00BA6DC4"/>
    <w:rsid w:val="00BA6E9E"/>
    <w:rsid w:val="00BA737D"/>
    <w:rsid w:val="00BA74C6"/>
    <w:rsid w:val="00BA7B7A"/>
    <w:rsid w:val="00BA7E6D"/>
    <w:rsid w:val="00BB001A"/>
    <w:rsid w:val="00BB00CB"/>
    <w:rsid w:val="00BB02D1"/>
    <w:rsid w:val="00BB0803"/>
    <w:rsid w:val="00BB093F"/>
    <w:rsid w:val="00BB0DA1"/>
    <w:rsid w:val="00BB1288"/>
    <w:rsid w:val="00BB19B2"/>
    <w:rsid w:val="00BB1D52"/>
    <w:rsid w:val="00BB2BE8"/>
    <w:rsid w:val="00BB2D03"/>
    <w:rsid w:val="00BB2FCD"/>
    <w:rsid w:val="00BB38B6"/>
    <w:rsid w:val="00BB3A23"/>
    <w:rsid w:val="00BB3D40"/>
    <w:rsid w:val="00BB481C"/>
    <w:rsid w:val="00BB4CB7"/>
    <w:rsid w:val="00BB4D2D"/>
    <w:rsid w:val="00BB502F"/>
    <w:rsid w:val="00BB5654"/>
    <w:rsid w:val="00BB5B2B"/>
    <w:rsid w:val="00BB67D7"/>
    <w:rsid w:val="00BB6AE6"/>
    <w:rsid w:val="00BB6BC2"/>
    <w:rsid w:val="00BB7295"/>
    <w:rsid w:val="00BC15FF"/>
    <w:rsid w:val="00BC2920"/>
    <w:rsid w:val="00BC2C9D"/>
    <w:rsid w:val="00BC301B"/>
    <w:rsid w:val="00BC3226"/>
    <w:rsid w:val="00BC3A0A"/>
    <w:rsid w:val="00BC486F"/>
    <w:rsid w:val="00BC51EE"/>
    <w:rsid w:val="00BC535C"/>
    <w:rsid w:val="00BC576B"/>
    <w:rsid w:val="00BC5C5F"/>
    <w:rsid w:val="00BC5CFE"/>
    <w:rsid w:val="00BC5D16"/>
    <w:rsid w:val="00BC628E"/>
    <w:rsid w:val="00BC6455"/>
    <w:rsid w:val="00BC65C8"/>
    <w:rsid w:val="00BC6DA7"/>
    <w:rsid w:val="00BC7018"/>
    <w:rsid w:val="00BC731F"/>
    <w:rsid w:val="00BC791B"/>
    <w:rsid w:val="00BC7A62"/>
    <w:rsid w:val="00BD0A29"/>
    <w:rsid w:val="00BD1466"/>
    <w:rsid w:val="00BD151B"/>
    <w:rsid w:val="00BD268A"/>
    <w:rsid w:val="00BD2A91"/>
    <w:rsid w:val="00BD2B95"/>
    <w:rsid w:val="00BD2D44"/>
    <w:rsid w:val="00BD3867"/>
    <w:rsid w:val="00BD3969"/>
    <w:rsid w:val="00BD3F5C"/>
    <w:rsid w:val="00BD4214"/>
    <w:rsid w:val="00BD44DB"/>
    <w:rsid w:val="00BD498D"/>
    <w:rsid w:val="00BD4C59"/>
    <w:rsid w:val="00BD4C83"/>
    <w:rsid w:val="00BD4D1E"/>
    <w:rsid w:val="00BD53FE"/>
    <w:rsid w:val="00BD554A"/>
    <w:rsid w:val="00BD5C78"/>
    <w:rsid w:val="00BD5D3F"/>
    <w:rsid w:val="00BD5EAB"/>
    <w:rsid w:val="00BD6316"/>
    <w:rsid w:val="00BD67DB"/>
    <w:rsid w:val="00BD7319"/>
    <w:rsid w:val="00BD74B4"/>
    <w:rsid w:val="00BE0523"/>
    <w:rsid w:val="00BE0F67"/>
    <w:rsid w:val="00BE11BF"/>
    <w:rsid w:val="00BE154F"/>
    <w:rsid w:val="00BE164C"/>
    <w:rsid w:val="00BE199B"/>
    <w:rsid w:val="00BE1C32"/>
    <w:rsid w:val="00BE1F0B"/>
    <w:rsid w:val="00BE2246"/>
    <w:rsid w:val="00BE26CC"/>
    <w:rsid w:val="00BE2745"/>
    <w:rsid w:val="00BE2F13"/>
    <w:rsid w:val="00BE31F2"/>
    <w:rsid w:val="00BE36FD"/>
    <w:rsid w:val="00BE3C11"/>
    <w:rsid w:val="00BE413A"/>
    <w:rsid w:val="00BE4B3B"/>
    <w:rsid w:val="00BE4C67"/>
    <w:rsid w:val="00BE57CA"/>
    <w:rsid w:val="00BE57F7"/>
    <w:rsid w:val="00BE5C1D"/>
    <w:rsid w:val="00BE5C7C"/>
    <w:rsid w:val="00BE60E8"/>
    <w:rsid w:val="00BE64FB"/>
    <w:rsid w:val="00BE6792"/>
    <w:rsid w:val="00BE679A"/>
    <w:rsid w:val="00BE694F"/>
    <w:rsid w:val="00BE6B4C"/>
    <w:rsid w:val="00BE750F"/>
    <w:rsid w:val="00BE7663"/>
    <w:rsid w:val="00BE7B0B"/>
    <w:rsid w:val="00BE7B8E"/>
    <w:rsid w:val="00BE7EC3"/>
    <w:rsid w:val="00BF0314"/>
    <w:rsid w:val="00BF033A"/>
    <w:rsid w:val="00BF03ED"/>
    <w:rsid w:val="00BF0EB1"/>
    <w:rsid w:val="00BF0EEC"/>
    <w:rsid w:val="00BF184B"/>
    <w:rsid w:val="00BF1AA9"/>
    <w:rsid w:val="00BF1C0A"/>
    <w:rsid w:val="00BF1D31"/>
    <w:rsid w:val="00BF205D"/>
    <w:rsid w:val="00BF30D4"/>
    <w:rsid w:val="00BF31B6"/>
    <w:rsid w:val="00BF35FC"/>
    <w:rsid w:val="00BF3ABE"/>
    <w:rsid w:val="00BF4242"/>
    <w:rsid w:val="00BF42B9"/>
    <w:rsid w:val="00BF45AB"/>
    <w:rsid w:val="00BF4726"/>
    <w:rsid w:val="00BF4E78"/>
    <w:rsid w:val="00BF4F59"/>
    <w:rsid w:val="00BF5BE8"/>
    <w:rsid w:val="00BF6130"/>
    <w:rsid w:val="00BF640E"/>
    <w:rsid w:val="00BF6863"/>
    <w:rsid w:val="00BF71B9"/>
    <w:rsid w:val="00BF7924"/>
    <w:rsid w:val="00BF7E7B"/>
    <w:rsid w:val="00BF7EDC"/>
    <w:rsid w:val="00C00191"/>
    <w:rsid w:val="00C00342"/>
    <w:rsid w:val="00C02DA2"/>
    <w:rsid w:val="00C02E28"/>
    <w:rsid w:val="00C02E5E"/>
    <w:rsid w:val="00C04042"/>
    <w:rsid w:val="00C041A6"/>
    <w:rsid w:val="00C04B3E"/>
    <w:rsid w:val="00C04C60"/>
    <w:rsid w:val="00C066D4"/>
    <w:rsid w:val="00C06E0A"/>
    <w:rsid w:val="00C0790B"/>
    <w:rsid w:val="00C07999"/>
    <w:rsid w:val="00C100F0"/>
    <w:rsid w:val="00C10BBE"/>
    <w:rsid w:val="00C10C42"/>
    <w:rsid w:val="00C10DAA"/>
    <w:rsid w:val="00C116C4"/>
    <w:rsid w:val="00C11737"/>
    <w:rsid w:val="00C1180F"/>
    <w:rsid w:val="00C11904"/>
    <w:rsid w:val="00C11F72"/>
    <w:rsid w:val="00C121C6"/>
    <w:rsid w:val="00C12207"/>
    <w:rsid w:val="00C123E0"/>
    <w:rsid w:val="00C12487"/>
    <w:rsid w:val="00C12848"/>
    <w:rsid w:val="00C12975"/>
    <w:rsid w:val="00C12F29"/>
    <w:rsid w:val="00C138B7"/>
    <w:rsid w:val="00C13908"/>
    <w:rsid w:val="00C13EE7"/>
    <w:rsid w:val="00C14389"/>
    <w:rsid w:val="00C143CD"/>
    <w:rsid w:val="00C147F3"/>
    <w:rsid w:val="00C14AE3"/>
    <w:rsid w:val="00C14B17"/>
    <w:rsid w:val="00C14DDB"/>
    <w:rsid w:val="00C1516E"/>
    <w:rsid w:val="00C151E1"/>
    <w:rsid w:val="00C152DB"/>
    <w:rsid w:val="00C164D2"/>
    <w:rsid w:val="00C16990"/>
    <w:rsid w:val="00C16F70"/>
    <w:rsid w:val="00C16FDF"/>
    <w:rsid w:val="00C17428"/>
    <w:rsid w:val="00C205CB"/>
    <w:rsid w:val="00C206A1"/>
    <w:rsid w:val="00C20710"/>
    <w:rsid w:val="00C207D4"/>
    <w:rsid w:val="00C210C9"/>
    <w:rsid w:val="00C21A01"/>
    <w:rsid w:val="00C21ACA"/>
    <w:rsid w:val="00C221D9"/>
    <w:rsid w:val="00C224A9"/>
    <w:rsid w:val="00C22881"/>
    <w:rsid w:val="00C23537"/>
    <w:rsid w:val="00C238D3"/>
    <w:rsid w:val="00C23DB3"/>
    <w:rsid w:val="00C242B6"/>
    <w:rsid w:val="00C24C97"/>
    <w:rsid w:val="00C24F6D"/>
    <w:rsid w:val="00C25082"/>
    <w:rsid w:val="00C255CE"/>
    <w:rsid w:val="00C255EA"/>
    <w:rsid w:val="00C2572D"/>
    <w:rsid w:val="00C25753"/>
    <w:rsid w:val="00C25806"/>
    <w:rsid w:val="00C25ED0"/>
    <w:rsid w:val="00C25FCA"/>
    <w:rsid w:val="00C2622C"/>
    <w:rsid w:val="00C268E1"/>
    <w:rsid w:val="00C26FA5"/>
    <w:rsid w:val="00C2718F"/>
    <w:rsid w:val="00C27365"/>
    <w:rsid w:val="00C303D7"/>
    <w:rsid w:val="00C305CA"/>
    <w:rsid w:val="00C31529"/>
    <w:rsid w:val="00C31625"/>
    <w:rsid w:val="00C316DC"/>
    <w:rsid w:val="00C31C36"/>
    <w:rsid w:val="00C31D6E"/>
    <w:rsid w:val="00C32B0E"/>
    <w:rsid w:val="00C32C7A"/>
    <w:rsid w:val="00C33483"/>
    <w:rsid w:val="00C336A1"/>
    <w:rsid w:val="00C33FCA"/>
    <w:rsid w:val="00C34631"/>
    <w:rsid w:val="00C34708"/>
    <w:rsid w:val="00C34E14"/>
    <w:rsid w:val="00C3500A"/>
    <w:rsid w:val="00C35267"/>
    <w:rsid w:val="00C354BC"/>
    <w:rsid w:val="00C3573A"/>
    <w:rsid w:val="00C35AC3"/>
    <w:rsid w:val="00C36537"/>
    <w:rsid w:val="00C37140"/>
    <w:rsid w:val="00C373E8"/>
    <w:rsid w:val="00C37689"/>
    <w:rsid w:val="00C37732"/>
    <w:rsid w:val="00C3795D"/>
    <w:rsid w:val="00C37BA6"/>
    <w:rsid w:val="00C400EC"/>
    <w:rsid w:val="00C40687"/>
    <w:rsid w:val="00C407C0"/>
    <w:rsid w:val="00C407F6"/>
    <w:rsid w:val="00C409BD"/>
    <w:rsid w:val="00C40AF7"/>
    <w:rsid w:val="00C40B78"/>
    <w:rsid w:val="00C4158C"/>
    <w:rsid w:val="00C41632"/>
    <w:rsid w:val="00C419F8"/>
    <w:rsid w:val="00C41A42"/>
    <w:rsid w:val="00C41ACC"/>
    <w:rsid w:val="00C41E52"/>
    <w:rsid w:val="00C428C1"/>
    <w:rsid w:val="00C42D26"/>
    <w:rsid w:val="00C42F9C"/>
    <w:rsid w:val="00C43661"/>
    <w:rsid w:val="00C4370E"/>
    <w:rsid w:val="00C439FC"/>
    <w:rsid w:val="00C44199"/>
    <w:rsid w:val="00C4419B"/>
    <w:rsid w:val="00C441C6"/>
    <w:rsid w:val="00C44960"/>
    <w:rsid w:val="00C44AFF"/>
    <w:rsid w:val="00C456B6"/>
    <w:rsid w:val="00C45C37"/>
    <w:rsid w:val="00C45FAD"/>
    <w:rsid w:val="00C463B7"/>
    <w:rsid w:val="00C4642E"/>
    <w:rsid w:val="00C464AD"/>
    <w:rsid w:val="00C465E7"/>
    <w:rsid w:val="00C46761"/>
    <w:rsid w:val="00C4709E"/>
    <w:rsid w:val="00C47974"/>
    <w:rsid w:val="00C500F7"/>
    <w:rsid w:val="00C50C97"/>
    <w:rsid w:val="00C514D3"/>
    <w:rsid w:val="00C515CB"/>
    <w:rsid w:val="00C51B9C"/>
    <w:rsid w:val="00C52E96"/>
    <w:rsid w:val="00C5300E"/>
    <w:rsid w:val="00C5310D"/>
    <w:rsid w:val="00C531C9"/>
    <w:rsid w:val="00C53A7C"/>
    <w:rsid w:val="00C53B32"/>
    <w:rsid w:val="00C54635"/>
    <w:rsid w:val="00C549BB"/>
    <w:rsid w:val="00C54B70"/>
    <w:rsid w:val="00C54D16"/>
    <w:rsid w:val="00C54F95"/>
    <w:rsid w:val="00C5522C"/>
    <w:rsid w:val="00C555EA"/>
    <w:rsid w:val="00C56B9F"/>
    <w:rsid w:val="00C56C38"/>
    <w:rsid w:val="00C57DCF"/>
    <w:rsid w:val="00C6011B"/>
    <w:rsid w:val="00C61022"/>
    <w:rsid w:val="00C6145B"/>
    <w:rsid w:val="00C61779"/>
    <w:rsid w:val="00C6222D"/>
    <w:rsid w:val="00C62588"/>
    <w:rsid w:val="00C62632"/>
    <w:rsid w:val="00C62690"/>
    <w:rsid w:val="00C62E79"/>
    <w:rsid w:val="00C631B3"/>
    <w:rsid w:val="00C634A0"/>
    <w:rsid w:val="00C63E40"/>
    <w:rsid w:val="00C642EE"/>
    <w:rsid w:val="00C6441F"/>
    <w:rsid w:val="00C646B0"/>
    <w:rsid w:val="00C64C16"/>
    <w:rsid w:val="00C6509B"/>
    <w:rsid w:val="00C65213"/>
    <w:rsid w:val="00C6535F"/>
    <w:rsid w:val="00C653DB"/>
    <w:rsid w:val="00C658EE"/>
    <w:rsid w:val="00C6596C"/>
    <w:rsid w:val="00C65CCF"/>
    <w:rsid w:val="00C66D0F"/>
    <w:rsid w:val="00C67BDF"/>
    <w:rsid w:val="00C70051"/>
    <w:rsid w:val="00C70AC4"/>
    <w:rsid w:val="00C71C2A"/>
    <w:rsid w:val="00C71F72"/>
    <w:rsid w:val="00C72268"/>
    <w:rsid w:val="00C72423"/>
    <w:rsid w:val="00C745C2"/>
    <w:rsid w:val="00C74788"/>
    <w:rsid w:val="00C7481B"/>
    <w:rsid w:val="00C748A8"/>
    <w:rsid w:val="00C74B3F"/>
    <w:rsid w:val="00C7505F"/>
    <w:rsid w:val="00C751BC"/>
    <w:rsid w:val="00C75418"/>
    <w:rsid w:val="00C756B9"/>
    <w:rsid w:val="00C75944"/>
    <w:rsid w:val="00C76542"/>
    <w:rsid w:val="00C767AC"/>
    <w:rsid w:val="00C76947"/>
    <w:rsid w:val="00C7699B"/>
    <w:rsid w:val="00C76BFF"/>
    <w:rsid w:val="00C77222"/>
    <w:rsid w:val="00C7742B"/>
    <w:rsid w:val="00C775A5"/>
    <w:rsid w:val="00C80693"/>
    <w:rsid w:val="00C80B10"/>
    <w:rsid w:val="00C80BA1"/>
    <w:rsid w:val="00C80C0B"/>
    <w:rsid w:val="00C8100E"/>
    <w:rsid w:val="00C81238"/>
    <w:rsid w:val="00C81541"/>
    <w:rsid w:val="00C817C3"/>
    <w:rsid w:val="00C81C05"/>
    <w:rsid w:val="00C82403"/>
    <w:rsid w:val="00C8261B"/>
    <w:rsid w:val="00C82663"/>
    <w:rsid w:val="00C82FDD"/>
    <w:rsid w:val="00C83618"/>
    <w:rsid w:val="00C837FA"/>
    <w:rsid w:val="00C83CD4"/>
    <w:rsid w:val="00C83DED"/>
    <w:rsid w:val="00C83FCD"/>
    <w:rsid w:val="00C84EC6"/>
    <w:rsid w:val="00C84F47"/>
    <w:rsid w:val="00C84F49"/>
    <w:rsid w:val="00C8502D"/>
    <w:rsid w:val="00C85094"/>
    <w:rsid w:val="00C8530E"/>
    <w:rsid w:val="00C85863"/>
    <w:rsid w:val="00C866C5"/>
    <w:rsid w:val="00C86A61"/>
    <w:rsid w:val="00C86BD2"/>
    <w:rsid w:val="00C8750F"/>
    <w:rsid w:val="00C87F3C"/>
    <w:rsid w:val="00C90178"/>
    <w:rsid w:val="00C90243"/>
    <w:rsid w:val="00C905F6"/>
    <w:rsid w:val="00C90747"/>
    <w:rsid w:val="00C91861"/>
    <w:rsid w:val="00C919C6"/>
    <w:rsid w:val="00C91AB9"/>
    <w:rsid w:val="00C9280F"/>
    <w:rsid w:val="00C9296A"/>
    <w:rsid w:val="00C92E66"/>
    <w:rsid w:val="00C93184"/>
    <w:rsid w:val="00C9378E"/>
    <w:rsid w:val="00C93B4E"/>
    <w:rsid w:val="00C93D7F"/>
    <w:rsid w:val="00C943F1"/>
    <w:rsid w:val="00C94B85"/>
    <w:rsid w:val="00C94FEB"/>
    <w:rsid w:val="00C9514B"/>
    <w:rsid w:val="00C95569"/>
    <w:rsid w:val="00C959BC"/>
    <w:rsid w:val="00C96979"/>
    <w:rsid w:val="00C96EA9"/>
    <w:rsid w:val="00C96F6E"/>
    <w:rsid w:val="00C97292"/>
    <w:rsid w:val="00C97461"/>
    <w:rsid w:val="00C97915"/>
    <w:rsid w:val="00C97A1C"/>
    <w:rsid w:val="00C97D26"/>
    <w:rsid w:val="00C97DF7"/>
    <w:rsid w:val="00C97E64"/>
    <w:rsid w:val="00C97EFD"/>
    <w:rsid w:val="00CA0402"/>
    <w:rsid w:val="00CA0584"/>
    <w:rsid w:val="00CA080B"/>
    <w:rsid w:val="00CA0B62"/>
    <w:rsid w:val="00CA0E5E"/>
    <w:rsid w:val="00CA1393"/>
    <w:rsid w:val="00CA1586"/>
    <w:rsid w:val="00CA1960"/>
    <w:rsid w:val="00CA1FA5"/>
    <w:rsid w:val="00CA2547"/>
    <w:rsid w:val="00CA2783"/>
    <w:rsid w:val="00CA288D"/>
    <w:rsid w:val="00CA2949"/>
    <w:rsid w:val="00CA2E95"/>
    <w:rsid w:val="00CA3547"/>
    <w:rsid w:val="00CA3A06"/>
    <w:rsid w:val="00CA3BE2"/>
    <w:rsid w:val="00CA3EF3"/>
    <w:rsid w:val="00CA4079"/>
    <w:rsid w:val="00CA4147"/>
    <w:rsid w:val="00CA455F"/>
    <w:rsid w:val="00CA4A6E"/>
    <w:rsid w:val="00CA542C"/>
    <w:rsid w:val="00CA5515"/>
    <w:rsid w:val="00CA60BE"/>
    <w:rsid w:val="00CA61F5"/>
    <w:rsid w:val="00CA620A"/>
    <w:rsid w:val="00CA6876"/>
    <w:rsid w:val="00CA7203"/>
    <w:rsid w:val="00CA73DE"/>
    <w:rsid w:val="00CA7684"/>
    <w:rsid w:val="00CA7762"/>
    <w:rsid w:val="00CA77EC"/>
    <w:rsid w:val="00CA7AA6"/>
    <w:rsid w:val="00CA7C0F"/>
    <w:rsid w:val="00CB0AA6"/>
    <w:rsid w:val="00CB0D8C"/>
    <w:rsid w:val="00CB1366"/>
    <w:rsid w:val="00CB4E3E"/>
    <w:rsid w:val="00CB51A3"/>
    <w:rsid w:val="00CB546B"/>
    <w:rsid w:val="00CB55BB"/>
    <w:rsid w:val="00CB6056"/>
    <w:rsid w:val="00CB691D"/>
    <w:rsid w:val="00CB6980"/>
    <w:rsid w:val="00CB7149"/>
    <w:rsid w:val="00CB739D"/>
    <w:rsid w:val="00CC0351"/>
    <w:rsid w:val="00CC077F"/>
    <w:rsid w:val="00CC0AA7"/>
    <w:rsid w:val="00CC18EB"/>
    <w:rsid w:val="00CC1DA4"/>
    <w:rsid w:val="00CC2327"/>
    <w:rsid w:val="00CC2546"/>
    <w:rsid w:val="00CC2ED5"/>
    <w:rsid w:val="00CC35EA"/>
    <w:rsid w:val="00CC3665"/>
    <w:rsid w:val="00CC39D0"/>
    <w:rsid w:val="00CC3A5E"/>
    <w:rsid w:val="00CC3B49"/>
    <w:rsid w:val="00CC4B98"/>
    <w:rsid w:val="00CC4C74"/>
    <w:rsid w:val="00CC51DE"/>
    <w:rsid w:val="00CC523A"/>
    <w:rsid w:val="00CC55D3"/>
    <w:rsid w:val="00CC5621"/>
    <w:rsid w:val="00CC5FC1"/>
    <w:rsid w:val="00CC65E6"/>
    <w:rsid w:val="00CC6982"/>
    <w:rsid w:val="00CC6B87"/>
    <w:rsid w:val="00CC7517"/>
    <w:rsid w:val="00CC7B2E"/>
    <w:rsid w:val="00CC7C7F"/>
    <w:rsid w:val="00CC7F7B"/>
    <w:rsid w:val="00CD0828"/>
    <w:rsid w:val="00CD090F"/>
    <w:rsid w:val="00CD0F5F"/>
    <w:rsid w:val="00CD1F40"/>
    <w:rsid w:val="00CD233C"/>
    <w:rsid w:val="00CD262B"/>
    <w:rsid w:val="00CD2DD4"/>
    <w:rsid w:val="00CD3660"/>
    <w:rsid w:val="00CD4226"/>
    <w:rsid w:val="00CD444F"/>
    <w:rsid w:val="00CD4772"/>
    <w:rsid w:val="00CD4C2D"/>
    <w:rsid w:val="00CD4C9B"/>
    <w:rsid w:val="00CD4EE0"/>
    <w:rsid w:val="00CD5F36"/>
    <w:rsid w:val="00CD65C9"/>
    <w:rsid w:val="00CD70C6"/>
    <w:rsid w:val="00CD7621"/>
    <w:rsid w:val="00CD7A72"/>
    <w:rsid w:val="00CD7BD2"/>
    <w:rsid w:val="00CD7C0C"/>
    <w:rsid w:val="00CE0656"/>
    <w:rsid w:val="00CE0AA9"/>
    <w:rsid w:val="00CE0AF3"/>
    <w:rsid w:val="00CE1834"/>
    <w:rsid w:val="00CE1AF1"/>
    <w:rsid w:val="00CE1E70"/>
    <w:rsid w:val="00CE21AB"/>
    <w:rsid w:val="00CE237B"/>
    <w:rsid w:val="00CE2480"/>
    <w:rsid w:val="00CE27CE"/>
    <w:rsid w:val="00CE281E"/>
    <w:rsid w:val="00CE2EE9"/>
    <w:rsid w:val="00CE3577"/>
    <w:rsid w:val="00CE3E30"/>
    <w:rsid w:val="00CE4C87"/>
    <w:rsid w:val="00CE54B3"/>
    <w:rsid w:val="00CE56DF"/>
    <w:rsid w:val="00CE60A4"/>
    <w:rsid w:val="00CE6327"/>
    <w:rsid w:val="00CE65B6"/>
    <w:rsid w:val="00CE6614"/>
    <w:rsid w:val="00CE6953"/>
    <w:rsid w:val="00CE6B32"/>
    <w:rsid w:val="00CE6F45"/>
    <w:rsid w:val="00CE72F1"/>
    <w:rsid w:val="00CE7A33"/>
    <w:rsid w:val="00CE7AF8"/>
    <w:rsid w:val="00CE7EFD"/>
    <w:rsid w:val="00CF0594"/>
    <w:rsid w:val="00CF07F6"/>
    <w:rsid w:val="00CF0A72"/>
    <w:rsid w:val="00CF0C38"/>
    <w:rsid w:val="00CF0E65"/>
    <w:rsid w:val="00CF1050"/>
    <w:rsid w:val="00CF14E7"/>
    <w:rsid w:val="00CF176F"/>
    <w:rsid w:val="00CF2154"/>
    <w:rsid w:val="00CF22B9"/>
    <w:rsid w:val="00CF25E3"/>
    <w:rsid w:val="00CF260E"/>
    <w:rsid w:val="00CF2E57"/>
    <w:rsid w:val="00CF400C"/>
    <w:rsid w:val="00CF4106"/>
    <w:rsid w:val="00CF4196"/>
    <w:rsid w:val="00CF420A"/>
    <w:rsid w:val="00CF4569"/>
    <w:rsid w:val="00CF47F7"/>
    <w:rsid w:val="00CF5685"/>
    <w:rsid w:val="00CF5B97"/>
    <w:rsid w:val="00CF6555"/>
    <w:rsid w:val="00CF680D"/>
    <w:rsid w:val="00CF6831"/>
    <w:rsid w:val="00CF6B12"/>
    <w:rsid w:val="00CF72FB"/>
    <w:rsid w:val="00D00434"/>
    <w:rsid w:val="00D0051F"/>
    <w:rsid w:val="00D00C6E"/>
    <w:rsid w:val="00D00E71"/>
    <w:rsid w:val="00D01391"/>
    <w:rsid w:val="00D013DF"/>
    <w:rsid w:val="00D01626"/>
    <w:rsid w:val="00D01670"/>
    <w:rsid w:val="00D01B9A"/>
    <w:rsid w:val="00D01B9F"/>
    <w:rsid w:val="00D02569"/>
    <w:rsid w:val="00D02B66"/>
    <w:rsid w:val="00D0302D"/>
    <w:rsid w:val="00D030EA"/>
    <w:rsid w:val="00D03967"/>
    <w:rsid w:val="00D03ED8"/>
    <w:rsid w:val="00D041F8"/>
    <w:rsid w:val="00D044A9"/>
    <w:rsid w:val="00D04A5B"/>
    <w:rsid w:val="00D05389"/>
    <w:rsid w:val="00D056BE"/>
    <w:rsid w:val="00D05879"/>
    <w:rsid w:val="00D05E59"/>
    <w:rsid w:val="00D06ACC"/>
    <w:rsid w:val="00D06D9F"/>
    <w:rsid w:val="00D0749E"/>
    <w:rsid w:val="00D07950"/>
    <w:rsid w:val="00D079A1"/>
    <w:rsid w:val="00D10396"/>
    <w:rsid w:val="00D10935"/>
    <w:rsid w:val="00D10A85"/>
    <w:rsid w:val="00D10ECB"/>
    <w:rsid w:val="00D126BF"/>
    <w:rsid w:val="00D12922"/>
    <w:rsid w:val="00D12A35"/>
    <w:rsid w:val="00D12FAF"/>
    <w:rsid w:val="00D1328A"/>
    <w:rsid w:val="00D134A8"/>
    <w:rsid w:val="00D1359D"/>
    <w:rsid w:val="00D1421B"/>
    <w:rsid w:val="00D1512A"/>
    <w:rsid w:val="00D15782"/>
    <w:rsid w:val="00D169C0"/>
    <w:rsid w:val="00D17C16"/>
    <w:rsid w:val="00D17D1C"/>
    <w:rsid w:val="00D20978"/>
    <w:rsid w:val="00D2129F"/>
    <w:rsid w:val="00D212B8"/>
    <w:rsid w:val="00D21AB3"/>
    <w:rsid w:val="00D222C0"/>
    <w:rsid w:val="00D226BD"/>
    <w:rsid w:val="00D227A3"/>
    <w:rsid w:val="00D2286E"/>
    <w:rsid w:val="00D22F17"/>
    <w:rsid w:val="00D23085"/>
    <w:rsid w:val="00D23470"/>
    <w:rsid w:val="00D24063"/>
    <w:rsid w:val="00D24210"/>
    <w:rsid w:val="00D2507A"/>
    <w:rsid w:val="00D2513B"/>
    <w:rsid w:val="00D25165"/>
    <w:rsid w:val="00D256D6"/>
    <w:rsid w:val="00D25795"/>
    <w:rsid w:val="00D257CB"/>
    <w:rsid w:val="00D2650C"/>
    <w:rsid w:val="00D26A08"/>
    <w:rsid w:val="00D27438"/>
    <w:rsid w:val="00D27775"/>
    <w:rsid w:val="00D2780B"/>
    <w:rsid w:val="00D30238"/>
    <w:rsid w:val="00D3044D"/>
    <w:rsid w:val="00D3051D"/>
    <w:rsid w:val="00D3087A"/>
    <w:rsid w:val="00D30F2C"/>
    <w:rsid w:val="00D31AF4"/>
    <w:rsid w:val="00D31E55"/>
    <w:rsid w:val="00D31E9B"/>
    <w:rsid w:val="00D31FAA"/>
    <w:rsid w:val="00D320EA"/>
    <w:rsid w:val="00D321B1"/>
    <w:rsid w:val="00D32485"/>
    <w:rsid w:val="00D3343B"/>
    <w:rsid w:val="00D336F0"/>
    <w:rsid w:val="00D3494E"/>
    <w:rsid w:val="00D34956"/>
    <w:rsid w:val="00D3508C"/>
    <w:rsid w:val="00D35398"/>
    <w:rsid w:val="00D35751"/>
    <w:rsid w:val="00D35D44"/>
    <w:rsid w:val="00D35E08"/>
    <w:rsid w:val="00D361AD"/>
    <w:rsid w:val="00D36B85"/>
    <w:rsid w:val="00D36B8B"/>
    <w:rsid w:val="00D36E05"/>
    <w:rsid w:val="00D370AC"/>
    <w:rsid w:val="00D37106"/>
    <w:rsid w:val="00D3754A"/>
    <w:rsid w:val="00D37747"/>
    <w:rsid w:val="00D37761"/>
    <w:rsid w:val="00D37829"/>
    <w:rsid w:val="00D40430"/>
    <w:rsid w:val="00D40478"/>
    <w:rsid w:val="00D40656"/>
    <w:rsid w:val="00D40F25"/>
    <w:rsid w:val="00D41858"/>
    <w:rsid w:val="00D41F5E"/>
    <w:rsid w:val="00D4228F"/>
    <w:rsid w:val="00D42530"/>
    <w:rsid w:val="00D42584"/>
    <w:rsid w:val="00D42688"/>
    <w:rsid w:val="00D4309E"/>
    <w:rsid w:val="00D4389F"/>
    <w:rsid w:val="00D43997"/>
    <w:rsid w:val="00D43A94"/>
    <w:rsid w:val="00D43ACD"/>
    <w:rsid w:val="00D43D1B"/>
    <w:rsid w:val="00D43D50"/>
    <w:rsid w:val="00D43E69"/>
    <w:rsid w:val="00D4411A"/>
    <w:rsid w:val="00D441FD"/>
    <w:rsid w:val="00D44248"/>
    <w:rsid w:val="00D4452A"/>
    <w:rsid w:val="00D44989"/>
    <w:rsid w:val="00D453B3"/>
    <w:rsid w:val="00D458F9"/>
    <w:rsid w:val="00D45B10"/>
    <w:rsid w:val="00D45F68"/>
    <w:rsid w:val="00D4604C"/>
    <w:rsid w:val="00D4691C"/>
    <w:rsid w:val="00D470A4"/>
    <w:rsid w:val="00D4747A"/>
    <w:rsid w:val="00D47586"/>
    <w:rsid w:val="00D509CD"/>
    <w:rsid w:val="00D5112B"/>
    <w:rsid w:val="00D51627"/>
    <w:rsid w:val="00D528CF"/>
    <w:rsid w:val="00D5292D"/>
    <w:rsid w:val="00D529B8"/>
    <w:rsid w:val="00D533D5"/>
    <w:rsid w:val="00D533F0"/>
    <w:rsid w:val="00D53913"/>
    <w:rsid w:val="00D539B3"/>
    <w:rsid w:val="00D53F31"/>
    <w:rsid w:val="00D53FD7"/>
    <w:rsid w:val="00D54CD3"/>
    <w:rsid w:val="00D54D78"/>
    <w:rsid w:val="00D5547E"/>
    <w:rsid w:val="00D5599F"/>
    <w:rsid w:val="00D55C30"/>
    <w:rsid w:val="00D55DA0"/>
    <w:rsid w:val="00D55E20"/>
    <w:rsid w:val="00D55E59"/>
    <w:rsid w:val="00D55F05"/>
    <w:rsid w:val="00D56528"/>
    <w:rsid w:val="00D57135"/>
    <w:rsid w:val="00D576BD"/>
    <w:rsid w:val="00D57C25"/>
    <w:rsid w:val="00D57FAF"/>
    <w:rsid w:val="00D6006A"/>
    <w:rsid w:val="00D60623"/>
    <w:rsid w:val="00D6105B"/>
    <w:rsid w:val="00D61393"/>
    <w:rsid w:val="00D61725"/>
    <w:rsid w:val="00D61D8A"/>
    <w:rsid w:val="00D62370"/>
    <w:rsid w:val="00D625F3"/>
    <w:rsid w:val="00D629F0"/>
    <w:rsid w:val="00D62E68"/>
    <w:rsid w:val="00D63531"/>
    <w:rsid w:val="00D63DF9"/>
    <w:rsid w:val="00D64456"/>
    <w:rsid w:val="00D64579"/>
    <w:rsid w:val="00D647FE"/>
    <w:rsid w:val="00D64A6A"/>
    <w:rsid w:val="00D64F07"/>
    <w:rsid w:val="00D65000"/>
    <w:rsid w:val="00D65950"/>
    <w:rsid w:val="00D65D3B"/>
    <w:rsid w:val="00D65D91"/>
    <w:rsid w:val="00D65F25"/>
    <w:rsid w:val="00D66552"/>
    <w:rsid w:val="00D6740B"/>
    <w:rsid w:val="00D674FA"/>
    <w:rsid w:val="00D676CF"/>
    <w:rsid w:val="00D67CAC"/>
    <w:rsid w:val="00D706F8"/>
    <w:rsid w:val="00D70909"/>
    <w:rsid w:val="00D716D2"/>
    <w:rsid w:val="00D71745"/>
    <w:rsid w:val="00D726C8"/>
    <w:rsid w:val="00D72D3F"/>
    <w:rsid w:val="00D73219"/>
    <w:rsid w:val="00D73C1E"/>
    <w:rsid w:val="00D73D40"/>
    <w:rsid w:val="00D73DF4"/>
    <w:rsid w:val="00D7464D"/>
    <w:rsid w:val="00D74873"/>
    <w:rsid w:val="00D749DC"/>
    <w:rsid w:val="00D74DBA"/>
    <w:rsid w:val="00D75231"/>
    <w:rsid w:val="00D75375"/>
    <w:rsid w:val="00D75D5A"/>
    <w:rsid w:val="00D760D0"/>
    <w:rsid w:val="00D76354"/>
    <w:rsid w:val="00D76372"/>
    <w:rsid w:val="00D76618"/>
    <w:rsid w:val="00D767EF"/>
    <w:rsid w:val="00D76B25"/>
    <w:rsid w:val="00D76B6D"/>
    <w:rsid w:val="00D7714C"/>
    <w:rsid w:val="00D777E9"/>
    <w:rsid w:val="00D778EF"/>
    <w:rsid w:val="00D779E8"/>
    <w:rsid w:val="00D77EE9"/>
    <w:rsid w:val="00D804E8"/>
    <w:rsid w:val="00D80FE0"/>
    <w:rsid w:val="00D8101B"/>
    <w:rsid w:val="00D813A0"/>
    <w:rsid w:val="00D814AF"/>
    <w:rsid w:val="00D81A8A"/>
    <w:rsid w:val="00D81FED"/>
    <w:rsid w:val="00D82621"/>
    <w:rsid w:val="00D8283D"/>
    <w:rsid w:val="00D828AF"/>
    <w:rsid w:val="00D82A5A"/>
    <w:rsid w:val="00D83229"/>
    <w:rsid w:val="00D8349E"/>
    <w:rsid w:val="00D835B0"/>
    <w:rsid w:val="00D83952"/>
    <w:rsid w:val="00D83A8C"/>
    <w:rsid w:val="00D83D0F"/>
    <w:rsid w:val="00D83E9C"/>
    <w:rsid w:val="00D8430D"/>
    <w:rsid w:val="00D84424"/>
    <w:rsid w:val="00D84C30"/>
    <w:rsid w:val="00D84E0F"/>
    <w:rsid w:val="00D84E6F"/>
    <w:rsid w:val="00D85568"/>
    <w:rsid w:val="00D8560E"/>
    <w:rsid w:val="00D85669"/>
    <w:rsid w:val="00D85AF9"/>
    <w:rsid w:val="00D85CE8"/>
    <w:rsid w:val="00D861B7"/>
    <w:rsid w:val="00D867A4"/>
    <w:rsid w:val="00D86972"/>
    <w:rsid w:val="00D86CF4"/>
    <w:rsid w:val="00D872C3"/>
    <w:rsid w:val="00D872ED"/>
    <w:rsid w:val="00D87882"/>
    <w:rsid w:val="00D87A05"/>
    <w:rsid w:val="00D87A52"/>
    <w:rsid w:val="00D87B4B"/>
    <w:rsid w:val="00D87CD8"/>
    <w:rsid w:val="00D90623"/>
    <w:rsid w:val="00D90AD1"/>
    <w:rsid w:val="00D910C1"/>
    <w:rsid w:val="00D914B6"/>
    <w:rsid w:val="00D91956"/>
    <w:rsid w:val="00D91D74"/>
    <w:rsid w:val="00D92DAB"/>
    <w:rsid w:val="00D9367D"/>
    <w:rsid w:val="00D9381C"/>
    <w:rsid w:val="00D938D4"/>
    <w:rsid w:val="00D939BD"/>
    <w:rsid w:val="00D93C6D"/>
    <w:rsid w:val="00D93EDF"/>
    <w:rsid w:val="00D94006"/>
    <w:rsid w:val="00D9435C"/>
    <w:rsid w:val="00D94576"/>
    <w:rsid w:val="00D945A8"/>
    <w:rsid w:val="00D9559E"/>
    <w:rsid w:val="00D960C4"/>
    <w:rsid w:val="00D96C00"/>
    <w:rsid w:val="00D97714"/>
    <w:rsid w:val="00DA09E8"/>
    <w:rsid w:val="00DA0C75"/>
    <w:rsid w:val="00DA13E2"/>
    <w:rsid w:val="00DA18DF"/>
    <w:rsid w:val="00DA1979"/>
    <w:rsid w:val="00DA19FC"/>
    <w:rsid w:val="00DA1E2A"/>
    <w:rsid w:val="00DA1EBA"/>
    <w:rsid w:val="00DA1ECD"/>
    <w:rsid w:val="00DA24EA"/>
    <w:rsid w:val="00DA2F62"/>
    <w:rsid w:val="00DA351E"/>
    <w:rsid w:val="00DA37EC"/>
    <w:rsid w:val="00DA3862"/>
    <w:rsid w:val="00DA3A14"/>
    <w:rsid w:val="00DA3F74"/>
    <w:rsid w:val="00DA4057"/>
    <w:rsid w:val="00DA4165"/>
    <w:rsid w:val="00DA460B"/>
    <w:rsid w:val="00DA460C"/>
    <w:rsid w:val="00DA4C95"/>
    <w:rsid w:val="00DA4FCB"/>
    <w:rsid w:val="00DA50B7"/>
    <w:rsid w:val="00DA51A8"/>
    <w:rsid w:val="00DA53FE"/>
    <w:rsid w:val="00DA553A"/>
    <w:rsid w:val="00DA5791"/>
    <w:rsid w:val="00DA58DA"/>
    <w:rsid w:val="00DA5931"/>
    <w:rsid w:val="00DA6472"/>
    <w:rsid w:val="00DA66AA"/>
    <w:rsid w:val="00DA686D"/>
    <w:rsid w:val="00DA6F81"/>
    <w:rsid w:val="00DA70C2"/>
    <w:rsid w:val="00DA731A"/>
    <w:rsid w:val="00DA7445"/>
    <w:rsid w:val="00DA7D0B"/>
    <w:rsid w:val="00DA7E6C"/>
    <w:rsid w:val="00DA7E7C"/>
    <w:rsid w:val="00DB0BF6"/>
    <w:rsid w:val="00DB0E23"/>
    <w:rsid w:val="00DB0F82"/>
    <w:rsid w:val="00DB0FB8"/>
    <w:rsid w:val="00DB121D"/>
    <w:rsid w:val="00DB17D0"/>
    <w:rsid w:val="00DB20DD"/>
    <w:rsid w:val="00DB2D9D"/>
    <w:rsid w:val="00DB3832"/>
    <w:rsid w:val="00DB3BE2"/>
    <w:rsid w:val="00DB4034"/>
    <w:rsid w:val="00DB4114"/>
    <w:rsid w:val="00DB4247"/>
    <w:rsid w:val="00DB4576"/>
    <w:rsid w:val="00DB481C"/>
    <w:rsid w:val="00DB49FB"/>
    <w:rsid w:val="00DB4B46"/>
    <w:rsid w:val="00DB5415"/>
    <w:rsid w:val="00DB5E3D"/>
    <w:rsid w:val="00DB626D"/>
    <w:rsid w:val="00DB639D"/>
    <w:rsid w:val="00DB63EB"/>
    <w:rsid w:val="00DB678F"/>
    <w:rsid w:val="00DB681A"/>
    <w:rsid w:val="00DB7098"/>
    <w:rsid w:val="00DB78A3"/>
    <w:rsid w:val="00DC0367"/>
    <w:rsid w:val="00DC04D4"/>
    <w:rsid w:val="00DC0510"/>
    <w:rsid w:val="00DC0B56"/>
    <w:rsid w:val="00DC0C08"/>
    <w:rsid w:val="00DC23B4"/>
    <w:rsid w:val="00DC24CE"/>
    <w:rsid w:val="00DC2FD1"/>
    <w:rsid w:val="00DC3831"/>
    <w:rsid w:val="00DC3B7B"/>
    <w:rsid w:val="00DC3CB7"/>
    <w:rsid w:val="00DC3F1E"/>
    <w:rsid w:val="00DC492D"/>
    <w:rsid w:val="00DC4B06"/>
    <w:rsid w:val="00DC58B0"/>
    <w:rsid w:val="00DC5FCE"/>
    <w:rsid w:val="00DC6123"/>
    <w:rsid w:val="00DC686C"/>
    <w:rsid w:val="00DC6D91"/>
    <w:rsid w:val="00DC6ED1"/>
    <w:rsid w:val="00DC70B2"/>
    <w:rsid w:val="00DC753D"/>
    <w:rsid w:val="00DC7AA4"/>
    <w:rsid w:val="00DD0175"/>
    <w:rsid w:val="00DD0204"/>
    <w:rsid w:val="00DD14AD"/>
    <w:rsid w:val="00DD14EF"/>
    <w:rsid w:val="00DD1DC6"/>
    <w:rsid w:val="00DD2222"/>
    <w:rsid w:val="00DD263D"/>
    <w:rsid w:val="00DD27E2"/>
    <w:rsid w:val="00DD2BD9"/>
    <w:rsid w:val="00DD3046"/>
    <w:rsid w:val="00DD3194"/>
    <w:rsid w:val="00DD3E5B"/>
    <w:rsid w:val="00DD432C"/>
    <w:rsid w:val="00DD445D"/>
    <w:rsid w:val="00DD4B24"/>
    <w:rsid w:val="00DD4D8F"/>
    <w:rsid w:val="00DD4FB4"/>
    <w:rsid w:val="00DD4FFD"/>
    <w:rsid w:val="00DD51EF"/>
    <w:rsid w:val="00DD5CAF"/>
    <w:rsid w:val="00DD66B7"/>
    <w:rsid w:val="00DD715A"/>
    <w:rsid w:val="00DD7206"/>
    <w:rsid w:val="00DE0138"/>
    <w:rsid w:val="00DE033C"/>
    <w:rsid w:val="00DE07FA"/>
    <w:rsid w:val="00DE086D"/>
    <w:rsid w:val="00DE0962"/>
    <w:rsid w:val="00DE09AC"/>
    <w:rsid w:val="00DE0D23"/>
    <w:rsid w:val="00DE0DC0"/>
    <w:rsid w:val="00DE1559"/>
    <w:rsid w:val="00DE2823"/>
    <w:rsid w:val="00DE2B7F"/>
    <w:rsid w:val="00DE335C"/>
    <w:rsid w:val="00DE3452"/>
    <w:rsid w:val="00DE3500"/>
    <w:rsid w:val="00DE3666"/>
    <w:rsid w:val="00DE3678"/>
    <w:rsid w:val="00DE3B5B"/>
    <w:rsid w:val="00DE3B84"/>
    <w:rsid w:val="00DE3C54"/>
    <w:rsid w:val="00DE414A"/>
    <w:rsid w:val="00DE425D"/>
    <w:rsid w:val="00DE4A7D"/>
    <w:rsid w:val="00DE4D3F"/>
    <w:rsid w:val="00DE53A1"/>
    <w:rsid w:val="00DE61F0"/>
    <w:rsid w:val="00DE628C"/>
    <w:rsid w:val="00DE639C"/>
    <w:rsid w:val="00DE726E"/>
    <w:rsid w:val="00DE7697"/>
    <w:rsid w:val="00DE7ED0"/>
    <w:rsid w:val="00DF095E"/>
    <w:rsid w:val="00DF1486"/>
    <w:rsid w:val="00DF279C"/>
    <w:rsid w:val="00DF2999"/>
    <w:rsid w:val="00DF2A3C"/>
    <w:rsid w:val="00DF2E1F"/>
    <w:rsid w:val="00DF3BE8"/>
    <w:rsid w:val="00DF41D9"/>
    <w:rsid w:val="00DF4618"/>
    <w:rsid w:val="00DF4BCC"/>
    <w:rsid w:val="00DF5400"/>
    <w:rsid w:val="00DF607B"/>
    <w:rsid w:val="00DF74AF"/>
    <w:rsid w:val="00DF7B31"/>
    <w:rsid w:val="00E0060C"/>
    <w:rsid w:val="00E00822"/>
    <w:rsid w:val="00E00ABF"/>
    <w:rsid w:val="00E00CC6"/>
    <w:rsid w:val="00E01666"/>
    <w:rsid w:val="00E019BA"/>
    <w:rsid w:val="00E01DBE"/>
    <w:rsid w:val="00E0220E"/>
    <w:rsid w:val="00E02B3D"/>
    <w:rsid w:val="00E02B83"/>
    <w:rsid w:val="00E02E60"/>
    <w:rsid w:val="00E02FE1"/>
    <w:rsid w:val="00E03131"/>
    <w:rsid w:val="00E0328B"/>
    <w:rsid w:val="00E033D1"/>
    <w:rsid w:val="00E0400B"/>
    <w:rsid w:val="00E04206"/>
    <w:rsid w:val="00E0438A"/>
    <w:rsid w:val="00E0497F"/>
    <w:rsid w:val="00E0533B"/>
    <w:rsid w:val="00E0560F"/>
    <w:rsid w:val="00E05DDE"/>
    <w:rsid w:val="00E06B4B"/>
    <w:rsid w:val="00E0716D"/>
    <w:rsid w:val="00E071A3"/>
    <w:rsid w:val="00E0764C"/>
    <w:rsid w:val="00E078EA"/>
    <w:rsid w:val="00E10993"/>
    <w:rsid w:val="00E116BE"/>
    <w:rsid w:val="00E1180B"/>
    <w:rsid w:val="00E11C85"/>
    <w:rsid w:val="00E11D76"/>
    <w:rsid w:val="00E11F8B"/>
    <w:rsid w:val="00E124CA"/>
    <w:rsid w:val="00E12E88"/>
    <w:rsid w:val="00E13087"/>
    <w:rsid w:val="00E131D6"/>
    <w:rsid w:val="00E13292"/>
    <w:rsid w:val="00E13964"/>
    <w:rsid w:val="00E13EFF"/>
    <w:rsid w:val="00E14793"/>
    <w:rsid w:val="00E1486C"/>
    <w:rsid w:val="00E148BF"/>
    <w:rsid w:val="00E14A11"/>
    <w:rsid w:val="00E14F34"/>
    <w:rsid w:val="00E15092"/>
    <w:rsid w:val="00E15180"/>
    <w:rsid w:val="00E155E1"/>
    <w:rsid w:val="00E15716"/>
    <w:rsid w:val="00E15AF6"/>
    <w:rsid w:val="00E15B95"/>
    <w:rsid w:val="00E1653D"/>
    <w:rsid w:val="00E16836"/>
    <w:rsid w:val="00E16871"/>
    <w:rsid w:val="00E16898"/>
    <w:rsid w:val="00E169BB"/>
    <w:rsid w:val="00E16AFF"/>
    <w:rsid w:val="00E16E76"/>
    <w:rsid w:val="00E17337"/>
    <w:rsid w:val="00E1775D"/>
    <w:rsid w:val="00E179C8"/>
    <w:rsid w:val="00E17B12"/>
    <w:rsid w:val="00E17FA7"/>
    <w:rsid w:val="00E207BB"/>
    <w:rsid w:val="00E20C5B"/>
    <w:rsid w:val="00E210F3"/>
    <w:rsid w:val="00E213D9"/>
    <w:rsid w:val="00E2192B"/>
    <w:rsid w:val="00E2193D"/>
    <w:rsid w:val="00E21AD7"/>
    <w:rsid w:val="00E21EC6"/>
    <w:rsid w:val="00E23043"/>
    <w:rsid w:val="00E23141"/>
    <w:rsid w:val="00E2326C"/>
    <w:rsid w:val="00E23480"/>
    <w:rsid w:val="00E236E5"/>
    <w:rsid w:val="00E238B6"/>
    <w:rsid w:val="00E23A06"/>
    <w:rsid w:val="00E23A91"/>
    <w:rsid w:val="00E23FD9"/>
    <w:rsid w:val="00E24081"/>
    <w:rsid w:val="00E2453D"/>
    <w:rsid w:val="00E24731"/>
    <w:rsid w:val="00E24AEE"/>
    <w:rsid w:val="00E2558A"/>
    <w:rsid w:val="00E25C24"/>
    <w:rsid w:val="00E260C4"/>
    <w:rsid w:val="00E269E5"/>
    <w:rsid w:val="00E274B8"/>
    <w:rsid w:val="00E27AA4"/>
    <w:rsid w:val="00E30CFE"/>
    <w:rsid w:val="00E31278"/>
    <w:rsid w:val="00E31487"/>
    <w:rsid w:val="00E316D8"/>
    <w:rsid w:val="00E31B8E"/>
    <w:rsid w:val="00E324AC"/>
    <w:rsid w:val="00E327C5"/>
    <w:rsid w:val="00E33D62"/>
    <w:rsid w:val="00E33E5A"/>
    <w:rsid w:val="00E34151"/>
    <w:rsid w:val="00E3423C"/>
    <w:rsid w:val="00E34D73"/>
    <w:rsid w:val="00E350FB"/>
    <w:rsid w:val="00E35178"/>
    <w:rsid w:val="00E35606"/>
    <w:rsid w:val="00E35C95"/>
    <w:rsid w:val="00E36179"/>
    <w:rsid w:val="00E36A98"/>
    <w:rsid w:val="00E373A5"/>
    <w:rsid w:val="00E374B4"/>
    <w:rsid w:val="00E37E8C"/>
    <w:rsid w:val="00E37F4A"/>
    <w:rsid w:val="00E41394"/>
    <w:rsid w:val="00E41446"/>
    <w:rsid w:val="00E415B0"/>
    <w:rsid w:val="00E416E8"/>
    <w:rsid w:val="00E4180E"/>
    <w:rsid w:val="00E418C5"/>
    <w:rsid w:val="00E41967"/>
    <w:rsid w:val="00E419E3"/>
    <w:rsid w:val="00E427CF"/>
    <w:rsid w:val="00E42947"/>
    <w:rsid w:val="00E42B2F"/>
    <w:rsid w:val="00E43388"/>
    <w:rsid w:val="00E43434"/>
    <w:rsid w:val="00E43542"/>
    <w:rsid w:val="00E438E8"/>
    <w:rsid w:val="00E43C29"/>
    <w:rsid w:val="00E43CE4"/>
    <w:rsid w:val="00E43D91"/>
    <w:rsid w:val="00E44C11"/>
    <w:rsid w:val="00E45240"/>
    <w:rsid w:val="00E454CB"/>
    <w:rsid w:val="00E45823"/>
    <w:rsid w:val="00E4619E"/>
    <w:rsid w:val="00E4677D"/>
    <w:rsid w:val="00E469D9"/>
    <w:rsid w:val="00E46A48"/>
    <w:rsid w:val="00E46C8A"/>
    <w:rsid w:val="00E46D27"/>
    <w:rsid w:val="00E47136"/>
    <w:rsid w:val="00E47982"/>
    <w:rsid w:val="00E50EB2"/>
    <w:rsid w:val="00E51588"/>
    <w:rsid w:val="00E5220D"/>
    <w:rsid w:val="00E52231"/>
    <w:rsid w:val="00E526AA"/>
    <w:rsid w:val="00E529AF"/>
    <w:rsid w:val="00E54351"/>
    <w:rsid w:val="00E54638"/>
    <w:rsid w:val="00E54728"/>
    <w:rsid w:val="00E54864"/>
    <w:rsid w:val="00E54AE4"/>
    <w:rsid w:val="00E54D70"/>
    <w:rsid w:val="00E5531B"/>
    <w:rsid w:val="00E5563F"/>
    <w:rsid w:val="00E55B20"/>
    <w:rsid w:val="00E55E36"/>
    <w:rsid w:val="00E564CC"/>
    <w:rsid w:val="00E56A55"/>
    <w:rsid w:val="00E56BDD"/>
    <w:rsid w:val="00E57008"/>
    <w:rsid w:val="00E571C7"/>
    <w:rsid w:val="00E60143"/>
    <w:rsid w:val="00E603AA"/>
    <w:rsid w:val="00E60677"/>
    <w:rsid w:val="00E606C0"/>
    <w:rsid w:val="00E60BA7"/>
    <w:rsid w:val="00E60FC9"/>
    <w:rsid w:val="00E6118A"/>
    <w:rsid w:val="00E61288"/>
    <w:rsid w:val="00E612D9"/>
    <w:rsid w:val="00E61670"/>
    <w:rsid w:val="00E625CF"/>
    <w:rsid w:val="00E6287A"/>
    <w:rsid w:val="00E62970"/>
    <w:rsid w:val="00E62A33"/>
    <w:rsid w:val="00E63050"/>
    <w:rsid w:val="00E63362"/>
    <w:rsid w:val="00E633FA"/>
    <w:rsid w:val="00E63A61"/>
    <w:rsid w:val="00E63E98"/>
    <w:rsid w:val="00E640E8"/>
    <w:rsid w:val="00E645B1"/>
    <w:rsid w:val="00E6486B"/>
    <w:rsid w:val="00E648B5"/>
    <w:rsid w:val="00E648FD"/>
    <w:rsid w:val="00E64917"/>
    <w:rsid w:val="00E64F31"/>
    <w:rsid w:val="00E652E3"/>
    <w:rsid w:val="00E655DD"/>
    <w:rsid w:val="00E6598D"/>
    <w:rsid w:val="00E65E96"/>
    <w:rsid w:val="00E65EB8"/>
    <w:rsid w:val="00E66220"/>
    <w:rsid w:val="00E66413"/>
    <w:rsid w:val="00E67005"/>
    <w:rsid w:val="00E6736E"/>
    <w:rsid w:val="00E67629"/>
    <w:rsid w:val="00E70219"/>
    <w:rsid w:val="00E7038E"/>
    <w:rsid w:val="00E7097A"/>
    <w:rsid w:val="00E709F1"/>
    <w:rsid w:val="00E70DCA"/>
    <w:rsid w:val="00E713DC"/>
    <w:rsid w:val="00E71AF3"/>
    <w:rsid w:val="00E71CB2"/>
    <w:rsid w:val="00E725E9"/>
    <w:rsid w:val="00E7296F"/>
    <w:rsid w:val="00E7303B"/>
    <w:rsid w:val="00E73507"/>
    <w:rsid w:val="00E74E73"/>
    <w:rsid w:val="00E75546"/>
    <w:rsid w:val="00E75CC1"/>
    <w:rsid w:val="00E76665"/>
    <w:rsid w:val="00E76711"/>
    <w:rsid w:val="00E76772"/>
    <w:rsid w:val="00E767E8"/>
    <w:rsid w:val="00E7716E"/>
    <w:rsid w:val="00E77286"/>
    <w:rsid w:val="00E77A9A"/>
    <w:rsid w:val="00E77C21"/>
    <w:rsid w:val="00E77EB6"/>
    <w:rsid w:val="00E804A8"/>
    <w:rsid w:val="00E80BD8"/>
    <w:rsid w:val="00E80E4B"/>
    <w:rsid w:val="00E810A2"/>
    <w:rsid w:val="00E81632"/>
    <w:rsid w:val="00E81FA2"/>
    <w:rsid w:val="00E82917"/>
    <w:rsid w:val="00E82BE6"/>
    <w:rsid w:val="00E82CF1"/>
    <w:rsid w:val="00E8307B"/>
    <w:rsid w:val="00E83136"/>
    <w:rsid w:val="00E83485"/>
    <w:rsid w:val="00E83789"/>
    <w:rsid w:val="00E837DD"/>
    <w:rsid w:val="00E84390"/>
    <w:rsid w:val="00E845D1"/>
    <w:rsid w:val="00E84BCF"/>
    <w:rsid w:val="00E85771"/>
    <w:rsid w:val="00E85C91"/>
    <w:rsid w:val="00E85ED2"/>
    <w:rsid w:val="00E867FF"/>
    <w:rsid w:val="00E86A21"/>
    <w:rsid w:val="00E86BF2"/>
    <w:rsid w:val="00E870B9"/>
    <w:rsid w:val="00E87556"/>
    <w:rsid w:val="00E878B2"/>
    <w:rsid w:val="00E87FC4"/>
    <w:rsid w:val="00E90635"/>
    <w:rsid w:val="00E90B82"/>
    <w:rsid w:val="00E9146C"/>
    <w:rsid w:val="00E917D7"/>
    <w:rsid w:val="00E919B5"/>
    <w:rsid w:val="00E91F0A"/>
    <w:rsid w:val="00E9233C"/>
    <w:rsid w:val="00E92595"/>
    <w:rsid w:val="00E931D6"/>
    <w:rsid w:val="00E93399"/>
    <w:rsid w:val="00E93585"/>
    <w:rsid w:val="00E93812"/>
    <w:rsid w:val="00E93855"/>
    <w:rsid w:val="00E93BCE"/>
    <w:rsid w:val="00E940D3"/>
    <w:rsid w:val="00E94150"/>
    <w:rsid w:val="00E94411"/>
    <w:rsid w:val="00E9447D"/>
    <w:rsid w:val="00E9460D"/>
    <w:rsid w:val="00E94E41"/>
    <w:rsid w:val="00E94EFF"/>
    <w:rsid w:val="00E94F51"/>
    <w:rsid w:val="00E94F53"/>
    <w:rsid w:val="00E95061"/>
    <w:rsid w:val="00E95997"/>
    <w:rsid w:val="00E95C24"/>
    <w:rsid w:val="00E961A3"/>
    <w:rsid w:val="00E966ED"/>
    <w:rsid w:val="00E96796"/>
    <w:rsid w:val="00E968B7"/>
    <w:rsid w:val="00E97222"/>
    <w:rsid w:val="00E978F9"/>
    <w:rsid w:val="00EA014D"/>
    <w:rsid w:val="00EA019B"/>
    <w:rsid w:val="00EA051F"/>
    <w:rsid w:val="00EA08BF"/>
    <w:rsid w:val="00EA0CF3"/>
    <w:rsid w:val="00EA0E06"/>
    <w:rsid w:val="00EA18D2"/>
    <w:rsid w:val="00EA2306"/>
    <w:rsid w:val="00EA273D"/>
    <w:rsid w:val="00EA2773"/>
    <w:rsid w:val="00EA2879"/>
    <w:rsid w:val="00EA2EDF"/>
    <w:rsid w:val="00EA326E"/>
    <w:rsid w:val="00EA44AD"/>
    <w:rsid w:val="00EA44F9"/>
    <w:rsid w:val="00EA4C2A"/>
    <w:rsid w:val="00EA5056"/>
    <w:rsid w:val="00EA56A2"/>
    <w:rsid w:val="00EA5765"/>
    <w:rsid w:val="00EA5DEC"/>
    <w:rsid w:val="00EA5DF5"/>
    <w:rsid w:val="00EA5EFA"/>
    <w:rsid w:val="00EA6035"/>
    <w:rsid w:val="00EA6297"/>
    <w:rsid w:val="00EA648F"/>
    <w:rsid w:val="00EA668A"/>
    <w:rsid w:val="00EA67AE"/>
    <w:rsid w:val="00EA6D11"/>
    <w:rsid w:val="00EA7040"/>
    <w:rsid w:val="00EA7661"/>
    <w:rsid w:val="00EA769A"/>
    <w:rsid w:val="00EA77FF"/>
    <w:rsid w:val="00EA79D4"/>
    <w:rsid w:val="00EB0D02"/>
    <w:rsid w:val="00EB0DF6"/>
    <w:rsid w:val="00EB1094"/>
    <w:rsid w:val="00EB11B4"/>
    <w:rsid w:val="00EB1330"/>
    <w:rsid w:val="00EB1515"/>
    <w:rsid w:val="00EB19CF"/>
    <w:rsid w:val="00EB1B2A"/>
    <w:rsid w:val="00EB20E8"/>
    <w:rsid w:val="00EB2C3F"/>
    <w:rsid w:val="00EB2DBC"/>
    <w:rsid w:val="00EB3581"/>
    <w:rsid w:val="00EB3DA6"/>
    <w:rsid w:val="00EB404B"/>
    <w:rsid w:val="00EB4322"/>
    <w:rsid w:val="00EB466F"/>
    <w:rsid w:val="00EB4ABC"/>
    <w:rsid w:val="00EB4BF9"/>
    <w:rsid w:val="00EB505A"/>
    <w:rsid w:val="00EB5109"/>
    <w:rsid w:val="00EB5182"/>
    <w:rsid w:val="00EB58A6"/>
    <w:rsid w:val="00EB58AF"/>
    <w:rsid w:val="00EB5C92"/>
    <w:rsid w:val="00EB6098"/>
    <w:rsid w:val="00EB6199"/>
    <w:rsid w:val="00EB6B3F"/>
    <w:rsid w:val="00EB7AE0"/>
    <w:rsid w:val="00EB7DA4"/>
    <w:rsid w:val="00EB7FC3"/>
    <w:rsid w:val="00EC0891"/>
    <w:rsid w:val="00EC09DD"/>
    <w:rsid w:val="00EC163F"/>
    <w:rsid w:val="00EC1DA8"/>
    <w:rsid w:val="00EC1DF2"/>
    <w:rsid w:val="00EC22F0"/>
    <w:rsid w:val="00EC3963"/>
    <w:rsid w:val="00EC42EF"/>
    <w:rsid w:val="00EC462A"/>
    <w:rsid w:val="00EC4CC2"/>
    <w:rsid w:val="00EC514C"/>
    <w:rsid w:val="00EC5755"/>
    <w:rsid w:val="00EC5FA2"/>
    <w:rsid w:val="00EC6281"/>
    <w:rsid w:val="00EC63EC"/>
    <w:rsid w:val="00EC6810"/>
    <w:rsid w:val="00EC6B6D"/>
    <w:rsid w:val="00EC6B71"/>
    <w:rsid w:val="00EC731C"/>
    <w:rsid w:val="00EC73B9"/>
    <w:rsid w:val="00EC787F"/>
    <w:rsid w:val="00EC7ABD"/>
    <w:rsid w:val="00EC7B05"/>
    <w:rsid w:val="00EC7C2C"/>
    <w:rsid w:val="00ED0115"/>
    <w:rsid w:val="00ED10B6"/>
    <w:rsid w:val="00ED1386"/>
    <w:rsid w:val="00ED1702"/>
    <w:rsid w:val="00ED26FA"/>
    <w:rsid w:val="00ED270F"/>
    <w:rsid w:val="00ED2830"/>
    <w:rsid w:val="00ED2ACA"/>
    <w:rsid w:val="00ED2C2F"/>
    <w:rsid w:val="00ED312E"/>
    <w:rsid w:val="00ED3E88"/>
    <w:rsid w:val="00ED4B26"/>
    <w:rsid w:val="00ED4C31"/>
    <w:rsid w:val="00ED4D62"/>
    <w:rsid w:val="00ED5174"/>
    <w:rsid w:val="00ED58DB"/>
    <w:rsid w:val="00ED6797"/>
    <w:rsid w:val="00ED6EED"/>
    <w:rsid w:val="00ED77FD"/>
    <w:rsid w:val="00ED7C1D"/>
    <w:rsid w:val="00EE0156"/>
    <w:rsid w:val="00EE0D6A"/>
    <w:rsid w:val="00EE1537"/>
    <w:rsid w:val="00EE15C1"/>
    <w:rsid w:val="00EE1682"/>
    <w:rsid w:val="00EE19C8"/>
    <w:rsid w:val="00EE1A56"/>
    <w:rsid w:val="00EE20BB"/>
    <w:rsid w:val="00EE2A4F"/>
    <w:rsid w:val="00EE2DA8"/>
    <w:rsid w:val="00EE3119"/>
    <w:rsid w:val="00EE33D2"/>
    <w:rsid w:val="00EE33EC"/>
    <w:rsid w:val="00EE3788"/>
    <w:rsid w:val="00EE37DA"/>
    <w:rsid w:val="00EE39DF"/>
    <w:rsid w:val="00EE3AE3"/>
    <w:rsid w:val="00EE3B96"/>
    <w:rsid w:val="00EE3BE2"/>
    <w:rsid w:val="00EE3D4D"/>
    <w:rsid w:val="00EE450B"/>
    <w:rsid w:val="00EE4525"/>
    <w:rsid w:val="00EE4776"/>
    <w:rsid w:val="00EE4919"/>
    <w:rsid w:val="00EE58AD"/>
    <w:rsid w:val="00EE5CA7"/>
    <w:rsid w:val="00EE5CF4"/>
    <w:rsid w:val="00EE602F"/>
    <w:rsid w:val="00EE6125"/>
    <w:rsid w:val="00EE624D"/>
    <w:rsid w:val="00EE67F3"/>
    <w:rsid w:val="00EE7170"/>
    <w:rsid w:val="00EF07D2"/>
    <w:rsid w:val="00EF081E"/>
    <w:rsid w:val="00EF17ED"/>
    <w:rsid w:val="00EF25D5"/>
    <w:rsid w:val="00EF2919"/>
    <w:rsid w:val="00EF294C"/>
    <w:rsid w:val="00EF3865"/>
    <w:rsid w:val="00EF3D90"/>
    <w:rsid w:val="00EF4B06"/>
    <w:rsid w:val="00EF56F7"/>
    <w:rsid w:val="00EF5941"/>
    <w:rsid w:val="00EF5BCB"/>
    <w:rsid w:val="00EF688F"/>
    <w:rsid w:val="00EF68C3"/>
    <w:rsid w:val="00EF7957"/>
    <w:rsid w:val="00EF7EC0"/>
    <w:rsid w:val="00F00264"/>
    <w:rsid w:val="00F00BE7"/>
    <w:rsid w:val="00F00E0E"/>
    <w:rsid w:val="00F0104F"/>
    <w:rsid w:val="00F01877"/>
    <w:rsid w:val="00F018B8"/>
    <w:rsid w:val="00F01D28"/>
    <w:rsid w:val="00F022F8"/>
    <w:rsid w:val="00F023F4"/>
    <w:rsid w:val="00F0255A"/>
    <w:rsid w:val="00F02613"/>
    <w:rsid w:val="00F02CF2"/>
    <w:rsid w:val="00F030F1"/>
    <w:rsid w:val="00F034FA"/>
    <w:rsid w:val="00F03653"/>
    <w:rsid w:val="00F03702"/>
    <w:rsid w:val="00F04604"/>
    <w:rsid w:val="00F047A7"/>
    <w:rsid w:val="00F049EE"/>
    <w:rsid w:val="00F04BF0"/>
    <w:rsid w:val="00F0500C"/>
    <w:rsid w:val="00F05A9A"/>
    <w:rsid w:val="00F06845"/>
    <w:rsid w:val="00F0693A"/>
    <w:rsid w:val="00F06D1C"/>
    <w:rsid w:val="00F07C19"/>
    <w:rsid w:val="00F07FF9"/>
    <w:rsid w:val="00F10D88"/>
    <w:rsid w:val="00F1106C"/>
    <w:rsid w:val="00F111E8"/>
    <w:rsid w:val="00F112A2"/>
    <w:rsid w:val="00F1136C"/>
    <w:rsid w:val="00F1142D"/>
    <w:rsid w:val="00F1177B"/>
    <w:rsid w:val="00F11CFD"/>
    <w:rsid w:val="00F11D28"/>
    <w:rsid w:val="00F124A2"/>
    <w:rsid w:val="00F125AB"/>
    <w:rsid w:val="00F1279D"/>
    <w:rsid w:val="00F12C93"/>
    <w:rsid w:val="00F1309C"/>
    <w:rsid w:val="00F131EF"/>
    <w:rsid w:val="00F13E06"/>
    <w:rsid w:val="00F1472E"/>
    <w:rsid w:val="00F14735"/>
    <w:rsid w:val="00F14E37"/>
    <w:rsid w:val="00F15094"/>
    <w:rsid w:val="00F15A58"/>
    <w:rsid w:val="00F168DB"/>
    <w:rsid w:val="00F16ED1"/>
    <w:rsid w:val="00F16ED7"/>
    <w:rsid w:val="00F17070"/>
    <w:rsid w:val="00F17493"/>
    <w:rsid w:val="00F179C2"/>
    <w:rsid w:val="00F204E7"/>
    <w:rsid w:val="00F20E4F"/>
    <w:rsid w:val="00F20F2C"/>
    <w:rsid w:val="00F21362"/>
    <w:rsid w:val="00F21452"/>
    <w:rsid w:val="00F2158E"/>
    <w:rsid w:val="00F21E16"/>
    <w:rsid w:val="00F221A4"/>
    <w:rsid w:val="00F22AEB"/>
    <w:rsid w:val="00F22C78"/>
    <w:rsid w:val="00F22F26"/>
    <w:rsid w:val="00F23384"/>
    <w:rsid w:val="00F236F2"/>
    <w:rsid w:val="00F237FB"/>
    <w:rsid w:val="00F238BA"/>
    <w:rsid w:val="00F23AA1"/>
    <w:rsid w:val="00F243A1"/>
    <w:rsid w:val="00F24AF7"/>
    <w:rsid w:val="00F24F08"/>
    <w:rsid w:val="00F25332"/>
    <w:rsid w:val="00F255ED"/>
    <w:rsid w:val="00F25926"/>
    <w:rsid w:val="00F25A36"/>
    <w:rsid w:val="00F25DFE"/>
    <w:rsid w:val="00F2614D"/>
    <w:rsid w:val="00F2646E"/>
    <w:rsid w:val="00F269F9"/>
    <w:rsid w:val="00F26D3C"/>
    <w:rsid w:val="00F274D5"/>
    <w:rsid w:val="00F2789E"/>
    <w:rsid w:val="00F278EC"/>
    <w:rsid w:val="00F27B9D"/>
    <w:rsid w:val="00F30CB0"/>
    <w:rsid w:val="00F3128F"/>
    <w:rsid w:val="00F314C5"/>
    <w:rsid w:val="00F31C83"/>
    <w:rsid w:val="00F323C0"/>
    <w:rsid w:val="00F3274A"/>
    <w:rsid w:val="00F32B2A"/>
    <w:rsid w:val="00F32E7F"/>
    <w:rsid w:val="00F331B0"/>
    <w:rsid w:val="00F342DD"/>
    <w:rsid w:val="00F34572"/>
    <w:rsid w:val="00F3546B"/>
    <w:rsid w:val="00F355BD"/>
    <w:rsid w:val="00F35898"/>
    <w:rsid w:val="00F35A16"/>
    <w:rsid w:val="00F36248"/>
    <w:rsid w:val="00F362C3"/>
    <w:rsid w:val="00F37126"/>
    <w:rsid w:val="00F374DE"/>
    <w:rsid w:val="00F37954"/>
    <w:rsid w:val="00F40299"/>
    <w:rsid w:val="00F406D9"/>
    <w:rsid w:val="00F40F08"/>
    <w:rsid w:val="00F41C3F"/>
    <w:rsid w:val="00F427C9"/>
    <w:rsid w:val="00F433F2"/>
    <w:rsid w:val="00F44061"/>
    <w:rsid w:val="00F4447E"/>
    <w:rsid w:val="00F4457A"/>
    <w:rsid w:val="00F4463A"/>
    <w:rsid w:val="00F447DA"/>
    <w:rsid w:val="00F44AB5"/>
    <w:rsid w:val="00F44E6A"/>
    <w:rsid w:val="00F45141"/>
    <w:rsid w:val="00F4551C"/>
    <w:rsid w:val="00F45CD2"/>
    <w:rsid w:val="00F45EBA"/>
    <w:rsid w:val="00F45EED"/>
    <w:rsid w:val="00F46113"/>
    <w:rsid w:val="00F46464"/>
    <w:rsid w:val="00F46555"/>
    <w:rsid w:val="00F46CE6"/>
    <w:rsid w:val="00F46D9B"/>
    <w:rsid w:val="00F46DBA"/>
    <w:rsid w:val="00F47029"/>
    <w:rsid w:val="00F474FD"/>
    <w:rsid w:val="00F47A31"/>
    <w:rsid w:val="00F501E9"/>
    <w:rsid w:val="00F5051E"/>
    <w:rsid w:val="00F509DE"/>
    <w:rsid w:val="00F50C0A"/>
    <w:rsid w:val="00F50CF2"/>
    <w:rsid w:val="00F50E25"/>
    <w:rsid w:val="00F52056"/>
    <w:rsid w:val="00F525DE"/>
    <w:rsid w:val="00F53063"/>
    <w:rsid w:val="00F533BA"/>
    <w:rsid w:val="00F53BAD"/>
    <w:rsid w:val="00F540C0"/>
    <w:rsid w:val="00F54333"/>
    <w:rsid w:val="00F544D1"/>
    <w:rsid w:val="00F54878"/>
    <w:rsid w:val="00F54892"/>
    <w:rsid w:val="00F54CEB"/>
    <w:rsid w:val="00F54E88"/>
    <w:rsid w:val="00F551E3"/>
    <w:rsid w:val="00F5582A"/>
    <w:rsid w:val="00F56709"/>
    <w:rsid w:val="00F579C2"/>
    <w:rsid w:val="00F57B9F"/>
    <w:rsid w:val="00F60219"/>
    <w:rsid w:val="00F603A1"/>
    <w:rsid w:val="00F605E0"/>
    <w:rsid w:val="00F608E3"/>
    <w:rsid w:val="00F60DFA"/>
    <w:rsid w:val="00F617BE"/>
    <w:rsid w:val="00F61896"/>
    <w:rsid w:val="00F61ADE"/>
    <w:rsid w:val="00F61CF5"/>
    <w:rsid w:val="00F61EAD"/>
    <w:rsid w:val="00F61FBA"/>
    <w:rsid w:val="00F62677"/>
    <w:rsid w:val="00F62A50"/>
    <w:rsid w:val="00F62A69"/>
    <w:rsid w:val="00F62D9C"/>
    <w:rsid w:val="00F62E3B"/>
    <w:rsid w:val="00F635EA"/>
    <w:rsid w:val="00F63A1F"/>
    <w:rsid w:val="00F641AE"/>
    <w:rsid w:val="00F64ECB"/>
    <w:rsid w:val="00F65EA0"/>
    <w:rsid w:val="00F66F26"/>
    <w:rsid w:val="00F67319"/>
    <w:rsid w:val="00F673E7"/>
    <w:rsid w:val="00F67A84"/>
    <w:rsid w:val="00F70063"/>
    <w:rsid w:val="00F703E6"/>
    <w:rsid w:val="00F706EA"/>
    <w:rsid w:val="00F70A2F"/>
    <w:rsid w:val="00F711A3"/>
    <w:rsid w:val="00F711BF"/>
    <w:rsid w:val="00F715DB"/>
    <w:rsid w:val="00F72555"/>
    <w:rsid w:val="00F726F4"/>
    <w:rsid w:val="00F73912"/>
    <w:rsid w:val="00F73A86"/>
    <w:rsid w:val="00F73C72"/>
    <w:rsid w:val="00F74394"/>
    <w:rsid w:val="00F74879"/>
    <w:rsid w:val="00F74A49"/>
    <w:rsid w:val="00F751D7"/>
    <w:rsid w:val="00F7583D"/>
    <w:rsid w:val="00F76167"/>
    <w:rsid w:val="00F768BE"/>
    <w:rsid w:val="00F7708F"/>
    <w:rsid w:val="00F773CA"/>
    <w:rsid w:val="00F80062"/>
    <w:rsid w:val="00F806F8"/>
    <w:rsid w:val="00F80B5E"/>
    <w:rsid w:val="00F8120A"/>
    <w:rsid w:val="00F81764"/>
    <w:rsid w:val="00F8213D"/>
    <w:rsid w:val="00F82289"/>
    <w:rsid w:val="00F824EC"/>
    <w:rsid w:val="00F824F9"/>
    <w:rsid w:val="00F833A2"/>
    <w:rsid w:val="00F834B1"/>
    <w:rsid w:val="00F83FD2"/>
    <w:rsid w:val="00F83FF2"/>
    <w:rsid w:val="00F8425A"/>
    <w:rsid w:val="00F8471B"/>
    <w:rsid w:val="00F84BAF"/>
    <w:rsid w:val="00F84BC5"/>
    <w:rsid w:val="00F850AB"/>
    <w:rsid w:val="00F85371"/>
    <w:rsid w:val="00F85500"/>
    <w:rsid w:val="00F85ABF"/>
    <w:rsid w:val="00F85BC2"/>
    <w:rsid w:val="00F85DA6"/>
    <w:rsid w:val="00F86655"/>
    <w:rsid w:val="00F866BA"/>
    <w:rsid w:val="00F86BF6"/>
    <w:rsid w:val="00F86F78"/>
    <w:rsid w:val="00F87055"/>
    <w:rsid w:val="00F8730E"/>
    <w:rsid w:val="00F87710"/>
    <w:rsid w:val="00F87A50"/>
    <w:rsid w:val="00F87C66"/>
    <w:rsid w:val="00F87F4D"/>
    <w:rsid w:val="00F90740"/>
    <w:rsid w:val="00F909AD"/>
    <w:rsid w:val="00F90E35"/>
    <w:rsid w:val="00F9168C"/>
    <w:rsid w:val="00F9182E"/>
    <w:rsid w:val="00F91A20"/>
    <w:rsid w:val="00F91BF2"/>
    <w:rsid w:val="00F91D7A"/>
    <w:rsid w:val="00F92BDC"/>
    <w:rsid w:val="00F9314C"/>
    <w:rsid w:val="00F93497"/>
    <w:rsid w:val="00F93FB7"/>
    <w:rsid w:val="00F948E3"/>
    <w:rsid w:val="00F94A60"/>
    <w:rsid w:val="00F94DE9"/>
    <w:rsid w:val="00F951A2"/>
    <w:rsid w:val="00F9592F"/>
    <w:rsid w:val="00F95EBF"/>
    <w:rsid w:val="00F95EDA"/>
    <w:rsid w:val="00F960EA"/>
    <w:rsid w:val="00F961B7"/>
    <w:rsid w:val="00F9639F"/>
    <w:rsid w:val="00F963B1"/>
    <w:rsid w:val="00F96484"/>
    <w:rsid w:val="00F9662A"/>
    <w:rsid w:val="00F96A0A"/>
    <w:rsid w:val="00F96A39"/>
    <w:rsid w:val="00F96ECB"/>
    <w:rsid w:val="00F9710C"/>
    <w:rsid w:val="00F97357"/>
    <w:rsid w:val="00F97568"/>
    <w:rsid w:val="00F977A3"/>
    <w:rsid w:val="00FA0066"/>
    <w:rsid w:val="00FA05BC"/>
    <w:rsid w:val="00FA0BC3"/>
    <w:rsid w:val="00FA0DA9"/>
    <w:rsid w:val="00FA15DD"/>
    <w:rsid w:val="00FA15EF"/>
    <w:rsid w:val="00FA15F5"/>
    <w:rsid w:val="00FA1650"/>
    <w:rsid w:val="00FA415A"/>
    <w:rsid w:val="00FA4542"/>
    <w:rsid w:val="00FA5404"/>
    <w:rsid w:val="00FA5DCD"/>
    <w:rsid w:val="00FA5F5F"/>
    <w:rsid w:val="00FA63C0"/>
    <w:rsid w:val="00FA6435"/>
    <w:rsid w:val="00FA665D"/>
    <w:rsid w:val="00FB02CF"/>
    <w:rsid w:val="00FB048C"/>
    <w:rsid w:val="00FB0CE4"/>
    <w:rsid w:val="00FB17FC"/>
    <w:rsid w:val="00FB1A49"/>
    <w:rsid w:val="00FB21D1"/>
    <w:rsid w:val="00FB2796"/>
    <w:rsid w:val="00FB3374"/>
    <w:rsid w:val="00FB3805"/>
    <w:rsid w:val="00FB388D"/>
    <w:rsid w:val="00FB391E"/>
    <w:rsid w:val="00FB39D5"/>
    <w:rsid w:val="00FB3B09"/>
    <w:rsid w:val="00FB4A89"/>
    <w:rsid w:val="00FB4AD5"/>
    <w:rsid w:val="00FB501D"/>
    <w:rsid w:val="00FB55A7"/>
    <w:rsid w:val="00FB592A"/>
    <w:rsid w:val="00FB5D54"/>
    <w:rsid w:val="00FB5DFF"/>
    <w:rsid w:val="00FB61C7"/>
    <w:rsid w:val="00FB6EDF"/>
    <w:rsid w:val="00FB7265"/>
    <w:rsid w:val="00FB7413"/>
    <w:rsid w:val="00FB7FDE"/>
    <w:rsid w:val="00FC0084"/>
    <w:rsid w:val="00FC0658"/>
    <w:rsid w:val="00FC06E1"/>
    <w:rsid w:val="00FC0997"/>
    <w:rsid w:val="00FC0AFC"/>
    <w:rsid w:val="00FC0CD0"/>
    <w:rsid w:val="00FC0DC0"/>
    <w:rsid w:val="00FC23C7"/>
    <w:rsid w:val="00FC27F5"/>
    <w:rsid w:val="00FC2914"/>
    <w:rsid w:val="00FC2A0E"/>
    <w:rsid w:val="00FC2BAA"/>
    <w:rsid w:val="00FC2CF3"/>
    <w:rsid w:val="00FC2D13"/>
    <w:rsid w:val="00FC2D8E"/>
    <w:rsid w:val="00FC3F8F"/>
    <w:rsid w:val="00FC4400"/>
    <w:rsid w:val="00FC4662"/>
    <w:rsid w:val="00FC47BC"/>
    <w:rsid w:val="00FC55D6"/>
    <w:rsid w:val="00FC57A7"/>
    <w:rsid w:val="00FC5B69"/>
    <w:rsid w:val="00FC5C84"/>
    <w:rsid w:val="00FC5D07"/>
    <w:rsid w:val="00FC5F8B"/>
    <w:rsid w:val="00FC64AB"/>
    <w:rsid w:val="00FC6713"/>
    <w:rsid w:val="00FC6CE2"/>
    <w:rsid w:val="00FC7002"/>
    <w:rsid w:val="00FC7026"/>
    <w:rsid w:val="00FC7348"/>
    <w:rsid w:val="00FC78E3"/>
    <w:rsid w:val="00FC7DAE"/>
    <w:rsid w:val="00FD010F"/>
    <w:rsid w:val="00FD0944"/>
    <w:rsid w:val="00FD0A8C"/>
    <w:rsid w:val="00FD0ADD"/>
    <w:rsid w:val="00FD116C"/>
    <w:rsid w:val="00FD1470"/>
    <w:rsid w:val="00FD1696"/>
    <w:rsid w:val="00FD1C85"/>
    <w:rsid w:val="00FD1E65"/>
    <w:rsid w:val="00FD2BEB"/>
    <w:rsid w:val="00FD2DCD"/>
    <w:rsid w:val="00FD3BA8"/>
    <w:rsid w:val="00FD3D46"/>
    <w:rsid w:val="00FD3EA0"/>
    <w:rsid w:val="00FD3F15"/>
    <w:rsid w:val="00FD3F2A"/>
    <w:rsid w:val="00FD3F66"/>
    <w:rsid w:val="00FD4108"/>
    <w:rsid w:val="00FD5BCE"/>
    <w:rsid w:val="00FD5C10"/>
    <w:rsid w:val="00FD5D44"/>
    <w:rsid w:val="00FD6825"/>
    <w:rsid w:val="00FD6AB9"/>
    <w:rsid w:val="00FD70C8"/>
    <w:rsid w:val="00FD7261"/>
    <w:rsid w:val="00FE02BB"/>
    <w:rsid w:val="00FE0AB0"/>
    <w:rsid w:val="00FE11B6"/>
    <w:rsid w:val="00FE1216"/>
    <w:rsid w:val="00FE1A27"/>
    <w:rsid w:val="00FE237F"/>
    <w:rsid w:val="00FE322C"/>
    <w:rsid w:val="00FE3265"/>
    <w:rsid w:val="00FE3442"/>
    <w:rsid w:val="00FE37E6"/>
    <w:rsid w:val="00FE4054"/>
    <w:rsid w:val="00FE4070"/>
    <w:rsid w:val="00FE4225"/>
    <w:rsid w:val="00FE42E7"/>
    <w:rsid w:val="00FE459E"/>
    <w:rsid w:val="00FE46F3"/>
    <w:rsid w:val="00FE48A8"/>
    <w:rsid w:val="00FE4DB8"/>
    <w:rsid w:val="00FE4F34"/>
    <w:rsid w:val="00FE5230"/>
    <w:rsid w:val="00FE5B97"/>
    <w:rsid w:val="00FE699A"/>
    <w:rsid w:val="00FE6FBD"/>
    <w:rsid w:val="00FE737E"/>
    <w:rsid w:val="00FE75B2"/>
    <w:rsid w:val="00FE75FF"/>
    <w:rsid w:val="00FE76A8"/>
    <w:rsid w:val="00FF06C4"/>
    <w:rsid w:val="00FF0795"/>
    <w:rsid w:val="00FF0978"/>
    <w:rsid w:val="00FF10D0"/>
    <w:rsid w:val="00FF1117"/>
    <w:rsid w:val="00FF11EE"/>
    <w:rsid w:val="00FF1A1C"/>
    <w:rsid w:val="00FF1DB2"/>
    <w:rsid w:val="00FF1F16"/>
    <w:rsid w:val="00FF37E2"/>
    <w:rsid w:val="00FF3ED1"/>
    <w:rsid w:val="00FF4083"/>
    <w:rsid w:val="00FF4506"/>
    <w:rsid w:val="00FF4527"/>
    <w:rsid w:val="00FF46B2"/>
    <w:rsid w:val="00FF488E"/>
    <w:rsid w:val="00FF48EC"/>
    <w:rsid w:val="00FF4BE4"/>
    <w:rsid w:val="00FF4BE6"/>
    <w:rsid w:val="00FF6820"/>
    <w:rsid w:val="00FF6B34"/>
    <w:rsid w:val="00FF74B2"/>
    <w:rsid w:val="00FF7845"/>
    <w:rsid w:val="00FF7AA9"/>
    <w:rsid w:val="00FF7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D7D3"/>
  <w15:docId w15:val="{7A79BA06-0928-4838-B760-E0F0A38D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03"/>
    <w:rPr>
      <w:lang w:val="sr-Cyrl-RS"/>
    </w:rPr>
  </w:style>
  <w:style w:type="paragraph" w:styleId="Heading1">
    <w:name w:val="heading 1"/>
    <w:basedOn w:val="Normal"/>
    <w:next w:val="Normal"/>
    <w:link w:val="Heading1Char"/>
    <w:uiPriority w:val="9"/>
    <w:qFormat/>
    <w:rsid w:val="007E09F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E09F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E09F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7E09F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7E09F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E09F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E09F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E09F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E09F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F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qFormat/>
    <w:rsid w:val="007E09F5"/>
    <w:rPr>
      <w:caps/>
      <w:spacing w:val="15"/>
      <w:shd w:val="clear" w:color="auto" w:fill="DEEAF6" w:themeFill="accent1" w:themeFillTint="33"/>
    </w:rPr>
  </w:style>
  <w:style w:type="character" w:customStyle="1" w:styleId="Heading3Char">
    <w:name w:val="Heading 3 Char"/>
    <w:basedOn w:val="DefaultParagraphFont"/>
    <w:link w:val="Heading3"/>
    <w:uiPriority w:val="9"/>
    <w:qFormat/>
    <w:rsid w:val="007E09F5"/>
    <w:rPr>
      <w:caps/>
      <w:color w:val="1F4D78" w:themeColor="accent1" w:themeShade="7F"/>
      <w:spacing w:val="15"/>
    </w:rPr>
  </w:style>
  <w:style w:type="character" w:customStyle="1" w:styleId="Heading4Char">
    <w:name w:val="Heading 4 Char"/>
    <w:basedOn w:val="DefaultParagraphFont"/>
    <w:link w:val="Heading4"/>
    <w:uiPriority w:val="9"/>
    <w:rsid w:val="007E09F5"/>
    <w:rPr>
      <w:caps/>
      <w:color w:val="2E74B5" w:themeColor="accent1" w:themeShade="BF"/>
      <w:spacing w:val="10"/>
    </w:rPr>
  </w:style>
  <w:style w:type="character" w:customStyle="1" w:styleId="Heading5Char">
    <w:name w:val="Heading 5 Char"/>
    <w:basedOn w:val="DefaultParagraphFont"/>
    <w:link w:val="Heading5"/>
    <w:uiPriority w:val="9"/>
    <w:rsid w:val="007E09F5"/>
    <w:rPr>
      <w:caps/>
      <w:color w:val="2E74B5" w:themeColor="accent1" w:themeShade="BF"/>
      <w:spacing w:val="10"/>
    </w:rPr>
  </w:style>
  <w:style w:type="character" w:customStyle="1" w:styleId="Heading6Char">
    <w:name w:val="Heading 6 Char"/>
    <w:basedOn w:val="DefaultParagraphFont"/>
    <w:link w:val="Heading6"/>
    <w:uiPriority w:val="9"/>
    <w:semiHidden/>
    <w:rsid w:val="007E09F5"/>
    <w:rPr>
      <w:caps/>
      <w:color w:val="2E74B5" w:themeColor="accent1" w:themeShade="BF"/>
      <w:spacing w:val="10"/>
    </w:rPr>
  </w:style>
  <w:style w:type="character" w:customStyle="1" w:styleId="Heading7Char">
    <w:name w:val="Heading 7 Char"/>
    <w:basedOn w:val="DefaultParagraphFont"/>
    <w:link w:val="Heading7"/>
    <w:uiPriority w:val="9"/>
    <w:semiHidden/>
    <w:rsid w:val="007E09F5"/>
    <w:rPr>
      <w:caps/>
      <w:color w:val="2E74B5" w:themeColor="accent1" w:themeShade="BF"/>
      <w:spacing w:val="10"/>
    </w:rPr>
  </w:style>
  <w:style w:type="character" w:customStyle="1" w:styleId="Heading8Char">
    <w:name w:val="Heading 8 Char"/>
    <w:basedOn w:val="DefaultParagraphFont"/>
    <w:link w:val="Heading8"/>
    <w:uiPriority w:val="9"/>
    <w:semiHidden/>
    <w:rsid w:val="007E09F5"/>
    <w:rPr>
      <w:caps/>
      <w:spacing w:val="10"/>
      <w:sz w:val="18"/>
      <w:szCs w:val="18"/>
    </w:rPr>
  </w:style>
  <w:style w:type="character" w:customStyle="1" w:styleId="Heading9Char">
    <w:name w:val="Heading 9 Char"/>
    <w:basedOn w:val="DefaultParagraphFont"/>
    <w:link w:val="Heading9"/>
    <w:uiPriority w:val="9"/>
    <w:semiHidden/>
    <w:rsid w:val="007E09F5"/>
    <w:rPr>
      <w:i/>
      <w:iCs/>
      <w:caps/>
      <w:spacing w:val="10"/>
      <w:sz w:val="18"/>
      <w:szCs w:val="18"/>
    </w:rPr>
  </w:style>
  <w:style w:type="paragraph" w:styleId="FootnoteText">
    <w:name w:val="footnote text"/>
    <w:aliases w:val="single space,footnote text,fn,FOOTNOTES,Footnote Text Char Char Char Char,Footnote Text Char Char Char,ADB,Footnote Text Char Char Char Char Char,Footnote Text Char Char1,ft,Texto nota pie Car,ft Car,ft Car Car,Texto nota pie2,ft1,f,A"/>
    <w:basedOn w:val="Normal"/>
    <w:link w:val="FootnoteTextChar"/>
    <w:uiPriority w:val="99"/>
    <w:qFormat/>
    <w:rsid w:val="007D6B29"/>
    <w:pPr>
      <w:spacing w:after="0" w:line="240" w:lineRule="auto"/>
    </w:pPr>
    <w:rPr>
      <w:rFonts w:ascii="Calibri" w:eastAsia="Times New Roman" w:hAnsi="Calibri" w:cs="Times New Roman"/>
    </w:rPr>
  </w:style>
  <w:style w:type="character" w:customStyle="1" w:styleId="FootnoteTextChar">
    <w:name w:val="Footnote Text Char"/>
    <w:aliases w:val="single space Char,footnote text Char,fn Char,FOOTNOTES Char,Footnote Text Char Char Char Char Char1,Footnote Text Char Char Char Char1,ADB Char,Footnote Text Char Char Char Char Char Char,Footnote Text Char Char1 Char,ft Char,ft1 Char"/>
    <w:basedOn w:val="DefaultParagraphFont"/>
    <w:link w:val="FootnoteText"/>
    <w:uiPriority w:val="99"/>
    <w:qFormat/>
    <w:rsid w:val="007D6B29"/>
    <w:rPr>
      <w:rFonts w:ascii="Calibri" w:eastAsia="Times New Roman" w:hAnsi="Calibri" w:cs="Times New Roman"/>
      <w:sz w:val="20"/>
      <w:szCs w:val="20"/>
    </w:rPr>
  </w:style>
  <w:style w:type="character" w:styleId="FootnoteReference">
    <w:name w:val="footnote reference"/>
    <w:aliases w:val="ftref,Normal + Font:9 Point,Superscript 3 Point Times,SUPERS,EN Footnote Reference,number,Char Char,BVI fnr,Footnote symbol,Footnote reference number,note TESI,ftref Char,BVI fnr Char,BVI fnr Car Char,Char Char Car Char,16 Point Char"/>
    <w:link w:val="NumPar1"/>
    <w:uiPriority w:val="99"/>
    <w:qFormat/>
    <w:rsid w:val="007D6B29"/>
    <w:rPr>
      <w:vertAlign w:val="superscript"/>
    </w:rPr>
  </w:style>
  <w:style w:type="paragraph" w:customStyle="1" w:styleId="NumPar1">
    <w:name w:val="NumPar 1"/>
    <w:basedOn w:val="Normal"/>
    <w:next w:val="Normal"/>
    <w:link w:val="FootnoteReference"/>
    <w:uiPriority w:val="99"/>
    <w:rsid w:val="007D6B29"/>
    <w:pPr>
      <w:numPr>
        <w:numId w:val="1"/>
      </w:numPr>
      <w:spacing w:before="120" w:after="120" w:line="240" w:lineRule="auto"/>
      <w:jc w:val="both"/>
    </w:pPr>
    <w:rPr>
      <w:vertAlign w:val="superscript"/>
    </w:rPr>
  </w:style>
  <w:style w:type="character" w:styleId="Hyperlink">
    <w:name w:val="Hyperlink"/>
    <w:uiPriority w:val="99"/>
    <w:rsid w:val="007D6B29"/>
    <w:rPr>
      <w:color w:val="0000FF"/>
      <w:u w:val="single"/>
    </w:rPr>
  </w:style>
  <w:style w:type="paragraph" w:customStyle="1" w:styleId="NumPar2">
    <w:name w:val="NumPar 2"/>
    <w:basedOn w:val="Normal"/>
    <w:next w:val="Normal"/>
    <w:rsid w:val="007D6B29"/>
    <w:pPr>
      <w:numPr>
        <w:ilvl w:val="1"/>
        <w:numId w:val="1"/>
      </w:numPr>
      <w:spacing w:before="120" w:after="120" w:line="240" w:lineRule="auto"/>
      <w:jc w:val="both"/>
    </w:pPr>
    <w:rPr>
      <w:rFonts w:ascii="Tunga" w:eastAsia="Arial Unicode MS" w:hAnsi="Tunga" w:cs="Tunga"/>
      <w:snapToGrid w:val="0"/>
    </w:rPr>
  </w:style>
  <w:style w:type="paragraph" w:customStyle="1" w:styleId="NumPar3">
    <w:name w:val="NumPar 3"/>
    <w:basedOn w:val="Normal"/>
    <w:next w:val="Normal"/>
    <w:rsid w:val="007D6B29"/>
    <w:pPr>
      <w:numPr>
        <w:ilvl w:val="2"/>
        <w:numId w:val="1"/>
      </w:numPr>
      <w:spacing w:before="120" w:after="120" w:line="240" w:lineRule="auto"/>
      <w:jc w:val="both"/>
    </w:pPr>
    <w:rPr>
      <w:rFonts w:ascii="Tunga" w:eastAsia="Arial Unicode MS" w:hAnsi="Tunga" w:cs="Tunga"/>
      <w:snapToGrid w:val="0"/>
    </w:rPr>
  </w:style>
  <w:style w:type="paragraph" w:customStyle="1" w:styleId="NumPar4">
    <w:name w:val="NumPar 4"/>
    <w:basedOn w:val="Normal"/>
    <w:next w:val="Normal"/>
    <w:rsid w:val="007D6B29"/>
    <w:pPr>
      <w:numPr>
        <w:ilvl w:val="3"/>
        <w:numId w:val="1"/>
      </w:numPr>
      <w:spacing w:before="120" w:after="120" w:line="240" w:lineRule="auto"/>
      <w:jc w:val="both"/>
    </w:pPr>
    <w:rPr>
      <w:rFonts w:ascii="Tunga" w:eastAsia="Arial Unicode MS" w:hAnsi="Tunga" w:cs="Tunga"/>
      <w:snapToGrid w:val="0"/>
    </w:rPr>
  </w:style>
  <w:style w:type="character" w:customStyle="1" w:styleId="UnresolvedMention1">
    <w:name w:val="Unresolved Mention1"/>
    <w:basedOn w:val="DefaultParagraphFont"/>
    <w:uiPriority w:val="99"/>
    <w:semiHidden/>
    <w:unhideWhenUsed/>
    <w:rsid w:val="00715680"/>
    <w:rPr>
      <w:color w:val="605E5C"/>
      <w:shd w:val="clear" w:color="auto" w:fill="E1DFDD"/>
    </w:rPr>
  </w:style>
  <w:style w:type="character" w:styleId="Strong">
    <w:name w:val="Strong"/>
    <w:uiPriority w:val="22"/>
    <w:qFormat/>
    <w:rsid w:val="007E09F5"/>
    <w:rPr>
      <w:b/>
      <w:bCs/>
    </w:rPr>
  </w:style>
  <w:style w:type="paragraph" w:styleId="NormalWeb">
    <w:name w:val="Normal (Web)"/>
    <w:basedOn w:val="Normal"/>
    <w:uiPriority w:val="99"/>
    <w:unhideWhenUsed/>
    <w:qFormat/>
    <w:rsid w:val="003752C7"/>
    <w:pPr>
      <w:spacing w:before="300" w:after="30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unhideWhenUsed/>
    <w:qFormat/>
    <w:rsid w:val="00FF0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F06C4"/>
    <w:rPr>
      <w:rFonts w:ascii="Segoe UI" w:hAnsi="Segoe UI" w:cs="Segoe UI"/>
      <w:sz w:val="18"/>
      <w:szCs w:val="18"/>
    </w:rPr>
  </w:style>
  <w:style w:type="table" w:styleId="TableGrid">
    <w:name w:val="Table Grid"/>
    <w:basedOn w:val="TableNormal"/>
    <w:uiPriority w:val="39"/>
    <w:rsid w:val="0020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2076A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3-Accent51">
    <w:name w:val="Grid Table 3 - Accent 51"/>
    <w:basedOn w:val="TableNormal"/>
    <w:uiPriority w:val="48"/>
    <w:rsid w:val="002076A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11">
    <w:name w:val="Grid Table 2 - Accent 11"/>
    <w:basedOn w:val="TableNormal"/>
    <w:uiPriority w:val="47"/>
    <w:rsid w:val="002076A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2076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2076A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7E09F5"/>
    <w:rPr>
      <w:b/>
      <w:bCs/>
      <w:color w:val="2E74B5" w:themeColor="accent1" w:themeShade="BF"/>
      <w:sz w:val="16"/>
      <w:szCs w:val="16"/>
    </w:rPr>
  </w:style>
  <w:style w:type="paragraph" w:styleId="Title">
    <w:name w:val="Title"/>
    <w:basedOn w:val="Normal"/>
    <w:next w:val="Normal"/>
    <w:link w:val="TitleChar"/>
    <w:uiPriority w:val="10"/>
    <w:qFormat/>
    <w:rsid w:val="007E09F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E09F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E09F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E09F5"/>
    <w:rPr>
      <w:caps/>
      <w:color w:val="595959" w:themeColor="text1" w:themeTint="A6"/>
      <w:spacing w:val="10"/>
      <w:sz w:val="21"/>
      <w:szCs w:val="21"/>
    </w:rPr>
  </w:style>
  <w:style w:type="character" w:styleId="Emphasis">
    <w:name w:val="Emphasis"/>
    <w:uiPriority w:val="20"/>
    <w:qFormat/>
    <w:rsid w:val="007E09F5"/>
    <w:rPr>
      <w:caps/>
      <w:color w:val="1F4D78" w:themeColor="accent1" w:themeShade="7F"/>
      <w:spacing w:val="5"/>
    </w:rPr>
  </w:style>
  <w:style w:type="paragraph" w:styleId="NoSpacing">
    <w:name w:val="No Spacing"/>
    <w:link w:val="NoSpacingChar"/>
    <w:uiPriority w:val="1"/>
    <w:qFormat/>
    <w:rsid w:val="007E09F5"/>
    <w:pPr>
      <w:spacing w:after="0" w:line="240" w:lineRule="auto"/>
    </w:pPr>
  </w:style>
  <w:style w:type="paragraph" w:styleId="Quote">
    <w:name w:val="Quote"/>
    <w:basedOn w:val="Normal"/>
    <w:next w:val="Normal"/>
    <w:link w:val="QuoteChar"/>
    <w:uiPriority w:val="29"/>
    <w:qFormat/>
    <w:rsid w:val="007E09F5"/>
    <w:rPr>
      <w:i/>
      <w:iCs/>
      <w:sz w:val="24"/>
      <w:szCs w:val="24"/>
    </w:rPr>
  </w:style>
  <w:style w:type="character" w:customStyle="1" w:styleId="QuoteChar">
    <w:name w:val="Quote Char"/>
    <w:basedOn w:val="DefaultParagraphFont"/>
    <w:link w:val="Quote"/>
    <w:uiPriority w:val="29"/>
    <w:rsid w:val="007E09F5"/>
    <w:rPr>
      <w:i/>
      <w:iCs/>
      <w:sz w:val="24"/>
      <w:szCs w:val="24"/>
    </w:rPr>
  </w:style>
  <w:style w:type="paragraph" w:styleId="IntenseQuote">
    <w:name w:val="Intense Quote"/>
    <w:basedOn w:val="Normal"/>
    <w:next w:val="Normal"/>
    <w:link w:val="IntenseQuoteChar"/>
    <w:uiPriority w:val="30"/>
    <w:qFormat/>
    <w:rsid w:val="007E09F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E09F5"/>
    <w:rPr>
      <w:color w:val="5B9BD5" w:themeColor="accent1"/>
      <w:sz w:val="24"/>
      <w:szCs w:val="24"/>
    </w:rPr>
  </w:style>
  <w:style w:type="character" w:styleId="SubtleEmphasis">
    <w:name w:val="Subtle Emphasis"/>
    <w:qFormat/>
    <w:rsid w:val="007E09F5"/>
    <w:rPr>
      <w:i/>
      <w:iCs/>
      <w:color w:val="1F4D78" w:themeColor="accent1" w:themeShade="7F"/>
    </w:rPr>
  </w:style>
  <w:style w:type="character" w:styleId="IntenseEmphasis">
    <w:name w:val="Intense Emphasis"/>
    <w:uiPriority w:val="21"/>
    <w:qFormat/>
    <w:rsid w:val="007E09F5"/>
    <w:rPr>
      <w:b/>
      <w:bCs/>
      <w:caps/>
      <w:color w:val="1F4D78" w:themeColor="accent1" w:themeShade="7F"/>
      <w:spacing w:val="10"/>
    </w:rPr>
  </w:style>
  <w:style w:type="character" w:styleId="SubtleReference">
    <w:name w:val="Subtle Reference"/>
    <w:uiPriority w:val="31"/>
    <w:qFormat/>
    <w:rsid w:val="007E09F5"/>
    <w:rPr>
      <w:b/>
      <w:bCs/>
      <w:color w:val="5B9BD5" w:themeColor="accent1"/>
    </w:rPr>
  </w:style>
  <w:style w:type="character" w:styleId="IntenseReference">
    <w:name w:val="Intense Reference"/>
    <w:uiPriority w:val="32"/>
    <w:qFormat/>
    <w:rsid w:val="007E09F5"/>
    <w:rPr>
      <w:b/>
      <w:bCs/>
      <w:i/>
      <w:iCs/>
      <w:caps/>
      <w:color w:val="5B9BD5" w:themeColor="accent1"/>
    </w:rPr>
  </w:style>
  <w:style w:type="character" w:styleId="BookTitle">
    <w:name w:val="Book Title"/>
    <w:uiPriority w:val="33"/>
    <w:qFormat/>
    <w:rsid w:val="007E09F5"/>
    <w:rPr>
      <w:b/>
      <w:bCs/>
      <w:i/>
      <w:iCs/>
      <w:spacing w:val="0"/>
    </w:rPr>
  </w:style>
  <w:style w:type="paragraph" w:styleId="TOCHeading">
    <w:name w:val="TOC Heading"/>
    <w:basedOn w:val="Heading1"/>
    <w:next w:val="Normal"/>
    <w:uiPriority w:val="39"/>
    <w:unhideWhenUsed/>
    <w:qFormat/>
    <w:rsid w:val="007E09F5"/>
    <w:pPr>
      <w:outlineLvl w:val="9"/>
    </w:pPr>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5F54D0"/>
    <w:pPr>
      <w:spacing w:before="0"/>
      <w:ind w:left="720"/>
      <w:contextualSpacing/>
    </w:pPr>
    <w:rPr>
      <w:rFonts w:eastAsiaTheme="minorHAnsi"/>
      <w:sz w:val="22"/>
      <w:szCs w:val="22"/>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basedOn w:val="DefaultParagraphFont"/>
    <w:link w:val="ListParagraph"/>
    <w:uiPriority w:val="34"/>
    <w:qFormat/>
    <w:locked/>
    <w:rsid w:val="00BF4E78"/>
    <w:rPr>
      <w:rFonts w:eastAsiaTheme="minorHAnsi"/>
      <w:sz w:val="22"/>
      <w:szCs w:val="22"/>
    </w:rPr>
  </w:style>
  <w:style w:type="paragraph" w:styleId="Header">
    <w:name w:val="header"/>
    <w:basedOn w:val="Normal"/>
    <w:link w:val="HeaderChar"/>
    <w:uiPriority w:val="99"/>
    <w:unhideWhenUsed/>
    <w:rsid w:val="001676D5"/>
    <w:pPr>
      <w:tabs>
        <w:tab w:val="center" w:pos="4513"/>
        <w:tab w:val="right" w:pos="9026"/>
      </w:tabs>
      <w:spacing w:before="0" w:after="0" w:line="240" w:lineRule="auto"/>
    </w:pPr>
  </w:style>
  <w:style w:type="character" w:customStyle="1" w:styleId="HeaderChar">
    <w:name w:val="Header Char"/>
    <w:basedOn w:val="DefaultParagraphFont"/>
    <w:link w:val="Header"/>
    <w:uiPriority w:val="99"/>
    <w:qFormat/>
    <w:rsid w:val="001676D5"/>
  </w:style>
  <w:style w:type="paragraph" w:styleId="Footer">
    <w:name w:val="footer"/>
    <w:basedOn w:val="Normal"/>
    <w:link w:val="FooterChar"/>
    <w:uiPriority w:val="99"/>
    <w:unhideWhenUsed/>
    <w:rsid w:val="001676D5"/>
    <w:pPr>
      <w:tabs>
        <w:tab w:val="center" w:pos="4513"/>
        <w:tab w:val="right" w:pos="9026"/>
      </w:tabs>
      <w:spacing w:before="0" w:after="0" w:line="240" w:lineRule="auto"/>
    </w:pPr>
  </w:style>
  <w:style w:type="character" w:customStyle="1" w:styleId="FooterChar">
    <w:name w:val="Footer Char"/>
    <w:basedOn w:val="DefaultParagraphFont"/>
    <w:link w:val="Footer"/>
    <w:uiPriority w:val="99"/>
    <w:qFormat/>
    <w:rsid w:val="001676D5"/>
  </w:style>
  <w:style w:type="character" w:styleId="CommentReference">
    <w:name w:val="annotation reference"/>
    <w:basedOn w:val="DefaultParagraphFont"/>
    <w:uiPriority w:val="99"/>
    <w:semiHidden/>
    <w:unhideWhenUsed/>
    <w:qFormat/>
    <w:rsid w:val="00A86A3A"/>
    <w:rPr>
      <w:sz w:val="16"/>
      <w:szCs w:val="16"/>
    </w:rPr>
  </w:style>
  <w:style w:type="paragraph" w:styleId="CommentText">
    <w:name w:val="annotation text"/>
    <w:aliases w:val="Char2"/>
    <w:basedOn w:val="Normal"/>
    <w:link w:val="CommentTextChar"/>
    <w:uiPriority w:val="99"/>
    <w:unhideWhenUsed/>
    <w:qFormat/>
    <w:rsid w:val="00A86A3A"/>
    <w:pPr>
      <w:spacing w:line="240" w:lineRule="auto"/>
    </w:pPr>
  </w:style>
  <w:style w:type="character" w:customStyle="1" w:styleId="CommentTextChar">
    <w:name w:val="Comment Text Char"/>
    <w:aliases w:val="Char2 Char"/>
    <w:basedOn w:val="DefaultParagraphFont"/>
    <w:link w:val="CommentText"/>
    <w:uiPriority w:val="99"/>
    <w:qFormat/>
    <w:rsid w:val="00A86A3A"/>
  </w:style>
  <w:style w:type="paragraph" w:styleId="CommentSubject">
    <w:name w:val="annotation subject"/>
    <w:basedOn w:val="CommentText"/>
    <w:next w:val="CommentText"/>
    <w:link w:val="CommentSubjectChar"/>
    <w:uiPriority w:val="99"/>
    <w:semiHidden/>
    <w:unhideWhenUsed/>
    <w:rsid w:val="00A86A3A"/>
    <w:rPr>
      <w:b/>
      <w:bCs/>
    </w:rPr>
  </w:style>
  <w:style w:type="character" w:customStyle="1" w:styleId="CommentSubjectChar">
    <w:name w:val="Comment Subject Char"/>
    <w:basedOn w:val="CommentTextChar"/>
    <w:link w:val="CommentSubject"/>
    <w:uiPriority w:val="99"/>
    <w:semiHidden/>
    <w:rsid w:val="00A86A3A"/>
    <w:rPr>
      <w:b/>
      <w:bCs/>
    </w:rPr>
  </w:style>
  <w:style w:type="paragraph" w:customStyle="1" w:styleId="bold">
    <w:name w:val="bold"/>
    <w:basedOn w:val="Normal"/>
    <w:rsid w:val="00A86A3A"/>
    <w:pPr>
      <w:spacing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86A3A"/>
    <w:pPr>
      <w:spacing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qFormat/>
    <w:rsid w:val="00A86A3A"/>
    <w:pPr>
      <w:spacing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A86A3A"/>
  </w:style>
  <w:style w:type="paragraph" w:styleId="Revision">
    <w:name w:val="Revision"/>
    <w:hidden/>
    <w:uiPriority w:val="99"/>
    <w:semiHidden/>
    <w:rsid w:val="0013549C"/>
    <w:pPr>
      <w:spacing w:before="0" w:after="0" w:line="240" w:lineRule="auto"/>
    </w:pPr>
  </w:style>
  <w:style w:type="paragraph" w:customStyle="1" w:styleId="p1">
    <w:name w:val="p1"/>
    <w:basedOn w:val="Normal"/>
    <w:rsid w:val="00BF4E78"/>
    <w:pPr>
      <w:spacing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BF4E78"/>
  </w:style>
  <w:style w:type="paragraph" w:customStyle="1" w:styleId="f1">
    <w:name w:val="f1"/>
    <w:basedOn w:val="Normal"/>
    <w:next w:val="FootnoteText"/>
    <w:uiPriority w:val="99"/>
    <w:unhideWhenUsed/>
    <w:qFormat/>
    <w:rsid w:val="00721398"/>
    <w:pPr>
      <w:spacing w:before="0" w:after="0" w:line="240" w:lineRule="auto"/>
    </w:pPr>
    <w:rPr>
      <w:rFonts w:eastAsiaTheme="minorHAnsi"/>
      <w:lang w:val="en-GB"/>
    </w:rPr>
  </w:style>
  <w:style w:type="character" w:customStyle="1" w:styleId="Hyperlink1">
    <w:name w:val="Hyperlink1"/>
    <w:basedOn w:val="DefaultParagraphFont"/>
    <w:uiPriority w:val="99"/>
    <w:unhideWhenUsed/>
    <w:rsid w:val="00721398"/>
    <w:rPr>
      <w:color w:val="0000FF"/>
      <w:u w:val="single"/>
    </w:rPr>
  </w:style>
  <w:style w:type="paragraph" w:customStyle="1" w:styleId="Ref">
    <w:name w:val="Ref"/>
    <w:aliases w:val="Footnotes refs"/>
    <w:basedOn w:val="Normal"/>
    <w:uiPriority w:val="99"/>
    <w:qFormat/>
    <w:rsid w:val="00721398"/>
    <w:pPr>
      <w:spacing w:before="0" w:after="120" w:line="240" w:lineRule="exact"/>
    </w:pPr>
    <w:rPr>
      <w:vertAlign w:val="superscript"/>
      <w:lang w:val="en-GB"/>
    </w:rPr>
  </w:style>
  <w:style w:type="table" w:customStyle="1" w:styleId="GridTable5Dark-Accent11">
    <w:name w:val="Grid Table 5 Dark - Accent 11"/>
    <w:basedOn w:val="TableNormal"/>
    <w:uiPriority w:val="50"/>
    <w:rsid w:val="002259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C90243"/>
    <w:rPr>
      <w:color w:val="954F72" w:themeColor="followedHyperlink"/>
      <w:u w:val="single"/>
    </w:rPr>
  </w:style>
  <w:style w:type="paragraph" w:customStyle="1" w:styleId="LightGrid-Accent31">
    <w:name w:val="Light Grid - Accent 31"/>
    <w:basedOn w:val="Normal"/>
    <w:uiPriority w:val="99"/>
    <w:rsid w:val="00C90243"/>
    <w:pPr>
      <w:spacing w:before="0"/>
      <w:ind w:left="720"/>
      <w:jc w:val="both"/>
    </w:pPr>
    <w:rPr>
      <w:rFonts w:ascii="Calibri" w:eastAsia="MS PGothic" w:hAnsi="Calibri" w:cs="Calibri"/>
      <w:sz w:val="22"/>
      <w:szCs w:val="22"/>
      <w:lang w:val="en-GB" w:eastAsia="zh-CN"/>
    </w:rPr>
  </w:style>
  <w:style w:type="paragraph" w:customStyle="1" w:styleId="Default">
    <w:name w:val="Default"/>
    <w:qFormat/>
    <w:rsid w:val="00C90243"/>
    <w:pPr>
      <w:autoSpaceDE w:val="0"/>
      <w:autoSpaceDN w:val="0"/>
      <w:adjustRightInd w:val="0"/>
      <w:spacing w:before="0" w:after="0" w:line="240" w:lineRule="auto"/>
    </w:pPr>
    <w:rPr>
      <w:rFonts w:ascii="Calibri" w:eastAsia="Times New Roman" w:hAnsi="Calibri" w:cs="Calibri"/>
      <w:color w:val="000000"/>
      <w:sz w:val="24"/>
      <w:szCs w:val="24"/>
      <w:lang w:val="en-GB" w:eastAsia="en-GB"/>
    </w:rPr>
  </w:style>
  <w:style w:type="paragraph" w:styleId="TOC1">
    <w:name w:val="toc 1"/>
    <w:basedOn w:val="Normal"/>
    <w:next w:val="Normal"/>
    <w:autoRedefine/>
    <w:uiPriority w:val="39"/>
    <w:qFormat/>
    <w:rsid w:val="00C90243"/>
    <w:pPr>
      <w:tabs>
        <w:tab w:val="left" w:pos="440"/>
        <w:tab w:val="right" w:pos="9016"/>
      </w:tabs>
      <w:spacing w:before="0" w:after="0" w:line="240" w:lineRule="auto"/>
    </w:pPr>
    <w:rPr>
      <w:rFonts w:ascii="Times New Roman" w:eastAsia="Times New Roman" w:hAnsi="Times New Roman" w:cs="Times New Roman"/>
      <w:noProof/>
      <w:sz w:val="22"/>
      <w:szCs w:val="22"/>
      <w:lang w:eastAsia="en-GB"/>
    </w:rPr>
  </w:style>
  <w:style w:type="paragraph" w:styleId="TOC2">
    <w:name w:val="toc 2"/>
    <w:basedOn w:val="Normal"/>
    <w:next w:val="Normal"/>
    <w:autoRedefine/>
    <w:uiPriority w:val="39"/>
    <w:qFormat/>
    <w:rsid w:val="007738AE"/>
    <w:pPr>
      <w:tabs>
        <w:tab w:val="right" w:pos="9016"/>
      </w:tabs>
      <w:spacing w:before="0" w:after="0" w:line="240" w:lineRule="auto"/>
      <w:ind w:left="216"/>
    </w:pPr>
    <w:rPr>
      <w:rFonts w:ascii="Calibri" w:eastAsia="Times New Roman" w:hAnsi="Calibri" w:cs="Calibri"/>
      <w:sz w:val="22"/>
      <w:szCs w:val="22"/>
      <w:lang w:val="en-GB" w:eastAsia="en-GB"/>
    </w:rPr>
  </w:style>
  <w:style w:type="paragraph" w:customStyle="1" w:styleId="IFS2012naslov3">
    <w:name w:val="IFS 2012 naslov 3"/>
    <w:basedOn w:val="Heading3"/>
    <w:autoRedefine/>
    <w:qFormat/>
    <w:rsid w:val="00C90243"/>
    <w:pPr>
      <w:keepNext/>
      <w:keepLines/>
      <w:pBdr>
        <w:top w:val="none" w:sz="0" w:space="0" w:color="auto"/>
      </w:pBdr>
      <w:spacing w:before="0" w:after="120" w:line="240" w:lineRule="auto"/>
      <w:jc w:val="both"/>
      <w:outlineLvl w:val="9"/>
    </w:pPr>
    <w:rPr>
      <w:rFonts w:ascii="Cambria" w:eastAsia="Times New Roman" w:hAnsi="Cambria" w:cs="Times New Roman"/>
      <w:bCs/>
      <w:caps w:val="0"/>
      <w:noProof/>
      <w:color w:val="7F7F7F"/>
      <w:spacing w:val="0"/>
      <w:sz w:val="24"/>
      <w:szCs w:val="24"/>
      <w:lang w:bidi="en-US"/>
    </w:rPr>
  </w:style>
  <w:style w:type="numbering" w:customStyle="1" w:styleId="NoList1">
    <w:name w:val="No List1"/>
    <w:next w:val="NoList"/>
    <w:uiPriority w:val="99"/>
    <w:semiHidden/>
    <w:unhideWhenUsed/>
    <w:rsid w:val="00C90243"/>
  </w:style>
  <w:style w:type="table" w:customStyle="1" w:styleId="TableGrid1">
    <w:name w:val="Table Grid1"/>
    <w:basedOn w:val="TableNormal"/>
    <w:next w:val="TableGrid"/>
    <w:uiPriority w:val="59"/>
    <w:rsid w:val="00C90243"/>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ing">
    <w:name w:val="Paragraph Numbering"/>
    <w:basedOn w:val="Normal"/>
    <w:link w:val="ParagraphNumberingChar"/>
    <w:uiPriority w:val="1"/>
    <w:qFormat/>
    <w:rsid w:val="00C90243"/>
    <w:pPr>
      <w:numPr>
        <w:numId w:val="8"/>
      </w:numPr>
      <w:tabs>
        <w:tab w:val="clear" w:pos="1260"/>
        <w:tab w:val="num" w:pos="720"/>
      </w:tabs>
      <w:spacing w:before="0" w:after="240" w:line="264" w:lineRule="auto"/>
      <w:ind w:left="0"/>
    </w:pPr>
    <w:rPr>
      <w:rFonts w:ascii="Times New Roman" w:eastAsia="SimSun" w:hAnsi="Times New Roman" w:cs="Times New Roman"/>
      <w:sz w:val="24"/>
      <w:szCs w:val="24"/>
    </w:rPr>
  </w:style>
  <w:style w:type="character" w:customStyle="1" w:styleId="ParagraphNumberingChar">
    <w:name w:val="Paragraph Numbering Char"/>
    <w:link w:val="ParagraphNumbering"/>
    <w:uiPriority w:val="1"/>
    <w:rsid w:val="00C90243"/>
    <w:rPr>
      <w:rFonts w:ascii="Times New Roman" w:eastAsia="SimSun" w:hAnsi="Times New Roman" w:cs="Times New Roman"/>
      <w:sz w:val="24"/>
      <w:szCs w:val="24"/>
    </w:rPr>
  </w:style>
  <w:style w:type="paragraph" w:styleId="ListBullet">
    <w:name w:val="List Bullet"/>
    <w:aliases w:val="List Bullet Char Char, Char Char Char, Char,List Bullet Char2 Char Char,List Bullet Char1 Char Char Char,List Bullet Char Char Char Char Char,List Bullet Char Char1 Char Char,List Bullet Char2 Char1"/>
    <w:basedOn w:val="Normal"/>
    <w:link w:val="ListBulletChar"/>
    <w:uiPriority w:val="99"/>
    <w:qFormat/>
    <w:rsid w:val="00C90243"/>
    <w:pPr>
      <w:numPr>
        <w:numId w:val="9"/>
      </w:numPr>
      <w:spacing w:before="0" w:after="240" w:line="264" w:lineRule="auto"/>
    </w:pPr>
    <w:rPr>
      <w:rFonts w:ascii="Times New Roman" w:eastAsia="SimSun" w:hAnsi="Times New Roman" w:cs="Times New Roman"/>
      <w:sz w:val="24"/>
    </w:rPr>
  </w:style>
  <w:style w:type="character" w:customStyle="1" w:styleId="ListBulletChar">
    <w:name w:val="List Bullet Char"/>
    <w:aliases w:val="List Bullet Char Char Char, Char Char Char Char, Char Char,List Bullet Char2 Char Char Char,List Bullet Char1 Char Char Char Char,List Bullet Char Char Char Char Char Char,List Bullet Char Char1 Char Char Char"/>
    <w:link w:val="ListBullet"/>
    <w:uiPriority w:val="99"/>
    <w:rsid w:val="00C90243"/>
    <w:rPr>
      <w:rFonts w:ascii="Times New Roman" w:eastAsia="SimSun" w:hAnsi="Times New Roman" w:cs="Times New Roman"/>
      <w:sz w:val="24"/>
    </w:rPr>
  </w:style>
  <w:style w:type="character" w:styleId="PageNumber">
    <w:name w:val="page number"/>
    <w:uiPriority w:val="99"/>
    <w:qFormat/>
    <w:rsid w:val="00C90243"/>
  </w:style>
  <w:style w:type="paragraph" w:styleId="TOC3">
    <w:name w:val="toc 3"/>
    <w:basedOn w:val="Normal"/>
    <w:next w:val="Normal"/>
    <w:autoRedefine/>
    <w:uiPriority w:val="39"/>
    <w:unhideWhenUsed/>
    <w:qFormat/>
    <w:rsid w:val="00C90243"/>
    <w:pPr>
      <w:spacing w:before="0" w:after="100" w:line="259" w:lineRule="auto"/>
      <w:ind w:left="440"/>
    </w:pPr>
    <w:rPr>
      <w:rFonts w:ascii="Calibri" w:eastAsia="Calibri" w:hAnsi="Calibri" w:cs="Times New Roman"/>
      <w:sz w:val="22"/>
      <w:szCs w:val="22"/>
    </w:rPr>
  </w:style>
  <w:style w:type="paragraph" w:customStyle="1" w:styleId="TOC41">
    <w:name w:val="TOC 41"/>
    <w:basedOn w:val="Normal"/>
    <w:next w:val="Normal"/>
    <w:autoRedefine/>
    <w:uiPriority w:val="39"/>
    <w:unhideWhenUsed/>
    <w:rsid w:val="00C90243"/>
    <w:pPr>
      <w:spacing w:before="0" w:after="100" w:line="259" w:lineRule="auto"/>
      <w:ind w:left="660"/>
    </w:pPr>
    <w:rPr>
      <w:rFonts w:ascii="Calibri" w:eastAsia="Times New Roman" w:hAnsi="Calibri" w:cs="Times New Roman"/>
      <w:sz w:val="22"/>
      <w:szCs w:val="22"/>
    </w:rPr>
  </w:style>
  <w:style w:type="paragraph" w:customStyle="1" w:styleId="TOC51">
    <w:name w:val="TOC 51"/>
    <w:basedOn w:val="Normal"/>
    <w:next w:val="Normal"/>
    <w:autoRedefine/>
    <w:uiPriority w:val="39"/>
    <w:unhideWhenUsed/>
    <w:rsid w:val="00C90243"/>
    <w:pPr>
      <w:spacing w:before="0" w:after="100" w:line="259" w:lineRule="auto"/>
      <w:ind w:left="880"/>
    </w:pPr>
    <w:rPr>
      <w:rFonts w:ascii="Calibri" w:eastAsia="Times New Roman" w:hAnsi="Calibri" w:cs="Times New Roman"/>
      <w:sz w:val="22"/>
      <w:szCs w:val="22"/>
    </w:rPr>
  </w:style>
  <w:style w:type="paragraph" w:customStyle="1" w:styleId="TOC61">
    <w:name w:val="TOC 61"/>
    <w:basedOn w:val="Normal"/>
    <w:next w:val="Normal"/>
    <w:autoRedefine/>
    <w:uiPriority w:val="39"/>
    <w:unhideWhenUsed/>
    <w:rsid w:val="00C90243"/>
    <w:pPr>
      <w:spacing w:before="0" w:after="100" w:line="259" w:lineRule="auto"/>
      <w:ind w:left="1100"/>
    </w:pPr>
    <w:rPr>
      <w:rFonts w:ascii="Calibri" w:eastAsia="Times New Roman" w:hAnsi="Calibri" w:cs="Times New Roman"/>
      <w:sz w:val="22"/>
      <w:szCs w:val="22"/>
    </w:rPr>
  </w:style>
  <w:style w:type="paragraph" w:customStyle="1" w:styleId="TOC71">
    <w:name w:val="TOC 71"/>
    <w:basedOn w:val="Normal"/>
    <w:next w:val="Normal"/>
    <w:autoRedefine/>
    <w:uiPriority w:val="39"/>
    <w:unhideWhenUsed/>
    <w:rsid w:val="00C90243"/>
    <w:pPr>
      <w:spacing w:before="0" w:after="100" w:line="259" w:lineRule="auto"/>
      <w:ind w:left="1320"/>
    </w:pPr>
    <w:rPr>
      <w:rFonts w:ascii="Calibri" w:eastAsia="Times New Roman" w:hAnsi="Calibri" w:cs="Times New Roman"/>
      <w:sz w:val="22"/>
      <w:szCs w:val="22"/>
    </w:rPr>
  </w:style>
  <w:style w:type="paragraph" w:customStyle="1" w:styleId="TOC81">
    <w:name w:val="TOC 81"/>
    <w:basedOn w:val="Normal"/>
    <w:next w:val="Normal"/>
    <w:autoRedefine/>
    <w:uiPriority w:val="39"/>
    <w:unhideWhenUsed/>
    <w:rsid w:val="00C90243"/>
    <w:pPr>
      <w:spacing w:before="0" w:after="100" w:line="259" w:lineRule="auto"/>
      <w:ind w:left="1540"/>
    </w:pPr>
    <w:rPr>
      <w:rFonts w:ascii="Calibri" w:eastAsia="Times New Roman" w:hAnsi="Calibri" w:cs="Times New Roman"/>
      <w:sz w:val="22"/>
      <w:szCs w:val="22"/>
    </w:rPr>
  </w:style>
  <w:style w:type="paragraph" w:customStyle="1" w:styleId="TOC91">
    <w:name w:val="TOC 91"/>
    <w:basedOn w:val="Normal"/>
    <w:next w:val="Normal"/>
    <w:autoRedefine/>
    <w:uiPriority w:val="39"/>
    <w:unhideWhenUsed/>
    <w:rsid w:val="00C90243"/>
    <w:pPr>
      <w:spacing w:before="0" w:after="100" w:line="259" w:lineRule="auto"/>
      <w:ind w:left="1760"/>
    </w:pPr>
    <w:rPr>
      <w:rFonts w:ascii="Calibri" w:eastAsia="Times New Roman" w:hAnsi="Calibri" w:cs="Times New Roman"/>
      <w:sz w:val="22"/>
      <w:szCs w:val="22"/>
    </w:rPr>
  </w:style>
  <w:style w:type="paragraph" w:styleId="TOC5">
    <w:name w:val="toc 5"/>
    <w:basedOn w:val="Normal"/>
    <w:next w:val="Normal"/>
    <w:autoRedefine/>
    <w:uiPriority w:val="39"/>
    <w:rsid w:val="00C90243"/>
    <w:pPr>
      <w:spacing w:before="0" w:after="100"/>
      <w:ind w:left="880"/>
    </w:pPr>
    <w:rPr>
      <w:rFonts w:ascii="Calibri" w:eastAsia="Times New Roman" w:hAnsi="Calibri" w:cs="Calibri"/>
      <w:sz w:val="22"/>
      <w:szCs w:val="22"/>
      <w:lang w:val="en-GB" w:eastAsia="en-GB"/>
    </w:rPr>
  </w:style>
  <w:style w:type="character" w:customStyle="1" w:styleId="apple-converted-space">
    <w:name w:val="apple-converted-space"/>
    <w:basedOn w:val="DefaultParagraphFont"/>
    <w:rsid w:val="00C90243"/>
  </w:style>
  <w:style w:type="numbering" w:customStyle="1" w:styleId="NoList2">
    <w:name w:val="No List2"/>
    <w:next w:val="NoList"/>
    <w:uiPriority w:val="99"/>
    <w:semiHidden/>
    <w:unhideWhenUsed/>
    <w:rsid w:val="00C90243"/>
  </w:style>
  <w:style w:type="numbering" w:customStyle="1" w:styleId="NoList3">
    <w:name w:val="No List3"/>
    <w:next w:val="NoList"/>
    <w:uiPriority w:val="99"/>
    <w:semiHidden/>
    <w:unhideWhenUsed/>
    <w:rsid w:val="00C90243"/>
  </w:style>
  <w:style w:type="numbering" w:customStyle="1" w:styleId="NoList4">
    <w:name w:val="No List4"/>
    <w:next w:val="NoList"/>
    <w:uiPriority w:val="99"/>
    <w:semiHidden/>
    <w:unhideWhenUsed/>
    <w:rsid w:val="00C90243"/>
  </w:style>
  <w:style w:type="numbering" w:customStyle="1" w:styleId="NoList11">
    <w:name w:val="No List11"/>
    <w:next w:val="NoList"/>
    <w:uiPriority w:val="99"/>
    <w:semiHidden/>
    <w:unhideWhenUsed/>
    <w:rsid w:val="00C90243"/>
  </w:style>
  <w:style w:type="table" w:customStyle="1" w:styleId="TableGrid2">
    <w:name w:val="Table Grid2"/>
    <w:basedOn w:val="TableNormal"/>
    <w:next w:val="TableGrid"/>
    <w:uiPriority w:val="59"/>
    <w:rsid w:val="00C90243"/>
    <w:pPr>
      <w:spacing w:before="0" w:after="0" w:line="240" w:lineRule="auto"/>
    </w:pPr>
    <w:rPr>
      <w:rFonts w:ascii="Calibri" w:eastAsia="Times New Roman"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0243"/>
  </w:style>
  <w:style w:type="table" w:customStyle="1" w:styleId="TableGrid11">
    <w:name w:val="Table Grid11"/>
    <w:basedOn w:val="TableNormal"/>
    <w:next w:val="TableGrid"/>
    <w:uiPriority w:val="39"/>
    <w:rsid w:val="00C90243"/>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90243"/>
  </w:style>
  <w:style w:type="paragraph" w:customStyle="1" w:styleId="xl65">
    <w:name w:val="xl65"/>
    <w:basedOn w:val="Normal"/>
    <w:rsid w:val="00C90243"/>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6">
    <w:name w:val="xl66"/>
    <w:basedOn w:val="Normal"/>
    <w:rsid w:val="00C90243"/>
    <w:pPr>
      <w:pBdr>
        <w:top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C90243"/>
    <w:pPr>
      <w:spacing w:beforeAutospacing="1" w:after="100" w:afterAutospacing="1" w:line="240" w:lineRule="auto"/>
    </w:pPr>
    <w:rPr>
      <w:rFonts w:ascii="Cambria" w:eastAsia="Times New Roman" w:hAnsi="Cambria" w:cs="Times New Roman"/>
      <w:lang w:val="en-GB" w:eastAsia="en-GB"/>
    </w:rPr>
  </w:style>
  <w:style w:type="paragraph" w:customStyle="1" w:styleId="xl68">
    <w:name w:val="xl68"/>
    <w:basedOn w:val="Normal"/>
    <w:rsid w:val="00C90243"/>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69">
    <w:name w:val="xl69"/>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70">
    <w:name w:val="xl70"/>
    <w:basedOn w:val="Normal"/>
    <w:rsid w:val="00C90243"/>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1">
    <w:name w:val="xl71"/>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2">
    <w:name w:val="xl72"/>
    <w:basedOn w:val="Normal"/>
    <w:rsid w:val="00C90243"/>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3">
    <w:name w:val="xl73"/>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4">
    <w:name w:val="xl74"/>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75">
    <w:name w:val="xl75"/>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76">
    <w:name w:val="xl76"/>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77">
    <w:name w:val="xl77"/>
    <w:basedOn w:val="Normal"/>
    <w:rsid w:val="00C90243"/>
    <w:pPr>
      <w:pBdr>
        <w:top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79">
    <w:name w:val="xl79"/>
    <w:basedOn w:val="Normal"/>
    <w:rsid w:val="00C90243"/>
    <w:pP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0">
    <w:name w:val="xl80"/>
    <w:basedOn w:val="Normal"/>
    <w:rsid w:val="00C90243"/>
    <w:pPr>
      <w:pBdr>
        <w:top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1">
    <w:name w:val="xl81"/>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2">
    <w:name w:val="xl82"/>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83">
    <w:name w:val="xl83"/>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4">
    <w:name w:val="xl84"/>
    <w:basedOn w:val="Normal"/>
    <w:rsid w:val="00C90243"/>
    <w:pPr>
      <w:pBdr>
        <w:top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6">
    <w:name w:val="xl86"/>
    <w:basedOn w:val="Normal"/>
    <w:rsid w:val="00C90243"/>
    <w:pPr>
      <w:pBdr>
        <w:top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7">
    <w:name w:val="xl87"/>
    <w:basedOn w:val="Normal"/>
    <w:rsid w:val="00C90243"/>
    <w:pPr>
      <w:pBdr>
        <w:top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8">
    <w:name w:val="xl88"/>
    <w:basedOn w:val="Normal"/>
    <w:rsid w:val="00C90243"/>
    <w:pPr>
      <w:pBdr>
        <w:top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9">
    <w:name w:val="xl89"/>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0">
    <w:name w:val="xl90"/>
    <w:basedOn w:val="Normal"/>
    <w:rsid w:val="00C90243"/>
    <w:pPr>
      <w:pBdr>
        <w:top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Normal"/>
    <w:rsid w:val="00C90243"/>
    <w:pPr>
      <w:pBdr>
        <w:top w:val="single" w:sz="4" w:space="0" w:color="auto"/>
        <w:left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2">
    <w:name w:val="xl92"/>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3">
    <w:name w:val="xl93"/>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4">
    <w:name w:val="xl94"/>
    <w:basedOn w:val="Normal"/>
    <w:rsid w:val="00C90243"/>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5">
    <w:name w:val="xl95"/>
    <w:basedOn w:val="Normal"/>
    <w:rsid w:val="00C90243"/>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96">
    <w:name w:val="xl96"/>
    <w:basedOn w:val="Normal"/>
    <w:rsid w:val="00C90243"/>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7">
    <w:name w:val="xl97"/>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8">
    <w:name w:val="xl98"/>
    <w:basedOn w:val="Normal"/>
    <w:rsid w:val="00C90243"/>
    <w:pPr>
      <w:pBdr>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9">
    <w:name w:val="xl99"/>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100">
    <w:name w:val="xl100"/>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101">
    <w:name w:val="xl101"/>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2">
    <w:name w:val="xl102"/>
    <w:basedOn w:val="Normal"/>
    <w:rsid w:val="00C90243"/>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3">
    <w:name w:val="xl103"/>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4">
    <w:name w:val="xl104"/>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5">
    <w:name w:val="xl105"/>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106">
    <w:name w:val="xl106"/>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107">
    <w:name w:val="xl107"/>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8">
    <w:name w:val="xl108"/>
    <w:basedOn w:val="Normal"/>
    <w:rsid w:val="00C90243"/>
    <w:pPr>
      <w:pBdr>
        <w:top w:val="single" w:sz="4" w:space="0" w:color="auto"/>
        <w:left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9">
    <w:name w:val="xl109"/>
    <w:basedOn w:val="Normal"/>
    <w:rsid w:val="00C90243"/>
    <w:pPr>
      <w:pBdr>
        <w:bottom w:val="single" w:sz="4" w:space="0" w:color="auto"/>
      </w:pBdr>
      <w:spacing w:beforeAutospacing="1" w:after="100" w:afterAutospacing="1" w:line="240" w:lineRule="auto"/>
      <w:jc w:val="center"/>
      <w:textAlignment w:val="center"/>
    </w:pPr>
    <w:rPr>
      <w:rFonts w:ascii="Cambria" w:eastAsia="Times New Roman" w:hAnsi="Cambria" w:cs="Times New Roman"/>
      <w:b/>
      <w:bCs/>
      <w:sz w:val="28"/>
      <w:szCs w:val="28"/>
      <w:lang w:val="en-GB" w:eastAsia="en-GB"/>
    </w:rPr>
  </w:style>
  <w:style w:type="paragraph" w:customStyle="1" w:styleId="xl110">
    <w:name w:val="xl110"/>
    <w:basedOn w:val="Normal"/>
    <w:rsid w:val="00C90243"/>
    <w:pPr>
      <w:pBdr>
        <w:bottom w:val="single" w:sz="4" w:space="0" w:color="auto"/>
      </w:pBdr>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11">
    <w:name w:val="xl111"/>
    <w:basedOn w:val="Normal"/>
    <w:rsid w:val="00C90243"/>
    <w:pPr>
      <w:pBdr>
        <w:top w:val="single" w:sz="4" w:space="0" w:color="auto"/>
        <w:left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paragraph" w:customStyle="1" w:styleId="xl112">
    <w:name w:val="xl112"/>
    <w:basedOn w:val="Normal"/>
    <w:rsid w:val="00C90243"/>
    <w:pPr>
      <w:pBdr>
        <w:left w:val="single" w:sz="4" w:space="0" w:color="auto"/>
        <w:bottom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table" w:styleId="MediumGrid1-Accent4">
    <w:name w:val="Medium Grid 1 Accent 4"/>
    <w:basedOn w:val="TableNormal"/>
    <w:uiPriority w:val="67"/>
    <w:rsid w:val="00C90243"/>
    <w:pPr>
      <w:spacing w:before="0" w:after="0" w:line="240" w:lineRule="auto"/>
    </w:pPr>
    <w:rPr>
      <w:rFonts w:ascii="Calibri" w:eastAsia="Calibri" w:hAnsi="Calibri" w:cs="Times New Roman"/>
      <w:sz w:val="22"/>
      <w:szCs w:val="22"/>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41">
    <w:name w:val="Medium Grid 1 - Accent 41"/>
    <w:basedOn w:val="TableNormal"/>
    <w:next w:val="MediumGrid1-Accent4"/>
    <w:uiPriority w:val="67"/>
    <w:rsid w:val="00C90243"/>
    <w:pPr>
      <w:spacing w:before="0" w:after="0" w:line="240" w:lineRule="auto"/>
    </w:pPr>
    <w:rPr>
      <w:rFonts w:ascii="Calibri" w:eastAsia="Calibri" w:hAnsi="Calibri" w:cs="Times New Roman"/>
      <w:sz w:val="22"/>
      <w:szCs w:val="22"/>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semiHidden/>
    <w:unhideWhenUsed/>
    <w:rsid w:val="00C90243"/>
    <w:pPr>
      <w:spacing w:before="0"/>
    </w:pPr>
    <w:rPr>
      <w:rFonts w:ascii="Calibri" w:eastAsia="Times New Roman" w:hAnsi="Calibri" w:cs="Calibri"/>
      <w:lang w:val="en-GB" w:eastAsia="en-GB"/>
    </w:rPr>
  </w:style>
  <w:style w:type="character" w:customStyle="1" w:styleId="EndnoteTextChar">
    <w:name w:val="Endnote Text Char"/>
    <w:basedOn w:val="DefaultParagraphFont"/>
    <w:link w:val="EndnoteText"/>
    <w:uiPriority w:val="99"/>
    <w:semiHidden/>
    <w:rsid w:val="00C90243"/>
    <w:rPr>
      <w:rFonts w:ascii="Calibri" w:eastAsia="Times New Roman" w:hAnsi="Calibri" w:cs="Calibri"/>
      <w:lang w:val="en-GB" w:eastAsia="en-GB"/>
    </w:rPr>
  </w:style>
  <w:style w:type="character" w:styleId="EndnoteReference">
    <w:name w:val="endnote reference"/>
    <w:uiPriority w:val="99"/>
    <w:semiHidden/>
    <w:unhideWhenUsed/>
    <w:rsid w:val="00C90243"/>
    <w:rPr>
      <w:vertAlign w:val="superscript"/>
    </w:rPr>
  </w:style>
  <w:style w:type="character" w:styleId="LineNumber">
    <w:name w:val="line number"/>
    <w:uiPriority w:val="99"/>
    <w:semiHidden/>
    <w:unhideWhenUsed/>
    <w:rsid w:val="00C90243"/>
  </w:style>
  <w:style w:type="numbering" w:customStyle="1" w:styleId="NoList5">
    <w:name w:val="No List5"/>
    <w:next w:val="NoList"/>
    <w:uiPriority w:val="99"/>
    <w:semiHidden/>
    <w:unhideWhenUsed/>
    <w:rsid w:val="00C90243"/>
  </w:style>
  <w:style w:type="numbering" w:customStyle="1" w:styleId="NoList12">
    <w:name w:val="No List12"/>
    <w:next w:val="NoList"/>
    <w:uiPriority w:val="99"/>
    <w:semiHidden/>
    <w:unhideWhenUsed/>
    <w:rsid w:val="00C90243"/>
  </w:style>
  <w:style w:type="numbering" w:customStyle="1" w:styleId="NoList112">
    <w:name w:val="No List112"/>
    <w:next w:val="NoList"/>
    <w:uiPriority w:val="99"/>
    <w:semiHidden/>
    <w:unhideWhenUsed/>
    <w:rsid w:val="00C90243"/>
  </w:style>
  <w:style w:type="numbering" w:customStyle="1" w:styleId="NoList1111">
    <w:name w:val="No List1111"/>
    <w:next w:val="NoList"/>
    <w:uiPriority w:val="99"/>
    <w:semiHidden/>
    <w:unhideWhenUsed/>
    <w:rsid w:val="00C90243"/>
  </w:style>
  <w:style w:type="numbering" w:customStyle="1" w:styleId="NoList22">
    <w:name w:val="No List22"/>
    <w:next w:val="NoList"/>
    <w:uiPriority w:val="99"/>
    <w:semiHidden/>
    <w:unhideWhenUsed/>
    <w:rsid w:val="00C90243"/>
  </w:style>
  <w:style w:type="character" w:customStyle="1" w:styleId="NoSpacingChar">
    <w:name w:val="No Spacing Char"/>
    <w:basedOn w:val="DefaultParagraphFont"/>
    <w:link w:val="NoSpacing"/>
    <w:uiPriority w:val="1"/>
    <w:rsid w:val="007001D9"/>
  </w:style>
  <w:style w:type="character" w:customStyle="1" w:styleId="acopre1">
    <w:name w:val="acopre1"/>
    <w:basedOn w:val="DefaultParagraphFont"/>
    <w:rsid w:val="00152E82"/>
  </w:style>
  <w:style w:type="paragraph" w:styleId="BodyText">
    <w:name w:val="Body Text"/>
    <w:basedOn w:val="Normal"/>
    <w:link w:val="BodyTextChar"/>
    <w:uiPriority w:val="1"/>
    <w:qFormat/>
    <w:rsid w:val="00A971BC"/>
    <w:pPr>
      <w:spacing w:before="0" w:after="0" w:line="240" w:lineRule="auto"/>
      <w:jc w:val="both"/>
    </w:pPr>
    <w:rPr>
      <w:rFonts w:ascii="YU C Times" w:eastAsia="Times New Roman" w:hAnsi="YU C Times" w:cs="Times New Roman"/>
      <w:sz w:val="24"/>
    </w:rPr>
  </w:style>
  <w:style w:type="character" w:customStyle="1" w:styleId="BodyTextChar">
    <w:name w:val="Body Text Char"/>
    <w:basedOn w:val="DefaultParagraphFont"/>
    <w:link w:val="BodyText"/>
    <w:uiPriority w:val="1"/>
    <w:qFormat/>
    <w:rsid w:val="00A971BC"/>
    <w:rPr>
      <w:rFonts w:ascii="YU C Times" w:eastAsia="Times New Roman" w:hAnsi="YU C Times" w:cs="Times New Roman"/>
      <w:sz w:val="24"/>
    </w:rPr>
  </w:style>
  <w:style w:type="character" w:customStyle="1" w:styleId="st1">
    <w:name w:val="st1"/>
    <w:rsid w:val="00A971BC"/>
  </w:style>
  <w:style w:type="paragraph" w:styleId="HTMLPreformatted">
    <w:name w:val="HTML Preformatted"/>
    <w:basedOn w:val="Normal"/>
    <w:link w:val="HTMLPreformattedChar"/>
    <w:uiPriority w:val="99"/>
    <w:unhideWhenUsed/>
    <w:rsid w:val="00BC5C5F"/>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BC5C5F"/>
    <w:rPr>
      <w:rFonts w:ascii="Consolas" w:hAnsi="Consolas"/>
    </w:rPr>
  </w:style>
  <w:style w:type="character" w:customStyle="1" w:styleId="expand">
    <w:name w:val="expand"/>
    <w:basedOn w:val="DefaultParagraphFont"/>
    <w:rsid w:val="003B1E1D"/>
  </w:style>
  <w:style w:type="paragraph" w:customStyle="1" w:styleId="msonormal0">
    <w:name w:val="msonormal"/>
    <w:basedOn w:val="Normal"/>
    <w:rsid w:val="00AE3C4E"/>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AE3C4E"/>
    <w:pPr>
      <w:spacing w:beforeAutospacing="1" w:after="100" w:afterAutospacing="1" w:line="240" w:lineRule="auto"/>
    </w:pPr>
    <w:rPr>
      <w:rFonts w:ascii="Times New Roman" w:eastAsia="Times New Roman" w:hAnsi="Times New Roman" w:cs="Times New Roman"/>
      <w:color w:val="FF0000"/>
      <w:lang w:val="en-GB" w:eastAsia="en-GB"/>
    </w:rPr>
  </w:style>
  <w:style w:type="paragraph" w:customStyle="1" w:styleId="font6">
    <w:name w:val="font6"/>
    <w:basedOn w:val="Normal"/>
    <w:rsid w:val="00AE3C4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13">
    <w:name w:val="xl113"/>
    <w:basedOn w:val="Normal"/>
    <w:rsid w:val="00AE3C4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000000"/>
      <w:sz w:val="16"/>
      <w:szCs w:val="16"/>
      <w:lang w:val="en-GB" w:eastAsia="en-GB"/>
    </w:rPr>
  </w:style>
  <w:style w:type="paragraph" w:customStyle="1" w:styleId="xl114">
    <w:name w:val="xl114"/>
    <w:basedOn w:val="Normal"/>
    <w:rsid w:val="00AE3C4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15">
    <w:name w:val="xl115"/>
    <w:basedOn w:val="Normal"/>
    <w:rsid w:val="00AE3C4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color w:val="000000"/>
      <w:sz w:val="24"/>
      <w:szCs w:val="24"/>
      <w:lang w:val="en-GB" w:eastAsia="en-GB"/>
    </w:rPr>
  </w:style>
  <w:style w:type="paragraph" w:customStyle="1" w:styleId="xl116">
    <w:name w:val="xl116"/>
    <w:basedOn w:val="Normal"/>
    <w:rsid w:val="00AE3C4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lang w:val="en-GB" w:eastAsia="en-GB"/>
    </w:rPr>
  </w:style>
  <w:style w:type="paragraph" w:customStyle="1" w:styleId="xl117">
    <w:name w:val="xl117"/>
    <w:basedOn w:val="Normal"/>
    <w:rsid w:val="00AE3C4E"/>
    <w:pPr>
      <w:pBdr>
        <w:top w:val="single" w:sz="4" w:space="0" w:color="9FC8E9"/>
        <w:left w:val="single" w:sz="4" w:space="0" w:color="9FC8E9"/>
        <w:bottom w:val="single" w:sz="4" w:space="0" w:color="9FC8E9"/>
        <w:right w:val="single" w:sz="4" w:space="0" w:color="9FC8E9"/>
      </w:pBdr>
      <w:shd w:val="clear" w:color="000000" w:fill="DDEBF7"/>
      <w:spacing w:beforeAutospacing="1" w:after="100" w:afterAutospacing="1" w:line="240" w:lineRule="auto"/>
      <w:textAlignment w:val="center"/>
    </w:pPr>
    <w:rPr>
      <w:rFonts w:ascii="Times New Roman" w:eastAsia="Times New Roman" w:hAnsi="Times New Roman" w:cs="Times New Roman"/>
      <w:lang w:val="en-GB" w:eastAsia="en-GB"/>
    </w:rPr>
  </w:style>
  <w:style w:type="paragraph" w:customStyle="1" w:styleId="xl118">
    <w:name w:val="xl118"/>
    <w:basedOn w:val="Normal"/>
    <w:rsid w:val="00AE3C4E"/>
    <w:pPr>
      <w:pBdr>
        <w:left w:val="single" w:sz="4" w:space="0" w:color="auto"/>
        <w:bottom w:val="single" w:sz="4" w:space="0" w:color="auto"/>
        <w:right w:val="single" w:sz="4" w:space="0" w:color="auto"/>
      </w:pBdr>
      <w:shd w:val="clear" w:color="98CBEF" w:fill="9FC8E9"/>
      <w:spacing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19">
    <w:name w:val="xl119"/>
    <w:basedOn w:val="Normal"/>
    <w:rsid w:val="00AE3C4E"/>
    <w:pPr>
      <w:pBdr>
        <w:top w:val="dashed" w:sz="4" w:space="0" w:color="auto"/>
        <w:left w:val="dashed" w:sz="4" w:space="0" w:color="auto"/>
        <w:bottom w:val="single" w:sz="8" w:space="0" w:color="auto"/>
        <w:right w:val="dashed"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0">
    <w:name w:val="xl120"/>
    <w:basedOn w:val="Normal"/>
    <w:rsid w:val="00AE3C4E"/>
    <w:pPr>
      <w:pBdr>
        <w:top w:val="dashed" w:sz="4" w:space="0" w:color="auto"/>
        <w:left w:val="dashed" w:sz="4" w:space="0" w:color="auto"/>
        <w:bottom w:val="single" w:sz="8" w:space="0" w:color="auto"/>
        <w:right w:val="single"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1">
    <w:name w:val="xl121"/>
    <w:basedOn w:val="Normal"/>
    <w:rsid w:val="00AE3C4E"/>
    <w:pPr>
      <w:pBdr>
        <w:top w:val="single" w:sz="4" w:space="0" w:color="auto"/>
        <w:left w:val="single" w:sz="4" w:space="0" w:color="auto"/>
        <w:bottom w:val="single" w:sz="4" w:space="0" w:color="auto"/>
        <w:right w:val="single" w:sz="4" w:space="0" w:color="auto"/>
      </w:pBdr>
      <w:shd w:val="clear" w:color="95DBB8" w:fill="FFFFFF"/>
      <w:spacing w:beforeAutospacing="1" w:after="100" w:afterAutospacing="1" w:line="240" w:lineRule="auto"/>
      <w:textAlignment w:val="top"/>
    </w:pPr>
    <w:rPr>
      <w:rFonts w:ascii="Arial" w:eastAsia="Times New Roman" w:hAnsi="Arial" w:cs="Arial"/>
      <w:b/>
      <w:bCs/>
      <w:color w:val="60A3DA"/>
      <w:sz w:val="18"/>
      <w:szCs w:val="18"/>
      <w:lang w:val="en-GB" w:eastAsia="en-GB"/>
    </w:rPr>
  </w:style>
  <w:style w:type="paragraph" w:customStyle="1" w:styleId="xl122">
    <w:name w:val="xl122"/>
    <w:basedOn w:val="Normal"/>
    <w:rsid w:val="00AE3C4E"/>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font7">
    <w:name w:val="font7"/>
    <w:basedOn w:val="Normal"/>
    <w:rsid w:val="00AE3C4E"/>
    <w:pPr>
      <w:spacing w:beforeAutospacing="1" w:after="100" w:afterAutospacing="1" w:line="240" w:lineRule="auto"/>
    </w:pPr>
    <w:rPr>
      <w:rFonts w:ascii="Arial" w:eastAsia="Times New Roman" w:hAnsi="Arial" w:cs="Arial"/>
      <w:color w:val="FF0000"/>
      <w:sz w:val="16"/>
      <w:szCs w:val="16"/>
      <w:lang w:val="en-GB" w:eastAsia="en-GB"/>
    </w:rPr>
  </w:style>
  <w:style w:type="paragraph" w:customStyle="1" w:styleId="font8">
    <w:name w:val="font8"/>
    <w:basedOn w:val="Normal"/>
    <w:rsid w:val="00AE3C4E"/>
    <w:pPr>
      <w:spacing w:beforeAutospacing="1" w:after="100" w:afterAutospacing="1" w:line="240" w:lineRule="auto"/>
    </w:pPr>
    <w:rPr>
      <w:rFonts w:ascii="Arial" w:eastAsia="Times New Roman" w:hAnsi="Arial" w:cs="Arial"/>
      <w:b/>
      <w:bCs/>
      <w:sz w:val="16"/>
      <w:szCs w:val="16"/>
      <w:lang w:val="en-GB" w:eastAsia="en-GB"/>
    </w:rPr>
  </w:style>
  <w:style w:type="paragraph" w:customStyle="1" w:styleId="font9">
    <w:name w:val="font9"/>
    <w:basedOn w:val="Normal"/>
    <w:rsid w:val="00AE3C4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23">
    <w:name w:val="xl123"/>
    <w:basedOn w:val="Normal"/>
    <w:rsid w:val="00AE3C4E"/>
    <w:pPr>
      <w:pBdr>
        <w:top w:val="single" w:sz="4" w:space="0" w:color="BFBFBF"/>
        <w:left w:val="single" w:sz="4" w:space="0" w:color="BFBFBF"/>
        <w:bottom w:val="single" w:sz="4" w:space="0" w:color="BFBFBF"/>
        <w:right w:val="single" w:sz="4" w:space="0" w:color="BFBFBF"/>
      </w:pBdr>
      <w:shd w:val="clear" w:color="000000" w:fill="FFFFFF"/>
      <w:spacing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4">
    <w:name w:val="xl124"/>
    <w:basedOn w:val="Normal"/>
    <w:rsid w:val="00AE3C4E"/>
    <w:pPr>
      <w:pBdr>
        <w:top w:val="single" w:sz="4" w:space="0" w:color="BFBFBF"/>
        <w:left w:val="single" w:sz="4" w:space="0" w:color="BFBFBF"/>
        <w:bottom w:val="single" w:sz="4" w:space="0" w:color="BFBFBF"/>
        <w:right w:val="single" w:sz="4" w:space="0" w:color="BFBFBF"/>
      </w:pBdr>
      <w:shd w:val="clear" w:color="FFFFCC" w:fill="FFFFFF"/>
      <w:spacing w:beforeAutospacing="1" w:after="100" w:afterAutospacing="1" w:line="240" w:lineRule="auto"/>
      <w:jc w:val="center"/>
      <w:textAlignment w:val="center"/>
    </w:pPr>
    <w:rPr>
      <w:rFonts w:ascii="Arial" w:eastAsia="Times New Roman" w:hAnsi="Arial" w:cs="Arial"/>
      <w:b/>
      <w:bCs/>
      <w:color w:val="000000"/>
      <w:sz w:val="16"/>
      <w:szCs w:val="16"/>
      <w:lang w:val="en-GB" w:eastAsia="en-GB"/>
    </w:rPr>
  </w:style>
  <w:style w:type="character" w:customStyle="1" w:styleId="SidebarChar">
    <w:name w:val="Sidebar Char"/>
    <w:link w:val="Sidebar"/>
    <w:uiPriority w:val="8"/>
    <w:locked/>
    <w:rsid w:val="00AE3C4E"/>
    <w:rPr>
      <w:i/>
      <w:color w:val="365F91"/>
      <w:sz w:val="24"/>
    </w:rPr>
  </w:style>
  <w:style w:type="paragraph" w:customStyle="1" w:styleId="Sidebar">
    <w:name w:val="Sidebar"/>
    <w:basedOn w:val="Normal"/>
    <w:link w:val="SidebarChar"/>
    <w:uiPriority w:val="8"/>
    <w:qFormat/>
    <w:rsid w:val="00AE3C4E"/>
    <w:pPr>
      <w:suppressAutoHyphens/>
      <w:autoSpaceDN w:val="0"/>
      <w:spacing w:before="240" w:after="240" w:line="288" w:lineRule="auto"/>
      <w:ind w:firstLine="357"/>
      <w:jc w:val="both"/>
      <w:textAlignment w:val="baseline"/>
    </w:pPr>
    <w:rPr>
      <w:i/>
      <w:color w:val="365F91"/>
      <w:sz w:val="24"/>
    </w:rPr>
  </w:style>
  <w:style w:type="paragraph" w:customStyle="1" w:styleId="Normal1">
    <w:name w:val="Normal1"/>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de-DE" w:eastAsia="de-DE" w:bidi="hi-IN"/>
    </w:rPr>
  </w:style>
  <w:style w:type="character" w:customStyle="1" w:styleId="fontstyle01">
    <w:name w:val="fontstyle01"/>
    <w:rsid w:val="00AE3C4E"/>
    <w:rPr>
      <w:rFonts w:ascii="Roboto-Regular" w:hAnsi="Roboto-Regular" w:hint="default"/>
      <w:b w:val="0"/>
      <w:bCs w:val="0"/>
      <w:i w:val="0"/>
      <w:iCs w:val="0"/>
      <w:color w:val="1A171C"/>
      <w:sz w:val="16"/>
      <w:szCs w:val="16"/>
    </w:rPr>
  </w:style>
  <w:style w:type="table" w:customStyle="1" w:styleId="PlainTable31">
    <w:name w:val="Plain Table 3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uto-style1">
    <w:name w:val="auto-style1"/>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en-GB" w:eastAsia="en-GB" w:bidi="hi-IN"/>
    </w:rPr>
  </w:style>
  <w:style w:type="paragraph" w:customStyle="1" w:styleId="odluka-zakon">
    <w:name w:val="odluka-zakon"/>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eastAsia="zh-CN" w:bidi="hi-IN"/>
    </w:rPr>
  </w:style>
  <w:style w:type="paragraph" w:customStyle="1" w:styleId="kmnaslov1">
    <w:name w:val="kmnaslov1"/>
    <w:basedOn w:val="Normal"/>
    <w:uiPriority w:val="99"/>
    <w:rsid w:val="00AE3C4E"/>
    <w:pPr>
      <w:suppressAutoHyphens/>
      <w:autoSpaceDN w:val="0"/>
      <w:spacing w:beforeAutospacing="1" w:after="100" w:afterAutospacing="1" w:line="240" w:lineRule="auto"/>
      <w:ind w:firstLine="357"/>
      <w:jc w:val="both"/>
      <w:textAlignment w:val="baseline"/>
    </w:pPr>
    <w:rPr>
      <w:rFonts w:ascii="Calibri" w:eastAsia="Times New Roman" w:hAnsi="Calibri" w:cs="Calibri"/>
      <w:kern w:val="3"/>
      <w:sz w:val="24"/>
      <w:szCs w:val="24"/>
      <w:lang w:eastAsia="zh-CN" w:bidi="hi-IN"/>
    </w:rPr>
  </w:style>
  <w:style w:type="character" w:customStyle="1" w:styleId="UnresolvedMention11">
    <w:name w:val="Unresolved Mention11"/>
    <w:uiPriority w:val="99"/>
    <w:semiHidden/>
    <w:unhideWhenUsed/>
    <w:rsid w:val="00AE3C4E"/>
    <w:rPr>
      <w:color w:val="605E5C"/>
      <w:shd w:val="clear" w:color="auto" w:fill="E1DFDD"/>
    </w:rPr>
  </w:style>
  <w:style w:type="character" w:customStyle="1" w:styleId="UnresolvedMention2">
    <w:name w:val="Unresolved Mention2"/>
    <w:uiPriority w:val="99"/>
    <w:semiHidden/>
    <w:unhideWhenUsed/>
    <w:rsid w:val="00AE3C4E"/>
    <w:rPr>
      <w:color w:val="605E5C"/>
      <w:shd w:val="clear" w:color="auto" w:fill="E1DFDD"/>
    </w:rPr>
  </w:style>
  <w:style w:type="paragraph" w:styleId="TableofFigures">
    <w:name w:val="table of figures"/>
    <w:basedOn w:val="Normal"/>
    <w:next w:val="Normal"/>
    <w:uiPriority w:val="99"/>
    <w:unhideWhenUsed/>
    <w:rsid w:val="00AE3C4E"/>
    <w:pPr>
      <w:suppressAutoHyphens/>
      <w:autoSpaceDN w:val="0"/>
      <w:spacing w:before="120" w:after="0" w:line="240" w:lineRule="auto"/>
      <w:ind w:firstLine="357"/>
      <w:jc w:val="both"/>
      <w:textAlignment w:val="baseline"/>
    </w:pPr>
    <w:rPr>
      <w:rFonts w:ascii="Times New Roman" w:eastAsia="DejaVu Sans Mono" w:hAnsi="Times New Roman" w:cs="Calibri"/>
      <w:i/>
      <w:iCs/>
      <w:kern w:val="3"/>
      <w:lang w:val="de-DE" w:eastAsia="zh-CN" w:bidi="hi-IN"/>
    </w:rPr>
  </w:style>
  <w:style w:type="paragraph" w:customStyle="1" w:styleId="CharCharCharCharCarCarCharCharCarCar">
    <w:name w:val="Char Char Char Char Car Car Char Char Car Car"/>
    <w:basedOn w:val="Normal"/>
    <w:next w:val="Normal"/>
    <w:uiPriority w:val="99"/>
    <w:rsid w:val="00AE3C4E"/>
    <w:pPr>
      <w:suppressAutoHyphens/>
      <w:autoSpaceDN w:val="0"/>
      <w:spacing w:before="120" w:after="60" w:line="240" w:lineRule="exact"/>
      <w:ind w:firstLine="357"/>
      <w:jc w:val="both"/>
      <w:textAlignment w:val="baseline"/>
    </w:pPr>
    <w:rPr>
      <w:rFonts w:ascii="Times New Roman" w:eastAsia="DejaVu Sans Mono" w:hAnsi="Times New Roman" w:cs="Times New Roman"/>
      <w:kern w:val="3"/>
      <w:sz w:val="24"/>
      <w:szCs w:val="24"/>
      <w:vertAlign w:val="superscript"/>
      <w:lang w:eastAsia="zh-CN" w:bidi="hi-IN"/>
    </w:rPr>
  </w:style>
  <w:style w:type="paragraph" w:customStyle="1" w:styleId="CharCharCharCharCarChar">
    <w:name w:val="Char Char Char Char Car Char"/>
    <w:aliases w:val="Char Char Char Char Car Char Char1,Char Char Char1,16 Point Char1,Superscript 6 Point Char1,ftref Char1,Char Char Char1 Char Char Char"/>
    <w:basedOn w:val="Normal"/>
    <w:next w:val="Normal"/>
    <w:uiPriority w:val="99"/>
    <w:rsid w:val="00AE3C4E"/>
    <w:pPr>
      <w:suppressAutoHyphens/>
      <w:autoSpaceDN w:val="0"/>
      <w:spacing w:before="120" w:after="0" w:line="120" w:lineRule="exact"/>
      <w:ind w:firstLine="357"/>
      <w:jc w:val="both"/>
      <w:textAlignment w:val="baseline"/>
    </w:pPr>
    <w:rPr>
      <w:rFonts w:ascii="Calibri" w:eastAsia="DejaVu Sans Mono" w:hAnsi="Calibri" w:cs="Times New Roman"/>
      <w:color w:val="000000"/>
      <w:kern w:val="3"/>
      <w:sz w:val="24"/>
      <w:szCs w:val="24"/>
      <w:vertAlign w:val="superscript"/>
      <w:lang w:eastAsia="zh-CN" w:bidi="hi-IN"/>
    </w:rPr>
  </w:style>
  <w:style w:type="character" w:customStyle="1" w:styleId="UnresolvedMention3">
    <w:name w:val="Unresolved Mention3"/>
    <w:uiPriority w:val="99"/>
    <w:semiHidden/>
    <w:unhideWhenUsed/>
    <w:rsid w:val="00AE3C4E"/>
    <w:rPr>
      <w:color w:val="605E5C"/>
      <w:shd w:val="clear" w:color="auto" w:fill="E1DFDD"/>
    </w:rPr>
  </w:style>
  <w:style w:type="character" w:customStyle="1" w:styleId="FootnoteCharacters">
    <w:name w:val="Footnote Characters"/>
    <w:uiPriority w:val="99"/>
    <w:qFormat/>
    <w:rsid w:val="00AE3C4E"/>
    <w:rPr>
      <w:vertAlign w:val="superscript"/>
    </w:rPr>
  </w:style>
  <w:style w:type="character" w:customStyle="1" w:styleId="FootnoteAnchor">
    <w:name w:val="Footnote Anchor"/>
    <w:rsid w:val="00AE3C4E"/>
    <w:rPr>
      <w:vertAlign w:val="superscript"/>
    </w:rPr>
  </w:style>
  <w:style w:type="paragraph" w:customStyle="1" w:styleId="commentcontentpara">
    <w:name w:val="commentcontentpara"/>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eastAsia="sr-Latn-RS" w:bidi="hi-IN"/>
    </w:rPr>
  </w:style>
  <w:style w:type="character" w:customStyle="1" w:styleId="xmsofootnotereference">
    <w:name w:val="x_msofootnotereference"/>
    <w:basedOn w:val="DefaultParagraphFont"/>
    <w:rsid w:val="00AE3C4E"/>
  </w:style>
  <w:style w:type="character" w:customStyle="1" w:styleId="UnresolvedMention4">
    <w:name w:val="Unresolved Mention4"/>
    <w:uiPriority w:val="99"/>
    <w:semiHidden/>
    <w:unhideWhenUsed/>
    <w:rsid w:val="00AE3C4E"/>
    <w:rPr>
      <w:color w:val="605E5C"/>
      <w:shd w:val="clear" w:color="auto" w:fill="E1DFDD"/>
    </w:rPr>
  </w:style>
  <w:style w:type="character" w:customStyle="1" w:styleId="UnresolvedMention5">
    <w:name w:val="Unresolved Mention5"/>
    <w:uiPriority w:val="99"/>
    <w:semiHidden/>
    <w:unhideWhenUsed/>
    <w:rsid w:val="00AE3C4E"/>
    <w:rPr>
      <w:color w:val="605E5C"/>
      <w:shd w:val="clear" w:color="auto" w:fill="E1DFDD"/>
    </w:rPr>
  </w:style>
  <w:style w:type="character" w:customStyle="1" w:styleId="UnresolvedMention6">
    <w:name w:val="Unresolved Mention6"/>
    <w:uiPriority w:val="99"/>
    <w:semiHidden/>
    <w:unhideWhenUsed/>
    <w:rsid w:val="00AE3C4E"/>
    <w:rPr>
      <w:color w:val="605E5C"/>
      <w:shd w:val="clear" w:color="auto" w:fill="E1DFDD"/>
    </w:rPr>
  </w:style>
  <w:style w:type="character" w:customStyle="1" w:styleId="UnresolvedMention7">
    <w:name w:val="Unresolved Mention7"/>
    <w:uiPriority w:val="99"/>
    <w:semiHidden/>
    <w:unhideWhenUsed/>
    <w:rsid w:val="00AE3C4E"/>
    <w:rPr>
      <w:color w:val="605E5C"/>
      <w:shd w:val="clear" w:color="auto" w:fill="E1DFDD"/>
    </w:rPr>
  </w:style>
  <w:style w:type="character" w:customStyle="1" w:styleId="UnresolvedMention21">
    <w:name w:val="Unresolved Mention21"/>
    <w:uiPriority w:val="99"/>
    <w:semiHidden/>
    <w:unhideWhenUsed/>
    <w:rsid w:val="00AE3C4E"/>
    <w:rPr>
      <w:color w:val="605E5C"/>
      <w:shd w:val="clear" w:color="auto" w:fill="E1DFDD"/>
    </w:rPr>
  </w:style>
  <w:style w:type="character" w:customStyle="1" w:styleId="fontstyle21">
    <w:name w:val="fontstyle21"/>
    <w:rsid w:val="00AE3C4E"/>
    <w:rPr>
      <w:rFonts w:ascii="Cambria" w:hAnsi="Cambria" w:hint="default"/>
      <w:b w:val="0"/>
      <w:bCs w:val="0"/>
      <w:i w:val="0"/>
      <w:iCs w:val="0"/>
      <w:color w:val="000000"/>
      <w:sz w:val="22"/>
      <w:szCs w:val="22"/>
    </w:rPr>
  </w:style>
  <w:style w:type="character" w:customStyle="1" w:styleId="gmail-msoins">
    <w:name w:val="gmail-msoins"/>
    <w:basedOn w:val="DefaultParagraphFont"/>
    <w:rsid w:val="00AE3C4E"/>
  </w:style>
  <w:style w:type="paragraph" w:customStyle="1" w:styleId="Footnote">
    <w:name w:val="Footnote"/>
    <w:basedOn w:val="Normal"/>
    <w:rsid w:val="00AE3C4E"/>
    <w:pPr>
      <w:suppressAutoHyphens/>
      <w:autoSpaceDN w:val="0"/>
      <w:spacing w:before="120" w:after="0" w:line="240" w:lineRule="auto"/>
      <w:ind w:firstLine="357"/>
      <w:jc w:val="both"/>
      <w:textAlignment w:val="baseline"/>
    </w:pPr>
    <w:rPr>
      <w:rFonts w:ascii="Times New Roman" w:eastAsia="Times New Roman" w:hAnsi="Times New Roman" w:cs="Lohit Devanagari"/>
      <w:kern w:val="3"/>
      <w:lang w:val="sl-SI" w:eastAsia="zh-CN" w:bidi="hi-IN"/>
    </w:rPr>
  </w:style>
  <w:style w:type="character" w:customStyle="1" w:styleId="pronadjen">
    <w:name w:val="pronadjen"/>
    <w:basedOn w:val="DefaultParagraphFont"/>
    <w:qFormat/>
    <w:rsid w:val="00AE3C4E"/>
  </w:style>
  <w:style w:type="character" w:customStyle="1" w:styleId="BodyTextChar1">
    <w:name w:val="Body Text Char1"/>
    <w:uiPriority w:val="1"/>
    <w:semiHidden/>
    <w:rsid w:val="00AE3C4E"/>
    <w:rPr>
      <w:lang w:val="sr-Cyrl-RS"/>
    </w:rPr>
  </w:style>
  <w:style w:type="table" w:customStyle="1" w:styleId="ListTable1Light-Accent11">
    <w:name w:val="List Table 1 Light - Accent 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AE3C4E"/>
    <w:pPr>
      <w:suppressAutoHyphens/>
      <w:autoSpaceDN w:val="0"/>
      <w:spacing w:before="120" w:after="0" w:line="240" w:lineRule="auto"/>
      <w:ind w:firstLine="357"/>
      <w:jc w:val="both"/>
      <w:textAlignment w:val="baseline"/>
    </w:pPr>
    <w:rPr>
      <w:rFonts w:ascii="Liberation Mono" w:eastAsia="DejaVu Sans Mono" w:hAnsi="Liberation Mono" w:cs="Liberation Mono"/>
      <w:kern w:val="2"/>
      <w:lang w:eastAsia="zh-CN" w:bidi="hi-IN"/>
    </w:rPr>
  </w:style>
  <w:style w:type="paragraph" w:customStyle="1" w:styleId="Bullet1">
    <w:name w:val="Bullet 1"/>
    <w:basedOn w:val="ListBullet"/>
    <w:qFormat/>
    <w:rsid w:val="00AE3C4E"/>
    <w:pPr>
      <w:numPr>
        <w:numId w:val="0"/>
      </w:numPr>
      <w:suppressAutoHyphens/>
      <w:autoSpaceDN w:val="0"/>
      <w:spacing w:before="20" w:after="20" w:line="240" w:lineRule="exact"/>
      <w:ind w:left="142" w:hanging="142"/>
      <w:textAlignment w:val="baseline"/>
    </w:pPr>
    <w:rPr>
      <w:rFonts w:ascii="DejaVu Sans" w:eastAsia="DejaVu Sans Mono" w:hAnsi="DejaVu Sans" w:cs="DejaVu Sans"/>
      <w:kern w:val="3"/>
      <w:sz w:val="18"/>
      <w:szCs w:val="18"/>
      <w:lang w:eastAsia="zh-CN" w:bidi="hi-IN"/>
    </w:rPr>
  </w:style>
  <w:style w:type="character" w:customStyle="1" w:styleId="hps">
    <w:name w:val="hps"/>
    <w:uiPriority w:val="99"/>
    <w:rsid w:val="00AE3C4E"/>
    <w:rPr>
      <w:rFonts w:cs="Times New Roman"/>
    </w:rPr>
  </w:style>
  <w:style w:type="character" w:customStyle="1" w:styleId="InternetLink">
    <w:name w:val="Internet Link"/>
    <w:uiPriority w:val="99"/>
    <w:unhideWhenUsed/>
    <w:rsid w:val="00AE3C4E"/>
    <w:rPr>
      <w:color w:val="0000FF"/>
      <w:u w:val="single"/>
    </w:rPr>
  </w:style>
  <w:style w:type="character" w:customStyle="1" w:styleId="ListLabel10">
    <w:name w:val="ListLabel 10"/>
    <w:qFormat/>
    <w:rsid w:val="00AE3C4E"/>
    <w:rPr>
      <w:rFonts w:cs="Courier New"/>
    </w:rPr>
  </w:style>
  <w:style w:type="character" w:customStyle="1" w:styleId="EndnoteAnchor">
    <w:name w:val="Endnote Anchor"/>
    <w:rsid w:val="00AE3C4E"/>
    <w:rPr>
      <w:vertAlign w:val="superscript"/>
    </w:rPr>
  </w:style>
  <w:style w:type="character" w:customStyle="1" w:styleId="EndnoteCharacters">
    <w:name w:val="Endnote Characters"/>
    <w:qFormat/>
    <w:rsid w:val="00AE3C4E"/>
  </w:style>
  <w:style w:type="paragraph" w:customStyle="1" w:styleId="Heading">
    <w:name w:val="Heading"/>
    <w:basedOn w:val="Normal"/>
    <w:next w:val="BodyText"/>
    <w:qFormat/>
    <w:rsid w:val="00AE3C4E"/>
    <w:pPr>
      <w:keepNext/>
      <w:suppressAutoHyphens/>
      <w:autoSpaceDN w:val="0"/>
      <w:spacing w:before="240" w:after="120" w:line="240" w:lineRule="auto"/>
      <w:ind w:firstLine="357"/>
      <w:jc w:val="both"/>
      <w:textAlignment w:val="baseline"/>
    </w:pPr>
    <w:rPr>
      <w:rFonts w:ascii="Liberation Sans" w:eastAsia="Noto Sans CJK SC" w:hAnsi="Liberation Sans" w:cs="Lohit Devanagari"/>
      <w:kern w:val="3"/>
      <w:sz w:val="28"/>
      <w:szCs w:val="28"/>
      <w:lang w:val="de-DE" w:eastAsia="zh-CN" w:bidi="hi-IN"/>
    </w:rPr>
  </w:style>
  <w:style w:type="paragraph" w:styleId="List">
    <w:name w:val="List"/>
    <w:basedOn w:val="BodyText"/>
    <w:rsid w:val="00AE3C4E"/>
    <w:pPr>
      <w:widowControl w:val="0"/>
      <w:suppressAutoHyphens/>
      <w:autoSpaceDN w:val="0"/>
      <w:spacing w:before="120"/>
      <w:ind w:firstLine="357"/>
      <w:textAlignment w:val="baseline"/>
    </w:pPr>
    <w:rPr>
      <w:rFonts w:ascii="Calibri" w:eastAsia="Calibri" w:hAnsi="Calibri" w:cs="Lohit Devanagari"/>
      <w:sz w:val="22"/>
      <w:szCs w:val="22"/>
      <w:lang w:val="en-GB" w:eastAsia="en-GB" w:bidi="en-GB"/>
    </w:rPr>
  </w:style>
  <w:style w:type="paragraph" w:customStyle="1" w:styleId="Index">
    <w:name w:val="Index"/>
    <w:basedOn w:val="Normal"/>
    <w:qFormat/>
    <w:rsid w:val="00AE3C4E"/>
    <w:pPr>
      <w:suppressLineNumbers/>
      <w:suppressAutoHyphens/>
      <w:autoSpaceDN w:val="0"/>
      <w:spacing w:before="120" w:after="120" w:line="240" w:lineRule="auto"/>
      <w:ind w:firstLine="357"/>
      <w:jc w:val="both"/>
      <w:textAlignment w:val="baseline"/>
    </w:pPr>
    <w:rPr>
      <w:rFonts w:ascii="Times New Roman" w:eastAsia="DejaVu Sans Mono" w:hAnsi="Times New Roman" w:cs="Lohit Devanagari"/>
      <w:kern w:val="3"/>
      <w:sz w:val="24"/>
      <w:szCs w:val="24"/>
      <w:lang w:val="de-DE" w:eastAsia="zh-CN" w:bidi="hi-IN"/>
    </w:rPr>
  </w:style>
  <w:style w:type="character" w:customStyle="1" w:styleId="FooterChar1">
    <w:name w:val="Footer Char1"/>
    <w:uiPriority w:val="99"/>
    <w:semiHidden/>
    <w:rsid w:val="00AE3C4E"/>
    <w:rPr>
      <w:lang w:val="de-DE"/>
    </w:rPr>
  </w:style>
  <w:style w:type="paragraph" w:customStyle="1" w:styleId="Standard">
    <w:name w:val="Standard"/>
    <w:qFormat/>
    <w:rsid w:val="00AE3C4E"/>
    <w:pPr>
      <w:suppressAutoHyphens/>
      <w:spacing w:before="0" w:after="0" w:line="240" w:lineRule="auto"/>
      <w:textAlignment w:val="baseline"/>
    </w:pPr>
    <w:rPr>
      <w:rFonts w:ascii="Liberation Serif" w:eastAsia="Times New Roman" w:hAnsi="Liberation Serif" w:cs="FreeSans"/>
      <w:kern w:val="2"/>
      <w:sz w:val="24"/>
      <w:szCs w:val="24"/>
      <w:lang w:eastAsia="zh-CN" w:bidi="hi-IN"/>
    </w:rPr>
  </w:style>
  <w:style w:type="paragraph" w:customStyle="1" w:styleId="FrameContents">
    <w:name w:val="Frame Contents"/>
    <w:basedOn w:val="Normal"/>
    <w:qFormat/>
    <w:rsid w:val="00AE3C4E"/>
    <w:pPr>
      <w:suppressAutoHyphens/>
      <w:autoSpaceDN w:val="0"/>
      <w:spacing w:before="120" w:after="120" w:line="240" w:lineRule="auto"/>
      <w:ind w:firstLine="357"/>
      <w:jc w:val="both"/>
      <w:textAlignment w:val="baseline"/>
    </w:pPr>
    <w:rPr>
      <w:rFonts w:ascii="Times New Roman" w:eastAsia="DejaVu Sans Mono" w:hAnsi="Times New Roman" w:cs="Times New Roman"/>
      <w:kern w:val="3"/>
      <w:sz w:val="24"/>
      <w:szCs w:val="24"/>
      <w:lang w:val="de-DE" w:eastAsia="zh-CN" w:bidi="hi-IN"/>
    </w:rPr>
  </w:style>
  <w:style w:type="paragraph" w:customStyle="1" w:styleId="Quotations">
    <w:name w:val="Quotations"/>
    <w:basedOn w:val="Normal"/>
    <w:qFormat/>
    <w:rsid w:val="00AE3C4E"/>
    <w:pPr>
      <w:suppressAutoHyphens/>
      <w:autoSpaceDN w:val="0"/>
      <w:spacing w:before="120" w:after="283" w:line="240" w:lineRule="auto"/>
      <w:ind w:left="567" w:right="567" w:firstLine="357"/>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CommentTextChar1">
    <w:name w:val="Comment Text Char1"/>
    <w:uiPriority w:val="99"/>
    <w:semiHidden/>
    <w:rsid w:val="00AE3C4E"/>
    <w:rPr>
      <w:sz w:val="20"/>
      <w:szCs w:val="20"/>
      <w:lang w:val="de-DE"/>
    </w:rPr>
  </w:style>
  <w:style w:type="paragraph" w:customStyle="1" w:styleId="Textbody">
    <w:name w:val="Text body"/>
    <w:basedOn w:val="Standard"/>
    <w:rsid w:val="00AE3C4E"/>
    <w:pPr>
      <w:autoSpaceDN w:val="0"/>
      <w:spacing w:after="140" w:line="276" w:lineRule="auto"/>
    </w:pPr>
    <w:rPr>
      <w:rFonts w:eastAsia="Noto Sans CJK SC" w:cs="Lohit Devanagari"/>
      <w:kern w:val="3"/>
    </w:rPr>
  </w:style>
  <w:style w:type="paragraph" w:customStyle="1" w:styleId="BodyText0">
    <w:name w:val="BodyText"/>
    <w:basedOn w:val="Normal"/>
    <w:qFormat/>
    <w:rsid w:val="00AE3C4E"/>
    <w:pPr>
      <w:suppressAutoHyphens/>
      <w:autoSpaceDN w:val="0"/>
      <w:spacing w:before="60" w:after="0" w:line="240" w:lineRule="exact"/>
      <w:ind w:firstLine="357"/>
      <w:jc w:val="both"/>
      <w:textAlignment w:val="baseline"/>
    </w:pPr>
    <w:rPr>
      <w:rFonts w:ascii="DejaVu Sans" w:eastAsia="DejaVu Sans Mono" w:hAnsi="DejaVu Sans" w:cs="DejaVu Sans"/>
      <w:kern w:val="3"/>
      <w:sz w:val="18"/>
      <w:szCs w:val="18"/>
      <w:lang w:eastAsia="zh-CN" w:bidi="hi-IN"/>
    </w:rPr>
  </w:style>
  <w:style w:type="character" w:customStyle="1" w:styleId="trs">
    <w:name w:val="trs"/>
    <w:basedOn w:val="DefaultParagraphFont"/>
    <w:rsid w:val="00AE3C4E"/>
  </w:style>
  <w:style w:type="table" w:customStyle="1" w:styleId="TableGrid8">
    <w:name w:val="Table Grid8"/>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1">
    <w:name w:val="List Table 2 - Accent 3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1">
    <w:name w:val="Grid Table 1 Light - Accent 31"/>
    <w:basedOn w:val="TableNormal"/>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
    <w:name w:val="Table Grid9"/>
    <w:basedOn w:val="TableNormal"/>
    <w:next w:val="TableGrid"/>
    <w:rsid w:val="00AE3C4E"/>
    <w:pPr>
      <w:spacing w:before="0" w:after="0" w:line="240" w:lineRule="auto"/>
    </w:pPr>
    <w:rPr>
      <w:rFonts w:ascii="Georgia" w:eastAsia="Calibri" w:hAnsi="Georgia"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1">
    <w:name w:val="List Table 6 Colorful - Accent 3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
    <w:name w:val="Table Grid10"/>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
    <w:name w:val="List Table 1 Light - Accent 1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
    <w:name w:val="Table Grid3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E3C4E"/>
    <w:pPr>
      <w:spacing w:before="0" w:after="100" w:line="259" w:lineRule="auto"/>
      <w:ind w:left="660"/>
    </w:pPr>
    <w:rPr>
      <w:rFonts w:ascii="Calibri" w:eastAsia="Times New Roman" w:hAnsi="Calibri" w:cs="Times New Roman"/>
      <w:sz w:val="22"/>
      <w:szCs w:val="22"/>
      <w:lang w:eastAsia="sr-Cyrl-RS"/>
    </w:rPr>
  </w:style>
  <w:style w:type="paragraph" w:styleId="TOC6">
    <w:name w:val="toc 6"/>
    <w:basedOn w:val="Normal"/>
    <w:next w:val="Normal"/>
    <w:autoRedefine/>
    <w:uiPriority w:val="39"/>
    <w:unhideWhenUsed/>
    <w:rsid w:val="00AE3C4E"/>
    <w:pPr>
      <w:spacing w:before="0" w:after="100" w:line="259" w:lineRule="auto"/>
      <w:ind w:left="1100"/>
    </w:pPr>
    <w:rPr>
      <w:rFonts w:ascii="Calibri" w:eastAsia="Times New Roman" w:hAnsi="Calibri" w:cs="Times New Roman"/>
      <w:sz w:val="22"/>
      <w:szCs w:val="22"/>
      <w:lang w:eastAsia="sr-Cyrl-RS"/>
    </w:rPr>
  </w:style>
  <w:style w:type="paragraph" w:styleId="TOC7">
    <w:name w:val="toc 7"/>
    <w:basedOn w:val="Normal"/>
    <w:next w:val="Normal"/>
    <w:autoRedefine/>
    <w:uiPriority w:val="39"/>
    <w:unhideWhenUsed/>
    <w:rsid w:val="00AE3C4E"/>
    <w:pPr>
      <w:spacing w:before="0" w:after="100" w:line="259" w:lineRule="auto"/>
      <w:ind w:left="1320"/>
    </w:pPr>
    <w:rPr>
      <w:rFonts w:ascii="Calibri" w:eastAsia="Times New Roman" w:hAnsi="Calibri" w:cs="Times New Roman"/>
      <w:sz w:val="22"/>
      <w:szCs w:val="22"/>
      <w:lang w:eastAsia="sr-Cyrl-RS"/>
    </w:rPr>
  </w:style>
  <w:style w:type="paragraph" w:styleId="TOC8">
    <w:name w:val="toc 8"/>
    <w:basedOn w:val="Normal"/>
    <w:next w:val="Normal"/>
    <w:autoRedefine/>
    <w:uiPriority w:val="39"/>
    <w:unhideWhenUsed/>
    <w:rsid w:val="00AE3C4E"/>
    <w:pPr>
      <w:spacing w:before="0" w:after="100" w:line="259" w:lineRule="auto"/>
      <w:ind w:left="1540"/>
    </w:pPr>
    <w:rPr>
      <w:rFonts w:ascii="Calibri" w:eastAsia="Times New Roman" w:hAnsi="Calibri" w:cs="Times New Roman"/>
      <w:sz w:val="22"/>
      <w:szCs w:val="22"/>
      <w:lang w:eastAsia="sr-Cyrl-RS"/>
    </w:rPr>
  </w:style>
  <w:style w:type="paragraph" w:styleId="TOC9">
    <w:name w:val="toc 9"/>
    <w:basedOn w:val="Normal"/>
    <w:next w:val="Normal"/>
    <w:autoRedefine/>
    <w:uiPriority w:val="39"/>
    <w:unhideWhenUsed/>
    <w:rsid w:val="00AE3C4E"/>
    <w:pPr>
      <w:spacing w:before="0" w:after="100" w:line="259" w:lineRule="auto"/>
      <w:ind w:left="1760"/>
    </w:pPr>
    <w:rPr>
      <w:rFonts w:ascii="Calibri" w:eastAsia="Times New Roman" w:hAnsi="Calibri" w:cs="Times New Roman"/>
      <w:sz w:val="22"/>
      <w:szCs w:val="22"/>
      <w:lang w:eastAsia="sr-Cyrl-RS"/>
    </w:rPr>
  </w:style>
  <w:style w:type="character" w:customStyle="1" w:styleId="UnresolvedMention8">
    <w:name w:val="Unresolved Mention8"/>
    <w:uiPriority w:val="99"/>
    <w:semiHidden/>
    <w:unhideWhenUsed/>
    <w:rsid w:val="00AE3C4E"/>
    <w:rPr>
      <w:color w:val="605E5C"/>
      <w:shd w:val="clear" w:color="auto" w:fill="E1DFDD"/>
    </w:rPr>
  </w:style>
  <w:style w:type="table" w:customStyle="1" w:styleId="PlainTable32">
    <w:name w:val="Plain Table 32"/>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0">
    <w:name w:val="Grid Table 1 Light - Accent 31"/>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UnresolvedMention9">
    <w:name w:val="Unresolved Mention9"/>
    <w:uiPriority w:val="99"/>
    <w:semiHidden/>
    <w:unhideWhenUsed/>
    <w:rsid w:val="00AE3C4E"/>
    <w:rPr>
      <w:color w:val="605E5C"/>
      <w:shd w:val="clear" w:color="auto" w:fill="E1DFDD"/>
    </w:rPr>
  </w:style>
  <w:style w:type="table" w:customStyle="1" w:styleId="TableGrid16">
    <w:name w:val="Table Grid16"/>
    <w:basedOn w:val="TableNormal"/>
    <w:next w:val="TableGrid"/>
    <w:uiPriority w:val="39"/>
    <w:rsid w:val="00AE3C4E"/>
    <w:pPr>
      <w:spacing w:before="0"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uiPriority w:val="99"/>
    <w:semiHidden/>
    <w:unhideWhenUsed/>
    <w:rsid w:val="00AE3C4E"/>
    <w:rPr>
      <w:color w:val="605E5C"/>
      <w:shd w:val="clear" w:color="auto" w:fill="E1DFDD"/>
    </w:rPr>
  </w:style>
  <w:style w:type="table" w:customStyle="1" w:styleId="ListTable2-Accent310">
    <w:name w:val="List Table 2 - Accent 3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0">
    <w:name w:val="Table Grid Light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2">
    <w:name w:val="Unresolved Mention12"/>
    <w:uiPriority w:val="99"/>
    <w:semiHidden/>
    <w:unhideWhenUsed/>
    <w:rsid w:val="00AE3C4E"/>
    <w:rPr>
      <w:color w:val="605E5C"/>
      <w:shd w:val="clear" w:color="auto" w:fill="E1DFDD"/>
    </w:rPr>
  </w:style>
  <w:style w:type="paragraph" w:customStyle="1" w:styleId="Style1">
    <w:name w:val="Style1"/>
    <w:basedOn w:val="Heading4"/>
    <w:link w:val="Style1Char"/>
    <w:qFormat/>
    <w:rsid w:val="00AE3C4E"/>
    <w:pPr>
      <w:keepNext/>
      <w:keepLines/>
      <w:pBdr>
        <w:top w:val="none" w:sz="0" w:space="0" w:color="auto"/>
      </w:pBdr>
      <w:suppressAutoHyphens/>
      <w:autoSpaceDN w:val="0"/>
      <w:spacing w:before="240" w:after="60" w:line="240" w:lineRule="auto"/>
      <w:jc w:val="both"/>
      <w:textAlignment w:val="baseline"/>
    </w:pPr>
    <w:rPr>
      <w:rFonts w:ascii="Times New Roman" w:eastAsia="Calibri" w:hAnsi="Times New Roman" w:cs="Times New Roman"/>
      <w:i/>
      <w:iCs/>
      <w:caps w:val="0"/>
      <w:color w:val="365F91"/>
      <w:spacing w:val="0"/>
      <w:kern w:val="3"/>
      <w:sz w:val="24"/>
      <w:szCs w:val="24"/>
      <w:lang w:val="de-DE"/>
    </w:rPr>
  </w:style>
  <w:style w:type="character" w:customStyle="1" w:styleId="UnresolvedMention13">
    <w:name w:val="Unresolved Mention13"/>
    <w:uiPriority w:val="99"/>
    <w:semiHidden/>
    <w:unhideWhenUsed/>
    <w:rsid w:val="00AE3C4E"/>
    <w:rPr>
      <w:color w:val="605E5C"/>
      <w:shd w:val="clear" w:color="auto" w:fill="E1DFDD"/>
    </w:rPr>
  </w:style>
  <w:style w:type="character" w:customStyle="1" w:styleId="Style1Char">
    <w:name w:val="Style1 Char"/>
    <w:link w:val="Style1"/>
    <w:rsid w:val="00AE3C4E"/>
    <w:rPr>
      <w:rFonts w:ascii="Times New Roman" w:eastAsia="Calibri" w:hAnsi="Times New Roman" w:cs="Times New Roman"/>
      <w:i/>
      <w:iCs/>
      <w:color w:val="365F91"/>
      <w:kern w:val="3"/>
      <w:sz w:val="24"/>
      <w:szCs w:val="24"/>
      <w:lang w:val="de-DE"/>
    </w:rPr>
  </w:style>
  <w:style w:type="character" w:customStyle="1" w:styleId="UnresolvedMention14">
    <w:name w:val="Unresolved Mention14"/>
    <w:uiPriority w:val="99"/>
    <w:semiHidden/>
    <w:unhideWhenUsed/>
    <w:rsid w:val="00AE3C4E"/>
    <w:rPr>
      <w:color w:val="605E5C"/>
      <w:shd w:val="clear" w:color="auto" w:fill="E1DFDD"/>
    </w:rPr>
  </w:style>
  <w:style w:type="table" w:customStyle="1" w:styleId="ListTable1Light-Accent31">
    <w:name w:val="List Table 1 Light - Accent 31"/>
    <w:basedOn w:val="TableNormal"/>
    <w:uiPriority w:val="46"/>
    <w:rsid w:val="00AE3C4E"/>
    <w:pPr>
      <w:spacing w:before="0" w:after="0" w:line="240" w:lineRule="auto"/>
    </w:pPr>
    <w:rPr>
      <w:rFonts w:ascii="Calibri" w:eastAsia="Calibri" w:hAnsi="Calibri" w:cs="Times New Roman"/>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7">
    <w:name w:val="Table Grid17"/>
    <w:basedOn w:val="TableNormal"/>
    <w:next w:val="TableGrid"/>
    <w:uiPriority w:val="39"/>
    <w:rsid w:val="00AE3C4E"/>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
    <w:name w:val="List Table 2 - Accent 31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
    <w:name w:val="Table Grid Light1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0">
    <w:name w:val="List Table 6 Colorful - Accent 6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0">
    <w:name w:val="Grid Table 7 Colorful - Accent 6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0">
    <w:name w:val="List Table 6 Colorful - Accent 3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0">
    <w:name w:val="Plain Table 32"/>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5">
    <w:name w:val="Unresolved Mention15"/>
    <w:uiPriority w:val="99"/>
    <w:semiHidden/>
    <w:unhideWhenUsed/>
    <w:rsid w:val="00AE3C4E"/>
    <w:rPr>
      <w:color w:val="605E5C"/>
      <w:shd w:val="clear" w:color="auto" w:fill="E1DFDD"/>
    </w:rPr>
  </w:style>
  <w:style w:type="paragraph" w:customStyle="1" w:styleId="xmsobodytext">
    <w:name w:val="x_msobodytext"/>
    <w:basedOn w:val="Normal"/>
    <w:rsid w:val="00AE3C4E"/>
    <w:pPr>
      <w:spacing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xmsonormal">
    <w:name w:val="x_msonormal"/>
    <w:basedOn w:val="Normal"/>
    <w:rsid w:val="00AE3C4E"/>
    <w:pPr>
      <w:spacing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UnresolvedMention16">
    <w:name w:val="Unresolved Mention16"/>
    <w:uiPriority w:val="99"/>
    <w:semiHidden/>
    <w:unhideWhenUsed/>
    <w:rsid w:val="00AE3C4E"/>
    <w:rPr>
      <w:color w:val="605E5C"/>
      <w:shd w:val="clear" w:color="auto" w:fill="E1DFDD"/>
    </w:rPr>
  </w:style>
  <w:style w:type="table" w:customStyle="1" w:styleId="TableGrid19">
    <w:name w:val="Table Grid19"/>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2">
    <w:name w:val="List Table 1 Light - Accent 112"/>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
    <w:name w:val="Table Grid3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1"/>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2">
    <w:name w:val="List Table 2 - Accent 32"/>
    <w:basedOn w:val="TableNormal"/>
    <w:next w:val="ListTable2-Accent31"/>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2">
    <w:name w:val="Grid Table 1 Light - Accent 32"/>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1">
    <w:name w:val="Table Grid91"/>
    <w:basedOn w:val="TableNormal"/>
    <w:next w:val="TableGrid"/>
    <w:rsid w:val="00AE3C4E"/>
    <w:pPr>
      <w:spacing w:before="0" w:after="0" w:line="240" w:lineRule="auto"/>
    </w:pPr>
    <w:rPr>
      <w:rFonts w:ascii="Georgia" w:eastAsia="Calibri" w:hAnsi="Georgia"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2">
    <w:name w:val="List Table 6 Colorful - Accent 32"/>
    <w:basedOn w:val="TableNormal"/>
    <w:next w:val="ListTable6Colorful-Accent31"/>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1">
    <w:name w:val="Table Grid10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E3C4E"/>
  </w:style>
  <w:style w:type="table" w:customStyle="1" w:styleId="TableGrid131">
    <w:name w:val="Table Grid13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1">
    <w:name w:val="List Table 1 Light - Accent 11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1">
    <w:name w:val="Table Grid3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E3C4E"/>
  </w:style>
  <w:style w:type="table" w:customStyle="1" w:styleId="TableGrid811">
    <w:name w:val="Table Grid81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next w:val="PlainTable32"/>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1">
    <w:name w:val="Grid Table 1 Light - Accent 311"/>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161">
    <w:name w:val="Table Grid161"/>
    <w:basedOn w:val="TableNormal"/>
    <w:next w:val="TableGrid"/>
    <w:uiPriority w:val="39"/>
    <w:rsid w:val="00AE3C4E"/>
    <w:pPr>
      <w:spacing w:before="0"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2">
    <w:name w:val="List Table 2 - Accent 312"/>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2">
    <w:name w:val="Table Grid Light12"/>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Accent310">
    <w:name w:val="List Table 1 Light - Accent 31"/>
    <w:basedOn w:val="TableNormal"/>
    <w:next w:val="ListTable1Light-Accent31"/>
    <w:uiPriority w:val="46"/>
    <w:rsid w:val="00AE3C4E"/>
    <w:pPr>
      <w:spacing w:before="0" w:after="0" w:line="240" w:lineRule="auto"/>
    </w:pPr>
    <w:rPr>
      <w:rFonts w:ascii="Calibri" w:eastAsia="Calibri" w:hAnsi="Calibri" w:cs="Times New Roman"/>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41">
    <w:name w:val="No List41"/>
    <w:next w:val="NoList"/>
    <w:uiPriority w:val="99"/>
    <w:semiHidden/>
    <w:unhideWhenUsed/>
    <w:rsid w:val="00AE3C4E"/>
  </w:style>
  <w:style w:type="table" w:customStyle="1" w:styleId="TableGrid171">
    <w:name w:val="Table Grid171"/>
    <w:basedOn w:val="TableNormal"/>
    <w:next w:val="TableGrid"/>
    <w:uiPriority w:val="39"/>
    <w:rsid w:val="00AE3C4E"/>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2">
    <w:name w:val="List Table 6 Colorful - Accent 62"/>
    <w:basedOn w:val="TableNormal"/>
    <w:next w:val="ListTable6Colorful-Accent61"/>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2">
    <w:name w:val="Grid Table 7 Colorful - Accent 62"/>
    <w:basedOn w:val="TableNormal"/>
    <w:next w:val="GridTable7Colorful-Accent61"/>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1">
    <w:name w:val="List Table 2 - Accent 311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1">
    <w:name w:val="Table Grid Light11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1">
    <w:name w:val="List Table 6 Colorful - Accent 61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1">
    <w:name w:val="List Table 6 Colorful - Accent 31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1">
    <w:name w:val="Plain Table 321"/>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7">
    <w:name w:val="Unresolved Mention17"/>
    <w:uiPriority w:val="99"/>
    <w:semiHidden/>
    <w:unhideWhenUsed/>
    <w:rsid w:val="00AE3C4E"/>
    <w:rPr>
      <w:color w:val="605E5C"/>
      <w:shd w:val="clear" w:color="auto" w:fill="E1DFDD"/>
    </w:rPr>
  </w:style>
  <w:style w:type="numbering" w:customStyle="1" w:styleId="NoList51">
    <w:name w:val="No List51"/>
    <w:next w:val="NoList"/>
    <w:uiPriority w:val="99"/>
    <w:semiHidden/>
    <w:unhideWhenUsed/>
    <w:rsid w:val="00AE3C4E"/>
  </w:style>
  <w:style w:type="numbering" w:customStyle="1" w:styleId="NoList6">
    <w:name w:val="No List6"/>
    <w:next w:val="NoList"/>
    <w:uiPriority w:val="99"/>
    <w:semiHidden/>
    <w:unhideWhenUsed/>
    <w:rsid w:val="00AE3C4E"/>
  </w:style>
  <w:style w:type="numbering" w:customStyle="1" w:styleId="NoList7">
    <w:name w:val="No List7"/>
    <w:next w:val="NoList"/>
    <w:uiPriority w:val="99"/>
    <w:semiHidden/>
    <w:unhideWhenUsed/>
    <w:rsid w:val="00AE3C4E"/>
  </w:style>
  <w:style w:type="paragraph" w:customStyle="1" w:styleId="xl125">
    <w:name w:val="xl125"/>
    <w:basedOn w:val="Normal"/>
    <w:rsid w:val="00AE3C4E"/>
    <w:pPr>
      <w:pBdr>
        <w:top w:val="single" w:sz="4" w:space="0" w:color="BFBFBF"/>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26">
    <w:name w:val="xl126"/>
    <w:basedOn w:val="Normal"/>
    <w:rsid w:val="00AE3C4E"/>
    <w:pPr>
      <w:pBdr>
        <w:top w:val="single" w:sz="4" w:space="0" w:color="C1CEE5"/>
        <w:left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7">
    <w:name w:val="xl127"/>
    <w:basedOn w:val="Normal"/>
    <w:rsid w:val="00AE3C4E"/>
    <w:pPr>
      <w:pBdr>
        <w:top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8">
    <w:name w:val="xl128"/>
    <w:basedOn w:val="Normal"/>
    <w:rsid w:val="00AE3C4E"/>
    <w:pPr>
      <w:pBdr>
        <w:top w:val="single" w:sz="4" w:space="0" w:color="C1CEE5"/>
        <w:bottom w:val="single" w:sz="4" w:space="0" w:color="C1CEE5"/>
        <w:right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9">
    <w:name w:val="xl129"/>
    <w:basedOn w:val="Normal"/>
    <w:rsid w:val="00AE3C4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0">
    <w:name w:val="xl130"/>
    <w:basedOn w:val="Normal"/>
    <w:rsid w:val="00AE3C4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1">
    <w:name w:val="xl131"/>
    <w:basedOn w:val="Normal"/>
    <w:rsid w:val="00AE3C4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2">
    <w:name w:val="xl132"/>
    <w:basedOn w:val="Normal"/>
    <w:rsid w:val="00AE3C4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3">
    <w:name w:val="xl133"/>
    <w:basedOn w:val="Normal"/>
    <w:rsid w:val="00AE3C4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4">
    <w:name w:val="xl134"/>
    <w:basedOn w:val="Normal"/>
    <w:rsid w:val="00AE3C4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5">
    <w:name w:val="xl135"/>
    <w:basedOn w:val="Normal"/>
    <w:rsid w:val="00AE3C4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6">
    <w:name w:val="xl136"/>
    <w:basedOn w:val="Normal"/>
    <w:rsid w:val="00AE3C4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DRItekst">
    <w:name w:val="DRI tekst"/>
    <w:basedOn w:val="Normal"/>
    <w:link w:val="DRItekstChar"/>
    <w:qFormat/>
    <w:rsid w:val="0027518C"/>
    <w:pPr>
      <w:spacing w:before="0" w:after="160" w:line="259" w:lineRule="auto"/>
    </w:pPr>
    <w:rPr>
      <w:rFonts w:ascii="Times New Roman" w:eastAsiaTheme="minorHAnsi" w:hAnsi="Times New Roman" w:cs="Times New Roman"/>
      <w:sz w:val="24"/>
    </w:rPr>
  </w:style>
  <w:style w:type="character" w:customStyle="1" w:styleId="DRItekstChar">
    <w:name w:val="DRI tekst Char"/>
    <w:basedOn w:val="DefaultParagraphFont"/>
    <w:link w:val="DRItekst"/>
    <w:rsid w:val="0027518C"/>
    <w:rPr>
      <w:rFonts w:ascii="Times New Roman" w:eastAsiaTheme="minorHAnsi" w:hAnsi="Times New Roman" w:cs="Times New Roman"/>
      <w:sz w:val="24"/>
      <w:lang w:val="sr-Cyrl-RS"/>
    </w:rPr>
  </w:style>
  <w:style w:type="table" w:styleId="GridTable1Light-Accent6">
    <w:name w:val="Grid Table 1 Light Accent 6"/>
    <w:basedOn w:val="TableNormal"/>
    <w:uiPriority w:val="46"/>
    <w:rsid w:val="00EF3865"/>
    <w:pPr>
      <w:spacing w:before="0" w:after="0" w:line="240" w:lineRule="auto"/>
    </w:pPr>
    <w:rPr>
      <w:sz w:val="22"/>
      <w:szCs w:val="22"/>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18">
    <w:name w:val="Unresolved Mention18"/>
    <w:basedOn w:val="DefaultParagraphFont"/>
    <w:uiPriority w:val="99"/>
    <w:semiHidden/>
    <w:unhideWhenUsed/>
    <w:rsid w:val="000D0D8F"/>
    <w:rPr>
      <w:color w:val="605E5C"/>
      <w:shd w:val="clear" w:color="auto" w:fill="E1DFDD"/>
    </w:rPr>
  </w:style>
  <w:style w:type="numbering" w:customStyle="1" w:styleId="NoList8">
    <w:name w:val="No List8"/>
    <w:next w:val="NoList"/>
    <w:uiPriority w:val="99"/>
    <w:semiHidden/>
    <w:unhideWhenUsed/>
    <w:rsid w:val="005F2469"/>
  </w:style>
  <w:style w:type="character" w:customStyle="1" w:styleId="UnresolvedMention19">
    <w:name w:val="Unresolved Mention19"/>
    <w:basedOn w:val="DefaultParagraphFont"/>
    <w:uiPriority w:val="99"/>
    <w:semiHidden/>
    <w:unhideWhenUsed/>
    <w:rsid w:val="00402C08"/>
    <w:rPr>
      <w:color w:val="605E5C"/>
      <w:shd w:val="clear" w:color="auto" w:fill="E1DFDD"/>
    </w:rPr>
  </w:style>
  <w:style w:type="character" w:customStyle="1" w:styleId="UnresolvedMention20">
    <w:name w:val="Unresolved Mention20"/>
    <w:basedOn w:val="DefaultParagraphFont"/>
    <w:uiPriority w:val="99"/>
    <w:semiHidden/>
    <w:unhideWhenUsed/>
    <w:rsid w:val="00584382"/>
    <w:rPr>
      <w:color w:val="605E5C"/>
      <w:shd w:val="clear" w:color="auto" w:fill="E1DFDD"/>
    </w:rPr>
  </w:style>
  <w:style w:type="table" w:styleId="TableGridLight">
    <w:name w:val="Grid Table Light"/>
    <w:basedOn w:val="TableNormal"/>
    <w:uiPriority w:val="40"/>
    <w:rsid w:val="00F617BE"/>
    <w:pPr>
      <w:spacing w:before="0" w:after="0" w:line="240" w:lineRule="auto"/>
    </w:pPr>
    <w:rPr>
      <w:rFonts w:eastAsiaTheme="minorHAns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221">
      <w:bodyDiv w:val="1"/>
      <w:marLeft w:val="0"/>
      <w:marRight w:val="0"/>
      <w:marTop w:val="0"/>
      <w:marBottom w:val="0"/>
      <w:divBdr>
        <w:top w:val="none" w:sz="0" w:space="0" w:color="auto"/>
        <w:left w:val="none" w:sz="0" w:space="0" w:color="auto"/>
        <w:bottom w:val="none" w:sz="0" w:space="0" w:color="auto"/>
        <w:right w:val="none" w:sz="0" w:space="0" w:color="auto"/>
      </w:divBdr>
    </w:div>
    <w:div w:id="16658989">
      <w:bodyDiv w:val="1"/>
      <w:marLeft w:val="0"/>
      <w:marRight w:val="0"/>
      <w:marTop w:val="0"/>
      <w:marBottom w:val="0"/>
      <w:divBdr>
        <w:top w:val="none" w:sz="0" w:space="0" w:color="auto"/>
        <w:left w:val="none" w:sz="0" w:space="0" w:color="auto"/>
        <w:bottom w:val="none" w:sz="0" w:space="0" w:color="auto"/>
        <w:right w:val="none" w:sz="0" w:space="0" w:color="auto"/>
      </w:divBdr>
    </w:div>
    <w:div w:id="16740865">
      <w:bodyDiv w:val="1"/>
      <w:marLeft w:val="0"/>
      <w:marRight w:val="0"/>
      <w:marTop w:val="0"/>
      <w:marBottom w:val="0"/>
      <w:divBdr>
        <w:top w:val="none" w:sz="0" w:space="0" w:color="auto"/>
        <w:left w:val="none" w:sz="0" w:space="0" w:color="auto"/>
        <w:bottom w:val="none" w:sz="0" w:space="0" w:color="auto"/>
        <w:right w:val="none" w:sz="0" w:space="0" w:color="auto"/>
      </w:divBdr>
    </w:div>
    <w:div w:id="23556901">
      <w:bodyDiv w:val="1"/>
      <w:marLeft w:val="0"/>
      <w:marRight w:val="0"/>
      <w:marTop w:val="0"/>
      <w:marBottom w:val="0"/>
      <w:divBdr>
        <w:top w:val="none" w:sz="0" w:space="0" w:color="auto"/>
        <w:left w:val="none" w:sz="0" w:space="0" w:color="auto"/>
        <w:bottom w:val="none" w:sz="0" w:space="0" w:color="auto"/>
        <w:right w:val="none" w:sz="0" w:space="0" w:color="auto"/>
      </w:divBdr>
    </w:div>
    <w:div w:id="28605010">
      <w:bodyDiv w:val="1"/>
      <w:marLeft w:val="0"/>
      <w:marRight w:val="0"/>
      <w:marTop w:val="0"/>
      <w:marBottom w:val="0"/>
      <w:divBdr>
        <w:top w:val="none" w:sz="0" w:space="0" w:color="auto"/>
        <w:left w:val="none" w:sz="0" w:space="0" w:color="auto"/>
        <w:bottom w:val="none" w:sz="0" w:space="0" w:color="auto"/>
        <w:right w:val="none" w:sz="0" w:space="0" w:color="auto"/>
      </w:divBdr>
    </w:div>
    <w:div w:id="38827233">
      <w:bodyDiv w:val="1"/>
      <w:marLeft w:val="0"/>
      <w:marRight w:val="0"/>
      <w:marTop w:val="0"/>
      <w:marBottom w:val="0"/>
      <w:divBdr>
        <w:top w:val="none" w:sz="0" w:space="0" w:color="auto"/>
        <w:left w:val="none" w:sz="0" w:space="0" w:color="auto"/>
        <w:bottom w:val="none" w:sz="0" w:space="0" w:color="auto"/>
        <w:right w:val="none" w:sz="0" w:space="0" w:color="auto"/>
      </w:divBdr>
    </w:div>
    <w:div w:id="84301772">
      <w:bodyDiv w:val="1"/>
      <w:marLeft w:val="0"/>
      <w:marRight w:val="0"/>
      <w:marTop w:val="0"/>
      <w:marBottom w:val="0"/>
      <w:divBdr>
        <w:top w:val="none" w:sz="0" w:space="0" w:color="auto"/>
        <w:left w:val="none" w:sz="0" w:space="0" w:color="auto"/>
        <w:bottom w:val="none" w:sz="0" w:space="0" w:color="auto"/>
        <w:right w:val="none" w:sz="0" w:space="0" w:color="auto"/>
      </w:divBdr>
    </w:div>
    <w:div w:id="90056447">
      <w:bodyDiv w:val="1"/>
      <w:marLeft w:val="0"/>
      <w:marRight w:val="0"/>
      <w:marTop w:val="0"/>
      <w:marBottom w:val="0"/>
      <w:divBdr>
        <w:top w:val="none" w:sz="0" w:space="0" w:color="auto"/>
        <w:left w:val="none" w:sz="0" w:space="0" w:color="auto"/>
        <w:bottom w:val="none" w:sz="0" w:space="0" w:color="auto"/>
        <w:right w:val="none" w:sz="0" w:space="0" w:color="auto"/>
      </w:divBdr>
    </w:div>
    <w:div w:id="90123934">
      <w:bodyDiv w:val="1"/>
      <w:marLeft w:val="0"/>
      <w:marRight w:val="0"/>
      <w:marTop w:val="0"/>
      <w:marBottom w:val="0"/>
      <w:divBdr>
        <w:top w:val="none" w:sz="0" w:space="0" w:color="auto"/>
        <w:left w:val="none" w:sz="0" w:space="0" w:color="auto"/>
        <w:bottom w:val="none" w:sz="0" w:space="0" w:color="auto"/>
        <w:right w:val="none" w:sz="0" w:space="0" w:color="auto"/>
      </w:divBdr>
    </w:div>
    <w:div w:id="106196783">
      <w:bodyDiv w:val="1"/>
      <w:marLeft w:val="0"/>
      <w:marRight w:val="0"/>
      <w:marTop w:val="0"/>
      <w:marBottom w:val="0"/>
      <w:divBdr>
        <w:top w:val="none" w:sz="0" w:space="0" w:color="auto"/>
        <w:left w:val="none" w:sz="0" w:space="0" w:color="auto"/>
        <w:bottom w:val="none" w:sz="0" w:space="0" w:color="auto"/>
        <w:right w:val="none" w:sz="0" w:space="0" w:color="auto"/>
      </w:divBdr>
    </w:div>
    <w:div w:id="108740047">
      <w:bodyDiv w:val="1"/>
      <w:marLeft w:val="0"/>
      <w:marRight w:val="0"/>
      <w:marTop w:val="0"/>
      <w:marBottom w:val="0"/>
      <w:divBdr>
        <w:top w:val="none" w:sz="0" w:space="0" w:color="auto"/>
        <w:left w:val="none" w:sz="0" w:space="0" w:color="auto"/>
        <w:bottom w:val="none" w:sz="0" w:space="0" w:color="auto"/>
        <w:right w:val="none" w:sz="0" w:space="0" w:color="auto"/>
      </w:divBdr>
      <w:divsChild>
        <w:div w:id="813327961">
          <w:marLeft w:val="0"/>
          <w:marRight w:val="0"/>
          <w:marTop w:val="0"/>
          <w:marBottom w:val="0"/>
          <w:divBdr>
            <w:top w:val="none" w:sz="0" w:space="0" w:color="auto"/>
            <w:left w:val="none" w:sz="0" w:space="0" w:color="auto"/>
            <w:bottom w:val="none" w:sz="0" w:space="0" w:color="auto"/>
            <w:right w:val="none" w:sz="0" w:space="0" w:color="auto"/>
          </w:divBdr>
          <w:divsChild>
            <w:div w:id="15517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511">
      <w:bodyDiv w:val="1"/>
      <w:marLeft w:val="0"/>
      <w:marRight w:val="0"/>
      <w:marTop w:val="0"/>
      <w:marBottom w:val="0"/>
      <w:divBdr>
        <w:top w:val="none" w:sz="0" w:space="0" w:color="auto"/>
        <w:left w:val="none" w:sz="0" w:space="0" w:color="auto"/>
        <w:bottom w:val="none" w:sz="0" w:space="0" w:color="auto"/>
        <w:right w:val="none" w:sz="0" w:space="0" w:color="auto"/>
      </w:divBdr>
    </w:div>
    <w:div w:id="146290699">
      <w:bodyDiv w:val="1"/>
      <w:marLeft w:val="0"/>
      <w:marRight w:val="0"/>
      <w:marTop w:val="0"/>
      <w:marBottom w:val="0"/>
      <w:divBdr>
        <w:top w:val="none" w:sz="0" w:space="0" w:color="auto"/>
        <w:left w:val="none" w:sz="0" w:space="0" w:color="auto"/>
        <w:bottom w:val="none" w:sz="0" w:space="0" w:color="auto"/>
        <w:right w:val="none" w:sz="0" w:space="0" w:color="auto"/>
      </w:divBdr>
    </w:div>
    <w:div w:id="148980413">
      <w:bodyDiv w:val="1"/>
      <w:marLeft w:val="0"/>
      <w:marRight w:val="0"/>
      <w:marTop w:val="0"/>
      <w:marBottom w:val="0"/>
      <w:divBdr>
        <w:top w:val="none" w:sz="0" w:space="0" w:color="auto"/>
        <w:left w:val="none" w:sz="0" w:space="0" w:color="auto"/>
        <w:bottom w:val="none" w:sz="0" w:space="0" w:color="auto"/>
        <w:right w:val="none" w:sz="0" w:space="0" w:color="auto"/>
      </w:divBdr>
      <w:divsChild>
        <w:div w:id="1735204276">
          <w:marLeft w:val="547"/>
          <w:marRight w:val="0"/>
          <w:marTop w:val="0"/>
          <w:marBottom w:val="0"/>
          <w:divBdr>
            <w:top w:val="none" w:sz="0" w:space="0" w:color="auto"/>
            <w:left w:val="none" w:sz="0" w:space="0" w:color="auto"/>
            <w:bottom w:val="none" w:sz="0" w:space="0" w:color="auto"/>
            <w:right w:val="none" w:sz="0" w:space="0" w:color="auto"/>
          </w:divBdr>
        </w:div>
      </w:divsChild>
    </w:div>
    <w:div w:id="149951297">
      <w:bodyDiv w:val="1"/>
      <w:marLeft w:val="0"/>
      <w:marRight w:val="0"/>
      <w:marTop w:val="0"/>
      <w:marBottom w:val="0"/>
      <w:divBdr>
        <w:top w:val="none" w:sz="0" w:space="0" w:color="auto"/>
        <w:left w:val="none" w:sz="0" w:space="0" w:color="auto"/>
        <w:bottom w:val="none" w:sz="0" w:space="0" w:color="auto"/>
        <w:right w:val="none" w:sz="0" w:space="0" w:color="auto"/>
      </w:divBdr>
    </w:div>
    <w:div w:id="152265060">
      <w:bodyDiv w:val="1"/>
      <w:marLeft w:val="0"/>
      <w:marRight w:val="0"/>
      <w:marTop w:val="0"/>
      <w:marBottom w:val="0"/>
      <w:divBdr>
        <w:top w:val="none" w:sz="0" w:space="0" w:color="auto"/>
        <w:left w:val="none" w:sz="0" w:space="0" w:color="auto"/>
        <w:bottom w:val="none" w:sz="0" w:space="0" w:color="auto"/>
        <w:right w:val="none" w:sz="0" w:space="0" w:color="auto"/>
      </w:divBdr>
    </w:div>
    <w:div w:id="168721379">
      <w:bodyDiv w:val="1"/>
      <w:marLeft w:val="0"/>
      <w:marRight w:val="0"/>
      <w:marTop w:val="0"/>
      <w:marBottom w:val="0"/>
      <w:divBdr>
        <w:top w:val="none" w:sz="0" w:space="0" w:color="auto"/>
        <w:left w:val="none" w:sz="0" w:space="0" w:color="auto"/>
        <w:bottom w:val="none" w:sz="0" w:space="0" w:color="auto"/>
        <w:right w:val="none" w:sz="0" w:space="0" w:color="auto"/>
      </w:divBdr>
      <w:divsChild>
        <w:div w:id="976569816">
          <w:marLeft w:val="0"/>
          <w:marRight w:val="0"/>
          <w:marTop w:val="0"/>
          <w:marBottom w:val="0"/>
          <w:divBdr>
            <w:top w:val="none" w:sz="0" w:space="0" w:color="auto"/>
            <w:left w:val="none" w:sz="0" w:space="0" w:color="auto"/>
            <w:bottom w:val="none" w:sz="0" w:space="0" w:color="auto"/>
            <w:right w:val="none" w:sz="0" w:space="0" w:color="auto"/>
          </w:divBdr>
          <w:divsChild>
            <w:div w:id="20263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0975">
      <w:bodyDiv w:val="1"/>
      <w:marLeft w:val="0"/>
      <w:marRight w:val="0"/>
      <w:marTop w:val="0"/>
      <w:marBottom w:val="0"/>
      <w:divBdr>
        <w:top w:val="none" w:sz="0" w:space="0" w:color="auto"/>
        <w:left w:val="none" w:sz="0" w:space="0" w:color="auto"/>
        <w:bottom w:val="none" w:sz="0" w:space="0" w:color="auto"/>
        <w:right w:val="none" w:sz="0" w:space="0" w:color="auto"/>
      </w:divBdr>
      <w:divsChild>
        <w:div w:id="269820140">
          <w:marLeft w:val="547"/>
          <w:marRight w:val="0"/>
          <w:marTop w:val="0"/>
          <w:marBottom w:val="0"/>
          <w:divBdr>
            <w:top w:val="none" w:sz="0" w:space="0" w:color="auto"/>
            <w:left w:val="none" w:sz="0" w:space="0" w:color="auto"/>
            <w:bottom w:val="none" w:sz="0" w:space="0" w:color="auto"/>
            <w:right w:val="none" w:sz="0" w:space="0" w:color="auto"/>
          </w:divBdr>
        </w:div>
      </w:divsChild>
    </w:div>
    <w:div w:id="247888180">
      <w:bodyDiv w:val="1"/>
      <w:marLeft w:val="0"/>
      <w:marRight w:val="0"/>
      <w:marTop w:val="0"/>
      <w:marBottom w:val="0"/>
      <w:divBdr>
        <w:top w:val="none" w:sz="0" w:space="0" w:color="auto"/>
        <w:left w:val="none" w:sz="0" w:space="0" w:color="auto"/>
        <w:bottom w:val="none" w:sz="0" w:space="0" w:color="auto"/>
        <w:right w:val="none" w:sz="0" w:space="0" w:color="auto"/>
      </w:divBdr>
    </w:div>
    <w:div w:id="248731142">
      <w:bodyDiv w:val="1"/>
      <w:marLeft w:val="0"/>
      <w:marRight w:val="0"/>
      <w:marTop w:val="0"/>
      <w:marBottom w:val="0"/>
      <w:divBdr>
        <w:top w:val="none" w:sz="0" w:space="0" w:color="auto"/>
        <w:left w:val="none" w:sz="0" w:space="0" w:color="auto"/>
        <w:bottom w:val="none" w:sz="0" w:space="0" w:color="auto"/>
        <w:right w:val="none" w:sz="0" w:space="0" w:color="auto"/>
      </w:divBdr>
    </w:div>
    <w:div w:id="255478294">
      <w:bodyDiv w:val="1"/>
      <w:marLeft w:val="0"/>
      <w:marRight w:val="0"/>
      <w:marTop w:val="0"/>
      <w:marBottom w:val="0"/>
      <w:divBdr>
        <w:top w:val="none" w:sz="0" w:space="0" w:color="auto"/>
        <w:left w:val="none" w:sz="0" w:space="0" w:color="auto"/>
        <w:bottom w:val="none" w:sz="0" w:space="0" w:color="auto"/>
        <w:right w:val="none" w:sz="0" w:space="0" w:color="auto"/>
      </w:divBdr>
    </w:div>
    <w:div w:id="255528105">
      <w:bodyDiv w:val="1"/>
      <w:marLeft w:val="0"/>
      <w:marRight w:val="0"/>
      <w:marTop w:val="0"/>
      <w:marBottom w:val="0"/>
      <w:divBdr>
        <w:top w:val="none" w:sz="0" w:space="0" w:color="auto"/>
        <w:left w:val="none" w:sz="0" w:space="0" w:color="auto"/>
        <w:bottom w:val="none" w:sz="0" w:space="0" w:color="auto"/>
        <w:right w:val="none" w:sz="0" w:space="0" w:color="auto"/>
      </w:divBdr>
    </w:div>
    <w:div w:id="265966906">
      <w:bodyDiv w:val="1"/>
      <w:marLeft w:val="0"/>
      <w:marRight w:val="0"/>
      <w:marTop w:val="0"/>
      <w:marBottom w:val="0"/>
      <w:divBdr>
        <w:top w:val="none" w:sz="0" w:space="0" w:color="auto"/>
        <w:left w:val="none" w:sz="0" w:space="0" w:color="auto"/>
        <w:bottom w:val="none" w:sz="0" w:space="0" w:color="auto"/>
        <w:right w:val="none" w:sz="0" w:space="0" w:color="auto"/>
      </w:divBdr>
    </w:div>
    <w:div w:id="295186146">
      <w:bodyDiv w:val="1"/>
      <w:marLeft w:val="0"/>
      <w:marRight w:val="0"/>
      <w:marTop w:val="0"/>
      <w:marBottom w:val="0"/>
      <w:divBdr>
        <w:top w:val="none" w:sz="0" w:space="0" w:color="auto"/>
        <w:left w:val="none" w:sz="0" w:space="0" w:color="auto"/>
        <w:bottom w:val="none" w:sz="0" w:space="0" w:color="auto"/>
        <w:right w:val="none" w:sz="0" w:space="0" w:color="auto"/>
      </w:divBdr>
    </w:div>
    <w:div w:id="316030799">
      <w:bodyDiv w:val="1"/>
      <w:marLeft w:val="0"/>
      <w:marRight w:val="0"/>
      <w:marTop w:val="0"/>
      <w:marBottom w:val="0"/>
      <w:divBdr>
        <w:top w:val="none" w:sz="0" w:space="0" w:color="auto"/>
        <w:left w:val="none" w:sz="0" w:space="0" w:color="auto"/>
        <w:bottom w:val="none" w:sz="0" w:space="0" w:color="auto"/>
        <w:right w:val="none" w:sz="0" w:space="0" w:color="auto"/>
      </w:divBdr>
    </w:div>
    <w:div w:id="316343182">
      <w:bodyDiv w:val="1"/>
      <w:marLeft w:val="0"/>
      <w:marRight w:val="0"/>
      <w:marTop w:val="0"/>
      <w:marBottom w:val="0"/>
      <w:divBdr>
        <w:top w:val="none" w:sz="0" w:space="0" w:color="auto"/>
        <w:left w:val="none" w:sz="0" w:space="0" w:color="auto"/>
        <w:bottom w:val="none" w:sz="0" w:space="0" w:color="auto"/>
        <w:right w:val="none" w:sz="0" w:space="0" w:color="auto"/>
      </w:divBdr>
    </w:div>
    <w:div w:id="328604742">
      <w:bodyDiv w:val="1"/>
      <w:marLeft w:val="0"/>
      <w:marRight w:val="0"/>
      <w:marTop w:val="0"/>
      <w:marBottom w:val="0"/>
      <w:divBdr>
        <w:top w:val="none" w:sz="0" w:space="0" w:color="auto"/>
        <w:left w:val="none" w:sz="0" w:space="0" w:color="auto"/>
        <w:bottom w:val="none" w:sz="0" w:space="0" w:color="auto"/>
        <w:right w:val="none" w:sz="0" w:space="0" w:color="auto"/>
      </w:divBdr>
    </w:div>
    <w:div w:id="343362191">
      <w:bodyDiv w:val="1"/>
      <w:marLeft w:val="0"/>
      <w:marRight w:val="0"/>
      <w:marTop w:val="0"/>
      <w:marBottom w:val="0"/>
      <w:divBdr>
        <w:top w:val="none" w:sz="0" w:space="0" w:color="auto"/>
        <w:left w:val="none" w:sz="0" w:space="0" w:color="auto"/>
        <w:bottom w:val="none" w:sz="0" w:space="0" w:color="auto"/>
        <w:right w:val="none" w:sz="0" w:space="0" w:color="auto"/>
      </w:divBdr>
    </w:div>
    <w:div w:id="348992919">
      <w:bodyDiv w:val="1"/>
      <w:marLeft w:val="0"/>
      <w:marRight w:val="0"/>
      <w:marTop w:val="0"/>
      <w:marBottom w:val="0"/>
      <w:divBdr>
        <w:top w:val="none" w:sz="0" w:space="0" w:color="auto"/>
        <w:left w:val="none" w:sz="0" w:space="0" w:color="auto"/>
        <w:bottom w:val="none" w:sz="0" w:space="0" w:color="auto"/>
        <w:right w:val="none" w:sz="0" w:space="0" w:color="auto"/>
      </w:divBdr>
    </w:div>
    <w:div w:id="360787257">
      <w:bodyDiv w:val="1"/>
      <w:marLeft w:val="0"/>
      <w:marRight w:val="0"/>
      <w:marTop w:val="0"/>
      <w:marBottom w:val="0"/>
      <w:divBdr>
        <w:top w:val="none" w:sz="0" w:space="0" w:color="auto"/>
        <w:left w:val="none" w:sz="0" w:space="0" w:color="auto"/>
        <w:bottom w:val="none" w:sz="0" w:space="0" w:color="auto"/>
        <w:right w:val="none" w:sz="0" w:space="0" w:color="auto"/>
      </w:divBdr>
    </w:div>
    <w:div w:id="369764625">
      <w:bodyDiv w:val="1"/>
      <w:marLeft w:val="0"/>
      <w:marRight w:val="0"/>
      <w:marTop w:val="0"/>
      <w:marBottom w:val="0"/>
      <w:divBdr>
        <w:top w:val="none" w:sz="0" w:space="0" w:color="auto"/>
        <w:left w:val="none" w:sz="0" w:space="0" w:color="auto"/>
        <w:bottom w:val="none" w:sz="0" w:space="0" w:color="auto"/>
        <w:right w:val="none" w:sz="0" w:space="0" w:color="auto"/>
      </w:divBdr>
    </w:div>
    <w:div w:id="372002898">
      <w:bodyDiv w:val="1"/>
      <w:marLeft w:val="0"/>
      <w:marRight w:val="0"/>
      <w:marTop w:val="0"/>
      <w:marBottom w:val="0"/>
      <w:divBdr>
        <w:top w:val="none" w:sz="0" w:space="0" w:color="auto"/>
        <w:left w:val="none" w:sz="0" w:space="0" w:color="auto"/>
        <w:bottom w:val="none" w:sz="0" w:space="0" w:color="auto"/>
        <w:right w:val="none" w:sz="0" w:space="0" w:color="auto"/>
      </w:divBdr>
    </w:div>
    <w:div w:id="375280899">
      <w:bodyDiv w:val="1"/>
      <w:marLeft w:val="0"/>
      <w:marRight w:val="0"/>
      <w:marTop w:val="0"/>
      <w:marBottom w:val="0"/>
      <w:divBdr>
        <w:top w:val="none" w:sz="0" w:space="0" w:color="auto"/>
        <w:left w:val="none" w:sz="0" w:space="0" w:color="auto"/>
        <w:bottom w:val="none" w:sz="0" w:space="0" w:color="auto"/>
        <w:right w:val="none" w:sz="0" w:space="0" w:color="auto"/>
      </w:divBdr>
    </w:div>
    <w:div w:id="381485597">
      <w:bodyDiv w:val="1"/>
      <w:marLeft w:val="0"/>
      <w:marRight w:val="0"/>
      <w:marTop w:val="0"/>
      <w:marBottom w:val="0"/>
      <w:divBdr>
        <w:top w:val="none" w:sz="0" w:space="0" w:color="auto"/>
        <w:left w:val="none" w:sz="0" w:space="0" w:color="auto"/>
        <w:bottom w:val="none" w:sz="0" w:space="0" w:color="auto"/>
        <w:right w:val="none" w:sz="0" w:space="0" w:color="auto"/>
      </w:divBdr>
    </w:div>
    <w:div w:id="413355344">
      <w:bodyDiv w:val="1"/>
      <w:marLeft w:val="0"/>
      <w:marRight w:val="0"/>
      <w:marTop w:val="0"/>
      <w:marBottom w:val="0"/>
      <w:divBdr>
        <w:top w:val="none" w:sz="0" w:space="0" w:color="auto"/>
        <w:left w:val="none" w:sz="0" w:space="0" w:color="auto"/>
        <w:bottom w:val="none" w:sz="0" w:space="0" w:color="auto"/>
        <w:right w:val="none" w:sz="0" w:space="0" w:color="auto"/>
      </w:divBdr>
    </w:div>
    <w:div w:id="426006973">
      <w:bodyDiv w:val="1"/>
      <w:marLeft w:val="0"/>
      <w:marRight w:val="0"/>
      <w:marTop w:val="0"/>
      <w:marBottom w:val="0"/>
      <w:divBdr>
        <w:top w:val="none" w:sz="0" w:space="0" w:color="auto"/>
        <w:left w:val="none" w:sz="0" w:space="0" w:color="auto"/>
        <w:bottom w:val="none" w:sz="0" w:space="0" w:color="auto"/>
        <w:right w:val="none" w:sz="0" w:space="0" w:color="auto"/>
      </w:divBdr>
    </w:div>
    <w:div w:id="451244804">
      <w:bodyDiv w:val="1"/>
      <w:marLeft w:val="0"/>
      <w:marRight w:val="0"/>
      <w:marTop w:val="0"/>
      <w:marBottom w:val="0"/>
      <w:divBdr>
        <w:top w:val="none" w:sz="0" w:space="0" w:color="auto"/>
        <w:left w:val="none" w:sz="0" w:space="0" w:color="auto"/>
        <w:bottom w:val="none" w:sz="0" w:space="0" w:color="auto"/>
        <w:right w:val="none" w:sz="0" w:space="0" w:color="auto"/>
      </w:divBdr>
      <w:divsChild>
        <w:div w:id="1970894313">
          <w:marLeft w:val="547"/>
          <w:marRight w:val="0"/>
          <w:marTop w:val="0"/>
          <w:marBottom w:val="0"/>
          <w:divBdr>
            <w:top w:val="none" w:sz="0" w:space="0" w:color="auto"/>
            <w:left w:val="none" w:sz="0" w:space="0" w:color="auto"/>
            <w:bottom w:val="none" w:sz="0" w:space="0" w:color="auto"/>
            <w:right w:val="none" w:sz="0" w:space="0" w:color="auto"/>
          </w:divBdr>
        </w:div>
      </w:divsChild>
    </w:div>
    <w:div w:id="488136555">
      <w:bodyDiv w:val="1"/>
      <w:marLeft w:val="0"/>
      <w:marRight w:val="0"/>
      <w:marTop w:val="0"/>
      <w:marBottom w:val="0"/>
      <w:divBdr>
        <w:top w:val="none" w:sz="0" w:space="0" w:color="auto"/>
        <w:left w:val="none" w:sz="0" w:space="0" w:color="auto"/>
        <w:bottom w:val="none" w:sz="0" w:space="0" w:color="auto"/>
        <w:right w:val="none" w:sz="0" w:space="0" w:color="auto"/>
      </w:divBdr>
    </w:div>
    <w:div w:id="592862658">
      <w:bodyDiv w:val="1"/>
      <w:marLeft w:val="0"/>
      <w:marRight w:val="0"/>
      <w:marTop w:val="0"/>
      <w:marBottom w:val="0"/>
      <w:divBdr>
        <w:top w:val="none" w:sz="0" w:space="0" w:color="auto"/>
        <w:left w:val="none" w:sz="0" w:space="0" w:color="auto"/>
        <w:bottom w:val="none" w:sz="0" w:space="0" w:color="auto"/>
        <w:right w:val="none" w:sz="0" w:space="0" w:color="auto"/>
      </w:divBdr>
    </w:div>
    <w:div w:id="621301360">
      <w:bodyDiv w:val="1"/>
      <w:marLeft w:val="0"/>
      <w:marRight w:val="0"/>
      <w:marTop w:val="0"/>
      <w:marBottom w:val="0"/>
      <w:divBdr>
        <w:top w:val="none" w:sz="0" w:space="0" w:color="auto"/>
        <w:left w:val="none" w:sz="0" w:space="0" w:color="auto"/>
        <w:bottom w:val="none" w:sz="0" w:space="0" w:color="auto"/>
        <w:right w:val="none" w:sz="0" w:space="0" w:color="auto"/>
      </w:divBdr>
    </w:div>
    <w:div w:id="626394628">
      <w:bodyDiv w:val="1"/>
      <w:marLeft w:val="0"/>
      <w:marRight w:val="0"/>
      <w:marTop w:val="0"/>
      <w:marBottom w:val="0"/>
      <w:divBdr>
        <w:top w:val="none" w:sz="0" w:space="0" w:color="auto"/>
        <w:left w:val="none" w:sz="0" w:space="0" w:color="auto"/>
        <w:bottom w:val="none" w:sz="0" w:space="0" w:color="auto"/>
        <w:right w:val="none" w:sz="0" w:space="0" w:color="auto"/>
      </w:divBdr>
    </w:div>
    <w:div w:id="628123534">
      <w:bodyDiv w:val="1"/>
      <w:marLeft w:val="0"/>
      <w:marRight w:val="0"/>
      <w:marTop w:val="0"/>
      <w:marBottom w:val="0"/>
      <w:divBdr>
        <w:top w:val="none" w:sz="0" w:space="0" w:color="auto"/>
        <w:left w:val="none" w:sz="0" w:space="0" w:color="auto"/>
        <w:bottom w:val="none" w:sz="0" w:space="0" w:color="auto"/>
        <w:right w:val="none" w:sz="0" w:space="0" w:color="auto"/>
      </w:divBdr>
    </w:div>
    <w:div w:id="696662108">
      <w:bodyDiv w:val="1"/>
      <w:marLeft w:val="0"/>
      <w:marRight w:val="0"/>
      <w:marTop w:val="0"/>
      <w:marBottom w:val="0"/>
      <w:divBdr>
        <w:top w:val="none" w:sz="0" w:space="0" w:color="auto"/>
        <w:left w:val="none" w:sz="0" w:space="0" w:color="auto"/>
        <w:bottom w:val="none" w:sz="0" w:space="0" w:color="auto"/>
        <w:right w:val="none" w:sz="0" w:space="0" w:color="auto"/>
      </w:divBdr>
    </w:div>
    <w:div w:id="706373502">
      <w:bodyDiv w:val="1"/>
      <w:marLeft w:val="0"/>
      <w:marRight w:val="0"/>
      <w:marTop w:val="0"/>
      <w:marBottom w:val="0"/>
      <w:divBdr>
        <w:top w:val="none" w:sz="0" w:space="0" w:color="auto"/>
        <w:left w:val="none" w:sz="0" w:space="0" w:color="auto"/>
        <w:bottom w:val="none" w:sz="0" w:space="0" w:color="auto"/>
        <w:right w:val="none" w:sz="0" w:space="0" w:color="auto"/>
      </w:divBdr>
    </w:div>
    <w:div w:id="711460340">
      <w:bodyDiv w:val="1"/>
      <w:marLeft w:val="0"/>
      <w:marRight w:val="0"/>
      <w:marTop w:val="0"/>
      <w:marBottom w:val="0"/>
      <w:divBdr>
        <w:top w:val="none" w:sz="0" w:space="0" w:color="auto"/>
        <w:left w:val="none" w:sz="0" w:space="0" w:color="auto"/>
        <w:bottom w:val="none" w:sz="0" w:space="0" w:color="auto"/>
        <w:right w:val="none" w:sz="0" w:space="0" w:color="auto"/>
      </w:divBdr>
    </w:div>
    <w:div w:id="750195588">
      <w:bodyDiv w:val="1"/>
      <w:marLeft w:val="0"/>
      <w:marRight w:val="0"/>
      <w:marTop w:val="0"/>
      <w:marBottom w:val="0"/>
      <w:divBdr>
        <w:top w:val="none" w:sz="0" w:space="0" w:color="auto"/>
        <w:left w:val="none" w:sz="0" w:space="0" w:color="auto"/>
        <w:bottom w:val="none" w:sz="0" w:space="0" w:color="auto"/>
        <w:right w:val="none" w:sz="0" w:space="0" w:color="auto"/>
      </w:divBdr>
    </w:div>
    <w:div w:id="772437544">
      <w:bodyDiv w:val="1"/>
      <w:marLeft w:val="0"/>
      <w:marRight w:val="0"/>
      <w:marTop w:val="0"/>
      <w:marBottom w:val="0"/>
      <w:divBdr>
        <w:top w:val="none" w:sz="0" w:space="0" w:color="auto"/>
        <w:left w:val="none" w:sz="0" w:space="0" w:color="auto"/>
        <w:bottom w:val="none" w:sz="0" w:space="0" w:color="auto"/>
        <w:right w:val="none" w:sz="0" w:space="0" w:color="auto"/>
      </w:divBdr>
    </w:div>
    <w:div w:id="774861572">
      <w:bodyDiv w:val="1"/>
      <w:marLeft w:val="0"/>
      <w:marRight w:val="0"/>
      <w:marTop w:val="0"/>
      <w:marBottom w:val="0"/>
      <w:divBdr>
        <w:top w:val="none" w:sz="0" w:space="0" w:color="auto"/>
        <w:left w:val="none" w:sz="0" w:space="0" w:color="auto"/>
        <w:bottom w:val="none" w:sz="0" w:space="0" w:color="auto"/>
        <w:right w:val="none" w:sz="0" w:space="0" w:color="auto"/>
      </w:divBdr>
    </w:div>
    <w:div w:id="784351329">
      <w:bodyDiv w:val="1"/>
      <w:marLeft w:val="0"/>
      <w:marRight w:val="0"/>
      <w:marTop w:val="0"/>
      <w:marBottom w:val="0"/>
      <w:divBdr>
        <w:top w:val="none" w:sz="0" w:space="0" w:color="auto"/>
        <w:left w:val="none" w:sz="0" w:space="0" w:color="auto"/>
        <w:bottom w:val="none" w:sz="0" w:space="0" w:color="auto"/>
        <w:right w:val="none" w:sz="0" w:space="0" w:color="auto"/>
      </w:divBdr>
    </w:div>
    <w:div w:id="787774192">
      <w:bodyDiv w:val="1"/>
      <w:marLeft w:val="0"/>
      <w:marRight w:val="0"/>
      <w:marTop w:val="0"/>
      <w:marBottom w:val="0"/>
      <w:divBdr>
        <w:top w:val="none" w:sz="0" w:space="0" w:color="auto"/>
        <w:left w:val="none" w:sz="0" w:space="0" w:color="auto"/>
        <w:bottom w:val="none" w:sz="0" w:space="0" w:color="auto"/>
        <w:right w:val="none" w:sz="0" w:space="0" w:color="auto"/>
      </w:divBdr>
    </w:div>
    <w:div w:id="796223797">
      <w:bodyDiv w:val="1"/>
      <w:marLeft w:val="0"/>
      <w:marRight w:val="0"/>
      <w:marTop w:val="0"/>
      <w:marBottom w:val="0"/>
      <w:divBdr>
        <w:top w:val="none" w:sz="0" w:space="0" w:color="auto"/>
        <w:left w:val="none" w:sz="0" w:space="0" w:color="auto"/>
        <w:bottom w:val="none" w:sz="0" w:space="0" w:color="auto"/>
        <w:right w:val="none" w:sz="0" w:space="0" w:color="auto"/>
      </w:divBdr>
    </w:div>
    <w:div w:id="809710378">
      <w:bodyDiv w:val="1"/>
      <w:marLeft w:val="0"/>
      <w:marRight w:val="0"/>
      <w:marTop w:val="0"/>
      <w:marBottom w:val="0"/>
      <w:divBdr>
        <w:top w:val="none" w:sz="0" w:space="0" w:color="auto"/>
        <w:left w:val="none" w:sz="0" w:space="0" w:color="auto"/>
        <w:bottom w:val="none" w:sz="0" w:space="0" w:color="auto"/>
        <w:right w:val="none" w:sz="0" w:space="0" w:color="auto"/>
      </w:divBdr>
    </w:div>
    <w:div w:id="810363012">
      <w:bodyDiv w:val="1"/>
      <w:marLeft w:val="0"/>
      <w:marRight w:val="0"/>
      <w:marTop w:val="0"/>
      <w:marBottom w:val="0"/>
      <w:divBdr>
        <w:top w:val="none" w:sz="0" w:space="0" w:color="auto"/>
        <w:left w:val="none" w:sz="0" w:space="0" w:color="auto"/>
        <w:bottom w:val="none" w:sz="0" w:space="0" w:color="auto"/>
        <w:right w:val="none" w:sz="0" w:space="0" w:color="auto"/>
      </w:divBdr>
    </w:div>
    <w:div w:id="829717361">
      <w:bodyDiv w:val="1"/>
      <w:marLeft w:val="0"/>
      <w:marRight w:val="0"/>
      <w:marTop w:val="0"/>
      <w:marBottom w:val="0"/>
      <w:divBdr>
        <w:top w:val="none" w:sz="0" w:space="0" w:color="auto"/>
        <w:left w:val="none" w:sz="0" w:space="0" w:color="auto"/>
        <w:bottom w:val="none" w:sz="0" w:space="0" w:color="auto"/>
        <w:right w:val="none" w:sz="0" w:space="0" w:color="auto"/>
      </w:divBdr>
    </w:div>
    <w:div w:id="836530744">
      <w:bodyDiv w:val="1"/>
      <w:marLeft w:val="0"/>
      <w:marRight w:val="0"/>
      <w:marTop w:val="0"/>
      <w:marBottom w:val="0"/>
      <w:divBdr>
        <w:top w:val="none" w:sz="0" w:space="0" w:color="auto"/>
        <w:left w:val="none" w:sz="0" w:space="0" w:color="auto"/>
        <w:bottom w:val="none" w:sz="0" w:space="0" w:color="auto"/>
        <w:right w:val="none" w:sz="0" w:space="0" w:color="auto"/>
      </w:divBdr>
    </w:div>
    <w:div w:id="846482096">
      <w:bodyDiv w:val="1"/>
      <w:marLeft w:val="0"/>
      <w:marRight w:val="0"/>
      <w:marTop w:val="0"/>
      <w:marBottom w:val="0"/>
      <w:divBdr>
        <w:top w:val="none" w:sz="0" w:space="0" w:color="auto"/>
        <w:left w:val="none" w:sz="0" w:space="0" w:color="auto"/>
        <w:bottom w:val="none" w:sz="0" w:space="0" w:color="auto"/>
        <w:right w:val="none" w:sz="0" w:space="0" w:color="auto"/>
      </w:divBdr>
    </w:div>
    <w:div w:id="853223252">
      <w:bodyDiv w:val="1"/>
      <w:marLeft w:val="0"/>
      <w:marRight w:val="0"/>
      <w:marTop w:val="0"/>
      <w:marBottom w:val="0"/>
      <w:divBdr>
        <w:top w:val="none" w:sz="0" w:space="0" w:color="auto"/>
        <w:left w:val="none" w:sz="0" w:space="0" w:color="auto"/>
        <w:bottom w:val="none" w:sz="0" w:space="0" w:color="auto"/>
        <w:right w:val="none" w:sz="0" w:space="0" w:color="auto"/>
      </w:divBdr>
    </w:div>
    <w:div w:id="882135722">
      <w:bodyDiv w:val="1"/>
      <w:marLeft w:val="0"/>
      <w:marRight w:val="0"/>
      <w:marTop w:val="0"/>
      <w:marBottom w:val="0"/>
      <w:divBdr>
        <w:top w:val="none" w:sz="0" w:space="0" w:color="auto"/>
        <w:left w:val="none" w:sz="0" w:space="0" w:color="auto"/>
        <w:bottom w:val="none" w:sz="0" w:space="0" w:color="auto"/>
        <w:right w:val="none" w:sz="0" w:space="0" w:color="auto"/>
      </w:divBdr>
    </w:div>
    <w:div w:id="885682533">
      <w:bodyDiv w:val="1"/>
      <w:marLeft w:val="0"/>
      <w:marRight w:val="0"/>
      <w:marTop w:val="0"/>
      <w:marBottom w:val="0"/>
      <w:divBdr>
        <w:top w:val="none" w:sz="0" w:space="0" w:color="auto"/>
        <w:left w:val="none" w:sz="0" w:space="0" w:color="auto"/>
        <w:bottom w:val="none" w:sz="0" w:space="0" w:color="auto"/>
        <w:right w:val="none" w:sz="0" w:space="0" w:color="auto"/>
      </w:divBdr>
      <w:divsChild>
        <w:div w:id="1835291218">
          <w:marLeft w:val="0"/>
          <w:marRight w:val="0"/>
          <w:marTop w:val="0"/>
          <w:marBottom w:val="0"/>
          <w:divBdr>
            <w:top w:val="none" w:sz="0" w:space="0" w:color="auto"/>
            <w:left w:val="none" w:sz="0" w:space="0" w:color="auto"/>
            <w:bottom w:val="none" w:sz="0" w:space="0" w:color="auto"/>
            <w:right w:val="none" w:sz="0" w:space="0" w:color="auto"/>
          </w:divBdr>
          <w:divsChild>
            <w:div w:id="1689063915">
              <w:marLeft w:val="0"/>
              <w:marRight w:val="0"/>
              <w:marTop w:val="0"/>
              <w:marBottom w:val="0"/>
              <w:divBdr>
                <w:top w:val="none" w:sz="0" w:space="0" w:color="auto"/>
                <w:left w:val="none" w:sz="0" w:space="0" w:color="auto"/>
                <w:bottom w:val="none" w:sz="0" w:space="0" w:color="auto"/>
                <w:right w:val="none" w:sz="0" w:space="0" w:color="auto"/>
              </w:divBdr>
              <w:divsChild>
                <w:div w:id="1542815342">
                  <w:marLeft w:val="0"/>
                  <w:marRight w:val="0"/>
                  <w:marTop w:val="0"/>
                  <w:marBottom w:val="0"/>
                  <w:divBdr>
                    <w:top w:val="none" w:sz="0" w:space="0" w:color="auto"/>
                    <w:left w:val="none" w:sz="0" w:space="0" w:color="auto"/>
                    <w:bottom w:val="none" w:sz="0" w:space="0" w:color="auto"/>
                    <w:right w:val="none" w:sz="0" w:space="0" w:color="auto"/>
                  </w:divBdr>
                  <w:divsChild>
                    <w:div w:id="1014957402">
                      <w:marLeft w:val="0"/>
                      <w:marRight w:val="0"/>
                      <w:marTop w:val="0"/>
                      <w:marBottom w:val="0"/>
                      <w:divBdr>
                        <w:top w:val="none" w:sz="0" w:space="0" w:color="auto"/>
                        <w:left w:val="none" w:sz="0" w:space="0" w:color="auto"/>
                        <w:bottom w:val="none" w:sz="0" w:space="0" w:color="auto"/>
                        <w:right w:val="none" w:sz="0" w:space="0" w:color="auto"/>
                      </w:divBdr>
                      <w:divsChild>
                        <w:div w:id="1728530298">
                          <w:marLeft w:val="-225"/>
                          <w:marRight w:val="-225"/>
                          <w:marTop w:val="0"/>
                          <w:marBottom w:val="0"/>
                          <w:divBdr>
                            <w:top w:val="none" w:sz="0" w:space="0" w:color="auto"/>
                            <w:left w:val="none" w:sz="0" w:space="0" w:color="auto"/>
                            <w:bottom w:val="none" w:sz="0" w:space="0" w:color="auto"/>
                            <w:right w:val="none" w:sz="0" w:space="0" w:color="auto"/>
                          </w:divBdr>
                          <w:divsChild>
                            <w:div w:id="1892035710">
                              <w:marLeft w:val="0"/>
                              <w:marRight w:val="0"/>
                              <w:marTop w:val="0"/>
                              <w:marBottom w:val="0"/>
                              <w:divBdr>
                                <w:top w:val="none" w:sz="0" w:space="0" w:color="auto"/>
                                <w:left w:val="none" w:sz="0" w:space="0" w:color="auto"/>
                                <w:bottom w:val="none" w:sz="0" w:space="0" w:color="auto"/>
                                <w:right w:val="none" w:sz="0" w:space="0" w:color="auto"/>
                              </w:divBdr>
                              <w:divsChild>
                                <w:div w:id="8954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152635">
      <w:bodyDiv w:val="1"/>
      <w:marLeft w:val="0"/>
      <w:marRight w:val="0"/>
      <w:marTop w:val="0"/>
      <w:marBottom w:val="0"/>
      <w:divBdr>
        <w:top w:val="none" w:sz="0" w:space="0" w:color="auto"/>
        <w:left w:val="none" w:sz="0" w:space="0" w:color="auto"/>
        <w:bottom w:val="none" w:sz="0" w:space="0" w:color="auto"/>
        <w:right w:val="none" w:sz="0" w:space="0" w:color="auto"/>
      </w:divBdr>
      <w:divsChild>
        <w:div w:id="878323613">
          <w:marLeft w:val="0"/>
          <w:marRight w:val="0"/>
          <w:marTop w:val="0"/>
          <w:marBottom w:val="0"/>
          <w:divBdr>
            <w:top w:val="none" w:sz="0" w:space="0" w:color="auto"/>
            <w:left w:val="none" w:sz="0" w:space="0" w:color="auto"/>
            <w:bottom w:val="none" w:sz="0" w:space="0" w:color="auto"/>
            <w:right w:val="none" w:sz="0" w:space="0" w:color="auto"/>
          </w:divBdr>
          <w:divsChild>
            <w:div w:id="16512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768">
      <w:bodyDiv w:val="1"/>
      <w:marLeft w:val="0"/>
      <w:marRight w:val="0"/>
      <w:marTop w:val="0"/>
      <w:marBottom w:val="0"/>
      <w:divBdr>
        <w:top w:val="none" w:sz="0" w:space="0" w:color="auto"/>
        <w:left w:val="none" w:sz="0" w:space="0" w:color="auto"/>
        <w:bottom w:val="none" w:sz="0" w:space="0" w:color="auto"/>
        <w:right w:val="none" w:sz="0" w:space="0" w:color="auto"/>
      </w:divBdr>
    </w:div>
    <w:div w:id="915020175">
      <w:bodyDiv w:val="1"/>
      <w:marLeft w:val="0"/>
      <w:marRight w:val="0"/>
      <w:marTop w:val="0"/>
      <w:marBottom w:val="0"/>
      <w:divBdr>
        <w:top w:val="none" w:sz="0" w:space="0" w:color="auto"/>
        <w:left w:val="none" w:sz="0" w:space="0" w:color="auto"/>
        <w:bottom w:val="none" w:sz="0" w:space="0" w:color="auto"/>
        <w:right w:val="none" w:sz="0" w:space="0" w:color="auto"/>
      </w:divBdr>
    </w:div>
    <w:div w:id="917524257">
      <w:bodyDiv w:val="1"/>
      <w:marLeft w:val="0"/>
      <w:marRight w:val="0"/>
      <w:marTop w:val="0"/>
      <w:marBottom w:val="0"/>
      <w:divBdr>
        <w:top w:val="none" w:sz="0" w:space="0" w:color="auto"/>
        <w:left w:val="none" w:sz="0" w:space="0" w:color="auto"/>
        <w:bottom w:val="none" w:sz="0" w:space="0" w:color="auto"/>
        <w:right w:val="none" w:sz="0" w:space="0" w:color="auto"/>
      </w:divBdr>
    </w:div>
    <w:div w:id="929848062">
      <w:bodyDiv w:val="1"/>
      <w:marLeft w:val="0"/>
      <w:marRight w:val="0"/>
      <w:marTop w:val="0"/>
      <w:marBottom w:val="0"/>
      <w:divBdr>
        <w:top w:val="none" w:sz="0" w:space="0" w:color="auto"/>
        <w:left w:val="none" w:sz="0" w:space="0" w:color="auto"/>
        <w:bottom w:val="none" w:sz="0" w:space="0" w:color="auto"/>
        <w:right w:val="none" w:sz="0" w:space="0" w:color="auto"/>
      </w:divBdr>
    </w:div>
    <w:div w:id="974287196">
      <w:bodyDiv w:val="1"/>
      <w:marLeft w:val="0"/>
      <w:marRight w:val="0"/>
      <w:marTop w:val="0"/>
      <w:marBottom w:val="0"/>
      <w:divBdr>
        <w:top w:val="none" w:sz="0" w:space="0" w:color="auto"/>
        <w:left w:val="none" w:sz="0" w:space="0" w:color="auto"/>
        <w:bottom w:val="none" w:sz="0" w:space="0" w:color="auto"/>
        <w:right w:val="none" w:sz="0" w:space="0" w:color="auto"/>
      </w:divBdr>
    </w:div>
    <w:div w:id="976304212">
      <w:bodyDiv w:val="1"/>
      <w:marLeft w:val="0"/>
      <w:marRight w:val="0"/>
      <w:marTop w:val="0"/>
      <w:marBottom w:val="0"/>
      <w:divBdr>
        <w:top w:val="none" w:sz="0" w:space="0" w:color="auto"/>
        <w:left w:val="none" w:sz="0" w:space="0" w:color="auto"/>
        <w:bottom w:val="none" w:sz="0" w:space="0" w:color="auto"/>
        <w:right w:val="none" w:sz="0" w:space="0" w:color="auto"/>
      </w:divBdr>
    </w:div>
    <w:div w:id="987054427">
      <w:bodyDiv w:val="1"/>
      <w:marLeft w:val="0"/>
      <w:marRight w:val="0"/>
      <w:marTop w:val="0"/>
      <w:marBottom w:val="0"/>
      <w:divBdr>
        <w:top w:val="none" w:sz="0" w:space="0" w:color="auto"/>
        <w:left w:val="none" w:sz="0" w:space="0" w:color="auto"/>
        <w:bottom w:val="none" w:sz="0" w:space="0" w:color="auto"/>
        <w:right w:val="none" w:sz="0" w:space="0" w:color="auto"/>
      </w:divBdr>
    </w:div>
    <w:div w:id="1011952337">
      <w:bodyDiv w:val="1"/>
      <w:marLeft w:val="0"/>
      <w:marRight w:val="0"/>
      <w:marTop w:val="0"/>
      <w:marBottom w:val="0"/>
      <w:divBdr>
        <w:top w:val="none" w:sz="0" w:space="0" w:color="auto"/>
        <w:left w:val="none" w:sz="0" w:space="0" w:color="auto"/>
        <w:bottom w:val="none" w:sz="0" w:space="0" w:color="auto"/>
        <w:right w:val="none" w:sz="0" w:space="0" w:color="auto"/>
      </w:divBdr>
    </w:div>
    <w:div w:id="1020199758">
      <w:bodyDiv w:val="1"/>
      <w:marLeft w:val="0"/>
      <w:marRight w:val="0"/>
      <w:marTop w:val="0"/>
      <w:marBottom w:val="0"/>
      <w:divBdr>
        <w:top w:val="none" w:sz="0" w:space="0" w:color="auto"/>
        <w:left w:val="none" w:sz="0" w:space="0" w:color="auto"/>
        <w:bottom w:val="none" w:sz="0" w:space="0" w:color="auto"/>
        <w:right w:val="none" w:sz="0" w:space="0" w:color="auto"/>
      </w:divBdr>
    </w:div>
    <w:div w:id="1021466592">
      <w:bodyDiv w:val="1"/>
      <w:marLeft w:val="0"/>
      <w:marRight w:val="0"/>
      <w:marTop w:val="0"/>
      <w:marBottom w:val="0"/>
      <w:divBdr>
        <w:top w:val="none" w:sz="0" w:space="0" w:color="auto"/>
        <w:left w:val="none" w:sz="0" w:space="0" w:color="auto"/>
        <w:bottom w:val="none" w:sz="0" w:space="0" w:color="auto"/>
        <w:right w:val="none" w:sz="0" w:space="0" w:color="auto"/>
      </w:divBdr>
    </w:div>
    <w:div w:id="1036346457">
      <w:bodyDiv w:val="1"/>
      <w:marLeft w:val="0"/>
      <w:marRight w:val="0"/>
      <w:marTop w:val="0"/>
      <w:marBottom w:val="0"/>
      <w:divBdr>
        <w:top w:val="none" w:sz="0" w:space="0" w:color="auto"/>
        <w:left w:val="none" w:sz="0" w:space="0" w:color="auto"/>
        <w:bottom w:val="none" w:sz="0" w:space="0" w:color="auto"/>
        <w:right w:val="none" w:sz="0" w:space="0" w:color="auto"/>
      </w:divBdr>
    </w:div>
    <w:div w:id="1084759715">
      <w:bodyDiv w:val="1"/>
      <w:marLeft w:val="0"/>
      <w:marRight w:val="0"/>
      <w:marTop w:val="0"/>
      <w:marBottom w:val="0"/>
      <w:divBdr>
        <w:top w:val="none" w:sz="0" w:space="0" w:color="auto"/>
        <w:left w:val="none" w:sz="0" w:space="0" w:color="auto"/>
        <w:bottom w:val="none" w:sz="0" w:space="0" w:color="auto"/>
        <w:right w:val="none" w:sz="0" w:space="0" w:color="auto"/>
      </w:divBdr>
    </w:div>
    <w:div w:id="1084911431">
      <w:bodyDiv w:val="1"/>
      <w:marLeft w:val="0"/>
      <w:marRight w:val="0"/>
      <w:marTop w:val="0"/>
      <w:marBottom w:val="0"/>
      <w:divBdr>
        <w:top w:val="none" w:sz="0" w:space="0" w:color="auto"/>
        <w:left w:val="none" w:sz="0" w:space="0" w:color="auto"/>
        <w:bottom w:val="none" w:sz="0" w:space="0" w:color="auto"/>
        <w:right w:val="none" w:sz="0" w:space="0" w:color="auto"/>
      </w:divBdr>
    </w:div>
    <w:div w:id="1126658279">
      <w:bodyDiv w:val="1"/>
      <w:marLeft w:val="0"/>
      <w:marRight w:val="0"/>
      <w:marTop w:val="0"/>
      <w:marBottom w:val="0"/>
      <w:divBdr>
        <w:top w:val="none" w:sz="0" w:space="0" w:color="auto"/>
        <w:left w:val="none" w:sz="0" w:space="0" w:color="auto"/>
        <w:bottom w:val="none" w:sz="0" w:space="0" w:color="auto"/>
        <w:right w:val="none" w:sz="0" w:space="0" w:color="auto"/>
      </w:divBdr>
      <w:divsChild>
        <w:div w:id="1065184667">
          <w:marLeft w:val="0"/>
          <w:marRight w:val="0"/>
          <w:marTop w:val="0"/>
          <w:marBottom w:val="0"/>
          <w:divBdr>
            <w:top w:val="none" w:sz="0" w:space="0" w:color="auto"/>
            <w:left w:val="none" w:sz="0" w:space="0" w:color="auto"/>
            <w:bottom w:val="none" w:sz="0" w:space="0" w:color="auto"/>
            <w:right w:val="none" w:sz="0" w:space="0" w:color="auto"/>
          </w:divBdr>
        </w:div>
        <w:div w:id="34165110">
          <w:marLeft w:val="0"/>
          <w:marRight w:val="0"/>
          <w:marTop w:val="0"/>
          <w:marBottom w:val="0"/>
          <w:divBdr>
            <w:top w:val="none" w:sz="0" w:space="0" w:color="auto"/>
            <w:left w:val="none" w:sz="0" w:space="0" w:color="auto"/>
            <w:bottom w:val="none" w:sz="0" w:space="0" w:color="auto"/>
            <w:right w:val="none" w:sz="0" w:space="0" w:color="auto"/>
          </w:divBdr>
        </w:div>
      </w:divsChild>
    </w:div>
    <w:div w:id="1130365443">
      <w:bodyDiv w:val="1"/>
      <w:marLeft w:val="0"/>
      <w:marRight w:val="0"/>
      <w:marTop w:val="0"/>
      <w:marBottom w:val="0"/>
      <w:divBdr>
        <w:top w:val="none" w:sz="0" w:space="0" w:color="auto"/>
        <w:left w:val="none" w:sz="0" w:space="0" w:color="auto"/>
        <w:bottom w:val="none" w:sz="0" w:space="0" w:color="auto"/>
        <w:right w:val="none" w:sz="0" w:space="0" w:color="auto"/>
      </w:divBdr>
      <w:divsChild>
        <w:div w:id="69892643">
          <w:marLeft w:val="0"/>
          <w:marRight w:val="0"/>
          <w:marTop w:val="300"/>
          <w:marBottom w:val="300"/>
          <w:divBdr>
            <w:top w:val="none" w:sz="0" w:space="0" w:color="auto"/>
            <w:left w:val="none" w:sz="0" w:space="0" w:color="auto"/>
            <w:bottom w:val="none" w:sz="0" w:space="0" w:color="auto"/>
            <w:right w:val="none" w:sz="0" w:space="0" w:color="auto"/>
          </w:divBdr>
          <w:divsChild>
            <w:div w:id="1354766748">
              <w:marLeft w:val="0"/>
              <w:marRight w:val="0"/>
              <w:marTop w:val="0"/>
              <w:marBottom w:val="0"/>
              <w:divBdr>
                <w:top w:val="none" w:sz="0" w:space="0" w:color="auto"/>
                <w:left w:val="none" w:sz="0" w:space="0" w:color="auto"/>
                <w:bottom w:val="none" w:sz="0" w:space="0" w:color="auto"/>
                <w:right w:val="none" w:sz="0" w:space="0" w:color="auto"/>
              </w:divBdr>
            </w:div>
          </w:divsChild>
        </w:div>
        <w:div w:id="224951980">
          <w:marLeft w:val="0"/>
          <w:marRight w:val="0"/>
          <w:marTop w:val="0"/>
          <w:marBottom w:val="0"/>
          <w:divBdr>
            <w:top w:val="none" w:sz="0" w:space="0" w:color="auto"/>
            <w:left w:val="none" w:sz="0" w:space="0" w:color="auto"/>
            <w:bottom w:val="none" w:sz="0" w:space="0" w:color="auto"/>
            <w:right w:val="none" w:sz="0" w:space="0" w:color="auto"/>
          </w:divBdr>
          <w:divsChild>
            <w:div w:id="10597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4707">
      <w:bodyDiv w:val="1"/>
      <w:marLeft w:val="0"/>
      <w:marRight w:val="0"/>
      <w:marTop w:val="0"/>
      <w:marBottom w:val="0"/>
      <w:divBdr>
        <w:top w:val="none" w:sz="0" w:space="0" w:color="auto"/>
        <w:left w:val="none" w:sz="0" w:space="0" w:color="auto"/>
        <w:bottom w:val="none" w:sz="0" w:space="0" w:color="auto"/>
        <w:right w:val="none" w:sz="0" w:space="0" w:color="auto"/>
      </w:divBdr>
    </w:div>
    <w:div w:id="1197235901">
      <w:bodyDiv w:val="1"/>
      <w:marLeft w:val="0"/>
      <w:marRight w:val="0"/>
      <w:marTop w:val="0"/>
      <w:marBottom w:val="0"/>
      <w:divBdr>
        <w:top w:val="none" w:sz="0" w:space="0" w:color="auto"/>
        <w:left w:val="none" w:sz="0" w:space="0" w:color="auto"/>
        <w:bottom w:val="none" w:sz="0" w:space="0" w:color="auto"/>
        <w:right w:val="none" w:sz="0" w:space="0" w:color="auto"/>
      </w:divBdr>
    </w:div>
    <w:div w:id="1200826223">
      <w:bodyDiv w:val="1"/>
      <w:marLeft w:val="0"/>
      <w:marRight w:val="0"/>
      <w:marTop w:val="0"/>
      <w:marBottom w:val="0"/>
      <w:divBdr>
        <w:top w:val="none" w:sz="0" w:space="0" w:color="auto"/>
        <w:left w:val="none" w:sz="0" w:space="0" w:color="auto"/>
        <w:bottom w:val="none" w:sz="0" w:space="0" w:color="auto"/>
        <w:right w:val="none" w:sz="0" w:space="0" w:color="auto"/>
      </w:divBdr>
    </w:div>
    <w:div w:id="1225143499">
      <w:bodyDiv w:val="1"/>
      <w:marLeft w:val="0"/>
      <w:marRight w:val="0"/>
      <w:marTop w:val="0"/>
      <w:marBottom w:val="0"/>
      <w:divBdr>
        <w:top w:val="none" w:sz="0" w:space="0" w:color="auto"/>
        <w:left w:val="none" w:sz="0" w:space="0" w:color="auto"/>
        <w:bottom w:val="none" w:sz="0" w:space="0" w:color="auto"/>
        <w:right w:val="none" w:sz="0" w:space="0" w:color="auto"/>
      </w:divBdr>
    </w:div>
    <w:div w:id="1231840969">
      <w:bodyDiv w:val="1"/>
      <w:marLeft w:val="0"/>
      <w:marRight w:val="0"/>
      <w:marTop w:val="0"/>
      <w:marBottom w:val="0"/>
      <w:divBdr>
        <w:top w:val="none" w:sz="0" w:space="0" w:color="auto"/>
        <w:left w:val="none" w:sz="0" w:space="0" w:color="auto"/>
        <w:bottom w:val="none" w:sz="0" w:space="0" w:color="auto"/>
        <w:right w:val="none" w:sz="0" w:space="0" w:color="auto"/>
      </w:divBdr>
      <w:divsChild>
        <w:div w:id="486634546">
          <w:marLeft w:val="547"/>
          <w:marRight w:val="0"/>
          <w:marTop w:val="0"/>
          <w:marBottom w:val="0"/>
          <w:divBdr>
            <w:top w:val="none" w:sz="0" w:space="0" w:color="auto"/>
            <w:left w:val="none" w:sz="0" w:space="0" w:color="auto"/>
            <w:bottom w:val="none" w:sz="0" w:space="0" w:color="auto"/>
            <w:right w:val="none" w:sz="0" w:space="0" w:color="auto"/>
          </w:divBdr>
        </w:div>
      </w:divsChild>
    </w:div>
    <w:div w:id="1237516958">
      <w:bodyDiv w:val="1"/>
      <w:marLeft w:val="0"/>
      <w:marRight w:val="0"/>
      <w:marTop w:val="0"/>
      <w:marBottom w:val="0"/>
      <w:divBdr>
        <w:top w:val="none" w:sz="0" w:space="0" w:color="auto"/>
        <w:left w:val="none" w:sz="0" w:space="0" w:color="auto"/>
        <w:bottom w:val="none" w:sz="0" w:space="0" w:color="auto"/>
        <w:right w:val="none" w:sz="0" w:space="0" w:color="auto"/>
      </w:divBdr>
    </w:div>
    <w:div w:id="1238438012">
      <w:bodyDiv w:val="1"/>
      <w:marLeft w:val="0"/>
      <w:marRight w:val="0"/>
      <w:marTop w:val="0"/>
      <w:marBottom w:val="0"/>
      <w:divBdr>
        <w:top w:val="none" w:sz="0" w:space="0" w:color="auto"/>
        <w:left w:val="none" w:sz="0" w:space="0" w:color="auto"/>
        <w:bottom w:val="none" w:sz="0" w:space="0" w:color="auto"/>
        <w:right w:val="none" w:sz="0" w:space="0" w:color="auto"/>
      </w:divBdr>
      <w:divsChild>
        <w:div w:id="1803421832">
          <w:marLeft w:val="547"/>
          <w:marRight w:val="0"/>
          <w:marTop w:val="0"/>
          <w:marBottom w:val="0"/>
          <w:divBdr>
            <w:top w:val="none" w:sz="0" w:space="0" w:color="auto"/>
            <w:left w:val="none" w:sz="0" w:space="0" w:color="auto"/>
            <w:bottom w:val="none" w:sz="0" w:space="0" w:color="auto"/>
            <w:right w:val="none" w:sz="0" w:space="0" w:color="auto"/>
          </w:divBdr>
        </w:div>
      </w:divsChild>
    </w:div>
    <w:div w:id="1255475606">
      <w:bodyDiv w:val="1"/>
      <w:marLeft w:val="0"/>
      <w:marRight w:val="0"/>
      <w:marTop w:val="0"/>
      <w:marBottom w:val="0"/>
      <w:divBdr>
        <w:top w:val="none" w:sz="0" w:space="0" w:color="auto"/>
        <w:left w:val="none" w:sz="0" w:space="0" w:color="auto"/>
        <w:bottom w:val="none" w:sz="0" w:space="0" w:color="auto"/>
        <w:right w:val="none" w:sz="0" w:space="0" w:color="auto"/>
      </w:divBdr>
    </w:div>
    <w:div w:id="1255742380">
      <w:bodyDiv w:val="1"/>
      <w:marLeft w:val="0"/>
      <w:marRight w:val="0"/>
      <w:marTop w:val="0"/>
      <w:marBottom w:val="0"/>
      <w:divBdr>
        <w:top w:val="none" w:sz="0" w:space="0" w:color="auto"/>
        <w:left w:val="none" w:sz="0" w:space="0" w:color="auto"/>
        <w:bottom w:val="none" w:sz="0" w:space="0" w:color="auto"/>
        <w:right w:val="none" w:sz="0" w:space="0" w:color="auto"/>
      </w:divBdr>
    </w:div>
    <w:div w:id="1260412890">
      <w:bodyDiv w:val="1"/>
      <w:marLeft w:val="0"/>
      <w:marRight w:val="0"/>
      <w:marTop w:val="0"/>
      <w:marBottom w:val="0"/>
      <w:divBdr>
        <w:top w:val="none" w:sz="0" w:space="0" w:color="auto"/>
        <w:left w:val="none" w:sz="0" w:space="0" w:color="auto"/>
        <w:bottom w:val="none" w:sz="0" w:space="0" w:color="auto"/>
        <w:right w:val="none" w:sz="0" w:space="0" w:color="auto"/>
      </w:divBdr>
    </w:div>
    <w:div w:id="1295060157">
      <w:bodyDiv w:val="1"/>
      <w:marLeft w:val="0"/>
      <w:marRight w:val="0"/>
      <w:marTop w:val="0"/>
      <w:marBottom w:val="0"/>
      <w:divBdr>
        <w:top w:val="none" w:sz="0" w:space="0" w:color="auto"/>
        <w:left w:val="none" w:sz="0" w:space="0" w:color="auto"/>
        <w:bottom w:val="none" w:sz="0" w:space="0" w:color="auto"/>
        <w:right w:val="none" w:sz="0" w:space="0" w:color="auto"/>
      </w:divBdr>
    </w:div>
    <w:div w:id="1302151769">
      <w:bodyDiv w:val="1"/>
      <w:marLeft w:val="0"/>
      <w:marRight w:val="0"/>
      <w:marTop w:val="0"/>
      <w:marBottom w:val="0"/>
      <w:divBdr>
        <w:top w:val="none" w:sz="0" w:space="0" w:color="auto"/>
        <w:left w:val="none" w:sz="0" w:space="0" w:color="auto"/>
        <w:bottom w:val="none" w:sz="0" w:space="0" w:color="auto"/>
        <w:right w:val="none" w:sz="0" w:space="0" w:color="auto"/>
      </w:divBdr>
    </w:div>
    <w:div w:id="1303541948">
      <w:bodyDiv w:val="1"/>
      <w:marLeft w:val="0"/>
      <w:marRight w:val="0"/>
      <w:marTop w:val="0"/>
      <w:marBottom w:val="0"/>
      <w:divBdr>
        <w:top w:val="none" w:sz="0" w:space="0" w:color="auto"/>
        <w:left w:val="none" w:sz="0" w:space="0" w:color="auto"/>
        <w:bottom w:val="none" w:sz="0" w:space="0" w:color="auto"/>
        <w:right w:val="none" w:sz="0" w:space="0" w:color="auto"/>
      </w:divBdr>
    </w:div>
    <w:div w:id="1310093616">
      <w:bodyDiv w:val="1"/>
      <w:marLeft w:val="0"/>
      <w:marRight w:val="0"/>
      <w:marTop w:val="0"/>
      <w:marBottom w:val="0"/>
      <w:divBdr>
        <w:top w:val="none" w:sz="0" w:space="0" w:color="auto"/>
        <w:left w:val="none" w:sz="0" w:space="0" w:color="auto"/>
        <w:bottom w:val="none" w:sz="0" w:space="0" w:color="auto"/>
        <w:right w:val="none" w:sz="0" w:space="0" w:color="auto"/>
      </w:divBdr>
    </w:div>
    <w:div w:id="1312716474">
      <w:bodyDiv w:val="1"/>
      <w:marLeft w:val="0"/>
      <w:marRight w:val="0"/>
      <w:marTop w:val="0"/>
      <w:marBottom w:val="0"/>
      <w:divBdr>
        <w:top w:val="none" w:sz="0" w:space="0" w:color="auto"/>
        <w:left w:val="none" w:sz="0" w:space="0" w:color="auto"/>
        <w:bottom w:val="none" w:sz="0" w:space="0" w:color="auto"/>
        <w:right w:val="none" w:sz="0" w:space="0" w:color="auto"/>
      </w:divBdr>
    </w:div>
    <w:div w:id="1348289795">
      <w:bodyDiv w:val="1"/>
      <w:marLeft w:val="0"/>
      <w:marRight w:val="0"/>
      <w:marTop w:val="0"/>
      <w:marBottom w:val="0"/>
      <w:divBdr>
        <w:top w:val="none" w:sz="0" w:space="0" w:color="auto"/>
        <w:left w:val="none" w:sz="0" w:space="0" w:color="auto"/>
        <w:bottom w:val="none" w:sz="0" w:space="0" w:color="auto"/>
        <w:right w:val="none" w:sz="0" w:space="0" w:color="auto"/>
      </w:divBdr>
      <w:divsChild>
        <w:div w:id="1453477238">
          <w:marLeft w:val="0"/>
          <w:marRight w:val="0"/>
          <w:marTop w:val="0"/>
          <w:marBottom w:val="0"/>
          <w:divBdr>
            <w:top w:val="none" w:sz="0" w:space="0" w:color="auto"/>
            <w:left w:val="none" w:sz="0" w:space="0" w:color="auto"/>
            <w:bottom w:val="none" w:sz="0" w:space="0" w:color="auto"/>
            <w:right w:val="none" w:sz="0" w:space="0" w:color="auto"/>
          </w:divBdr>
          <w:divsChild>
            <w:div w:id="13556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83993">
      <w:bodyDiv w:val="1"/>
      <w:marLeft w:val="0"/>
      <w:marRight w:val="0"/>
      <w:marTop w:val="0"/>
      <w:marBottom w:val="0"/>
      <w:divBdr>
        <w:top w:val="none" w:sz="0" w:space="0" w:color="auto"/>
        <w:left w:val="none" w:sz="0" w:space="0" w:color="auto"/>
        <w:bottom w:val="none" w:sz="0" w:space="0" w:color="auto"/>
        <w:right w:val="none" w:sz="0" w:space="0" w:color="auto"/>
      </w:divBdr>
    </w:div>
    <w:div w:id="1387946061">
      <w:bodyDiv w:val="1"/>
      <w:marLeft w:val="0"/>
      <w:marRight w:val="0"/>
      <w:marTop w:val="0"/>
      <w:marBottom w:val="0"/>
      <w:divBdr>
        <w:top w:val="none" w:sz="0" w:space="0" w:color="auto"/>
        <w:left w:val="none" w:sz="0" w:space="0" w:color="auto"/>
        <w:bottom w:val="none" w:sz="0" w:space="0" w:color="auto"/>
        <w:right w:val="none" w:sz="0" w:space="0" w:color="auto"/>
      </w:divBdr>
    </w:div>
    <w:div w:id="1390768101">
      <w:bodyDiv w:val="1"/>
      <w:marLeft w:val="0"/>
      <w:marRight w:val="0"/>
      <w:marTop w:val="0"/>
      <w:marBottom w:val="0"/>
      <w:divBdr>
        <w:top w:val="none" w:sz="0" w:space="0" w:color="auto"/>
        <w:left w:val="none" w:sz="0" w:space="0" w:color="auto"/>
        <w:bottom w:val="none" w:sz="0" w:space="0" w:color="auto"/>
        <w:right w:val="none" w:sz="0" w:space="0" w:color="auto"/>
      </w:divBdr>
      <w:divsChild>
        <w:div w:id="552888479">
          <w:marLeft w:val="0"/>
          <w:marRight w:val="0"/>
          <w:marTop w:val="0"/>
          <w:marBottom w:val="0"/>
          <w:divBdr>
            <w:top w:val="none" w:sz="0" w:space="0" w:color="auto"/>
            <w:left w:val="none" w:sz="0" w:space="0" w:color="auto"/>
            <w:bottom w:val="none" w:sz="0" w:space="0" w:color="auto"/>
            <w:right w:val="none" w:sz="0" w:space="0" w:color="auto"/>
          </w:divBdr>
          <w:divsChild>
            <w:div w:id="1950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7004">
      <w:bodyDiv w:val="1"/>
      <w:marLeft w:val="0"/>
      <w:marRight w:val="0"/>
      <w:marTop w:val="0"/>
      <w:marBottom w:val="0"/>
      <w:divBdr>
        <w:top w:val="none" w:sz="0" w:space="0" w:color="auto"/>
        <w:left w:val="none" w:sz="0" w:space="0" w:color="auto"/>
        <w:bottom w:val="none" w:sz="0" w:space="0" w:color="auto"/>
        <w:right w:val="none" w:sz="0" w:space="0" w:color="auto"/>
      </w:divBdr>
    </w:div>
    <w:div w:id="1422292887">
      <w:bodyDiv w:val="1"/>
      <w:marLeft w:val="0"/>
      <w:marRight w:val="0"/>
      <w:marTop w:val="0"/>
      <w:marBottom w:val="0"/>
      <w:divBdr>
        <w:top w:val="none" w:sz="0" w:space="0" w:color="auto"/>
        <w:left w:val="none" w:sz="0" w:space="0" w:color="auto"/>
        <w:bottom w:val="none" w:sz="0" w:space="0" w:color="auto"/>
        <w:right w:val="none" w:sz="0" w:space="0" w:color="auto"/>
      </w:divBdr>
    </w:div>
    <w:div w:id="1425540493">
      <w:bodyDiv w:val="1"/>
      <w:marLeft w:val="0"/>
      <w:marRight w:val="0"/>
      <w:marTop w:val="0"/>
      <w:marBottom w:val="0"/>
      <w:divBdr>
        <w:top w:val="none" w:sz="0" w:space="0" w:color="auto"/>
        <w:left w:val="none" w:sz="0" w:space="0" w:color="auto"/>
        <w:bottom w:val="none" w:sz="0" w:space="0" w:color="auto"/>
        <w:right w:val="none" w:sz="0" w:space="0" w:color="auto"/>
      </w:divBdr>
      <w:divsChild>
        <w:div w:id="60324818">
          <w:marLeft w:val="547"/>
          <w:marRight w:val="0"/>
          <w:marTop w:val="0"/>
          <w:marBottom w:val="0"/>
          <w:divBdr>
            <w:top w:val="none" w:sz="0" w:space="0" w:color="auto"/>
            <w:left w:val="none" w:sz="0" w:space="0" w:color="auto"/>
            <w:bottom w:val="none" w:sz="0" w:space="0" w:color="auto"/>
            <w:right w:val="none" w:sz="0" w:space="0" w:color="auto"/>
          </w:divBdr>
        </w:div>
      </w:divsChild>
    </w:div>
    <w:div w:id="1436515650">
      <w:bodyDiv w:val="1"/>
      <w:marLeft w:val="0"/>
      <w:marRight w:val="0"/>
      <w:marTop w:val="0"/>
      <w:marBottom w:val="0"/>
      <w:divBdr>
        <w:top w:val="none" w:sz="0" w:space="0" w:color="auto"/>
        <w:left w:val="none" w:sz="0" w:space="0" w:color="auto"/>
        <w:bottom w:val="none" w:sz="0" w:space="0" w:color="auto"/>
        <w:right w:val="none" w:sz="0" w:space="0" w:color="auto"/>
      </w:divBdr>
    </w:div>
    <w:div w:id="1438214962">
      <w:bodyDiv w:val="1"/>
      <w:marLeft w:val="0"/>
      <w:marRight w:val="0"/>
      <w:marTop w:val="0"/>
      <w:marBottom w:val="0"/>
      <w:divBdr>
        <w:top w:val="none" w:sz="0" w:space="0" w:color="auto"/>
        <w:left w:val="none" w:sz="0" w:space="0" w:color="auto"/>
        <w:bottom w:val="none" w:sz="0" w:space="0" w:color="auto"/>
        <w:right w:val="none" w:sz="0" w:space="0" w:color="auto"/>
      </w:divBdr>
    </w:div>
    <w:div w:id="1500388777">
      <w:bodyDiv w:val="1"/>
      <w:marLeft w:val="0"/>
      <w:marRight w:val="0"/>
      <w:marTop w:val="0"/>
      <w:marBottom w:val="0"/>
      <w:divBdr>
        <w:top w:val="none" w:sz="0" w:space="0" w:color="auto"/>
        <w:left w:val="none" w:sz="0" w:space="0" w:color="auto"/>
        <w:bottom w:val="none" w:sz="0" w:space="0" w:color="auto"/>
        <w:right w:val="none" w:sz="0" w:space="0" w:color="auto"/>
      </w:divBdr>
    </w:div>
    <w:div w:id="1508248369">
      <w:bodyDiv w:val="1"/>
      <w:marLeft w:val="0"/>
      <w:marRight w:val="0"/>
      <w:marTop w:val="0"/>
      <w:marBottom w:val="0"/>
      <w:divBdr>
        <w:top w:val="none" w:sz="0" w:space="0" w:color="auto"/>
        <w:left w:val="none" w:sz="0" w:space="0" w:color="auto"/>
        <w:bottom w:val="none" w:sz="0" w:space="0" w:color="auto"/>
        <w:right w:val="none" w:sz="0" w:space="0" w:color="auto"/>
      </w:divBdr>
    </w:div>
    <w:div w:id="1512183055">
      <w:bodyDiv w:val="1"/>
      <w:marLeft w:val="0"/>
      <w:marRight w:val="0"/>
      <w:marTop w:val="0"/>
      <w:marBottom w:val="0"/>
      <w:divBdr>
        <w:top w:val="none" w:sz="0" w:space="0" w:color="auto"/>
        <w:left w:val="none" w:sz="0" w:space="0" w:color="auto"/>
        <w:bottom w:val="none" w:sz="0" w:space="0" w:color="auto"/>
        <w:right w:val="none" w:sz="0" w:space="0" w:color="auto"/>
      </w:divBdr>
    </w:div>
    <w:div w:id="1520200071">
      <w:bodyDiv w:val="1"/>
      <w:marLeft w:val="0"/>
      <w:marRight w:val="0"/>
      <w:marTop w:val="0"/>
      <w:marBottom w:val="0"/>
      <w:divBdr>
        <w:top w:val="none" w:sz="0" w:space="0" w:color="auto"/>
        <w:left w:val="none" w:sz="0" w:space="0" w:color="auto"/>
        <w:bottom w:val="none" w:sz="0" w:space="0" w:color="auto"/>
        <w:right w:val="none" w:sz="0" w:space="0" w:color="auto"/>
      </w:divBdr>
    </w:div>
    <w:div w:id="1523283505">
      <w:bodyDiv w:val="1"/>
      <w:marLeft w:val="0"/>
      <w:marRight w:val="0"/>
      <w:marTop w:val="0"/>
      <w:marBottom w:val="0"/>
      <w:divBdr>
        <w:top w:val="none" w:sz="0" w:space="0" w:color="auto"/>
        <w:left w:val="none" w:sz="0" w:space="0" w:color="auto"/>
        <w:bottom w:val="none" w:sz="0" w:space="0" w:color="auto"/>
        <w:right w:val="none" w:sz="0" w:space="0" w:color="auto"/>
      </w:divBdr>
    </w:div>
    <w:div w:id="1526824344">
      <w:bodyDiv w:val="1"/>
      <w:marLeft w:val="0"/>
      <w:marRight w:val="0"/>
      <w:marTop w:val="0"/>
      <w:marBottom w:val="0"/>
      <w:divBdr>
        <w:top w:val="none" w:sz="0" w:space="0" w:color="auto"/>
        <w:left w:val="none" w:sz="0" w:space="0" w:color="auto"/>
        <w:bottom w:val="none" w:sz="0" w:space="0" w:color="auto"/>
        <w:right w:val="none" w:sz="0" w:space="0" w:color="auto"/>
      </w:divBdr>
      <w:divsChild>
        <w:div w:id="1183474744">
          <w:marLeft w:val="0"/>
          <w:marRight w:val="0"/>
          <w:marTop w:val="0"/>
          <w:marBottom w:val="0"/>
          <w:divBdr>
            <w:top w:val="none" w:sz="0" w:space="0" w:color="auto"/>
            <w:left w:val="none" w:sz="0" w:space="0" w:color="auto"/>
            <w:bottom w:val="none" w:sz="0" w:space="0" w:color="auto"/>
            <w:right w:val="none" w:sz="0" w:space="0" w:color="auto"/>
          </w:divBdr>
        </w:div>
        <w:div w:id="1810708489">
          <w:marLeft w:val="0"/>
          <w:marRight w:val="0"/>
          <w:marTop w:val="0"/>
          <w:marBottom w:val="0"/>
          <w:divBdr>
            <w:top w:val="none" w:sz="0" w:space="0" w:color="auto"/>
            <w:left w:val="none" w:sz="0" w:space="0" w:color="auto"/>
            <w:bottom w:val="none" w:sz="0" w:space="0" w:color="auto"/>
            <w:right w:val="none" w:sz="0" w:space="0" w:color="auto"/>
          </w:divBdr>
        </w:div>
      </w:divsChild>
    </w:div>
    <w:div w:id="1543135308">
      <w:bodyDiv w:val="1"/>
      <w:marLeft w:val="0"/>
      <w:marRight w:val="0"/>
      <w:marTop w:val="0"/>
      <w:marBottom w:val="0"/>
      <w:divBdr>
        <w:top w:val="none" w:sz="0" w:space="0" w:color="auto"/>
        <w:left w:val="none" w:sz="0" w:space="0" w:color="auto"/>
        <w:bottom w:val="none" w:sz="0" w:space="0" w:color="auto"/>
        <w:right w:val="none" w:sz="0" w:space="0" w:color="auto"/>
      </w:divBdr>
    </w:div>
    <w:div w:id="1569878349">
      <w:bodyDiv w:val="1"/>
      <w:marLeft w:val="0"/>
      <w:marRight w:val="0"/>
      <w:marTop w:val="0"/>
      <w:marBottom w:val="0"/>
      <w:divBdr>
        <w:top w:val="none" w:sz="0" w:space="0" w:color="auto"/>
        <w:left w:val="none" w:sz="0" w:space="0" w:color="auto"/>
        <w:bottom w:val="none" w:sz="0" w:space="0" w:color="auto"/>
        <w:right w:val="none" w:sz="0" w:space="0" w:color="auto"/>
      </w:divBdr>
    </w:div>
    <w:div w:id="1577203470">
      <w:bodyDiv w:val="1"/>
      <w:marLeft w:val="0"/>
      <w:marRight w:val="0"/>
      <w:marTop w:val="0"/>
      <w:marBottom w:val="0"/>
      <w:divBdr>
        <w:top w:val="none" w:sz="0" w:space="0" w:color="auto"/>
        <w:left w:val="none" w:sz="0" w:space="0" w:color="auto"/>
        <w:bottom w:val="none" w:sz="0" w:space="0" w:color="auto"/>
        <w:right w:val="none" w:sz="0" w:space="0" w:color="auto"/>
      </w:divBdr>
    </w:div>
    <w:div w:id="1610046073">
      <w:bodyDiv w:val="1"/>
      <w:marLeft w:val="0"/>
      <w:marRight w:val="0"/>
      <w:marTop w:val="0"/>
      <w:marBottom w:val="0"/>
      <w:divBdr>
        <w:top w:val="none" w:sz="0" w:space="0" w:color="auto"/>
        <w:left w:val="none" w:sz="0" w:space="0" w:color="auto"/>
        <w:bottom w:val="none" w:sz="0" w:space="0" w:color="auto"/>
        <w:right w:val="none" w:sz="0" w:space="0" w:color="auto"/>
      </w:divBdr>
    </w:div>
    <w:div w:id="1610775953">
      <w:bodyDiv w:val="1"/>
      <w:marLeft w:val="0"/>
      <w:marRight w:val="0"/>
      <w:marTop w:val="0"/>
      <w:marBottom w:val="0"/>
      <w:divBdr>
        <w:top w:val="none" w:sz="0" w:space="0" w:color="auto"/>
        <w:left w:val="none" w:sz="0" w:space="0" w:color="auto"/>
        <w:bottom w:val="none" w:sz="0" w:space="0" w:color="auto"/>
        <w:right w:val="none" w:sz="0" w:space="0" w:color="auto"/>
      </w:divBdr>
    </w:div>
    <w:div w:id="1673217206">
      <w:bodyDiv w:val="1"/>
      <w:marLeft w:val="0"/>
      <w:marRight w:val="0"/>
      <w:marTop w:val="0"/>
      <w:marBottom w:val="0"/>
      <w:divBdr>
        <w:top w:val="none" w:sz="0" w:space="0" w:color="auto"/>
        <w:left w:val="none" w:sz="0" w:space="0" w:color="auto"/>
        <w:bottom w:val="none" w:sz="0" w:space="0" w:color="auto"/>
        <w:right w:val="none" w:sz="0" w:space="0" w:color="auto"/>
      </w:divBdr>
    </w:div>
    <w:div w:id="1673529902">
      <w:bodyDiv w:val="1"/>
      <w:marLeft w:val="0"/>
      <w:marRight w:val="0"/>
      <w:marTop w:val="0"/>
      <w:marBottom w:val="0"/>
      <w:divBdr>
        <w:top w:val="none" w:sz="0" w:space="0" w:color="auto"/>
        <w:left w:val="none" w:sz="0" w:space="0" w:color="auto"/>
        <w:bottom w:val="none" w:sz="0" w:space="0" w:color="auto"/>
        <w:right w:val="none" w:sz="0" w:space="0" w:color="auto"/>
      </w:divBdr>
    </w:div>
    <w:div w:id="1707368255">
      <w:bodyDiv w:val="1"/>
      <w:marLeft w:val="0"/>
      <w:marRight w:val="0"/>
      <w:marTop w:val="0"/>
      <w:marBottom w:val="0"/>
      <w:divBdr>
        <w:top w:val="none" w:sz="0" w:space="0" w:color="auto"/>
        <w:left w:val="none" w:sz="0" w:space="0" w:color="auto"/>
        <w:bottom w:val="none" w:sz="0" w:space="0" w:color="auto"/>
        <w:right w:val="none" w:sz="0" w:space="0" w:color="auto"/>
      </w:divBdr>
    </w:div>
    <w:div w:id="1712340137">
      <w:bodyDiv w:val="1"/>
      <w:marLeft w:val="0"/>
      <w:marRight w:val="0"/>
      <w:marTop w:val="0"/>
      <w:marBottom w:val="0"/>
      <w:divBdr>
        <w:top w:val="none" w:sz="0" w:space="0" w:color="auto"/>
        <w:left w:val="none" w:sz="0" w:space="0" w:color="auto"/>
        <w:bottom w:val="none" w:sz="0" w:space="0" w:color="auto"/>
        <w:right w:val="none" w:sz="0" w:space="0" w:color="auto"/>
      </w:divBdr>
    </w:div>
    <w:div w:id="1761440796">
      <w:bodyDiv w:val="1"/>
      <w:marLeft w:val="0"/>
      <w:marRight w:val="0"/>
      <w:marTop w:val="0"/>
      <w:marBottom w:val="0"/>
      <w:divBdr>
        <w:top w:val="none" w:sz="0" w:space="0" w:color="auto"/>
        <w:left w:val="none" w:sz="0" w:space="0" w:color="auto"/>
        <w:bottom w:val="none" w:sz="0" w:space="0" w:color="auto"/>
        <w:right w:val="none" w:sz="0" w:space="0" w:color="auto"/>
      </w:divBdr>
    </w:div>
    <w:div w:id="1796748094">
      <w:bodyDiv w:val="1"/>
      <w:marLeft w:val="0"/>
      <w:marRight w:val="0"/>
      <w:marTop w:val="0"/>
      <w:marBottom w:val="0"/>
      <w:divBdr>
        <w:top w:val="none" w:sz="0" w:space="0" w:color="auto"/>
        <w:left w:val="none" w:sz="0" w:space="0" w:color="auto"/>
        <w:bottom w:val="none" w:sz="0" w:space="0" w:color="auto"/>
        <w:right w:val="none" w:sz="0" w:space="0" w:color="auto"/>
      </w:divBdr>
    </w:div>
    <w:div w:id="1813209128">
      <w:bodyDiv w:val="1"/>
      <w:marLeft w:val="0"/>
      <w:marRight w:val="0"/>
      <w:marTop w:val="0"/>
      <w:marBottom w:val="0"/>
      <w:divBdr>
        <w:top w:val="none" w:sz="0" w:space="0" w:color="auto"/>
        <w:left w:val="none" w:sz="0" w:space="0" w:color="auto"/>
        <w:bottom w:val="none" w:sz="0" w:space="0" w:color="auto"/>
        <w:right w:val="none" w:sz="0" w:space="0" w:color="auto"/>
      </w:divBdr>
    </w:div>
    <w:div w:id="1821458696">
      <w:bodyDiv w:val="1"/>
      <w:marLeft w:val="0"/>
      <w:marRight w:val="0"/>
      <w:marTop w:val="0"/>
      <w:marBottom w:val="0"/>
      <w:divBdr>
        <w:top w:val="none" w:sz="0" w:space="0" w:color="auto"/>
        <w:left w:val="none" w:sz="0" w:space="0" w:color="auto"/>
        <w:bottom w:val="none" w:sz="0" w:space="0" w:color="auto"/>
        <w:right w:val="none" w:sz="0" w:space="0" w:color="auto"/>
      </w:divBdr>
    </w:div>
    <w:div w:id="1832214694">
      <w:bodyDiv w:val="1"/>
      <w:marLeft w:val="0"/>
      <w:marRight w:val="0"/>
      <w:marTop w:val="0"/>
      <w:marBottom w:val="0"/>
      <w:divBdr>
        <w:top w:val="none" w:sz="0" w:space="0" w:color="auto"/>
        <w:left w:val="none" w:sz="0" w:space="0" w:color="auto"/>
        <w:bottom w:val="none" w:sz="0" w:space="0" w:color="auto"/>
        <w:right w:val="none" w:sz="0" w:space="0" w:color="auto"/>
      </w:divBdr>
    </w:div>
    <w:div w:id="1832676322">
      <w:bodyDiv w:val="1"/>
      <w:marLeft w:val="0"/>
      <w:marRight w:val="0"/>
      <w:marTop w:val="0"/>
      <w:marBottom w:val="0"/>
      <w:divBdr>
        <w:top w:val="none" w:sz="0" w:space="0" w:color="auto"/>
        <w:left w:val="none" w:sz="0" w:space="0" w:color="auto"/>
        <w:bottom w:val="none" w:sz="0" w:space="0" w:color="auto"/>
        <w:right w:val="none" w:sz="0" w:space="0" w:color="auto"/>
      </w:divBdr>
    </w:div>
    <w:div w:id="1841038626">
      <w:bodyDiv w:val="1"/>
      <w:marLeft w:val="0"/>
      <w:marRight w:val="0"/>
      <w:marTop w:val="0"/>
      <w:marBottom w:val="0"/>
      <w:divBdr>
        <w:top w:val="none" w:sz="0" w:space="0" w:color="auto"/>
        <w:left w:val="none" w:sz="0" w:space="0" w:color="auto"/>
        <w:bottom w:val="none" w:sz="0" w:space="0" w:color="auto"/>
        <w:right w:val="none" w:sz="0" w:space="0" w:color="auto"/>
      </w:divBdr>
    </w:div>
    <w:div w:id="1846556929">
      <w:bodyDiv w:val="1"/>
      <w:marLeft w:val="0"/>
      <w:marRight w:val="0"/>
      <w:marTop w:val="0"/>
      <w:marBottom w:val="0"/>
      <w:divBdr>
        <w:top w:val="none" w:sz="0" w:space="0" w:color="auto"/>
        <w:left w:val="none" w:sz="0" w:space="0" w:color="auto"/>
        <w:bottom w:val="none" w:sz="0" w:space="0" w:color="auto"/>
        <w:right w:val="none" w:sz="0" w:space="0" w:color="auto"/>
      </w:divBdr>
    </w:div>
    <w:div w:id="1860969390">
      <w:bodyDiv w:val="1"/>
      <w:marLeft w:val="0"/>
      <w:marRight w:val="0"/>
      <w:marTop w:val="0"/>
      <w:marBottom w:val="0"/>
      <w:divBdr>
        <w:top w:val="none" w:sz="0" w:space="0" w:color="auto"/>
        <w:left w:val="none" w:sz="0" w:space="0" w:color="auto"/>
        <w:bottom w:val="none" w:sz="0" w:space="0" w:color="auto"/>
        <w:right w:val="none" w:sz="0" w:space="0" w:color="auto"/>
      </w:divBdr>
    </w:div>
    <w:div w:id="1864203464">
      <w:bodyDiv w:val="1"/>
      <w:marLeft w:val="0"/>
      <w:marRight w:val="0"/>
      <w:marTop w:val="0"/>
      <w:marBottom w:val="0"/>
      <w:divBdr>
        <w:top w:val="none" w:sz="0" w:space="0" w:color="auto"/>
        <w:left w:val="none" w:sz="0" w:space="0" w:color="auto"/>
        <w:bottom w:val="none" w:sz="0" w:space="0" w:color="auto"/>
        <w:right w:val="none" w:sz="0" w:space="0" w:color="auto"/>
      </w:divBdr>
    </w:div>
    <w:div w:id="1871187224">
      <w:bodyDiv w:val="1"/>
      <w:marLeft w:val="0"/>
      <w:marRight w:val="0"/>
      <w:marTop w:val="0"/>
      <w:marBottom w:val="0"/>
      <w:divBdr>
        <w:top w:val="none" w:sz="0" w:space="0" w:color="auto"/>
        <w:left w:val="none" w:sz="0" w:space="0" w:color="auto"/>
        <w:bottom w:val="none" w:sz="0" w:space="0" w:color="auto"/>
        <w:right w:val="none" w:sz="0" w:space="0" w:color="auto"/>
      </w:divBdr>
    </w:div>
    <w:div w:id="1887521708">
      <w:bodyDiv w:val="1"/>
      <w:marLeft w:val="0"/>
      <w:marRight w:val="0"/>
      <w:marTop w:val="0"/>
      <w:marBottom w:val="0"/>
      <w:divBdr>
        <w:top w:val="none" w:sz="0" w:space="0" w:color="auto"/>
        <w:left w:val="none" w:sz="0" w:space="0" w:color="auto"/>
        <w:bottom w:val="none" w:sz="0" w:space="0" w:color="auto"/>
        <w:right w:val="none" w:sz="0" w:space="0" w:color="auto"/>
      </w:divBdr>
    </w:div>
    <w:div w:id="1890609809">
      <w:bodyDiv w:val="1"/>
      <w:marLeft w:val="0"/>
      <w:marRight w:val="0"/>
      <w:marTop w:val="0"/>
      <w:marBottom w:val="0"/>
      <w:divBdr>
        <w:top w:val="none" w:sz="0" w:space="0" w:color="auto"/>
        <w:left w:val="none" w:sz="0" w:space="0" w:color="auto"/>
        <w:bottom w:val="none" w:sz="0" w:space="0" w:color="auto"/>
        <w:right w:val="none" w:sz="0" w:space="0" w:color="auto"/>
      </w:divBdr>
    </w:div>
    <w:div w:id="1905599050">
      <w:bodyDiv w:val="1"/>
      <w:marLeft w:val="0"/>
      <w:marRight w:val="0"/>
      <w:marTop w:val="0"/>
      <w:marBottom w:val="0"/>
      <w:divBdr>
        <w:top w:val="none" w:sz="0" w:space="0" w:color="auto"/>
        <w:left w:val="none" w:sz="0" w:space="0" w:color="auto"/>
        <w:bottom w:val="none" w:sz="0" w:space="0" w:color="auto"/>
        <w:right w:val="none" w:sz="0" w:space="0" w:color="auto"/>
      </w:divBdr>
    </w:div>
    <w:div w:id="1921911008">
      <w:bodyDiv w:val="1"/>
      <w:marLeft w:val="0"/>
      <w:marRight w:val="0"/>
      <w:marTop w:val="0"/>
      <w:marBottom w:val="0"/>
      <w:divBdr>
        <w:top w:val="none" w:sz="0" w:space="0" w:color="auto"/>
        <w:left w:val="none" w:sz="0" w:space="0" w:color="auto"/>
        <w:bottom w:val="none" w:sz="0" w:space="0" w:color="auto"/>
        <w:right w:val="none" w:sz="0" w:space="0" w:color="auto"/>
      </w:divBdr>
    </w:div>
    <w:div w:id="1933930329">
      <w:bodyDiv w:val="1"/>
      <w:marLeft w:val="0"/>
      <w:marRight w:val="0"/>
      <w:marTop w:val="0"/>
      <w:marBottom w:val="0"/>
      <w:divBdr>
        <w:top w:val="none" w:sz="0" w:space="0" w:color="auto"/>
        <w:left w:val="none" w:sz="0" w:space="0" w:color="auto"/>
        <w:bottom w:val="none" w:sz="0" w:space="0" w:color="auto"/>
        <w:right w:val="none" w:sz="0" w:space="0" w:color="auto"/>
      </w:divBdr>
    </w:div>
    <w:div w:id="1977761246">
      <w:bodyDiv w:val="1"/>
      <w:marLeft w:val="0"/>
      <w:marRight w:val="0"/>
      <w:marTop w:val="0"/>
      <w:marBottom w:val="0"/>
      <w:divBdr>
        <w:top w:val="none" w:sz="0" w:space="0" w:color="auto"/>
        <w:left w:val="none" w:sz="0" w:space="0" w:color="auto"/>
        <w:bottom w:val="none" w:sz="0" w:space="0" w:color="auto"/>
        <w:right w:val="none" w:sz="0" w:space="0" w:color="auto"/>
      </w:divBdr>
    </w:div>
    <w:div w:id="2008288338">
      <w:bodyDiv w:val="1"/>
      <w:marLeft w:val="0"/>
      <w:marRight w:val="0"/>
      <w:marTop w:val="0"/>
      <w:marBottom w:val="0"/>
      <w:divBdr>
        <w:top w:val="none" w:sz="0" w:space="0" w:color="auto"/>
        <w:left w:val="none" w:sz="0" w:space="0" w:color="auto"/>
        <w:bottom w:val="none" w:sz="0" w:space="0" w:color="auto"/>
        <w:right w:val="none" w:sz="0" w:space="0" w:color="auto"/>
      </w:divBdr>
    </w:div>
    <w:div w:id="2008560202">
      <w:bodyDiv w:val="1"/>
      <w:marLeft w:val="0"/>
      <w:marRight w:val="0"/>
      <w:marTop w:val="0"/>
      <w:marBottom w:val="0"/>
      <w:divBdr>
        <w:top w:val="none" w:sz="0" w:space="0" w:color="auto"/>
        <w:left w:val="none" w:sz="0" w:space="0" w:color="auto"/>
        <w:bottom w:val="none" w:sz="0" w:space="0" w:color="auto"/>
        <w:right w:val="none" w:sz="0" w:space="0" w:color="auto"/>
      </w:divBdr>
    </w:div>
    <w:div w:id="2009016585">
      <w:bodyDiv w:val="1"/>
      <w:marLeft w:val="0"/>
      <w:marRight w:val="0"/>
      <w:marTop w:val="0"/>
      <w:marBottom w:val="0"/>
      <w:divBdr>
        <w:top w:val="none" w:sz="0" w:space="0" w:color="auto"/>
        <w:left w:val="none" w:sz="0" w:space="0" w:color="auto"/>
        <w:bottom w:val="none" w:sz="0" w:space="0" w:color="auto"/>
        <w:right w:val="none" w:sz="0" w:space="0" w:color="auto"/>
      </w:divBdr>
    </w:div>
    <w:div w:id="2014986704">
      <w:bodyDiv w:val="1"/>
      <w:marLeft w:val="0"/>
      <w:marRight w:val="0"/>
      <w:marTop w:val="0"/>
      <w:marBottom w:val="0"/>
      <w:divBdr>
        <w:top w:val="none" w:sz="0" w:space="0" w:color="auto"/>
        <w:left w:val="none" w:sz="0" w:space="0" w:color="auto"/>
        <w:bottom w:val="none" w:sz="0" w:space="0" w:color="auto"/>
        <w:right w:val="none" w:sz="0" w:space="0" w:color="auto"/>
      </w:divBdr>
    </w:div>
    <w:div w:id="2015649845">
      <w:bodyDiv w:val="1"/>
      <w:marLeft w:val="0"/>
      <w:marRight w:val="0"/>
      <w:marTop w:val="0"/>
      <w:marBottom w:val="0"/>
      <w:divBdr>
        <w:top w:val="none" w:sz="0" w:space="0" w:color="auto"/>
        <w:left w:val="none" w:sz="0" w:space="0" w:color="auto"/>
        <w:bottom w:val="none" w:sz="0" w:space="0" w:color="auto"/>
        <w:right w:val="none" w:sz="0" w:space="0" w:color="auto"/>
      </w:divBdr>
    </w:div>
    <w:div w:id="2017538297">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3529494">
      <w:bodyDiv w:val="1"/>
      <w:marLeft w:val="0"/>
      <w:marRight w:val="0"/>
      <w:marTop w:val="0"/>
      <w:marBottom w:val="0"/>
      <w:divBdr>
        <w:top w:val="none" w:sz="0" w:space="0" w:color="auto"/>
        <w:left w:val="none" w:sz="0" w:space="0" w:color="auto"/>
        <w:bottom w:val="none" w:sz="0" w:space="0" w:color="auto"/>
        <w:right w:val="none" w:sz="0" w:space="0" w:color="auto"/>
      </w:divBdr>
    </w:div>
    <w:div w:id="2064517323">
      <w:bodyDiv w:val="1"/>
      <w:marLeft w:val="0"/>
      <w:marRight w:val="0"/>
      <w:marTop w:val="0"/>
      <w:marBottom w:val="0"/>
      <w:divBdr>
        <w:top w:val="none" w:sz="0" w:space="0" w:color="auto"/>
        <w:left w:val="none" w:sz="0" w:space="0" w:color="auto"/>
        <w:bottom w:val="none" w:sz="0" w:space="0" w:color="auto"/>
        <w:right w:val="none" w:sz="0" w:space="0" w:color="auto"/>
      </w:divBdr>
    </w:div>
    <w:div w:id="2073455473">
      <w:bodyDiv w:val="1"/>
      <w:marLeft w:val="0"/>
      <w:marRight w:val="0"/>
      <w:marTop w:val="0"/>
      <w:marBottom w:val="0"/>
      <w:divBdr>
        <w:top w:val="none" w:sz="0" w:space="0" w:color="auto"/>
        <w:left w:val="none" w:sz="0" w:space="0" w:color="auto"/>
        <w:bottom w:val="none" w:sz="0" w:space="0" w:color="auto"/>
        <w:right w:val="none" w:sz="0" w:space="0" w:color="auto"/>
      </w:divBdr>
    </w:div>
    <w:div w:id="2077971478">
      <w:bodyDiv w:val="1"/>
      <w:marLeft w:val="0"/>
      <w:marRight w:val="0"/>
      <w:marTop w:val="0"/>
      <w:marBottom w:val="0"/>
      <w:divBdr>
        <w:top w:val="none" w:sz="0" w:space="0" w:color="auto"/>
        <w:left w:val="none" w:sz="0" w:space="0" w:color="auto"/>
        <w:bottom w:val="none" w:sz="0" w:space="0" w:color="auto"/>
        <w:right w:val="none" w:sz="0" w:space="0" w:color="auto"/>
      </w:divBdr>
    </w:div>
    <w:div w:id="2081318734">
      <w:bodyDiv w:val="1"/>
      <w:marLeft w:val="0"/>
      <w:marRight w:val="0"/>
      <w:marTop w:val="0"/>
      <w:marBottom w:val="0"/>
      <w:divBdr>
        <w:top w:val="none" w:sz="0" w:space="0" w:color="auto"/>
        <w:left w:val="none" w:sz="0" w:space="0" w:color="auto"/>
        <w:bottom w:val="none" w:sz="0" w:space="0" w:color="auto"/>
        <w:right w:val="none" w:sz="0" w:space="0" w:color="auto"/>
      </w:divBdr>
    </w:div>
    <w:div w:id="2088259417">
      <w:bodyDiv w:val="1"/>
      <w:marLeft w:val="0"/>
      <w:marRight w:val="0"/>
      <w:marTop w:val="0"/>
      <w:marBottom w:val="0"/>
      <w:divBdr>
        <w:top w:val="none" w:sz="0" w:space="0" w:color="auto"/>
        <w:left w:val="none" w:sz="0" w:space="0" w:color="auto"/>
        <w:bottom w:val="none" w:sz="0" w:space="0" w:color="auto"/>
        <w:right w:val="none" w:sz="0" w:space="0" w:color="auto"/>
      </w:divBdr>
      <w:divsChild>
        <w:div w:id="2004820607">
          <w:marLeft w:val="547"/>
          <w:marRight w:val="0"/>
          <w:marTop w:val="0"/>
          <w:marBottom w:val="0"/>
          <w:divBdr>
            <w:top w:val="none" w:sz="0" w:space="0" w:color="auto"/>
            <w:left w:val="none" w:sz="0" w:space="0" w:color="auto"/>
            <w:bottom w:val="none" w:sz="0" w:space="0" w:color="auto"/>
            <w:right w:val="none" w:sz="0" w:space="0" w:color="auto"/>
          </w:divBdr>
        </w:div>
      </w:divsChild>
    </w:div>
    <w:div w:id="2089617651">
      <w:bodyDiv w:val="1"/>
      <w:marLeft w:val="0"/>
      <w:marRight w:val="0"/>
      <w:marTop w:val="0"/>
      <w:marBottom w:val="0"/>
      <w:divBdr>
        <w:top w:val="none" w:sz="0" w:space="0" w:color="auto"/>
        <w:left w:val="none" w:sz="0" w:space="0" w:color="auto"/>
        <w:bottom w:val="none" w:sz="0" w:space="0" w:color="auto"/>
        <w:right w:val="none" w:sz="0" w:space="0" w:color="auto"/>
      </w:divBdr>
    </w:div>
    <w:div w:id="2091924449">
      <w:bodyDiv w:val="1"/>
      <w:marLeft w:val="0"/>
      <w:marRight w:val="0"/>
      <w:marTop w:val="0"/>
      <w:marBottom w:val="0"/>
      <w:divBdr>
        <w:top w:val="none" w:sz="0" w:space="0" w:color="auto"/>
        <w:left w:val="none" w:sz="0" w:space="0" w:color="auto"/>
        <w:bottom w:val="none" w:sz="0" w:space="0" w:color="auto"/>
        <w:right w:val="none" w:sz="0" w:space="0" w:color="auto"/>
      </w:divBdr>
    </w:div>
    <w:div w:id="2099786655">
      <w:bodyDiv w:val="1"/>
      <w:marLeft w:val="0"/>
      <w:marRight w:val="0"/>
      <w:marTop w:val="0"/>
      <w:marBottom w:val="0"/>
      <w:divBdr>
        <w:top w:val="none" w:sz="0" w:space="0" w:color="auto"/>
        <w:left w:val="none" w:sz="0" w:space="0" w:color="auto"/>
        <w:bottom w:val="none" w:sz="0" w:space="0" w:color="auto"/>
        <w:right w:val="none" w:sz="0" w:space="0" w:color="auto"/>
      </w:divBdr>
    </w:div>
    <w:div w:id="2117097846">
      <w:bodyDiv w:val="1"/>
      <w:marLeft w:val="0"/>
      <w:marRight w:val="0"/>
      <w:marTop w:val="0"/>
      <w:marBottom w:val="0"/>
      <w:divBdr>
        <w:top w:val="none" w:sz="0" w:space="0" w:color="auto"/>
        <w:left w:val="none" w:sz="0" w:space="0" w:color="auto"/>
        <w:bottom w:val="none" w:sz="0" w:space="0" w:color="auto"/>
        <w:right w:val="none" w:sz="0" w:space="0" w:color="auto"/>
      </w:divBdr>
    </w:div>
    <w:div w:id="2120297427">
      <w:bodyDiv w:val="1"/>
      <w:marLeft w:val="0"/>
      <w:marRight w:val="0"/>
      <w:marTop w:val="0"/>
      <w:marBottom w:val="0"/>
      <w:divBdr>
        <w:top w:val="none" w:sz="0" w:space="0" w:color="auto"/>
        <w:left w:val="none" w:sz="0" w:space="0" w:color="auto"/>
        <w:bottom w:val="none" w:sz="0" w:space="0" w:color="auto"/>
        <w:right w:val="none" w:sz="0" w:space="0" w:color="auto"/>
      </w:divBdr>
    </w:div>
    <w:div w:id="2127045148">
      <w:bodyDiv w:val="1"/>
      <w:marLeft w:val="0"/>
      <w:marRight w:val="0"/>
      <w:marTop w:val="0"/>
      <w:marBottom w:val="0"/>
      <w:divBdr>
        <w:top w:val="none" w:sz="0" w:space="0" w:color="auto"/>
        <w:left w:val="none" w:sz="0" w:space="0" w:color="auto"/>
        <w:bottom w:val="none" w:sz="0" w:space="0" w:color="auto"/>
        <w:right w:val="none" w:sz="0" w:space="0" w:color="auto"/>
      </w:divBdr>
    </w:div>
    <w:div w:id="21273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in.gov.rs/dokumenti2/fiskalna-strategija" TargetMode="External"/><Relationship Id="rId18" Type="http://schemas.openxmlformats.org/officeDocument/2006/relationships/hyperlink" Target="https://www.dri.rs/godisnji-izvestaji-o-radu" TargetMode="External"/><Relationship Id="rId26" Type="http://schemas.openxmlformats.org/officeDocument/2006/relationships/hyperlink" Target="https://jnportal.ujn.gov.rs/annual-reports-ppo-public" TargetMode="External"/><Relationship Id="rId39" Type="http://schemas.openxmlformats.org/officeDocument/2006/relationships/theme" Target="theme/theme1.xml"/><Relationship Id="rId21" Type="http://schemas.openxmlformats.org/officeDocument/2006/relationships/hyperlink" Target="https://mfin.gov.rs/propisi/zakoni/1" TargetMode="External"/><Relationship Id="rId34" Type="http://schemas.openxmlformats.org/officeDocument/2006/relationships/hyperlink" Target="https://mfin.gov.rs/o-ministarstvu/obuke" TargetMode="External"/><Relationship Id="rId7" Type="http://schemas.openxmlformats.org/officeDocument/2006/relationships/endnotes" Target="endnotes.xml"/><Relationship Id="rId12" Type="http://schemas.openxmlformats.org/officeDocument/2006/relationships/hyperlink" Target="https://javnidug.gov.rs/rsc" TargetMode="External"/><Relationship Id="rId17" Type="http://schemas.openxmlformats.org/officeDocument/2006/relationships/hyperlink" Target="https://www.dri.rs/izvestaji" TargetMode="External"/><Relationship Id="rId25" Type="http://schemas.openxmlformats.org/officeDocument/2006/relationships/hyperlink" Target="https://mfin.gov.rs/propisi/zakoni/1" TargetMode="External"/><Relationship Id="rId33" Type="http://schemas.openxmlformats.org/officeDocument/2006/relationships/hyperlink" Target="https://mfin.gov.rs/o-ministarstvu/finansijsko-upravljanje-i-kontrol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fin.gov.rs/dokumenti2/fiskalna-strategija" TargetMode="External"/><Relationship Id="rId20" Type="http://schemas.openxmlformats.org/officeDocument/2006/relationships/hyperlink" Target="https://www.mfin.gov.rs/" TargetMode="External"/><Relationship Id="rId29" Type="http://schemas.openxmlformats.org/officeDocument/2006/relationships/hyperlink" Target="https://mfin.gov.rs/o-ministarstvu/konsolidovani-godinji-izvet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in.gov.rs/dokumenti2/fiskalna-strategija" TargetMode="External"/><Relationship Id="rId24" Type="http://schemas.openxmlformats.org/officeDocument/2006/relationships/hyperlink" Target="https://mfin.gov.rs/propisi/zakoni/1" TargetMode="External"/><Relationship Id="rId32" Type="http://schemas.openxmlformats.org/officeDocument/2006/relationships/hyperlink" Target="https://mfin.gov.rs/o-ministarstvu/modeli-akata-za-uspostavljanje-interne-revizije" TargetMode="External"/><Relationship Id="rId37" Type="http://schemas.openxmlformats.org/officeDocument/2006/relationships/hyperlink" Target="https://www.trezor.gov.rs/src/documents/regulations/ostala%20dokumenta/" TargetMode="External"/><Relationship Id="rId5" Type="http://schemas.openxmlformats.org/officeDocument/2006/relationships/webSettings" Target="webSettings.xml"/><Relationship Id="rId15" Type="http://schemas.openxmlformats.org/officeDocument/2006/relationships/hyperlink" Target="https://www.mfin.gov.rs/dokumenti2/makroekonomski-podaci" TargetMode="External"/><Relationship Id="rId23" Type="http://schemas.openxmlformats.org/officeDocument/2006/relationships/hyperlink" Target="https://portal.duvan.gov.rs" TargetMode="External"/><Relationship Id="rId28" Type="http://schemas.openxmlformats.org/officeDocument/2006/relationships/hyperlink" Target="https://mfin.gov.rs/o-ministarstvu/konsolidovani-godinji-izvetaj" TargetMode="External"/><Relationship Id="rId36" Type="http://schemas.openxmlformats.org/officeDocument/2006/relationships/hyperlink" Target="https://www.dri.rs/izvestaji" TargetMode="External"/><Relationship Id="rId10" Type="http://schemas.openxmlformats.org/officeDocument/2006/relationships/hyperlink" Target="https://www.mfin.gov.rs/dokumenti2/program-ekonomskih-reformi-erp" TargetMode="External"/><Relationship Id="rId19" Type="http://schemas.openxmlformats.org/officeDocument/2006/relationships/hyperlink" Target="https://mfin.gov.rs/propisi/zakoni/1" TargetMode="External"/><Relationship Id="rId31" Type="http://schemas.openxmlformats.org/officeDocument/2006/relationships/hyperlink" Target="https://mfin.gov.rs/o-ministarstvu/materijali-za-uenje" TargetMode="External"/><Relationship Id="rId4" Type="http://schemas.openxmlformats.org/officeDocument/2006/relationships/settings" Target="settings.xml"/><Relationship Id="rId9" Type="http://schemas.openxmlformats.org/officeDocument/2006/relationships/hyperlink" Target="https://www.mfin.gov.rs/dokumenti2/fiskalna-strategija" TargetMode="External"/><Relationship Id="rId14" Type="http://schemas.openxmlformats.org/officeDocument/2006/relationships/hyperlink" Target="https://www.mfin.gov.rs/dokumenti2/makroekonomski-podaci" TargetMode="External"/><Relationship Id="rId22" Type="http://schemas.openxmlformats.org/officeDocument/2006/relationships/hyperlink" Target="https://www.purs.gov.rs/o-nama/Izvestaj.html" TargetMode="External"/><Relationship Id="rId27" Type="http://schemas.openxmlformats.org/officeDocument/2006/relationships/hyperlink" Target="https://mfin.gov.rs/kontrola-javnih-sredstava/budzetska-inspekcija" TargetMode="External"/><Relationship Id="rId30" Type="http://schemas.openxmlformats.org/officeDocument/2006/relationships/hyperlink" Target="https://mfin.gov.rs/o-ministarstvu/konsolidovani-godinji-izvetaj" TargetMode="External"/><Relationship Id="rId35" Type="http://schemas.openxmlformats.org/officeDocument/2006/relationships/hyperlink" Target="https://mfin.gov.rs/o-ministarstvu/konsolidovani-godinji-izvetaj" TargetMode="External"/><Relationship Id="rId8" Type="http://schemas.openxmlformats.org/officeDocument/2006/relationships/footer" Target="foot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AB675-1CAE-4CCD-A9A5-A21DF8FF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94</Pages>
  <Words>16686</Words>
  <Characters>95112</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Petrović</dc:creator>
  <cp:keywords/>
  <dc:description/>
  <cp:lastModifiedBy>Vladimir Vasić</cp:lastModifiedBy>
  <cp:revision>7</cp:revision>
  <cp:lastPrinted>2026-05-15T07:09:00Z</cp:lastPrinted>
  <dcterms:created xsi:type="dcterms:W3CDTF">2026-05-14T05:33:00Z</dcterms:created>
  <dcterms:modified xsi:type="dcterms:W3CDTF">2026-06-12T10:57:00Z</dcterms:modified>
</cp:coreProperties>
</file>