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5B812"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4AB382A6"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63A7FAA9"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3E4815DD"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6E7B8B69"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14A029F7"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5F76B515"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680DC3FD"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7324A72F"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r w:rsidRPr="008B1397">
        <w:rPr>
          <w:rFonts w:ascii="Times New Roman" w:eastAsia="Calibri" w:hAnsi="Times New Roman" w:cs="Times New Roman"/>
          <w:b/>
          <w:bCs/>
          <w:color w:val="365F91"/>
          <w:sz w:val="48"/>
          <w:szCs w:val="48"/>
          <w:lang w:val="sr-Cyrl-RS"/>
          <w14:ligatures w14:val="none"/>
        </w:rPr>
        <w:t>REPORT</w:t>
      </w:r>
    </w:p>
    <w:p w14:paraId="602EB3F4" w14:textId="77777777" w:rsidR="00E605FB"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p>
    <w:p w14:paraId="7ABA7778" w14:textId="77777777" w:rsidR="000049CC" w:rsidRPr="008B1397" w:rsidRDefault="00E605FB" w:rsidP="00E605FB">
      <w:pPr>
        <w:autoSpaceDE w:val="0"/>
        <w:autoSpaceDN w:val="0"/>
        <w:adjustRightInd w:val="0"/>
        <w:spacing w:after="0" w:line="240" w:lineRule="auto"/>
        <w:jc w:val="center"/>
        <w:rPr>
          <w:rFonts w:ascii="Times New Roman" w:eastAsia="Calibri" w:hAnsi="Times New Roman" w:cs="Times New Roman"/>
          <w:b/>
          <w:bCs/>
          <w:color w:val="365F91"/>
          <w:sz w:val="48"/>
          <w:szCs w:val="48"/>
          <w:lang w:val="sr-Cyrl-RS"/>
          <w14:ligatures w14:val="none"/>
        </w:rPr>
      </w:pPr>
      <w:r w:rsidRPr="008B1397">
        <w:rPr>
          <w:rFonts w:ascii="Times New Roman" w:eastAsia="Calibri" w:hAnsi="Times New Roman" w:cs="Times New Roman"/>
          <w:b/>
          <w:bCs/>
          <w:color w:val="365F91"/>
          <w:sz w:val="48"/>
          <w:szCs w:val="48"/>
          <w:lang w:val="sr-Cyrl-RS"/>
          <w14:ligatures w14:val="none"/>
        </w:rPr>
        <w:t>ON THE IMPLEMENTATION OF THE PUBLIC FINANCIAL MANAGEMENT REFORM PROGRAMME 2021-2025</w:t>
      </w:r>
    </w:p>
    <w:p w14:paraId="5E864302"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 w:val="48"/>
          <w:szCs w:val="48"/>
          <w:lang w:val="sr-Cyrl-RS"/>
          <w14:ligatures w14:val="none"/>
        </w:rPr>
      </w:pPr>
    </w:p>
    <w:p w14:paraId="5FC58CD9"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 w:val="48"/>
          <w:szCs w:val="48"/>
          <w:lang w:val="sr-Cyrl-RS"/>
          <w14:ligatures w14:val="none"/>
        </w:rPr>
      </w:pPr>
    </w:p>
    <w:p w14:paraId="38B95AF7"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 w:val="48"/>
          <w:szCs w:val="48"/>
          <w:lang w:val="sr-Cyrl-RS"/>
          <w14:ligatures w14:val="none"/>
        </w:rPr>
      </w:pPr>
    </w:p>
    <w:p w14:paraId="39E3926B"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 w:val="48"/>
          <w:szCs w:val="48"/>
          <w:lang w:val="sr-Cyrl-RS"/>
          <w14:ligatures w14:val="none"/>
        </w:rPr>
      </w:pPr>
    </w:p>
    <w:p w14:paraId="6A74E0CB"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20E0C85B"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6A730128"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59003AEA"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78E1059C"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6BA1335F"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223CAD8A"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0CDA3B83"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2B29C2CB" w14:textId="77777777" w:rsidR="00E605FB" w:rsidRPr="008B1397" w:rsidRDefault="008D0DC7" w:rsidP="00E605FB">
      <w:pPr>
        <w:autoSpaceDE w:val="0"/>
        <w:autoSpaceDN w:val="0"/>
        <w:adjustRightInd w:val="0"/>
        <w:spacing w:after="0" w:line="240" w:lineRule="auto"/>
        <w:jc w:val="center"/>
        <w:rPr>
          <w:rFonts w:ascii="Times New Roman" w:eastAsia="Calibri" w:hAnsi="Times New Roman" w:cs="Times New Roman"/>
          <w:b/>
          <w:bCs/>
          <w:color w:val="365F91"/>
          <w:szCs w:val="22"/>
          <w:lang w:val="sr-Cyrl-RS"/>
          <w14:ligatures w14:val="none"/>
        </w:rPr>
      </w:pPr>
      <w:r>
        <w:rPr>
          <w:rFonts w:ascii="Times New Roman" w:eastAsia="Calibri" w:hAnsi="Times New Roman" w:cs="Times New Roman"/>
          <w:b/>
          <w:bCs/>
          <w:color w:val="365F91"/>
          <w:szCs w:val="22"/>
          <w:lang w:val="sr-Cyrl-RS"/>
          <w14:ligatures w14:val="none"/>
        </w:rPr>
        <w:t>August 2026</w:t>
      </w:r>
    </w:p>
    <w:p w14:paraId="7C22B40B" w14:textId="77777777" w:rsidR="00E605FB" w:rsidRPr="008B1397" w:rsidRDefault="00E605FB" w:rsidP="00685537">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5A620314" w14:textId="77777777" w:rsidR="004E4B10" w:rsidRDefault="00B84557" w:rsidP="00B84557">
      <w:pPr>
        <w:pStyle w:val="Heading1"/>
        <w:jc w:val="center"/>
        <w:rPr>
          <w:rFonts w:ascii="Times New Roman" w:eastAsia="Calibri" w:hAnsi="Times New Roman" w:cs="Times New Roman"/>
          <w:sz w:val="32"/>
          <w:szCs w:val="32"/>
          <w:lang w:val="sr-Cyrl-RS"/>
        </w:rPr>
      </w:pPr>
      <w:bookmarkStart w:id="0" w:name="_Toc233629218"/>
      <w:r>
        <w:rPr>
          <w:rFonts w:ascii="Times New Roman" w:eastAsia="Calibri" w:hAnsi="Times New Roman" w:cs="Times New Roman"/>
          <w:sz w:val="32"/>
          <w:szCs w:val="32"/>
          <w:lang w:val="sr-Cyrl-RS"/>
        </w:rPr>
        <w:lastRenderedPageBreak/>
        <w:t>CONTENTS</w:t>
      </w:r>
      <w:bookmarkEnd w:id="0"/>
    </w:p>
    <w:p w14:paraId="7D1D047B" w14:textId="77777777" w:rsidR="00B84557" w:rsidRPr="00B84557" w:rsidRDefault="00B84557" w:rsidP="00B84557">
      <w:pPr>
        <w:rPr>
          <w:lang w:val="sr-Cyrl-RS"/>
        </w:rPr>
      </w:pPr>
    </w:p>
    <w:p w14:paraId="5D41EA4D" w14:textId="5C35CF0F" w:rsidR="00A91F4E" w:rsidRDefault="004E4B10">
      <w:pPr>
        <w:pStyle w:val="TOC1"/>
        <w:rPr>
          <w:rFonts w:asciiTheme="minorHAnsi" w:eastAsiaTheme="minorEastAsia" w:hAnsiTheme="minorHAnsi" w:cstheme="minorBidi"/>
          <w:kern w:val="2"/>
          <w:sz w:val="24"/>
          <w:szCs w:val="24"/>
          <w:lang w:val="en-GB" w:eastAsia="en-GB"/>
        </w:rPr>
      </w:pPr>
      <w:r w:rsidRPr="00B84557">
        <w:fldChar w:fldCharType="begin"/>
      </w:r>
      <w:r w:rsidRPr="00B84557">
        <w:instrText xml:space="preserve"> TOC \o "1-1" \h \z \u </w:instrText>
      </w:r>
      <w:r w:rsidRPr="00B84557">
        <w:fldChar w:fldCharType="separate"/>
      </w:r>
      <w:hyperlink w:anchor="_Toc233629218" w:history="1">
        <w:r w:rsidR="00A91F4E">
          <w:rPr>
            <w:rStyle w:val="Hyperlink"/>
          </w:rPr>
          <w:t>Contents</w:t>
        </w:r>
        <w:r w:rsidR="00A91F4E">
          <w:rPr>
            <w:webHidden/>
          </w:rPr>
          <w:tab/>
        </w:r>
        <w:r w:rsidR="00A91F4E">
          <w:rPr>
            <w:webHidden/>
          </w:rPr>
          <w:fldChar w:fldCharType="begin"/>
        </w:r>
        <w:r w:rsidR="00A91F4E">
          <w:rPr>
            <w:webHidden/>
          </w:rPr>
          <w:instrText xml:space="preserve"> PAGEREF _Toc233629218 \h </w:instrText>
        </w:r>
        <w:r w:rsidR="00A91F4E">
          <w:rPr>
            <w:webHidden/>
          </w:rPr>
        </w:r>
        <w:r w:rsidR="00A91F4E">
          <w:rPr>
            <w:webHidden/>
          </w:rPr>
          <w:fldChar w:fldCharType="separate"/>
        </w:r>
        <w:r w:rsidR="005A2325">
          <w:rPr>
            <w:webHidden/>
          </w:rPr>
          <w:t>2</w:t>
        </w:r>
        <w:r w:rsidR="00A91F4E">
          <w:rPr>
            <w:webHidden/>
          </w:rPr>
          <w:fldChar w:fldCharType="end"/>
        </w:r>
      </w:hyperlink>
    </w:p>
    <w:p w14:paraId="44C6837C" w14:textId="1BC405D7" w:rsidR="00A91F4E" w:rsidRDefault="00A91F4E">
      <w:pPr>
        <w:pStyle w:val="TOC1"/>
        <w:rPr>
          <w:rFonts w:asciiTheme="minorHAnsi" w:eastAsiaTheme="minorEastAsia" w:hAnsiTheme="minorHAnsi" w:cstheme="minorBidi"/>
          <w:kern w:val="2"/>
          <w:sz w:val="24"/>
          <w:szCs w:val="24"/>
          <w:lang w:val="en-GB" w:eastAsia="en-GB"/>
        </w:rPr>
      </w:pPr>
      <w:hyperlink w:anchor="_Toc233629219" w:history="1">
        <w:r>
          <w:rPr>
            <w:rStyle w:val="Hyperlink"/>
          </w:rPr>
          <w:t>Introduction</w:t>
        </w:r>
        <w:r>
          <w:rPr>
            <w:webHidden/>
          </w:rPr>
          <w:tab/>
        </w:r>
        <w:r>
          <w:rPr>
            <w:webHidden/>
          </w:rPr>
          <w:fldChar w:fldCharType="begin"/>
        </w:r>
        <w:r>
          <w:rPr>
            <w:webHidden/>
          </w:rPr>
          <w:instrText xml:space="preserve"> PAGEREF _Toc233629219 \h </w:instrText>
        </w:r>
        <w:r>
          <w:rPr>
            <w:webHidden/>
          </w:rPr>
        </w:r>
        <w:r>
          <w:rPr>
            <w:webHidden/>
          </w:rPr>
          <w:fldChar w:fldCharType="separate"/>
        </w:r>
        <w:r w:rsidR="005A2325">
          <w:rPr>
            <w:webHidden/>
          </w:rPr>
          <w:t>3</w:t>
        </w:r>
        <w:r>
          <w:rPr>
            <w:webHidden/>
          </w:rPr>
          <w:fldChar w:fldCharType="end"/>
        </w:r>
      </w:hyperlink>
    </w:p>
    <w:p w14:paraId="0EAEFB06" w14:textId="382C308F" w:rsidR="00A91F4E" w:rsidRDefault="00A91F4E">
      <w:pPr>
        <w:pStyle w:val="TOC1"/>
        <w:rPr>
          <w:rFonts w:asciiTheme="minorHAnsi" w:eastAsiaTheme="minorEastAsia" w:hAnsiTheme="minorHAnsi" w:cstheme="minorBidi"/>
          <w:kern w:val="2"/>
          <w:sz w:val="24"/>
          <w:szCs w:val="24"/>
          <w:lang w:val="en-GB" w:eastAsia="en-GB"/>
        </w:rPr>
      </w:pPr>
      <w:hyperlink w:anchor="_Toc233629220" w:history="1">
        <w:r>
          <w:rPr>
            <w:rStyle w:val="Hyperlink"/>
          </w:rPr>
          <w:t>Methodological framework, data sources and report preparation process</w:t>
        </w:r>
        <w:r>
          <w:rPr>
            <w:webHidden/>
          </w:rPr>
          <w:tab/>
        </w:r>
        <w:r>
          <w:rPr>
            <w:webHidden/>
          </w:rPr>
          <w:fldChar w:fldCharType="begin"/>
        </w:r>
        <w:r>
          <w:rPr>
            <w:webHidden/>
          </w:rPr>
          <w:instrText xml:space="preserve"> PAGEREF _Toc233629220 \h </w:instrText>
        </w:r>
        <w:r>
          <w:rPr>
            <w:webHidden/>
          </w:rPr>
        </w:r>
        <w:r>
          <w:rPr>
            <w:webHidden/>
          </w:rPr>
          <w:fldChar w:fldCharType="separate"/>
        </w:r>
        <w:r w:rsidR="005A2325">
          <w:rPr>
            <w:webHidden/>
          </w:rPr>
          <w:t>5</w:t>
        </w:r>
        <w:r>
          <w:rPr>
            <w:webHidden/>
          </w:rPr>
          <w:fldChar w:fldCharType="end"/>
        </w:r>
      </w:hyperlink>
    </w:p>
    <w:p w14:paraId="69E0D9E3" w14:textId="690E5319" w:rsidR="00A91F4E" w:rsidRDefault="00A91F4E">
      <w:pPr>
        <w:pStyle w:val="TOC1"/>
        <w:rPr>
          <w:rFonts w:asciiTheme="minorHAnsi" w:eastAsiaTheme="minorEastAsia" w:hAnsiTheme="minorHAnsi" w:cstheme="minorBidi"/>
          <w:kern w:val="2"/>
          <w:sz w:val="24"/>
          <w:szCs w:val="24"/>
          <w:lang w:val="en-GB" w:eastAsia="en-GB"/>
        </w:rPr>
      </w:pPr>
      <w:hyperlink w:anchor="_Toc233629221" w:history="1">
        <w:r>
          <w:rPr>
            <w:rStyle w:val="Hyperlink"/>
          </w:rPr>
          <w:t>Executive summary of achievements and challenges</w:t>
        </w:r>
        <w:r>
          <w:rPr>
            <w:webHidden/>
          </w:rPr>
          <w:tab/>
        </w:r>
        <w:r>
          <w:rPr>
            <w:webHidden/>
          </w:rPr>
          <w:fldChar w:fldCharType="begin"/>
        </w:r>
        <w:r>
          <w:rPr>
            <w:webHidden/>
          </w:rPr>
          <w:instrText xml:space="preserve"> PAGEREF _Toc233629221 \h </w:instrText>
        </w:r>
        <w:r>
          <w:rPr>
            <w:webHidden/>
          </w:rPr>
        </w:r>
        <w:r>
          <w:rPr>
            <w:webHidden/>
          </w:rPr>
          <w:fldChar w:fldCharType="separate"/>
        </w:r>
        <w:r w:rsidR="005A2325">
          <w:rPr>
            <w:webHidden/>
          </w:rPr>
          <w:t>7</w:t>
        </w:r>
        <w:r>
          <w:rPr>
            <w:webHidden/>
          </w:rPr>
          <w:fldChar w:fldCharType="end"/>
        </w:r>
      </w:hyperlink>
    </w:p>
    <w:p w14:paraId="7213C8F5" w14:textId="16DD86F9" w:rsidR="00A91F4E" w:rsidRDefault="00A91F4E">
      <w:pPr>
        <w:pStyle w:val="TOC1"/>
        <w:rPr>
          <w:rFonts w:asciiTheme="minorHAnsi" w:eastAsiaTheme="minorEastAsia" w:hAnsiTheme="minorHAnsi" w:cstheme="minorBidi"/>
          <w:kern w:val="2"/>
          <w:sz w:val="24"/>
          <w:szCs w:val="24"/>
          <w:lang w:val="en-GB" w:eastAsia="en-GB"/>
        </w:rPr>
      </w:pPr>
      <w:hyperlink w:anchor="_Toc233629222" w:history="1">
        <w:r>
          <w:rPr>
            <w:rStyle w:val="Hyperlink"/>
          </w:rPr>
          <w:t>Macroeconomic and fiscal context of programme implementation</w:t>
        </w:r>
        <w:r>
          <w:rPr>
            <w:webHidden/>
          </w:rPr>
          <w:tab/>
        </w:r>
        <w:r>
          <w:rPr>
            <w:webHidden/>
          </w:rPr>
          <w:fldChar w:fldCharType="begin"/>
        </w:r>
        <w:r>
          <w:rPr>
            <w:webHidden/>
          </w:rPr>
          <w:instrText xml:space="preserve"> PAGEREF _Toc233629222 \h </w:instrText>
        </w:r>
        <w:r>
          <w:rPr>
            <w:webHidden/>
          </w:rPr>
        </w:r>
        <w:r>
          <w:rPr>
            <w:webHidden/>
          </w:rPr>
          <w:fldChar w:fldCharType="separate"/>
        </w:r>
        <w:r w:rsidR="005A2325">
          <w:rPr>
            <w:webHidden/>
          </w:rPr>
          <w:t>10</w:t>
        </w:r>
        <w:r>
          <w:rPr>
            <w:webHidden/>
          </w:rPr>
          <w:fldChar w:fldCharType="end"/>
        </w:r>
      </w:hyperlink>
    </w:p>
    <w:p w14:paraId="7C1143A1" w14:textId="7814ED4D" w:rsidR="00A91F4E" w:rsidRDefault="00A91F4E">
      <w:pPr>
        <w:pStyle w:val="TOC1"/>
        <w:rPr>
          <w:rFonts w:asciiTheme="minorHAnsi" w:eastAsiaTheme="minorEastAsia" w:hAnsiTheme="minorHAnsi" w:cstheme="minorBidi"/>
          <w:kern w:val="2"/>
          <w:sz w:val="24"/>
          <w:szCs w:val="24"/>
          <w:lang w:val="en-GB" w:eastAsia="en-GB"/>
        </w:rPr>
      </w:pPr>
      <w:hyperlink w:anchor="_Toc233629223" w:history="1">
        <w:r>
          <w:rPr>
            <w:rStyle w:val="Hyperlink"/>
          </w:rPr>
          <w:t>Overview of programme implementation in the period 2021–2025</w:t>
        </w:r>
        <w:r>
          <w:rPr>
            <w:webHidden/>
          </w:rPr>
          <w:tab/>
        </w:r>
        <w:r>
          <w:rPr>
            <w:webHidden/>
          </w:rPr>
          <w:fldChar w:fldCharType="begin"/>
        </w:r>
        <w:r>
          <w:rPr>
            <w:webHidden/>
          </w:rPr>
          <w:instrText xml:space="preserve"> PAGEREF _Toc233629223 \h </w:instrText>
        </w:r>
        <w:r>
          <w:rPr>
            <w:webHidden/>
          </w:rPr>
        </w:r>
        <w:r>
          <w:rPr>
            <w:webHidden/>
          </w:rPr>
          <w:fldChar w:fldCharType="separate"/>
        </w:r>
        <w:r w:rsidR="005A2325">
          <w:rPr>
            <w:webHidden/>
          </w:rPr>
          <w:t>15</w:t>
        </w:r>
        <w:r>
          <w:rPr>
            <w:webHidden/>
          </w:rPr>
          <w:fldChar w:fldCharType="end"/>
        </w:r>
      </w:hyperlink>
    </w:p>
    <w:p w14:paraId="3D5C7598" w14:textId="6515AAC0" w:rsidR="00A91F4E" w:rsidRDefault="00A91F4E">
      <w:pPr>
        <w:pStyle w:val="TOC1"/>
        <w:rPr>
          <w:rFonts w:asciiTheme="minorHAnsi" w:eastAsiaTheme="minorEastAsia" w:hAnsiTheme="minorHAnsi" w:cstheme="minorBidi"/>
          <w:kern w:val="2"/>
          <w:sz w:val="24"/>
          <w:szCs w:val="24"/>
          <w:lang w:val="en-GB" w:eastAsia="en-GB"/>
        </w:rPr>
      </w:pPr>
      <w:hyperlink w:anchor="_Toc233629224" w:history="1">
        <w:r>
          <w:rPr>
            <w:rStyle w:val="Hyperlink"/>
          </w:rPr>
          <w:t>Specific Objective I - Improved capacities for budget planning and public investment management and monitoring of fiscal risks</w:t>
        </w:r>
        <w:r>
          <w:rPr>
            <w:webHidden/>
          </w:rPr>
          <w:tab/>
        </w:r>
        <w:r>
          <w:rPr>
            <w:webHidden/>
          </w:rPr>
          <w:fldChar w:fldCharType="begin"/>
        </w:r>
        <w:r>
          <w:rPr>
            <w:webHidden/>
          </w:rPr>
          <w:instrText xml:space="preserve"> PAGEREF _Toc233629224 \h </w:instrText>
        </w:r>
        <w:r>
          <w:rPr>
            <w:webHidden/>
          </w:rPr>
        </w:r>
        <w:r>
          <w:rPr>
            <w:webHidden/>
          </w:rPr>
          <w:fldChar w:fldCharType="separate"/>
        </w:r>
        <w:r w:rsidR="005A2325">
          <w:rPr>
            <w:webHidden/>
          </w:rPr>
          <w:t>16</w:t>
        </w:r>
        <w:r>
          <w:rPr>
            <w:webHidden/>
          </w:rPr>
          <w:fldChar w:fldCharType="end"/>
        </w:r>
      </w:hyperlink>
    </w:p>
    <w:p w14:paraId="1F1816AC" w14:textId="5857C82D" w:rsidR="00A91F4E" w:rsidRDefault="00A91F4E">
      <w:pPr>
        <w:pStyle w:val="TOC1"/>
        <w:rPr>
          <w:rFonts w:asciiTheme="minorHAnsi" w:eastAsiaTheme="minorEastAsia" w:hAnsiTheme="minorHAnsi" w:cstheme="minorBidi"/>
          <w:kern w:val="2"/>
          <w:sz w:val="24"/>
          <w:szCs w:val="24"/>
          <w:lang w:val="en-GB" w:eastAsia="en-GB"/>
        </w:rPr>
      </w:pPr>
      <w:hyperlink w:anchor="_Toc233629225" w:history="1">
        <w:r>
          <w:rPr>
            <w:rStyle w:val="Hyperlink"/>
          </w:rPr>
          <w:t>Specific Objective II - Effective collection and management of budget funds</w:t>
        </w:r>
        <w:r>
          <w:rPr>
            <w:webHidden/>
          </w:rPr>
          <w:tab/>
        </w:r>
        <w:r>
          <w:rPr>
            <w:webHidden/>
          </w:rPr>
          <w:fldChar w:fldCharType="begin"/>
        </w:r>
        <w:r>
          <w:rPr>
            <w:webHidden/>
          </w:rPr>
          <w:instrText xml:space="preserve"> PAGEREF _Toc233629225 \h </w:instrText>
        </w:r>
        <w:r>
          <w:rPr>
            <w:webHidden/>
          </w:rPr>
        </w:r>
        <w:r>
          <w:rPr>
            <w:webHidden/>
          </w:rPr>
          <w:fldChar w:fldCharType="separate"/>
        </w:r>
        <w:r w:rsidR="005A2325">
          <w:rPr>
            <w:webHidden/>
          </w:rPr>
          <w:t>23</w:t>
        </w:r>
        <w:r>
          <w:rPr>
            <w:webHidden/>
          </w:rPr>
          <w:fldChar w:fldCharType="end"/>
        </w:r>
      </w:hyperlink>
    </w:p>
    <w:p w14:paraId="7A2A7EC6" w14:textId="0678BFCE" w:rsidR="00A91F4E" w:rsidRDefault="00A91F4E">
      <w:pPr>
        <w:pStyle w:val="TOC1"/>
        <w:rPr>
          <w:rFonts w:asciiTheme="minorHAnsi" w:eastAsiaTheme="minorEastAsia" w:hAnsiTheme="minorHAnsi" w:cstheme="minorBidi"/>
          <w:kern w:val="2"/>
          <w:sz w:val="24"/>
          <w:szCs w:val="24"/>
          <w:lang w:val="en-GB" w:eastAsia="en-GB"/>
        </w:rPr>
      </w:pPr>
      <w:hyperlink w:anchor="_Toc233629226" w:history="1">
        <w:r>
          <w:rPr>
            <w:rStyle w:val="Hyperlink"/>
          </w:rPr>
          <w:t>Specific Objective III - Improvement of budget discipline and more transparent use of public funds</w:t>
        </w:r>
        <w:r>
          <w:rPr>
            <w:webHidden/>
          </w:rPr>
          <w:tab/>
        </w:r>
        <w:r>
          <w:rPr>
            <w:webHidden/>
          </w:rPr>
          <w:fldChar w:fldCharType="begin"/>
        </w:r>
        <w:r>
          <w:rPr>
            <w:webHidden/>
          </w:rPr>
          <w:instrText xml:space="preserve"> PAGEREF _Toc233629226 \h </w:instrText>
        </w:r>
        <w:r>
          <w:rPr>
            <w:webHidden/>
          </w:rPr>
        </w:r>
        <w:r>
          <w:rPr>
            <w:webHidden/>
          </w:rPr>
          <w:fldChar w:fldCharType="separate"/>
        </w:r>
        <w:r w:rsidR="005A2325">
          <w:rPr>
            <w:webHidden/>
          </w:rPr>
          <w:t>33</w:t>
        </w:r>
        <w:r>
          <w:rPr>
            <w:webHidden/>
          </w:rPr>
          <w:fldChar w:fldCharType="end"/>
        </w:r>
      </w:hyperlink>
    </w:p>
    <w:p w14:paraId="4B4E7E45" w14:textId="69486D09" w:rsidR="00A91F4E" w:rsidRDefault="00A91F4E">
      <w:pPr>
        <w:pStyle w:val="TOC1"/>
        <w:rPr>
          <w:rFonts w:asciiTheme="minorHAnsi" w:eastAsiaTheme="minorEastAsia" w:hAnsiTheme="minorHAnsi" w:cstheme="minorBidi"/>
          <w:kern w:val="2"/>
          <w:sz w:val="24"/>
          <w:szCs w:val="24"/>
          <w:lang w:val="en-GB" w:eastAsia="en-GB"/>
        </w:rPr>
      </w:pPr>
      <w:hyperlink w:anchor="_Toc233629227" w:history="1">
        <w:r>
          <w:rPr>
            <w:rStyle w:val="Hyperlink"/>
          </w:rPr>
          <w:t>Specific Objective IV - Enhancing the implementation of public internal financial control</w:t>
        </w:r>
        <w:r>
          <w:rPr>
            <w:webHidden/>
          </w:rPr>
          <w:tab/>
        </w:r>
        <w:r>
          <w:rPr>
            <w:webHidden/>
          </w:rPr>
          <w:fldChar w:fldCharType="begin"/>
        </w:r>
        <w:r>
          <w:rPr>
            <w:webHidden/>
          </w:rPr>
          <w:instrText xml:space="preserve"> PAGEREF _Toc233629227 \h </w:instrText>
        </w:r>
        <w:r>
          <w:rPr>
            <w:webHidden/>
          </w:rPr>
        </w:r>
        <w:r>
          <w:rPr>
            <w:webHidden/>
          </w:rPr>
          <w:fldChar w:fldCharType="separate"/>
        </w:r>
        <w:r w:rsidR="005A2325">
          <w:rPr>
            <w:webHidden/>
          </w:rPr>
          <w:t>39</w:t>
        </w:r>
        <w:r>
          <w:rPr>
            <w:webHidden/>
          </w:rPr>
          <w:fldChar w:fldCharType="end"/>
        </w:r>
      </w:hyperlink>
    </w:p>
    <w:p w14:paraId="1D4EFF26" w14:textId="2700976E" w:rsidR="00A91F4E" w:rsidRDefault="00A91F4E">
      <w:pPr>
        <w:pStyle w:val="TOC1"/>
        <w:rPr>
          <w:rFonts w:asciiTheme="minorHAnsi" w:eastAsiaTheme="minorEastAsia" w:hAnsiTheme="minorHAnsi" w:cstheme="minorBidi"/>
          <w:kern w:val="2"/>
          <w:sz w:val="24"/>
          <w:szCs w:val="24"/>
          <w:lang w:val="en-GB" w:eastAsia="en-GB"/>
        </w:rPr>
      </w:pPr>
      <w:hyperlink w:anchor="_Toc233629228" w:history="1">
        <w:r>
          <w:rPr>
            <w:rStyle w:val="Hyperlink"/>
          </w:rPr>
          <w:t>Specific Objective V - Improved accounting in the public sector by applying International Public Sector Accounting Standards (IPSAS)</w:t>
        </w:r>
        <w:r>
          <w:rPr>
            <w:webHidden/>
          </w:rPr>
          <w:tab/>
        </w:r>
        <w:r>
          <w:rPr>
            <w:webHidden/>
          </w:rPr>
          <w:fldChar w:fldCharType="begin"/>
        </w:r>
        <w:r>
          <w:rPr>
            <w:webHidden/>
          </w:rPr>
          <w:instrText xml:space="preserve"> PAGEREF _Toc233629228 \h </w:instrText>
        </w:r>
        <w:r>
          <w:rPr>
            <w:webHidden/>
          </w:rPr>
        </w:r>
        <w:r>
          <w:rPr>
            <w:webHidden/>
          </w:rPr>
          <w:fldChar w:fldCharType="separate"/>
        </w:r>
        <w:r w:rsidR="005A2325">
          <w:rPr>
            <w:webHidden/>
          </w:rPr>
          <w:t>44</w:t>
        </w:r>
        <w:r>
          <w:rPr>
            <w:webHidden/>
          </w:rPr>
          <w:fldChar w:fldCharType="end"/>
        </w:r>
      </w:hyperlink>
    </w:p>
    <w:p w14:paraId="7A9F25B9" w14:textId="5A55ACA3" w:rsidR="00A91F4E" w:rsidRDefault="00A91F4E">
      <w:pPr>
        <w:pStyle w:val="TOC1"/>
        <w:rPr>
          <w:rFonts w:asciiTheme="minorHAnsi" w:eastAsiaTheme="minorEastAsia" w:hAnsiTheme="minorHAnsi" w:cstheme="minorBidi"/>
          <w:kern w:val="2"/>
          <w:sz w:val="24"/>
          <w:szCs w:val="24"/>
          <w:lang w:val="en-GB" w:eastAsia="en-GB"/>
        </w:rPr>
      </w:pPr>
      <w:hyperlink w:anchor="_Toc233629229" w:history="1">
        <w:r>
          <w:rPr>
            <w:rStyle w:val="Hyperlink"/>
          </w:rPr>
          <w:t>Specific Objective VI - Strengthening external oversight of public finances</w:t>
        </w:r>
        <w:r>
          <w:rPr>
            <w:webHidden/>
          </w:rPr>
          <w:tab/>
        </w:r>
        <w:r>
          <w:rPr>
            <w:webHidden/>
          </w:rPr>
          <w:fldChar w:fldCharType="begin"/>
        </w:r>
        <w:r>
          <w:rPr>
            <w:webHidden/>
          </w:rPr>
          <w:instrText xml:space="preserve"> PAGEREF _Toc233629229 \h </w:instrText>
        </w:r>
        <w:r>
          <w:rPr>
            <w:webHidden/>
          </w:rPr>
        </w:r>
        <w:r>
          <w:rPr>
            <w:webHidden/>
          </w:rPr>
          <w:fldChar w:fldCharType="separate"/>
        </w:r>
        <w:r w:rsidR="005A2325">
          <w:rPr>
            <w:webHidden/>
          </w:rPr>
          <w:t>48</w:t>
        </w:r>
        <w:r>
          <w:rPr>
            <w:webHidden/>
          </w:rPr>
          <w:fldChar w:fldCharType="end"/>
        </w:r>
      </w:hyperlink>
    </w:p>
    <w:p w14:paraId="46773101" w14:textId="62F49A73" w:rsidR="00A91F4E" w:rsidRDefault="00A91F4E">
      <w:pPr>
        <w:pStyle w:val="TOC1"/>
        <w:rPr>
          <w:rFonts w:asciiTheme="minorHAnsi" w:eastAsiaTheme="minorEastAsia" w:hAnsiTheme="minorHAnsi" w:cstheme="minorBidi"/>
          <w:kern w:val="2"/>
          <w:sz w:val="24"/>
          <w:szCs w:val="24"/>
          <w:lang w:val="en-GB" w:eastAsia="en-GB"/>
        </w:rPr>
      </w:pPr>
      <w:hyperlink w:anchor="_Toc233629230" w:history="1">
        <w:r>
          <w:rPr>
            <w:rStyle w:val="Hyperlink"/>
          </w:rPr>
          <w:t>Overview of planned and used financial resources</w:t>
        </w:r>
        <w:r>
          <w:rPr>
            <w:webHidden/>
          </w:rPr>
          <w:tab/>
        </w:r>
        <w:r>
          <w:rPr>
            <w:webHidden/>
          </w:rPr>
          <w:fldChar w:fldCharType="begin"/>
        </w:r>
        <w:r>
          <w:rPr>
            <w:webHidden/>
          </w:rPr>
          <w:instrText xml:space="preserve"> PAGEREF _Toc233629230 \h </w:instrText>
        </w:r>
        <w:r>
          <w:rPr>
            <w:webHidden/>
          </w:rPr>
        </w:r>
        <w:r>
          <w:rPr>
            <w:webHidden/>
          </w:rPr>
          <w:fldChar w:fldCharType="separate"/>
        </w:r>
        <w:r w:rsidR="005A2325">
          <w:rPr>
            <w:webHidden/>
          </w:rPr>
          <w:t>56</w:t>
        </w:r>
        <w:r>
          <w:rPr>
            <w:webHidden/>
          </w:rPr>
          <w:fldChar w:fldCharType="end"/>
        </w:r>
      </w:hyperlink>
    </w:p>
    <w:p w14:paraId="659FC482" w14:textId="0216AAF7" w:rsidR="00A91F4E" w:rsidRDefault="00A91F4E">
      <w:pPr>
        <w:pStyle w:val="TOC1"/>
        <w:rPr>
          <w:rFonts w:asciiTheme="minorHAnsi" w:eastAsiaTheme="minorEastAsia" w:hAnsiTheme="minorHAnsi" w:cstheme="minorBidi"/>
          <w:kern w:val="2"/>
          <w:sz w:val="24"/>
          <w:szCs w:val="24"/>
          <w:lang w:val="en-GB" w:eastAsia="en-GB"/>
        </w:rPr>
      </w:pPr>
      <w:hyperlink w:anchor="_Toc233629231" w:history="1">
        <w:r>
          <w:rPr>
            <w:rStyle w:val="Hyperlink"/>
          </w:rPr>
          <w:t>Summary evaluation of the achievement of goals and measures</w:t>
        </w:r>
        <w:r>
          <w:rPr>
            <w:webHidden/>
          </w:rPr>
          <w:tab/>
        </w:r>
        <w:r>
          <w:rPr>
            <w:webHidden/>
          </w:rPr>
          <w:fldChar w:fldCharType="begin"/>
        </w:r>
        <w:r>
          <w:rPr>
            <w:webHidden/>
          </w:rPr>
          <w:instrText xml:space="preserve"> PAGEREF _Toc233629231 \h </w:instrText>
        </w:r>
        <w:r>
          <w:rPr>
            <w:webHidden/>
          </w:rPr>
        </w:r>
        <w:r>
          <w:rPr>
            <w:webHidden/>
          </w:rPr>
          <w:fldChar w:fldCharType="separate"/>
        </w:r>
        <w:r w:rsidR="005A2325">
          <w:rPr>
            <w:webHidden/>
          </w:rPr>
          <w:t>87</w:t>
        </w:r>
        <w:r>
          <w:rPr>
            <w:webHidden/>
          </w:rPr>
          <w:fldChar w:fldCharType="end"/>
        </w:r>
      </w:hyperlink>
    </w:p>
    <w:p w14:paraId="3D42A491" w14:textId="6BCB7B97" w:rsidR="00A91F4E" w:rsidRDefault="00A91F4E">
      <w:pPr>
        <w:pStyle w:val="TOC1"/>
        <w:rPr>
          <w:rFonts w:asciiTheme="minorHAnsi" w:eastAsiaTheme="minorEastAsia" w:hAnsiTheme="minorHAnsi" w:cstheme="minorBidi"/>
          <w:kern w:val="2"/>
          <w:sz w:val="24"/>
          <w:szCs w:val="24"/>
          <w:lang w:val="en-GB" w:eastAsia="en-GB"/>
        </w:rPr>
      </w:pPr>
      <w:hyperlink w:anchor="_Toc233629232" w:history="1">
        <w:r>
          <w:rPr>
            <w:rStyle w:val="Hyperlink"/>
          </w:rPr>
          <w:t>External factors that influenced the implementation of the programme</w:t>
        </w:r>
        <w:r>
          <w:rPr>
            <w:webHidden/>
          </w:rPr>
          <w:tab/>
        </w:r>
        <w:r>
          <w:rPr>
            <w:webHidden/>
          </w:rPr>
          <w:fldChar w:fldCharType="begin"/>
        </w:r>
        <w:r>
          <w:rPr>
            <w:webHidden/>
          </w:rPr>
          <w:instrText xml:space="preserve"> PAGEREF _Toc233629232 \h </w:instrText>
        </w:r>
        <w:r>
          <w:rPr>
            <w:webHidden/>
          </w:rPr>
        </w:r>
        <w:r>
          <w:rPr>
            <w:webHidden/>
          </w:rPr>
          <w:fldChar w:fldCharType="separate"/>
        </w:r>
        <w:r w:rsidR="005A2325">
          <w:rPr>
            <w:webHidden/>
          </w:rPr>
          <w:t>90</w:t>
        </w:r>
        <w:r>
          <w:rPr>
            <w:webHidden/>
          </w:rPr>
          <w:fldChar w:fldCharType="end"/>
        </w:r>
      </w:hyperlink>
    </w:p>
    <w:p w14:paraId="40B01363" w14:textId="7E20713A" w:rsidR="00A91F4E" w:rsidRDefault="00A91F4E">
      <w:pPr>
        <w:pStyle w:val="TOC1"/>
        <w:rPr>
          <w:rFonts w:asciiTheme="minorHAnsi" w:eastAsiaTheme="minorEastAsia" w:hAnsiTheme="minorHAnsi" w:cstheme="minorBidi"/>
          <w:kern w:val="2"/>
          <w:sz w:val="24"/>
          <w:szCs w:val="24"/>
          <w:lang w:val="en-GB" w:eastAsia="en-GB"/>
        </w:rPr>
      </w:pPr>
      <w:hyperlink w:anchor="_Toc233629233" w:history="1">
        <w:r>
          <w:rPr>
            <w:rStyle w:val="Hyperlink"/>
          </w:rPr>
          <w:t>Effects on target groups and stakeholders</w:t>
        </w:r>
        <w:r>
          <w:rPr>
            <w:webHidden/>
          </w:rPr>
          <w:tab/>
        </w:r>
        <w:r>
          <w:rPr>
            <w:webHidden/>
          </w:rPr>
          <w:fldChar w:fldCharType="begin"/>
        </w:r>
        <w:r>
          <w:rPr>
            <w:webHidden/>
          </w:rPr>
          <w:instrText xml:space="preserve"> PAGEREF _Toc233629233 \h </w:instrText>
        </w:r>
        <w:r>
          <w:rPr>
            <w:webHidden/>
          </w:rPr>
        </w:r>
        <w:r>
          <w:rPr>
            <w:webHidden/>
          </w:rPr>
          <w:fldChar w:fldCharType="separate"/>
        </w:r>
        <w:r w:rsidR="005A2325">
          <w:rPr>
            <w:webHidden/>
          </w:rPr>
          <w:t>92</w:t>
        </w:r>
        <w:r>
          <w:rPr>
            <w:webHidden/>
          </w:rPr>
          <w:fldChar w:fldCharType="end"/>
        </w:r>
      </w:hyperlink>
    </w:p>
    <w:p w14:paraId="3DE48618" w14:textId="105281A8" w:rsidR="00A91F4E" w:rsidRDefault="00A91F4E">
      <w:pPr>
        <w:pStyle w:val="TOC1"/>
        <w:rPr>
          <w:rFonts w:asciiTheme="minorHAnsi" w:eastAsiaTheme="minorEastAsia" w:hAnsiTheme="minorHAnsi" w:cstheme="minorBidi"/>
          <w:kern w:val="2"/>
          <w:sz w:val="24"/>
          <w:szCs w:val="24"/>
          <w:lang w:val="en-GB" w:eastAsia="en-GB"/>
        </w:rPr>
      </w:pPr>
      <w:hyperlink w:anchor="_Toc233629234" w:history="1">
        <w:r>
          <w:rPr>
            <w:rStyle w:val="Hyperlink"/>
          </w:rPr>
          <w:t>Evaluation of relevance, efficiency, effectiveness and sustainability of the programme</w:t>
        </w:r>
        <w:r>
          <w:rPr>
            <w:webHidden/>
          </w:rPr>
          <w:tab/>
        </w:r>
        <w:r>
          <w:rPr>
            <w:webHidden/>
          </w:rPr>
          <w:fldChar w:fldCharType="begin"/>
        </w:r>
        <w:r>
          <w:rPr>
            <w:webHidden/>
          </w:rPr>
          <w:instrText xml:space="preserve"> PAGEREF _Toc233629234 \h </w:instrText>
        </w:r>
        <w:r>
          <w:rPr>
            <w:webHidden/>
          </w:rPr>
        </w:r>
        <w:r>
          <w:rPr>
            <w:webHidden/>
          </w:rPr>
          <w:fldChar w:fldCharType="separate"/>
        </w:r>
        <w:r w:rsidR="005A2325">
          <w:rPr>
            <w:webHidden/>
          </w:rPr>
          <w:t>95</w:t>
        </w:r>
        <w:r>
          <w:rPr>
            <w:webHidden/>
          </w:rPr>
          <w:fldChar w:fldCharType="end"/>
        </w:r>
      </w:hyperlink>
    </w:p>
    <w:p w14:paraId="02F92B5A" w14:textId="3513FE59" w:rsidR="00A91F4E" w:rsidRDefault="00A91F4E">
      <w:pPr>
        <w:pStyle w:val="TOC1"/>
        <w:rPr>
          <w:rFonts w:asciiTheme="minorHAnsi" w:eastAsiaTheme="minorEastAsia" w:hAnsiTheme="minorHAnsi" w:cstheme="minorBidi"/>
          <w:kern w:val="2"/>
          <w:sz w:val="24"/>
          <w:szCs w:val="24"/>
          <w:lang w:val="en-GB" w:eastAsia="en-GB"/>
        </w:rPr>
      </w:pPr>
      <w:hyperlink w:anchor="_Toc233629235" w:history="1">
        <w:r>
          <w:rPr>
            <w:rStyle w:val="Hyperlink"/>
          </w:rPr>
          <w:t>Conclusions and overview of reform continuity under the PFMRP 2026–2030</w:t>
        </w:r>
        <w:r>
          <w:rPr>
            <w:webHidden/>
          </w:rPr>
          <w:tab/>
        </w:r>
        <w:r>
          <w:rPr>
            <w:webHidden/>
          </w:rPr>
          <w:fldChar w:fldCharType="begin"/>
        </w:r>
        <w:r>
          <w:rPr>
            <w:webHidden/>
          </w:rPr>
          <w:instrText xml:space="preserve"> PAGEREF _Toc233629235 \h </w:instrText>
        </w:r>
        <w:r>
          <w:rPr>
            <w:webHidden/>
          </w:rPr>
        </w:r>
        <w:r>
          <w:rPr>
            <w:webHidden/>
          </w:rPr>
          <w:fldChar w:fldCharType="separate"/>
        </w:r>
        <w:r w:rsidR="005A2325">
          <w:rPr>
            <w:webHidden/>
          </w:rPr>
          <w:t>98</w:t>
        </w:r>
        <w:r>
          <w:rPr>
            <w:webHidden/>
          </w:rPr>
          <w:fldChar w:fldCharType="end"/>
        </w:r>
      </w:hyperlink>
    </w:p>
    <w:p w14:paraId="2C00CD00" w14:textId="0EA6804E" w:rsidR="00A91F4E" w:rsidRDefault="00A91F4E">
      <w:pPr>
        <w:pStyle w:val="TOC1"/>
        <w:rPr>
          <w:rFonts w:asciiTheme="minorHAnsi" w:eastAsiaTheme="minorEastAsia" w:hAnsiTheme="minorHAnsi" w:cstheme="minorBidi"/>
          <w:kern w:val="2"/>
          <w:sz w:val="24"/>
          <w:szCs w:val="24"/>
          <w:lang w:val="en-GB" w:eastAsia="en-GB"/>
        </w:rPr>
      </w:pPr>
      <w:hyperlink w:anchor="_Toc233629236" w:history="1">
        <w:r w:rsidRPr="007E1E85">
          <w:rPr>
            <w:rStyle w:val="Hyperlink"/>
          </w:rPr>
          <w:t>Annex: Tabular representation of the implementation of activities</w:t>
        </w:r>
        <w:r>
          <w:rPr>
            <w:webHidden/>
          </w:rPr>
          <w:tab/>
        </w:r>
        <w:r>
          <w:rPr>
            <w:webHidden/>
          </w:rPr>
          <w:fldChar w:fldCharType="begin"/>
        </w:r>
        <w:r>
          <w:rPr>
            <w:webHidden/>
          </w:rPr>
          <w:instrText xml:space="preserve"> PAGEREF _Toc233629236 \h </w:instrText>
        </w:r>
        <w:r>
          <w:rPr>
            <w:webHidden/>
          </w:rPr>
        </w:r>
        <w:r>
          <w:rPr>
            <w:webHidden/>
          </w:rPr>
          <w:fldChar w:fldCharType="separate"/>
        </w:r>
        <w:r w:rsidR="005A2325">
          <w:rPr>
            <w:webHidden/>
          </w:rPr>
          <w:t>101</w:t>
        </w:r>
        <w:r>
          <w:rPr>
            <w:webHidden/>
          </w:rPr>
          <w:fldChar w:fldCharType="end"/>
        </w:r>
      </w:hyperlink>
    </w:p>
    <w:p w14:paraId="6B44CA98" w14:textId="763A04A8" w:rsidR="00202C25" w:rsidRPr="00301F00" w:rsidRDefault="004E4B10" w:rsidP="00301F00">
      <w:pPr>
        <w:pStyle w:val="Heading1"/>
        <w:jc w:val="center"/>
        <w:rPr>
          <w:rFonts w:ascii="Times New Roman" w:eastAsia="Calibri" w:hAnsi="Times New Roman" w:cs="Times New Roman"/>
          <w:sz w:val="22"/>
          <w:szCs w:val="22"/>
          <w:lang w:val="en-US"/>
        </w:rPr>
        <w:sectPr w:rsidR="00202C25" w:rsidRPr="00301F00" w:rsidSect="00543F74">
          <w:headerReference w:type="default" r:id="rId8"/>
          <w:pgSz w:w="12240" w:h="15840"/>
          <w:pgMar w:top="1440" w:right="1440" w:bottom="1440" w:left="1440" w:header="720" w:footer="720" w:gutter="0"/>
          <w:cols w:space="720"/>
          <w:docGrid w:linePitch="360"/>
        </w:sectPr>
      </w:pPr>
      <w:r w:rsidRPr="00B84557">
        <w:rPr>
          <w:rFonts w:ascii="Times New Roman" w:eastAsia="Calibri" w:hAnsi="Times New Roman" w:cs="Times New Roman"/>
          <w:sz w:val="22"/>
          <w:szCs w:val="22"/>
          <w:lang w:val="sr-Cyrl-RS"/>
        </w:rPr>
        <w:fldChar w:fldCharType="end"/>
      </w:r>
    </w:p>
    <w:p w14:paraId="491D09E0" w14:textId="77777777" w:rsidR="00F6689D" w:rsidRPr="00301F00" w:rsidRDefault="00F6689D" w:rsidP="00F6689D">
      <w:pPr>
        <w:rPr>
          <w:lang w:val="en-US"/>
        </w:rPr>
      </w:pPr>
    </w:p>
    <w:p w14:paraId="7A10BC80" w14:textId="77777777" w:rsidR="00EC259F" w:rsidRPr="006E2DA7" w:rsidRDefault="00EC259F" w:rsidP="006E2DA7">
      <w:pPr>
        <w:pStyle w:val="Heading1"/>
        <w:jc w:val="center"/>
        <w:rPr>
          <w:rFonts w:ascii="Times New Roman" w:eastAsia="Calibri" w:hAnsi="Times New Roman" w:cs="Times New Roman"/>
          <w:sz w:val="32"/>
          <w:szCs w:val="32"/>
          <w:lang w:val="sr-Cyrl-RS"/>
        </w:rPr>
      </w:pPr>
      <w:bookmarkStart w:id="1" w:name="_Toc233629219"/>
      <w:r w:rsidRPr="006E2DA7">
        <w:rPr>
          <w:rFonts w:ascii="Times New Roman" w:eastAsia="Calibri" w:hAnsi="Times New Roman" w:cs="Times New Roman"/>
          <w:sz w:val="32"/>
          <w:szCs w:val="32"/>
          <w:lang w:val="sr-Cyrl-RS"/>
        </w:rPr>
        <w:t>INTRODUCTION</w:t>
      </w:r>
      <w:bookmarkEnd w:id="1"/>
    </w:p>
    <w:p w14:paraId="6F1C6A71" w14:textId="77777777" w:rsidR="00EC259F" w:rsidRPr="008B1397" w:rsidRDefault="00EC259F"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8B1397">
        <w:rPr>
          <w:rFonts w:ascii="Times New Roman" w:eastAsia="Times New Roman" w:hAnsi="Times New Roman" w:cs="Times New Roman"/>
          <w:lang w:val="sr-Cyrl-RS" w:eastAsia="en-GB"/>
          <w14:ligatures w14:val="none"/>
        </w:rPr>
        <w:t>Public Financial Management Reform Programme for the period 2021–2025. (hereinafter: PFMRP 2021–2025) was adopted by the Government of the Republic of Serbia on June 24, 2021, as a public policy document that continued the reform process started in the previous programme cycle 2016–2020. The PFMRP 2021–2025 represented a comprehensive framework for further strengthening the public financial management system in the Republic of Serbia, with the aim of ensuring a sustainable budget, stable public debt in relation to gross domestic product (GDP), better linking budget planning with Government policies, as well as improving transparency, accountability and efficiency in the use of public funds.</w:t>
      </w:r>
    </w:p>
    <w:p w14:paraId="302C5947" w14:textId="77777777" w:rsidR="00EC259F" w:rsidRPr="008B1397" w:rsidRDefault="00EC259F"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8B1397">
        <w:rPr>
          <w:rFonts w:ascii="Times New Roman" w:eastAsia="Times New Roman" w:hAnsi="Times New Roman" w:cs="Times New Roman"/>
          <w:lang w:val="sr-Cyrl-RS" w:eastAsia="en-GB"/>
          <w14:ligatures w14:val="none"/>
        </w:rPr>
        <w:t>The PFMRP 2021–2025 was prepared and implemented as part of a broader strategic framework of public administration reform, bearing in mind that the reform of public financial management was determined as one of the specific objectives of the Public Administration Reform Strategy in the Republic of Serbia for the period 2021–2030 (hereinafter: PAR Strategy 2021-2030). In the process of preparing the Programme, the results of the implementation of the previous PFMRP 2016-2020, annual reports on its implementation, ex-post and ex-ante analysis of the effects of public policy measures, as well as the findings of the SIGMA (Support for Improvement in Governance and Management) and PEFA (Public Expenditure and Financial Accountability) assessment of the public financial management system conducted by the World Bank were used. This ensured that the new programme framework is based on the established state in the individual subsystems of public financial management, as well as on recommendations for further improvement of the reform process.</w:t>
      </w:r>
    </w:p>
    <w:p w14:paraId="3069C5BF" w14:textId="77777777" w:rsidR="00EC259F" w:rsidRPr="008B1397" w:rsidRDefault="00EC259F"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8B1397">
        <w:rPr>
          <w:rFonts w:ascii="Times New Roman" w:eastAsia="Times New Roman" w:hAnsi="Times New Roman" w:cs="Times New Roman"/>
          <w:lang w:val="sr-Cyrl-RS" w:eastAsia="en-GB"/>
          <w14:ligatures w14:val="none"/>
        </w:rPr>
        <w:t>The programme is structured through six specific objectives, which include: improvement of capacities for budget planning and public investment management and monitoring of fiscal risks; efficient collection and management of budget funds; improvement of budgetary discipline and more transparent use of public funds; improving the implementation of the internal financial control system in the public sector; improvement of accounting in the public sector by applying international accounting standards for the public sector; as well as strengthening external oversight of public finances.</w:t>
      </w:r>
    </w:p>
    <w:p w14:paraId="64D3F8C4" w14:textId="77777777" w:rsidR="00EC259F" w:rsidRDefault="00EC259F"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8B1397">
        <w:rPr>
          <w:rFonts w:ascii="Times New Roman" w:eastAsia="Times New Roman" w:hAnsi="Times New Roman" w:cs="Times New Roman"/>
          <w:lang w:val="sr-Cyrl-RS" w:eastAsia="en-GB"/>
          <w14:ligatures w14:val="none"/>
        </w:rPr>
        <w:t xml:space="preserve">The preparation, monitoring of the implementation and reporting on the implementation of the PFMRP 2021-2025 took place within the framework of the Working Group for the preparation, monitoring and reporting on the implementation of the Public Financial Management Reform Programme 2021-2025. The working group consists of representatives of the Ministry of Finance, including competent sectors and administrations within the Ministry, as well as representatives of other relevant institutions that participate in planning, implementation and supervision of reforms in the field of public financial management. The Public Procurement Office, the Public Policy Secretariat, the General Secretariat of the Government, the Ministry of State Administration and Local Self-Government, the Human Resources Management Service, the Ministry of European Integration, the Office for the Audit of the European Union Fund Management System, the State </w:t>
      </w:r>
      <w:r w:rsidRPr="008B1397">
        <w:rPr>
          <w:rFonts w:ascii="Times New Roman" w:eastAsia="Times New Roman" w:hAnsi="Times New Roman" w:cs="Times New Roman"/>
          <w:lang w:val="sr-Cyrl-RS" w:eastAsia="en-GB"/>
          <w14:ligatures w14:val="none"/>
        </w:rPr>
        <w:lastRenderedPageBreak/>
        <w:t>Audit Institution, as well as the National Assembly, through the competent committee, were also involved in the work.</w:t>
      </w:r>
    </w:p>
    <w:p w14:paraId="32FB62E0" w14:textId="77777777" w:rsidR="00523F14" w:rsidRPr="008B1397" w:rsidRDefault="00523F14" w:rsidP="00523F14">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Pr>
          <w:rFonts w:ascii="Times New Roman" w:eastAsia="Times New Roman" w:hAnsi="Times New Roman" w:cs="Times New Roman"/>
          <w:lang w:val="sr-Cyrl-RS" w:eastAsia="en-GB"/>
          <w14:ligatures w14:val="none"/>
        </w:rPr>
        <w:t>Also, bearing in mind the hierarchical relationship between the Programme and the PAR Strategy 2021-2030, i.e. the fact that Specific Objective 8 of the Strategy is elaborated in greater detail through the Programme, implementation monitoring and reporting were also carried out through the coordination structures and reporting mechanisms established under the Strategy. Accordingly, in addition to the regular annual reports on the implementation of the PFMRP 2021-2025, the results achieved each year form an integral part of the annual reports on the implementation of the PAR Strategy 2021-2030.</w:t>
      </w:r>
      <w:r>
        <w:rPr>
          <w:rStyle w:val="FootnoteReference"/>
          <w:rFonts w:ascii="Times New Roman" w:eastAsia="Times New Roman" w:hAnsi="Times New Roman" w:cs="Times New Roman"/>
          <w:lang w:val="sr-Cyrl-RS" w:eastAsia="en-GB"/>
          <w14:ligatures w14:val="none"/>
        </w:rPr>
        <w:footnoteReference w:id="1"/>
      </w:r>
      <w:r>
        <w:rPr>
          <w:rStyle w:val="FootnoteReference"/>
          <w:rFonts w:ascii="Times New Roman" w:eastAsia="Times New Roman" w:hAnsi="Times New Roman" w:cs="Times New Roman"/>
          <w:lang w:val="sr-Cyrl-RS" w:eastAsia="en-GB"/>
          <w14:ligatures w14:val="none"/>
        </w:rPr>
        <w:t xml:space="preserve"> </w:t>
      </w:r>
      <w:r w:rsidRPr="003A507F">
        <w:rPr>
          <w:rFonts w:ascii="Times New Roman" w:eastAsia="Times New Roman" w:hAnsi="Times New Roman" w:cs="Times New Roman"/>
          <w:lang w:val="sr-Cyrl-RS" w:eastAsia="en-GB"/>
          <w14:ligatures w14:val="none"/>
        </w:rPr>
        <w:t>These reports were considered and adopted through the coordination structures established for the broader strategic framework for public administration reform, namely the Public Administration Reform Council (the single political-level coordination body for public administration reform and public financial management reform) and the Interministerial Project Group for technical tasks related to coordinating and monitoring the implementation of the Public Administration Reform Strategy in the Republic of Serbia for the period 2021-2025 (administrative coordination level).</w:t>
      </w:r>
    </w:p>
    <w:p w14:paraId="710D05E3" w14:textId="77777777" w:rsidR="00EC259F" w:rsidRPr="008B1397" w:rsidRDefault="00EC259F"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8B1397">
        <w:rPr>
          <w:rFonts w:ascii="Times New Roman" w:eastAsia="Times New Roman" w:hAnsi="Times New Roman" w:cs="Times New Roman"/>
          <w:lang w:val="sr-Cyrl-RS" w:eastAsia="en-GB"/>
          <w14:ligatures w14:val="none"/>
        </w:rPr>
        <w:t>During the implementation of the Programme, in 2023, the need was identified to amend the 2021-2025 PFMRP and the accompanying Action Plan. The changes were prepared after the analysis of the implementation to date, in cooperation with the members of the Working Group and in consultation with the relevant stakeholders. The reasons for the changes related to the need to update activities, performance indicators and required funds, as well as to adapt the Programme to the circumstances that marked the period of its implementation, including the consequences of the Covid-19 pandemic, the energy crisis, the accelerated development of digitalisation and the increasingly pronounced need to further direct the reform process in the field of public financial management towards green policies and sustainable management of public resources. Amendments to the Programme were adopted by the Government of the Republic of Serbia on December 25, 2023.</w:t>
      </w:r>
    </w:p>
    <w:p w14:paraId="1BA7BF7E" w14:textId="77777777" w:rsidR="00EC259F" w:rsidRPr="008B1397" w:rsidRDefault="00EC259F"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8B1397">
        <w:rPr>
          <w:rFonts w:ascii="Times New Roman" w:eastAsia="Times New Roman" w:hAnsi="Times New Roman" w:cs="Times New Roman"/>
          <w:lang w:val="sr-Cyrl-RS" w:eastAsia="en-GB"/>
          <w14:ligatures w14:val="none"/>
        </w:rPr>
        <w:t>This report is prepared in accordance with the Law on the Planning System of the Republic of Serbia, as a final report on the implementation of the PFMRP 2021-2025, following the end of its implementation period. The report is prepared in cooperation with the members of the Working Group, based on the data submitted by the institutions responsible and partners in the implementation of the activities, as well as based on the previously adopted annual reports on the implementation of the Programme.</w:t>
      </w:r>
    </w:p>
    <w:p w14:paraId="0D69F927" w14:textId="77777777" w:rsidR="002C4825" w:rsidRPr="00BD4AE3" w:rsidRDefault="00EC259F" w:rsidP="00BD4AE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8B1397">
        <w:rPr>
          <w:rFonts w:ascii="Times New Roman" w:eastAsia="Times New Roman" w:hAnsi="Times New Roman" w:cs="Times New Roman"/>
          <w:lang w:val="sr-Cyrl-RS" w:eastAsia="en-GB"/>
          <w14:ligatures w14:val="none"/>
        </w:rPr>
        <w:t xml:space="preserve">During the period 2021–2025. 72.7% of activities were completed within the stipulated period. Activities not implemented in the largest number of cases refer to delays in the implementation of projects, the implementation of which is a prerequisite for the fulfilment of planned reform activities, while in a smaller number of cases deviations occurred due to a lack of financial resources. Despite the aforementioned delays, the implementation of the Programme as a whole represented an important framework for continuing the improvement of the public </w:t>
      </w:r>
      <w:r w:rsidRPr="008B1397">
        <w:rPr>
          <w:rFonts w:ascii="Times New Roman" w:eastAsia="Times New Roman" w:hAnsi="Times New Roman" w:cs="Times New Roman"/>
          <w:lang w:val="sr-Cyrl-RS" w:eastAsia="en-GB"/>
          <w14:ligatures w14:val="none"/>
        </w:rPr>
        <w:lastRenderedPageBreak/>
        <w:t>financial management system, strengthening institutional coordination and harmonising reform activities with European Union standards and international good practices.</w:t>
      </w:r>
    </w:p>
    <w:p w14:paraId="3587FF5F" w14:textId="77777777" w:rsidR="00C666F9" w:rsidRPr="002C4825" w:rsidRDefault="00C37AC9" w:rsidP="002C4825">
      <w:pPr>
        <w:pStyle w:val="Heading1"/>
        <w:jc w:val="center"/>
        <w:rPr>
          <w:rFonts w:ascii="Times New Roman" w:eastAsia="Calibri" w:hAnsi="Times New Roman" w:cs="Times New Roman"/>
          <w:sz w:val="32"/>
          <w:szCs w:val="32"/>
          <w:lang w:val="en-US"/>
        </w:rPr>
      </w:pPr>
      <w:bookmarkStart w:id="2" w:name="_Toc233629220"/>
      <w:r w:rsidRPr="006E2DA7">
        <w:rPr>
          <w:rFonts w:ascii="Times New Roman" w:eastAsia="Calibri" w:hAnsi="Times New Roman" w:cs="Times New Roman"/>
          <w:sz w:val="32"/>
          <w:szCs w:val="32"/>
          <w:lang w:val="sr-Cyrl-RS"/>
        </w:rPr>
        <w:t>METHODOLOGICAL FRAMEWORK, DATA SOURCES AND REPORT PREPARATION PROCESS</w:t>
      </w:r>
      <w:bookmarkEnd w:id="2"/>
    </w:p>
    <w:p w14:paraId="3D5CADD0" w14:textId="77777777" w:rsidR="00C37AC9" w:rsidRPr="00C37AC9" w:rsidRDefault="00C37AC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37AC9">
        <w:rPr>
          <w:rFonts w:ascii="Times New Roman" w:eastAsia="Times New Roman" w:hAnsi="Times New Roman" w:cs="Times New Roman"/>
          <w:lang w:val="sr-Cyrl-RS" w:eastAsia="en-GB"/>
          <w14:ligatures w14:val="none"/>
        </w:rPr>
        <w:t>Final report on the implementation of the Public Financial Management Reform Programme for the period 2021-2025. was prepared in accordance with the Law on the Planning System of the Republic of Serbia and the Regulation on the Methodology of Drafting Public Policy Documents. The report represents the final review of the implementation of the Programme after the end of its implementation period and includes an assessment of the achievement of established goals, measures and activities, as well as an overview of the results, challenges and recommendations relevant for the next planning cycle in the field of public financial management.</w:t>
      </w:r>
    </w:p>
    <w:p w14:paraId="2784D749" w14:textId="77777777" w:rsidR="00C37AC9" w:rsidRPr="00C37AC9" w:rsidRDefault="00C37AC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37AC9">
        <w:rPr>
          <w:rFonts w:ascii="Times New Roman" w:eastAsia="Times New Roman" w:hAnsi="Times New Roman" w:cs="Times New Roman"/>
          <w:lang w:val="sr-Cyrl-RS" w:eastAsia="en-GB"/>
          <w14:ligatures w14:val="none"/>
        </w:rPr>
        <w:t>The report was prepared on the basis of data submitted by institutions and partners in the implementation of activities, data contained in the action plan for the implementation of the PFMRP 2021-2025, previously prepared annual reports on the implementation of the Programme, as well as other relevant sources that were used to monitor progress in individual subsystems of public financial management. Particular consideration was given to data on the achieved values ​​of performance indicators, the status of activity implementation, reasons for deviations from the planned dynamics, sources of financing and challenges that affected the implementation of certain measures.</w:t>
      </w:r>
    </w:p>
    <w:p w14:paraId="2E43D361" w14:textId="77777777" w:rsidR="00C37AC9" w:rsidRPr="00C37AC9" w:rsidRDefault="00C37AC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37AC9">
        <w:rPr>
          <w:rFonts w:ascii="Times New Roman" w:eastAsia="Times New Roman" w:hAnsi="Times New Roman" w:cs="Times New Roman"/>
          <w:lang w:val="sr-Cyrl-RS" w:eastAsia="en-GB"/>
          <w14:ligatures w14:val="none"/>
        </w:rPr>
        <w:t>The preparation of the report was carried out in cooperation with the members of the Working Group for drafting, monitoring and reporting on the implementation of the 2021-2025 PFMRP. In that process, institutions responsible for the implementation of measures and activities submitted data on the degree of implementation, achieved results, performance indicators, funds used, risks and next steps. This ensured that the report is based on the data of institutions that are directly responsible for the implementation of reform activities.</w:t>
      </w:r>
    </w:p>
    <w:p w14:paraId="7B10EB21" w14:textId="77777777" w:rsidR="00C37AC9" w:rsidRPr="00C37AC9" w:rsidRDefault="00C37AC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37AC9">
        <w:rPr>
          <w:rFonts w:ascii="Times New Roman" w:eastAsia="Times New Roman" w:hAnsi="Times New Roman" w:cs="Times New Roman"/>
          <w:lang w:val="sr-Cyrl-RS" w:eastAsia="en-GB"/>
          <w14:ligatures w14:val="none"/>
        </w:rPr>
        <w:t>The methodological approach in the preparation of the report is based on the implementation of the Programme on three levels. The first level refers to the review of the achievement of general and specific objectives, through the analysis of impact and outcome indicators. The second level refers to the assessment of the implementation of the measures, through the analysis of the output indicators, key achievements and deviations in relation to the planned values. The third level refers to the review of the implementation of activities from the Action Plan, with special reference to activities that were not implemented within the planned period and the reasons that led to delays or deviations.</w:t>
      </w:r>
    </w:p>
    <w:p w14:paraId="53194859" w14:textId="77777777" w:rsidR="00AB31A0" w:rsidRPr="00AB31A0" w:rsidRDefault="00AB31A0" w:rsidP="00051796">
      <w:pPr>
        <w:pStyle w:val="isselectedend"/>
        <w:ind w:firstLine="720"/>
        <w:jc w:val="both"/>
        <w:rPr>
          <w:lang w:val="sr-Cyrl-RS"/>
        </w:rPr>
      </w:pPr>
      <w:r w:rsidRPr="00AB31A0">
        <w:rPr>
          <w:lang w:val="sr-Cyrl-RS"/>
        </w:rPr>
        <w:t xml:space="preserve">In accordance with the methodology of reporting on the implementation of public policy documents, the report also includes an overview of planned and used financial resources, an overview of external factors that influenced the degree of achieved results, as well as an assessment of the effects of the Programme's implementation on target groups and stakeholders. Considering the nature of the PFMRP, special attention was paid to the effects that the reforms had on public </w:t>
      </w:r>
      <w:r w:rsidRPr="00AB31A0">
        <w:rPr>
          <w:lang w:val="sr-Cyrl-RS"/>
        </w:rPr>
        <w:lastRenderedPageBreak/>
        <w:t>sector institutions, users of budget funds, taxpayers, supervisory and control authorities, as well as on transparency and accountability in the management of public funds.</w:t>
      </w:r>
    </w:p>
    <w:p w14:paraId="0BF965D0" w14:textId="77777777" w:rsidR="00AB31A0" w:rsidRPr="00AB31A0" w:rsidRDefault="00AB31A0" w:rsidP="00051796">
      <w:pPr>
        <w:pStyle w:val="isselectedend"/>
        <w:ind w:firstLine="720"/>
        <w:jc w:val="both"/>
        <w:rPr>
          <w:lang w:val="sr-Cyrl-RS"/>
        </w:rPr>
      </w:pPr>
      <w:r w:rsidRPr="00AB31A0">
        <w:rPr>
          <w:lang w:val="sr-Cyrl-RS"/>
        </w:rPr>
        <w:t>The review of the PFMRP 2021-2025 results was also carried out in a broader reform context, bearing in mind that public financial management is part of the public administration reform system and is directly related to other public policy documents, the European integration process and the international obligations of the Republic of Serbia. In this sense, during the preparation of the report, the connection of PFMRP with the Public Administration Reform Strategy was taken into account, especially in the part related to public financial management, responsibility and transparency, as well as with the obligations arising from the relevant negotiation chapters in the process of accession to the European Union.</w:t>
      </w:r>
    </w:p>
    <w:p w14:paraId="79C38A1E" w14:textId="77777777" w:rsidR="00AB31A0" w:rsidRPr="00AB31A0" w:rsidRDefault="00AB31A0" w:rsidP="00051796">
      <w:pPr>
        <w:pStyle w:val="isselectedend"/>
        <w:ind w:firstLine="720"/>
        <w:jc w:val="both"/>
        <w:rPr>
          <w:lang w:val="sr-Cyrl-RS"/>
        </w:rPr>
      </w:pPr>
      <w:r w:rsidRPr="00AB31A0">
        <w:rPr>
          <w:lang w:val="sr-Cyrl-RS"/>
        </w:rPr>
        <w:t>The PFMRP was also considered in the context of processes that are important for the overall reform framework of the Republic of Serbia, including the Growth Plan for the Western Balkans and the Reform Agenda of the Republic of Serbia, the Economic Reform Programme, cooperation with international financial institutions, as well as projects and support instruments that influenced the implementation of certain activities in the field of public financial management. Special attention was paid to the fact that the results of the Programme are not viewed in isolation, but in relation to reforms implemented in related areas, such as budget planning, public procurement, taxation, customs system, financial control, management of European Union funds, public sector accounting and external supervision.</w:t>
      </w:r>
    </w:p>
    <w:p w14:paraId="5D968B85" w14:textId="77777777" w:rsidR="00AB31A0" w:rsidRPr="00051796" w:rsidRDefault="00AB31A0" w:rsidP="00051796">
      <w:pPr>
        <w:pStyle w:val="NormalWeb"/>
        <w:ind w:firstLine="720"/>
        <w:jc w:val="both"/>
        <w:rPr>
          <w:lang w:val="en-US"/>
        </w:rPr>
      </w:pPr>
      <w:r w:rsidRPr="00AB31A0">
        <w:rPr>
          <w:lang w:val="sr-Cyrl-RS"/>
        </w:rPr>
        <w:t>When evaluating the results, relevant international standards and methodological frameworks applied in individual areas of public financial management were taken into account, including the PEFA and SIGMA framework, as well as standards and good practices in the field of public sector accounting, tax policy, internal control and external audits. In this way, the report provides an overview of the implementation of the PFMRP 2021-2025 not only as an independent document of public policy, but also as part of a wider system of reform, European and international processes that are relevant to the management of public finances in the Republic of Serbia.</w:t>
      </w:r>
    </w:p>
    <w:p w14:paraId="7373596F" w14:textId="77777777" w:rsidR="00E605FB" w:rsidRDefault="00732D6F"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732D6F">
        <w:rPr>
          <w:rFonts w:ascii="Times New Roman" w:eastAsia="Times New Roman" w:hAnsi="Times New Roman" w:cs="Times New Roman"/>
          <w:lang w:val="sr-Cyrl-RS" w:eastAsia="en-GB"/>
          <w14:ligatures w14:val="none"/>
        </w:rPr>
        <w:t>The findings from this report are also viewed in the context of the continuity of reforms that have already been incorporated into the Public Financial Management Reform Programme for the period 2026-2030 (hereinafter: PFMRP 2026-2030). In this sense, the final report does not only have the function of recording implemented and non-implemented activities, but represents the basis for the systematization of results, remaining challenges and lessons learned from the previous programme cycle.</w:t>
      </w:r>
    </w:p>
    <w:p w14:paraId="2B3AFBA6" w14:textId="77777777" w:rsidR="002C4825" w:rsidRDefault="002C4825"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10D4E0C1" w14:textId="77777777" w:rsidR="002C4825" w:rsidRDefault="002C4825"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51BF1099" w14:textId="77777777" w:rsidR="002C4825" w:rsidRPr="002C4825" w:rsidRDefault="002C4825"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9EC982C" w14:textId="77777777" w:rsidR="00C666F9" w:rsidRPr="0058410E" w:rsidRDefault="00C666F9" w:rsidP="006E2DA7">
      <w:pPr>
        <w:pStyle w:val="Heading1"/>
        <w:jc w:val="center"/>
        <w:rPr>
          <w:rFonts w:ascii="Times New Roman" w:eastAsia="Calibri" w:hAnsi="Times New Roman" w:cs="Times New Roman"/>
          <w:sz w:val="32"/>
          <w:szCs w:val="32"/>
          <w:lang w:val="sr-Latn-RS"/>
        </w:rPr>
      </w:pPr>
      <w:bookmarkStart w:id="3" w:name="_Toc233629221"/>
      <w:r w:rsidRPr="0058410E">
        <w:rPr>
          <w:rFonts w:ascii="Times New Roman" w:eastAsia="Calibri" w:hAnsi="Times New Roman" w:cs="Times New Roman"/>
          <w:sz w:val="32"/>
          <w:szCs w:val="32"/>
          <w:lang w:val="sr-Cyrl-RS"/>
        </w:rPr>
        <w:lastRenderedPageBreak/>
        <w:t>EXECUTIVE SUMMARY OF ACHIEVEMENTS AND CHALLENGES</w:t>
      </w:r>
      <w:bookmarkEnd w:id="3"/>
    </w:p>
    <w:p w14:paraId="74969A9C" w14:textId="77777777" w:rsidR="008548AE" w:rsidRDefault="00C666F9" w:rsidP="008548AE">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The period of implementation of the 2021-2025 PFMRP is marked by the continuation of reform activities in all key subsystems of public financial management, but also by circumstances that influenced the dynamics of the implementation of certain measures. The programme was implemented in the period after the Covid-19 pandemic, during the energy crisis, in conditions of pronounced inflationary pressures and increased uncertainty in the international environment. At the same time, during this period, the importance of digitalisation of public finances, strengthening of the transparency of the budget process and the gradual inclusion of the green dimension in the planning and monitoring of public expenditures increased.</w:t>
      </w:r>
    </w:p>
    <w:p w14:paraId="50B64F94" w14:textId="77777777" w:rsidR="00C666F9" w:rsidRDefault="00C666F9" w:rsidP="008548A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C666F9">
        <w:rPr>
          <w:rFonts w:ascii="Times New Roman" w:eastAsia="Times New Roman" w:hAnsi="Times New Roman" w:cs="Times New Roman"/>
          <w:lang w:val="sr-Cyrl-RS" w:eastAsia="en-GB"/>
          <w14:ligatures w14:val="none"/>
        </w:rPr>
        <w:t>Overall, during the period 2021–2025. 72 activities foreseen by the Programme were implemented, while 27 activities were not implemented during the duration of the Programme. This result indicates that most of the planned reform activities were implemented, but also that there were delays in some of the activities, primarily in complex projects that depend on the development of information systems, procurement, donor and project support. In the case of a significant number of activities that were not completed within the stipulated period, the implementation was continued, that is, the activities were transferred to the next programme cycle.</w:t>
      </w:r>
    </w:p>
    <w:p w14:paraId="7D17B2CF" w14:textId="77777777" w:rsidR="00A70734" w:rsidRPr="00A70734" w:rsidRDefault="00AE65E3" w:rsidP="00A70734">
      <w:pPr>
        <w:spacing w:before="100" w:beforeAutospacing="1" w:after="100" w:afterAutospacing="1" w:line="240" w:lineRule="auto"/>
        <w:ind w:firstLine="720"/>
        <w:jc w:val="center"/>
        <w:rPr>
          <w:rFonts w:ascii="Times New Roman" w:eastAsia="Times New Roman" w:hAnsi="Times New Roman" w:cs="Times New Roman"/>
          <w:lang w:val="en-US" w:eastAsia="en-GB"/>
          <w14:ligatures w14:val="none"/>
        </w:rPr>
      </w:pPr>
      <w:r>
        <w:rPr>
          <w:rFonts w:ascii="Times New Roman" w:eastAsia="Times New Roman" w:hAnsi="Times New Roman" w:cs="Times New Roman"/>
          <w:noProof/>
          <w:lang w:val="en-US" w:eastAsia="en-GB"/>
          <w14:ligatures w14:val="none"/>
        </w:rPr>
        <w:drawing>
          <wp:inline distT="0" distB="0" distL="0" distR="0" wp14:anchorId="27E98781" wp14:editId="5ED6EBBB">
            <wp:extent cx="4086225" cy="3159051"/>
            <wp:effectExtent l="0" t="0" r="0" b="3810"/>
            <wp:docPr id="1173595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9294" cy="3169155"/>
                    </a:xfrm>
                    <a:prstGeom prst="rect">
                      <a:avLst/>
                    </a:prstGeom>
                    <a:noFill/>
                  </pic:spPr>
                </pic:pic>
              </a:graphicData>
            </a:graphic>
          </wp:inline>
        </w:drawing>
      </w:r>
    </w:p>
    <w:p w14:paraId="1133AB6F"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 xml:space="preserve">At the level of the overall objective, the PFMRP 2021-2025 was implemented in conditions of preserved macroeconomic and fiscal stability. Although real GDP growth in 2025 was below the originally planned value, which is a consequence of unfavorable international geopolitical circumstances, the indicator related to the level of general government debt in GDP was achieved. The level of general government debt in 2025 was significantly below the target value, which confirms the continuation of responsible fiscal policy and the preservation of fiscal sustainability </w:t>
      </w:r>
      <w:r w:rsidRPr="00C666F9">
        <w:rPr>
          <w:rFonts w:ascii="Times New Roman" w:eastAsia="Times New Roman" w:hAnsi="Times New Roman" w:cs="Times New Roman"/>
          <w:lang w:val="sr-Cyrl-RS" w:eastAsia="en-GB"/>
          <w14:ligatures w14:val="none"/>
        </w:rPr>
        <w:lastRenderedPageBreak/>
        <w:t>as one of the basic prerequisites for further improvement of the public financial management system.</w:t>
      </w:r>
    </w:p>
    <w:p w14:paraId="06447B19"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The most significant progress within Special Objective I was achieved in the area of ​​medium-term planning, further development of programme budgeting, public investment management and monitoring of fiscal risks. The number of medium-term plans of medium-term planning obligees at the republican level continuously grew during the period of the Programme's implementation, which contributed to a better connection of planning documents, medium-term planning and the budget process. At the same time, activities in the area of ​​managing capital projects and fiscal risks continued, while certain activities that require more complex institutional, methodological or informational support are planned for continuation within the PFMRP 2026-2030.</w:t>
      </w:r>
    </w:p>
    <w:p w14:paraId="0C332349"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In the area of ​​collection and management of budget funds, the modernisation of the Tax Administration, the Customs Administration, the Tobacco Administration, the Treasury Administration and the Public Debt Administration continued. Of particular importance were activities aimed at improving business processes, further digitalisation, development of information systems, harmonisation with European Union standards and strengthening of administrative capacities. In this area, important results were simultaneously achieved and the biggest delays were identified, given that certain reforms directly depended on the implementation of large IT projects, project support and technical prerequisites for their full implementation.</w:t>
      </w:r>
    </w:p>
    <w:p w14:paraId="20DD59A6"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In the area of budgetary discipline, transparency and control of the use of public funds, the strengthening of the institutional and normative framework continued. Significant progress was achieved through the further improvement of the transparency of the budget process, public procurement, budget inspection and the system for managing the funds of the European Union. The establishment of new digital tools and the improvement of access to information on public finances have contributed to greater availability of data and a better understanding of the budget process by the interested public.</w:t>
      </w:r>
    </w:p>
    <w:p w14:paraId="66C4FCA2"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In the area of ​​internal financial control in the public sector (hereinafter: PIFC), activities aimed at improving financial management and control (hereinafter: FMC), internal audit (hereinafter: IA), methodological framework and professionalisation of employees who perform these tasks continued. The implementation of measures in this area contributed to the further strengthening of the responsibility of managers, the development of control mechanisms and the improvement of the function of the IA, although it is still necessary to continue with capacity building and more consistent application of the established rules in practice.</w:t>
      </w:r>
    </w:p>
    <w:p w14:paraId="2E1CD00F"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In the area of accounting in the public sector, the phased implementation of the activities foreseen in the Plan for the Improvement of Accounting in the Public Sector and further alignment with international accounting standards for the public sector continued. The results in this area have a long-term character, because they refer to the gradual improvement of the quality of financial reporting, the inclusion of accounting data and the creation of preconditions for the further application of modern accounting standards.</w:t>
      </w:r>
    </w:p>
    <w:p w14:paraId="226696EF"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lastRenderedPageBreak/>
        <w:t>In the field of external supervision of public finances, the role of the State Audit Institution (hereinafter: SAI) and the National Assembly continued to be strengthened. The scope and quality of the audit work was improved, the monitoring of actions according to the recommendations of the SAI continued, and the competent committee of the National Assembly continued the consideration of issues of importance for external supervision of public finances. These activities contributed to greater responsibility in the use of public funds and strengthening the control function of the National Assembly.</w:t>
      </w:r>
    </w:p>
    <w:p w14:paraId="54B90D3D" w14:textId="77777777" w:rsidR="00C666F9" w:rsidRPr="00C666F9" w:rsidRDefault="00C666F9" w:rsidP="003A274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C666F9">
        <w:rPr>
          <w:rFonts w:ascii="Times New Roman" w:eastAsia="Times New Roman" w:hAnsi="Times New Roman" w:cs="Times New Roman"/>
          <w:lang w:val="sr-Cyrl-RS" w:eastAsia="en-GB"/>
          <w14:ligatures w14:val="none"/>
        </w:rPr>
        <w:t>The key challenges in the implementation of the PFMRP 2021–2025 related to delays in complex reform activities, especially those that depended on the development or upgrading of information systems, the implementation of public procurement, the engagement of consultants, donor support or the provision of additional financial resources. Additional challenges were limited administrative capacities in certain institutions, the need for stronger intersectoral coordination and the influence of external circumstances on the dynamics of the implementation of planned activities.</w:t>
      </w:r>
    </w:p>
    <w:p w14:paraId="5A3DC2C3" w14:textId="77777777" w:rsidR="00EC259F" w:rsidRDefault="00C666F9"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C666F9">
        <w:rPr>
          <w:rFonts w:ascii="Times New Roman" w:eastAsia="Times New Roman" w:hAnsi="Times New Roman" w:cs="Times New Roman"/>
          <w:lang w:val="sr-Cyrl-RS" w:eastAsia="en-GB"/>
          <w14:ligatures w14:val="none"/>
        </w:rPr>
        <w:t>Despite the aforementioned challenges, the implementation of the PFMRP 2021-2025 ensured the continuity of reforms in the area of ​​public financial management and created the basis for the next programme cycle. Results achieved in the period 2021–2025. confirmed the importance of a comprehensive approach to public finance reform, while the activities that were not fully implemented within the planned period served as an important input for defining priorities, deadlines and measures in the PFMRP 2026-2030.</w:t>
      </w:r>
    </w:p>
    <w:p w14:paraId="0E65985F"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6A932CB5"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B26FE70"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11FBCAA2"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03996852"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F43BF7F"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55163D55"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513BC9AF"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DB51650"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725EFCD" w14:textId="77777777" w:rsid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56D654F" w14:textId="77777777" w:rsidR="002C4825" w:rsidRPr="002C4825" w:rsidRDefault="002C4825" w:rsidP="006E2DA7">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00D47FBD" w14:textId="77777777" w:rsidR="00C666F9" w:rsidRPr="006E2DA7" w:rsidRDefault="00C666F9" w:rsidP="006E2DA7">
      <w:pPr>
        <w:pStyle w:val="Heading1"/>
        <w:jc w:val="center"/>
        <w:rPr>
          <w:rFonts w:ascii="Times New Roman" w:eastAsia="Calibri" w:hAnsi="Times New Roman" w:cs="Times New Roman"/>
          <w:sz w:val="32"/>
          <w:szCs w:val="32"/>
          <w:lang w:val="sr-Cyrl-RS"/>
        </w:rPr>
      </w:pPr>
      <w:bookmarkStart w:id="4" w:name="_Toc233629222"/>
      <w:r w:rsidRPr="006E2DA7">
        <w:rPr>
          <w:rFonts w:ascii="Times New Roman" w:eastAsia="Calibri" w:hAnsi="Times New Roman" w:cs="Times New Roman"/>
          <w:sz w:val="32"/>
          <w:szCs w:val="32"/>
          <w:lang w:val="sr-Cyrl-RS"/>
        </w:rPr>
        <w:lastRenderedPageBreak/>
        <w:t>MACROECONOMIC AND FISCAL CONTEXT OF PROGRAMME IMPLEMENTATION</w:t>
      </w:r>
      <w:bookmarkEnd w:id="4"/>
    </w:p>
    <w:p w14:paraId="733528D5" w14:textId="77777777" w:rsidR="00034739" w:rsidRPr="00C666F9" w:rsidRDefault="00034739" w:rsidP="00034739">
      <w:pPr>
        <w:autoSpaceDE w:val="0"/>
        <w:autoSpaceDN w:val="0"/>
        <w:adjustRightInd w:val="0"/>
        <w:spacing w:after="0" w:line="240" w:lineRule="auto"/>
        <w:rPr>
          <w:rFonts w:ascii="Times New Roman" w:eastAsia="Calibri" w:hAnsi="Times New Roman" w:cs="Times New Roman"/>
          <w:b/>
          <w:bCs/>
          <w:color w:val="365F91"/>
          <w:szCs w:val="22"/>
          <w:lang w:val="sr-Latn-RS"/>
          <w14:ligatures w14:val="none"/>
        </w:rPr>
      </w:pPr>
    </w:p>
    <w:p w14:paraId="596C75E7" w14:textId="77777777" w:rsidR="00412EE1" w:rsidRPr="00412EE1" w:rsidRDefault="00412EE1" w:rsidP="0085507D">
      <w:pPr>
        <w:spacing w:line="259" w:lineRule="auto"/>
        <w:ind w:firstLine="720"/>
        <w:jc w:val="both"/>
        <w:rPr>
          <w:rFonts w:ascii="Times New Roman" w:eastAsia="Calibri" w:hAnsi="Times New Roman" w:cs="Times New Roman"/>
          <w:lang w:val="sr-Cyrl-RS"/>
          <w14:ligatures w14:val="none"/>
        </w:rPr>
      </w:pPr>
      <w:r w:rsidRPr="00412EE1">
        <w:rPr>
          <w:rFonts w:ascii="Times New Roman" w:eastAsia="Calibri" w:hAnsi="Times New Roman" w:cs="Times New Roman"/>
          <w:lang w:val="sr-Cyrl-RS"/>
          <w14:ligatures w14:val="none"/>
        </w:rPr>
        <w:t>Below is an overview of key macroeconomic and fiscal developments in the period 2021-2025, bearing in mind that the overall objective of the PFMRP is connected with the achievement of a sustainable budget, stable public debt in relation to GDP and improvement of public financial management.</w:t>
      </w:r>
    </w:p>
    <w:p w14:paraId="30F41455" w14:textId="77777777" w:rsidR="0085507D" w:rsidRPr="008B1397" w:rsidRDefault="0085507D" w:rsidP="0085507D">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observed period of 2021–2025 is characterized by the transition of the economy from the phase of strong growth to the phase of macroeconomic stabilisation, while at the same time a significant improvement of key fundamental indicators. In 2021, an extremely high real GDP growth of 7.9% was recorded, which reflects the effect of the basic recovery after the pandemic, but also a strong domestic and external demand impulse. Nominal GDP continues a stable upward trend throughout the entire period, reaching RSD 10,392.7 billion in 2025, which indicates a continuous expansion of economic activity, with partial inflationary effects in the earlier stages of the observed period.</w:t>
      </w:r>
    </w:p>
    <w:tbl>
      <w:tblPr>
        <w:tblW w:w="9450" w:type="dxa"/>
        <w:tblInd w:w="-10" w:type="dxa"/>
        <w:tblLook w:val="04A0" w:firstRow="1" w:lastRow="0" w:firstColumn="1" w:lastColumn="0" w:noHBand="0" w:noVBand="1"/>
      </w:tblPr>
      <w:tblGrid>
        <w:gridCol w:w="2526"/>
        <w:gridCol w:w="1457"/>
        <w:gridCol w:w="1457"/>
        <w:gridCol w:w="1457"/>
        <w:gridCol w:w="1457"/>
        <w:gridCol w:w="1096"/>
      </w:tblGrid>
      <w:tr w:rsidR="00882D88" w:rsidRPr="008B1397" w14:paraId="0145C6C4" w14:textId="77777777" w:rsidTr="00882D88">
        <w:trPr>
          <w:trHeight w:val="300"/>
        </w:trPr>
        <w:tc>
          <w:tcPr>
            <w:tcW w:w="2580" w:type="dxa"/>
            <w:tcBorders>
              <w:top w:val="single" w:sz="8" w:space="0" w:color="auto"/>
              <w:left w:val="single" w:sz="8" w:space="0" w:color="auto"/>
              <w:bottom w:val="single" w:sz="4" w:space="0" w:color="auto"/>
              <w:right w:val="single" w:sz="4" w:space="0" w:color="auto"/>
            </w:tcBorders>
            <w:shd w:val="clear" w:color="auto" w:fill="9CC2E5" w:themeFill="accent1" w:themeFillTint="99"/>
            <w:vAlign w:val="center"/>
            <w:hideMark/>
          </w:tcPr>
          <w:p w14:paraId="1EBCCC8F"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Indicator</w:t>
            </w:r>
          </w:p>
        </w:tc>
        <w:tc>
          <w:tcPr>
            <w:tcW w:w="1480"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4C004EF5" w14:textId="77777777" w:rsidR="00882D88" w:rsidRPr="008B1397" w:rsidRDefault="00882D88" w:rsidP="00882D88">
            <w:pPr>
              <w:spacing w:after="0" w:line="240" w:lineRule="auto"/>
              <w:jc w:val="center"/>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2021</w:t>
            </w:r>
          </w:p>
        </w:tc>
        <w:tc>
          <w:tcPr>
            <w:tcW w:w="1480"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42E1F202" w14:textId="77777777" w:rsidR="00882D88" w:rsidRPr="008B1397" w:rsidRDefault="00882D88" w:rsidP="00882D88">
            <w:pPr>
              <w:spacing w:after="0" w:line="240" w:lineRule="auto"/>
              <w:jc w:val="center"/>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2022</w:t>
            </w:r>
          </w:p>
        </w:tc>
        <w:tc>
          <w:tcPr>
            <w:tcW w:w="1480"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710E0ADE" w14:textId="77777777" w:rsidR="00882D88" w:rsidRPr="008B1397" w:rsidRDefault="00882D88" w:rsidP="00882D88">
            <w:pPr>
              <w:spacing w:after="0" w:line="240" w:lineRule="auto"/>
              <w:jc w:val="center"/>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2023</w:t>
            </w:r>
          </w:p>
        </w:tc>
        <w:tc>
          <w:tcPr>
            <w:tcW w:w="1480"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42C3E62D" w14:textId="77777777" w:rsidR="00882D88" w:rsidRPr="008B1397" w:rsidRDefault="00882D88" w:rsidP="00882D88">
            <w:pPr>
              <w:spacing w:after="0" w:line="240" w:lineRule="auto"/>
              <w:jc w:val="center"/>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2024</w:t>
            </w:r>
          </w:p>
        </w:tc>
        <w:tc>
          <w:tcPr>
            <w:tcW w:w="950" w:type="dxa"/>
            <w:tcBorders>
              <w:top w:val="single" w:sz="8" w:space="0" w:color="auto"/>
              <w:left w:val="nil"/>
              <w:bottom w:val="single" w:sz="4" w:space="0" w:color="auto"/>
              <w:right w:val="single" w:sz="8" w:space="0" w:color="auto"/>
            </w:tcBorders>
            <w:shd w:val="clear" w:color="auto" w:fill="9CC2E5" w:themeFill="accent1" w:themeFillTint="99"/>
            <w:vAlign w:val="center"/>
            <w:hideMark/>
          </w:tcPr>
          <w:p w14:paraId="70622C2E" w14:textId="77777777" w:rsidR="00882D88" w:rsidRPr="008B1397" w:rsidRDefault="00882D88" w:rsidP="00882D88">
            <w:pPr>
              <w:spacing w:after="0" w:line="240" w:lineRule="auto"/>
              <w:jc w:val="center"/>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2025</w:t>
            </w:r>
          </w:p>
        </w:tc>
      </w:tr>
      <w:tr w:rsidR="00882D88" w:rsidRPr="008B1397" w14:paraId="15EC77C7" w14:textId="77777777" w:rsidTr="00882D88">
        <w:trPr>
          <w:trHeight w:val="300"/>
        </w:trPr>
        <w:tc>
          <w:tcPr>
            <w:tcW w:w="2580" w:type="dxa"/>
            <w:tcBorders>
              <w:top w:val="nil"/>
              <w:left w:val="single" w:sz="8" w:space="0" w:color="auto"/>
              <w:bottom w:val="single" w:sz="4" w:space="0" w:color="auto"/>
              <w:right w:val="single" w:sz="4" w:space="0" w:color="auto"/>
            </w:tcBorders>
            <w:vAlign w:val="center"/>
            <w:hideMark/>
          </w:tcPr>
          <w:p w14:paraId="6CE70FF6"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GDP (billion RSD)</w:t>
            </w:r>
          </w:p>
        </w:tc>
        <w:tc>
          <w:tcPr>
            <w:tcW w:w="1480" w:type="dxa"/>
            <w:tcBorders>
              <w:top w:val="nil"/>
              <w:left w:val="nil"/>
              <w:bottom w:val="single" w:sz="4" w:space="0" w:color="auto"/>
              <w:right w:val="single" w:sz="4" w:space="0" w:color="auto"/>
            </w:tcBorders>
            <w:vAlign w:val="center"/>
            <w:hideMark/>
          </w:tcPr>
          <w:p w14:paraId="775C4A80"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6,576.0</w:t>
            </w:r>
          </w:p>
        </w:tc>
        <w:tc>
          <w:tcPr>
            <w:tcW w:w="1480" w:type="dxa"/>
            <w:tcBorders>
              <w:top w:val="nil"/>
              <w:left w:val="nil"/>
              <w:bottom w:val="single" w:sz="4" w:space="0" w:color="auto"/>
              <w:right w:val="single" w:sz="4" w:space="0" w:color="auto"/>
            </w:tcBorders>
            <w:vAlign w:val="center"/>
            <w:hideMark/>
          </w:tcPr>
          <w:p w14:paraId="2AA2F8BA"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7,460.1</w:t>
            </w:r>
          </w:p>
        </w:tc>
        <w:tc>
          <w:tcPr>
            <w:tcW w:w="1480" w:type="dxa"/>
            <w:tcBorders>
              <w:top w:val="nil"/>
              <w:left w:val="nil"/>
              <w:bottom w:val="single" w:sz="4" w:space="0" w:color="auto"/>
              <w:right w:val="single" w:sz="4" w:space="0" w:color="auto"/>
            </w:tcBorders>
            <w:vAlign w:val="center"/>
            <w:hideMark/>
          </w:tcPr>
          <w:p w14:paraId="492CC485"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8,817.9</w:t>
            </w:r>
          </w:p>
        </w:tc>
        <w:tc>
          <w:tcPr>
            <w:tcW w:w="1480" w:type="dxa"/>
            <w:tcBorders>
              <w:top w:val="nil"/>
              <w:left w:val="nil"/>
              <w:bottom w:val="single" w:sz="4" w:space="0" w:color="auto"/>
              <w:right w:val="single" w:sz="4" w:space="0" w:color="auto"/>
            </w:tcBorders>
            <w:vAlign w:val="center"/>
            <w:hideMark/>
          </w:tcPr>
          <w:p w14:paraId="557C110F"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9,748.3</w:t>
            </w:r>
          </w:p>
        </w:tc>
        <w:tc>
          <w:tcPr>
            <w:tcW w:w="950" w:type="dxa"/>
            <w:tcBorders>
              <w:top w:val="nil"/>
              <w:left w:val="nil"/>
              <w:bottom w:val="single" w:sz="4" w:space="0" w:color="auto"/>
              <w:right w:val="single" w:sz="8" w:space="0" w:color="auto"/>
            </w:tcBorders>
            <w:vAlign w:val="center"/>
            <w:hideMark/>
          </w:tcPr>
          <w:p w14:paraId="13A75820"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10,392.7</w:t>
            </w:r>
          </w:p>
        </w:tc>
      </w:tr>
      <w:tr w:rsidR="00882D88" w:rsidRPr="008B1397" w14:paraId="7B5BD90E" w14:textId="77777777" w:rsidTr="00882D88">
        <w:trPr>
          <w:trHeight w:val="300"/>
        </w:trPr>
        <w:tc>
          <w:tcPr>
            <w:tcW w:w="2580" w:type="dxa"/>
            <w:tcBorders>
              <w:top w:val="nil"/>
              <w:left w:val="single" w:sz="8" w:space="0" w:color="auto"/>
              <w:bottom w:val="single" w:sz="4" w:space="0" w:color="auto"/>
              <w:right w:val="single" w:sz="4" w:space="0" w:color="auto"/>
            </w:tcBorders>
            <w:vAlign w:val="center"/>
            <w:hideMark/>
          </w:tcPr>
          <w:p w14:paraId="2BBBD0F4"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Real GDP growth (%)</w:t>
            </w:r>
          </w:p>
        </w:tc>
        <w:tc>
          <w:tcPr>
            <w:tcW w:w="1480" w:type="dxa"/>
            <w:tcBorders>
              <w:top w:val="nil"/>
              <w:left w:val="nil"/>
              <w:bottom w:val="single" w:sz="4" w:space="0" w:color="auto"/>
              <w:right w:val="single" w:sz="4" w:space="0" w:color="auto"/>
            </w:tcBorders>
            <w:vAlign w:val="center"/>
            <w:hideMark/>
          </w:tcPr>
          <w:p w14:paraId="5F4BFB4D"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7.9</w:t>
            </w:r>
          </w:p>
        </w:tc>
        <w:tc>
          <w:tcPr>
            <w:tcW w:w="1480" w:type="dxa"/>
            <w:tcBorders>
              <w:top w:val="nil"/>
              <w:left w:val="nil"/>
              <w:bottom w:val="single" w:sz="4" w:space="0" w:color="auto"/>
              <w:right w:val="single" w:sz="4" w:space="0" w:color="auto"/>
            </w:tcBorders>
            <w:vAlign w:val="center"/>
            <w:hideMark/>
          </w:tcPr>
          <w:p w14:paraId="00F4B0F0"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2.7</w:t>
            </w:r>
          </w:p>
        </w:tc>
        <w:tc>
          <w:tcPr>
            <w:tcW w:w="1480" w:type="dxa"/>
            <w:tcBorders>
              <w:top w:val="nil"/>
              <w:left w:val="nil"/>
              <w:bottom w:val="single" w:sz="4" w:space="0" w:color="auto"/>
              <w:right w:val="single" w:sz="4" w:space="0" w:color="auto"/>
            </w:tcBorders>
            <w:vAlign w:val="center"/>
            <w:hideMark/>
          </w:tcPr>
          <w:p w14:paraId="4634933F"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3.7</w:t>
            </w:r>
          </w:p>
        </w:tc>
        <w:tc>
          <w:tcPr>
            <w:tcW w:w="1480" w:type="dxa"/>
            <w:tcBorders>
              <w:top w:val="nil"/>
              <w:left w:val="nil"/>
              <w:bottom w:val="single" w:sz="4" w:space="0" w:color="auto"/>
              <w:right w:val="single" w:sz="4" w:space="0" w:color="auto"/>
            </w:tcBorders>
            <w:vAlign w:val="center"/>
            <w:hideMark/>
          </w:tcPr>
          <w:p w14:paraId="6A01AA3B"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3.9</w:t>
            </w:r>
          </w:p>
        </w:tc>
        <w:tc>
          <w:tcPr>
            <w:tcW w:w="950" w:type="dxa"/>
            <w:tcBorders>
              <w:top w:val="nil"/>
              <w:left w:val="nil"/>
              <w:bottom w:val="single" w:sz="4" w:space="0" w:color="auto"/>
              <w:right w:val="single" w:sz="8" w:space="0" w:color="auto"/>
            </w:tcBorders>
            <w:vAlign w:val="center"/>
            <w:hideMark/>
          </w:tcPr>
          <w:p w14:paraId="5CEC96A3"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2.0</w:t>
            </w:r>
          </w:p>
        </w:tc>
      </w:tr>
      <w:tr w:rsidR="00882D88" w:rsidRPr="008B1397" w14:paraId="0F4CB0F9" w14:textId="77777777" w:rsidTr="00882D88">
        <w:trPr>
          <w:trHeight w:val="300"/>
        </w:trPr>
        <w:tc>
          <w:tcPr>
            <w:tcW w:w="2580" w:type="dxa"/>
            <w:tcBorders>
              <w:top w:val="nil"/>
              <w:left w:val="single" w:sz="8" w:space="0" w:color="auto"/>
              <w:bottom w:val="single" w:sz="4" w:space="0" w:color="auto"/>
              <w:right w:val="single" w:sz="4" w:space="0" w:color="auto"/>
            </w:tcBorders>
            <w:vAlign w:val="center"/>
            <w:hideMark/>
          </w:tcPr>
          <w:p w14:paraId="0DA2F93B"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Inflation (%)</w:t>
            </w:r>
          </w:p>
        </w:tc>
        <w:tc>
          <w:tcPr>
            <w:tcW w:w="1480" w:type="dxa"/>
            <w:tcBorders>
              <w:top w:val="nil"/>
              <w:left w:val="nil"/>
              <w:bottom w:val="single" w:sz="4" w:space="0" w:color="auto"/>
              <w:right w:val="single" w:sz="4" w:space="0" w:color="auto"/>
            </w:tcBorders>
            <w:vAlign w:val="center"/>
            <w:hideMark/>
          </w:tcPr>
          <w:p w14:paraId="40400BC0"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7.9</w:t>
            </w:r>
          </w:p>
        </w:tc>
        <w:tc>
          <w:tcPr>
            <w:tcW w:w="1480" w:type="dxa"/>
            <w:tcBorders>
              <w:top w:val="nil"/>
              <w:left w:val="nil"/>
              <w:bottom w:val="single" w:sz="4" w:space="0" w:color="auto"/>
              <w:right w:val="single" w:sz="4" w:space="0" w:color="auto"/>
            </w:tcBorders>
            <w:vAlign w:val="center"/>
            <w:hideMark/>
          </w:tcPr>
          <w:p w14:paraId="740F8AE1"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15.1</w:t>
            </w:r>
          </w:p>
        </w:tc>
        <w:tc>
          <w:tcPr>
            <w:tcW w:w="1480" w:type="dxa"/>
            <w:tcBorders>
              <w:top w:val="nil"/>
              <w:left w:val="nil"/>
              <w:bottom w:val="single" w:sz="4" w:space="0" w:color="auto"/>
              <w:right w:val="single" w:sz="4" w:space="0" w:color="auto"/>
            </w:tcBorders>
            <w:vAlign w:val="center"/>
            <w:hideMark/>
          </w:tcPr>
          <w:p w14:paraId="134FDA8B"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7.6</w:t>
            </w:r>
          </w:p>
        </w:tc>
        <w:tc>
          <w:tcPr>
            <w:tcW w:w="1480" w:type="dxa"/>
            <w:tcBorders>
              <w:top w:val="nil"/>
              <w:left w:val="nil"/>
              <w:bottom w:val="single" w:sz="4" w:space="0" w:color="auto"/>
              <w:right w:val="single" w:sz="4" w:space="0" w:color="auto"/>
            </w:tcBorders>
            <w:vAlign w:val="center"/>
            <w:hideMark/>
          </w:tcPr>
          <w:p w14:paraId="797FC342"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4.3</w:t>
            </w:r>
          </w:p>
        </w:tc>
        <w:tc>
          <w:tcPr>
            <w:tcW w:w="950" w:type="dxa"/>
            <w:tcBorders>
              <w:top w:val="nil"/>
              <w:left w:val="nil"/>
              <w:bottom w:val="single" w:sz="4" w:space="0" w:color="auto"/>
              <w:right w:val="single" w:sz="8" w:space="0" w:color="auto"/>
            </w:tcBorders>
            <w:vAlign w:val="center"/>
            <w:hideMark/>
          </w:tcPr>
          <w:p w14:paraId="3572C718"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2.7</w:t>
            </w:r>
          </w:p>
        </w:tc>
      </w:tr>
      <w:tr w:rsidR="00882D88" w:rsidRPr="008B1397" w14:paraId="35F1600E" w14:textId="77777777" w:rsidTr="00882D88">
        <w:trPr>
          <w:trHeight w:val="300"/>
        </w:trPr>
        <w:tc>
          <w:tcPr>
            <w:tcW w:w="2580" w:type="dxa"/>
            <w:tcBorders>
              <w:top w:val="nil"/>
              <w:left w:val="single" w:sz="8" w:space="0" w:color="auto"/>
              <w:bottom w:val="single" w:sz="4" w:space="0" w:color="auto"/>
              <w:right w:val="single" w:sz="4" w:space="0" w:color="auto"/>
            </w:tcBorders>
            <w:vAlign w:val="center"/>
            <w:hideMark/>
          </w:tcPr>
          <w:p w14:paraId="0C2DFE5A"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Unemployment (%)</w:t>
            </w:r>
          </w:p>
        </w:tc>
        <w:tc>
          <w:tcPr>
            <w:tcW w:w="1480" w:type="dxa"/>
            <w:tcBorders>
              <w:top w:val="nil"/>
              <w:left w:val="nil"/>
              <w:bottom w:val="single" w:sz="4" w:space="0" w:color="auto"/>
              <w:right w:val="single" w:sz="4" w:space="0" w:color="auto"/>
            </w:tcBorders>
            <w:vAlign w:val="center"/>
            <w:hideMark/>
          </w:tcPr>
          <w:p w14:paraId="5B837785"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11</w:t>
            </w:r>
          </w:p>
        </w:tc>
        <w:tc>
          <w:tcPr>
            <w:tcW w:w="1480" w:type="dxa"/>
            <w:tcBorders>
              <w:top w:val="nil"/>
              <w:left w:val="nil"/>
              <w:bottom w:val="single" w:sz="4" w:space="0" w:color="auto"/>
              <w:right w:val="single" w:sz="4" w:space="0" w:color="auto"/>
            </w:tcBorders>
            <w:vAlign w:val="center"/>
            <w:hideMark/>
          </w:tcPr>
          <w:p w14:paraId="5D8D0554"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10</w:t>
            </w:r>
          </w:p>
        </w:tc>
        <w:tc>
          <w:tcPr>
            <w:tcW w:w="1480" w:type="dxa"/>
            <w:tcBorders>
              <w:top w:val="nil"/>
              <w:left w:val="nil"/>
              <w:bottom w:val="single" w:sz="4" w:space="0" w:color="auto"/>
              <w:right w:val="single" w:sz="4" w:space="0" w:color="auto"/>
            </w:tcBorders>
            <w:vAlign w:val="center"/>
            <w:hideMark/>
          </w:tcPr>
          <w:p w14:paraId="06124375"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9</w:t>
            </w:r>
          </w:p>
        </w:tc>
        <w:tc>
          <w:tcPr>
            <w:tcW w:w="1480" w:type="dxa"/>
            <w:tcBorders>
              <w:top w:val="nil"/>
              <w:left w:val="nil"/>
              <w:bottom w:val="single" w:sz="4" w:space="0" w:color="auto"/>
              <w:right w:val="single" w:sz="4" w:space="0" w:color="auto"/>
            </w:tcBorders>
            <w:vAlign w:val="center"/>
            <w:hideMark/>
          </w:tcPr>
          <w:p w14:paraId="05B28E1D"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9</w:t>
            </w:r>
          </w:p>
        </w:tc>
        <w:tc>
          <w:tcPr>
            <w:tcW w:w="950" w:type="dxa"/>
            <w:tcBorders>
              <w:top w:val="nil"/>
              <w:left w:val="nil"/>
              <w:bottom w:val="single" w:sz="4" w:space="0" w:color="auto"/>
              <w:right w:val="single" w:sz="8" w:space="0" w:color="auto"/>
            </w:tcBorders>
            <w:vAlign w:val="center"/>
            <w:hideMark/>
          </w:tcPr>
          <w:p w14:paraId="2E02A143"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9</w:t>
            </w:r>
          </w:p>
        </w:tc>
      </w:tr>
      <w:tr w:rsidR="00882D88" w:rsidRPr="008B1397" w14:paraId="52D21634" w14:textId="77777777" w:rsidTr="00882D88">
        <w:trPr>
          <w:trHeight w:val="300"/>
        </w:trPr>
        <w:tc>
          <w:tcPr>
            <w:tcW w:w="2580" w:type="dxa"/>
            <w:tcBorders>
              <w:top w:val="nil"/>
              <w:left w:val="single" w:sz="8" w:space="0" w:color="auto"/>
              <w:bottom w:val="single" w:sz="4" w:space="0" w:color="auto"/>
              <w:right w:val="single" w:sz="4" w:space="0" w:color="auto"/>
            </w:tcBorders>
            <w:vAlign w:val="center"/>
            <w:hideMark/>
          </w:tcPr>
          <w:p w14:paraId="07FED554"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Public debt (% GDP)</w:t>
            </w:r>
          </w:p>
        </w:tc>
        <w:tc>
          <w:tcPr>
            <w:tcW w:w="1480" w:type="dxa"/>
            <w:tcBorders>
              <w:top w:val="nil"/>
              <w:left w:val="nil"/>
              <w:bottom w:val="single" w:sz="4" w:space="0" w:color="auto"/>
              <w:right w:val="single" w:sz="4" w:space="0" w:color="auto"/>
            </w:tcBorders>
            <w:vAlign w:val="center"/>
            <w:hideMark/>
          </w:tcPr>
          <w:p w14:paraId="564A9BA1"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54.5</w:t>
            </w:r>
          </w:p>
        </w:tc>
        <w:tc>
          <w:tcPr>
            <w:tcW w:w="1480" w:type="dxa"/>
            <w:tcBorders>
              <w:top w:val="nil"/>
              <w:left w:val="nil"/>
              <w:bottom w:val="single" w:sz="4" w:space="0" w:color="auto"/>
              <w:right w:val="single" w:sz="4" w:space="0" w:color="auto"/>
            </w:tcBorders>
            <w:vAlign w:val="center"/>
            <w:hideMark/>
          </w:tcPr>
          <w:p w14:paraId="07415E76"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52.9</w:t>
            </w:r>
          </w:p>
        </w:tc>
        <w:tc>
          <w:tcPr>
            <w:tcW w:w="1480" w:type="dxa"/>
            <w:tcBorders>
              <w:top w:val="nil"/>
              <w:left w:val="nil"/>
              <w:bottom w:val="single" w:sz="4" w:space="0" w:color="auto"/>
              <w:right w:val="single" w:sz="4" w:space="0" w:color="auto"/>
            </w:tcBorders>
            <w:vAlign w:val="center"/>
            <w:hideMark/>
          </w:tcPr>
          <w:p w14:paraId="71D188B7"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48.4</w:t>
            </w:r>
          </w:p>
        </w:tc>
        <w:tc>
          <w:tcPr>
            <w:tcW w:w="1480" w:type="dxa"/>
            <w:tcBorders>
              <w:top w:val="nil"/>
              <w:left w:val="nil"/>
              <w:bottom w:val="single" w:sz="4" w:space="0" w:color="auto"/>
              <w:right w:val="single" w:sz="4" w:space="0" w:color="auto"/>
            </w:tcBorders>
            <w:vAlign w:val="center"/>
            <w:hideMark/>
          </w:tcPr>
          <w:p w14:paraId="0E76C8FF"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46.9</w:t>
            </w:r>
          </w:p>
        </w:tc>
        <w:tc>
          <w:tcPr>
            <w:tcW w:w="950" w:type="dxa"/>
            <w:tcBorders>
              <w:top w:val="nil"/>
              <w:left w:val="nil"/>
              <w:bottom w:val="single" w:sz="4" w:space="0" w:color="auto"/>
              <w:right w:val="single" w:sz="8" w:space="0" w:color="auto"/>
            </w:tcBorders>
            <w:vAlign w:val="center"/>
            <w:hideMark/>
          </w:tcPr>
          <w:p w14:paraId="7E09A37E"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44.7</w:t>
            </w:r>
          </w:p>
        </w:tc>
      </w:tr>
      <w:tr w:rsidR="00882D88" w:rsidRPr="008B1397" w14:paraId="1EC6E212" w14:textId="77777777" w:rsidTr="00882D88">
        <w:trPr>
          <w:trHeight w:val="570"/>
        </w:trPr>
        <w:tc>
          <w:tcPr>
            <w:tcW w:w="2580" w:type="dxa"/>
            <w:tcBorders>
              <w:top w:val="nil"/>
              <w:left w:val="single" w:sz="8" w:space="0" w:color="auto"/>
              <w:bottom w:val="single" w:sz="4" w:space="0" w:color="auto"/>
              <w:right w:val="single" w:sz="4" w:space="0" w:color="auto"/>
            </w:tcBorders>
            <w:vAlign w:val="center"/>
            <w:hideMark/>
          </w:tcPr>
          <w:p w14:paraId="60AAA56D"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Fiscal result of the general government (% of GDP)</w:t>
            </w:r>
          </w:p>
        </w:tc>
        <w:tc>
          <w:tcPr>
            <w:tcW w:w="1480" w:type="dxa"/>
            <w:tcBorders>
              <w:top w:val="nil"/>
              <w:left w:val="nil"/>
              <w:bottom w:val="single" w:sz="4" w:space="0" w:color="auto"/>
              <w:right w:val="single" w:sz="4" w:space="0" w:color="auto"/>
            </w:tcBorders>
            <w:vAlign w:val="center"/>
            <w:hideMark/>
          </w:tcPr>
          <w:p w14:paraId="0D992CF4"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-3.9</w:t>
            </w:r>
          </w:p>
        </w:tc>
        <w:tc>
          <w:tcPr>
            <w:tcW w:w="1480" w:type="dxa"/>
            <w:tcBorders>
              <w:top w:val="nil"/>
              <w:left w:val="nil"/>
              <w:bottom w:val="single" w:sz="4" w:space="0" w:color="auto"/>
              <w:right w:val="single" w:sz="4" w:space="0" w:color="auto"/>
            </w:tcBorders>
            <w:vAlign w:val="center"/>
            <w:hideMark/>
          </w:tcPr>
          <w:p w14:paraId="485E44C3"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-3.0</w:t>
            </w:r>
          </w:p>
        </w:tc>
        <w:tc>
          <w:tcPr>
            <w:tcW w:w="1480" w:type="dxa"/>
            <w:tcBorders>
              <w:top w:val="nil"/>
              <w:left w:val="nil"/>
              <w:bottom w:val="single" w:sz="4" w:space="0" w:color="auto"/>
              <w:right w:val="single" w:sz="4" w:space="0" w:color="auto"/>
            </w:tcBorders>
            <w:vAlign w:val="center"/>
            <w:hideMark/>
          </w:tcPr>
          <w:p w14:paraId="6380C88D"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-2.1</w:t>
            </w:r>
          </w:p>
        </w:tc>
        <w:tc>
          <w:tcPr>
            <w:tcW w:w="1480" w:type="dxa"/>
            <w:tcBorders>
              <w:top w:val="nil"/>
              <w:left w:val="nil"/>
              <w:bottom w:val="single" w:sz="4" w:space="0" w:color="auto"/>
              <w:right w:val="single" w:sz="4" w:space="0" w:color="auto"/>
            </w:tcBorders>
            <w:vAlign w:val="center"/>
            <w:hideMark/>
          </w:tcPr>
          <w:p w14:paraId="5E9AAFA6"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-2.0</w:t>
            </w:r>
          </w:p>
        </w:tc>
        <w:tc>
          <w:tcPr>
            <w:tcW w:w="950" w:type="dxa"/>
            <w:tcBorders>
              <w:top w:val="nil"/>
              <w:left w:val="nil"/>
              <w:bottom w:val="single" w:sz="4" w:space="0" w:color="auto"/>
              <w:right w:val="single" w:sz="8" w:space="0" w:color="auto"/>
            </w:tcBorders>
            <w:vAlign w:val="center"/>
            <w:hideMark/>
          </w:tcPr>
          <w:p w14:paraId="6F5158C1"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-2.4</w:t>
            </w:r>
          </w:p>
        </w:tc>
      </w:tr>
      <w:tr w:rsidR="00882D88" w:rsidRPr="008B1397" w14:paraId="11746384" w14:textId="77777777" w:rsidTr="00882D88">
        <w:trPr>
          <w:trHeight w:val="300"/>
        </w:trPr>
        <w:tc>
          <w:tcPr>
            <w:tcW w:w="2580" w:type="dxa"/>
            <w:tcBorders>
              <w:top w:val="nil"/>
              <w:left w:val="single" w:sz="8" w:space="0" w:color="auto"/>
              <w:bottom w:val="single" w:sz="4" w:space="0" w:color="auto"/>
              <w:right w:val="single" w:sz="4" w:space="0" w:color="auto"/>
            </w:tcBorders>
            <w:vAlign w:val="center"/>
            <w:hideMark/>
          </w:tcPr>
          <w:p w14:paraId="4EDB8D0D" w14:textId="77777777" w:rsidR="00882D88" w:rsidRPr="008B1397" w:rsidRDefault="00AA6A39"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Pr>
                <w:rFonts w:ascii="Times New Roman" w:eastAsia="Times New Roman" w:hAnsi="Times New Roman" w:cs="Times New Roman"/>
                <w:b/>
                <w:bCs/>
                <w:color w:val="000000"/>
                <w:sz w:val="22"/>
                <w:szCs w:val="22"/>
                <w:lang w:val="sr-Cyrl-RS" w:eastAsia="en-GB"/>
                <w14:ligatures w14:val="none"/>
              </w:rPr>
              <w:t>Credit rating (S&amp;P)</w:t>
            </w:r>
          </w:p>
        </w:tc>
        <w:tc>
          <w:tcPr>
            <w:tcW w:w="1480" w:type="dxa"/>
            <w:tcBorders>
              <w:top w:val="nil"/>
              <w:left w:val="nil"/>
              <w:bottom w:val="single" w:sz="4" w:space="0" w:color="auto"/>
              <w:right w:val="single" w:sz="4" w:space="0" w:color="auto"/>
            </w:tcBorders>
            <w:vAlign w:val="center"/>
            <w:hideMark/>
          </w:tcPr>
          <w:p w14:paraId="57BF149F"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BB+</w:t>
            </w:r>
          </w:p>
        </w:tc>
        <w:tc>
          <w:tcPr>
            <w:tcW w:w="1480" w:type="dxa"/>
            <w:tcBorders>
              <w:top w:val="nil"/>
              <w:left w:val="nil"/>
              <w:bottom w:val="single" w:sz="4" w:space="0" w:color="auto"/>
              <w:right w:val="single" w:sz="4" w:space="0" w:color="auto"/>
            </w:tcBorders>
            <w:vAlign w:val="center"/>
            <w:hideMark/>
          </w:tcPr>
          <w:p w14:paraId="5886FCFD"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BB+</w:t>
            </w:r>
          </w:p>
        </w:tc>
        <w:tc>
          <w:tcPr>
            <w:tcW w:w="1480" w:type="dxa"/>
            <w:tcBorders>
              <w:top w:val="nil"/>
              <w:left w:val="nil"/>
              <w:bottom w:val="single" w:sz="4" w:space="0" w:color="auto"/>
              <w:right w:val="single" w:sz="4" w:space="0" w:color="auto"/>
            </w:tcBorders>
            <w:vAlign w:val="center"/>
            <w:hideMark/>
          </w:tcPr>
          <w:p w14:paraId="4DA45EF6"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BB+</w:t>
            </w:r>
          </w:p>
        </w:tc>
        <w:tc>
          <w:tcPr>
            <w:tcW w:w="1480" w:type="dxa"/>
            <w:tcBorders>
              <w:top w:val="nil"/>
              <w:left w:val="nil"/>
              <w:bottom w:val="single" w:sz="4" w:space="0" w:color="auto"/>
              <w:right w:val="single" w:sz="4" w:space="0" w:color="auto"/>
            </w:tcBorders>
            <w:vAlign w:val="center"/>
            <w:hideMark/>
          </w:tcPr>
          <w:p w14:paraId="35DBD02B"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BBB-</w:t>
            </w:r>
          </w:p>
        </w:tc>
        <w:tc>
          <w:tcPr>
            <w:tcW w:w="950" w:type="dxa"/>
            <w:tcBorders>
              <w:top w:val="nil"/>
              <w:left w:val="nil"/>
              <w:bottom w:val="single" w:sz="4" w:space="0" w:color="auto"/>
              <w:right w:val="single" w:sz="8" w:space="0" w:color="auto"/>
            </w:tcBorders>
            <w:vAlign w:val="center"/>
            <w:hideMark/>
          </w:tcPr>
          <w:p w14:paraId="4CCDE26E"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BBB-</w:t>
            </w:r>
          </w:p>
        </w:tc>
      </w:tr>
      <w:tr w:rsidR="00882D88" w:rsidRPr="008B1397" w14:paraId="5C72D4D5" w14:textId="77777777" w:rsidTr="00882D88">
        <w:trPr>
          <w:trHeight w:val="315"/>
        </w:trPr>
        <w:tc>
          <w:tcPr>
            <w:tcW w:w="2580" w:type="dxa"/>
            <w:tcBorders>
              <w:top w:val="nil"/>
              <w:left w:val="single" w:sz="8" w:space="0" w:color="auto"/>
              <w:bottom w:val="single" w:sz="8" w:space="0" w:color="auto"/>
              <w:right w:val="single" w:sz="4" w:space="0" w:color="auto"/>
            </w:tcBorders>
            <w:vAlign w:val="center"/>
            <w:hideMark/>
          </w:tcPr>
          <w:p w14:paraId="391A725B" w14:textId="77777777" w:rsidR="00882D88" w:rsidRPr="008B1397" w:rsidRDefault="00882D88" w:rsidP="00882D88">
            <w:pPr>
              <w:spacing w:after="0" w:line="240" w:lineRule="auto"/>
              <w:rPr>
                <w:rFonts w:ascii="Times New Roman" w:eastAsia="Times New Roman" w:hAnsi="Times New Roman" w:cs="Times New Roman"/>
                <w:b/>
                <w:bCs/>
                <w:color w:val="000000"/>
                <w:sz w:val="22"/>
                <w:szCs w:val="22"/>
                <w:lang w:val="sr-Cyrl-RS" w:eastAsia="en-GB"/>
                <w14:ligatures w14:val="none"/>
              </w:rPr>
            </w:pPr>
            <w:r w:rsidRPr="008B1397">
              <w:rPr>
                <w:rFonts w:ascii="Times New Roman" w:eastAsia="Times New Roman" w:hAnsi="Times New Roman" w:cs="Times New Roman"/>
                <w:b/>
                <w:bCs/>
                <w:color w:val="000000"/>
                <w:sz w:val="22"/>
                <w:szCs w:val="22"/>
                <w:lang w:val="sr-Cyrl-RS" w:eastAsia="en-GB"/>
                <w14:ligatures w14:val="none"/>
              </w:rPr>
              <w:t>Capital expenditures (in million RSD)</w:t>
            </w:r>
          </w:p>
        </w:tc>
        <w:tc>
          <w:tcPr>
            <w:tcW w:w="1480" w:type="dxa"/>
            <w:tcBorders>
              <w:top w:val="nil"/>
              <w:left w:val="nil"/>
              <w:bottom w:val="single" w:sz="8" w:space="0" w:color="auto"/>
              <w:right w:val="single" w:sz="4" w:space="0" w:color="auto"/>
            </w:tcBorders>
            <w:vAlign w:val="center"/>
            <w:hideMark/>
          </w:tcPr>
          <w:p w14:paraId="46A1D7C3"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466,630.6</w:t>
            </w:r>
          </w:p>
        </w:tc>
        <w:tc>
          <w:tcPr>
            <w:tcW w:w="1480" w:type="dxa"/>
            <w:tcBorders>
              <w:top w:val="nil"/>
              <w:left w:val="nil"/>
              <w:bottom w:val="single" w:sz="8" w:space="0" w:color="auto"/>
              <w:right w:val="single" w:sz="4" w:space="0" w:color="auto"/>
            </w:tcBorders>
            <w:vAlign w:val="center"/>
            <w:hideMark/>
          </w:tcPr>
          <w:p w14:paraId="49DF315A"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526,117.5</w:t>
            </w:r>
          </w:p>
        </w:tc>
        <w:tc>
          <w:tcPr>
            <w:tcW w:w="1480" w:type="dxa"/>
            <w:tcBorders>
              <w:top w:val="nil"/>
              <w:left w:val="nil"/>
              <w:bottom w:val="single" w:sz="8" w:space="0" w:color="auto"/>
              <w:right w:val="single" w:sz="4" w:space="0" w:color="auto"/>
            </w:tcBorders>
            <w:vAlign w:val="center"/>
            <w:hideMark/>
          </w:tcPr>
          <w:p w14:paraId="1275178D"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568,646.5</w:t>
            </w:r>
          </w:p>
        </w:tc>
        <w:tc>
          <w:tcPr>
            <w:tcW w:w="1480" w:type="dxa"/>
            <w:tcBorders>
              <w:top w:val="nil"/>
              <w:left w:val="nil"/>
              <w:bottom w:val="single" w:sz="8" w:space="0" w:color="auto"/>
              <w:right w:val="single" w:sz="4" w:space="0" w:color="auto"/>
            </w:tcBorders>
            <w:vAlign w:val="center"/>
            <w:hideMark/>
          </w:tcPr>
          <w:p w14:paraId="31152522"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704,649.0</w:t>
            </w:r>
          </w:p>
        </w:tc>
        <w:tc>
          <w:tcPr>
            <w:tcW w:w="950" w:type="dxa"/>
            <w:tcBorders>
              <w:top w:val="nil"/>
              <w:left w:val="nil"/>
              <w:bottom w:val="single" w:sz="8" w:space="0" w:color="auto"/>
              <w:right w:val="single" w:sz="8" w:space="0" w:color="auto"/>
            </w:tcBorders>
            <w:vAlign w:val="center"/>
            <w:hideMark/>
          </w:tcPr>
          <w:p w14:paraId="133E69F0" w14:textId="77777777" w:rsidR="00882D88" w:rsidRPr="008B1397" w:rsidRDefault="00882D88" w:rsidP="00882D88">
            <w:pPr>
              <w:spacing w:after="0" w:line="240" w:lineRule="auto"/>
              <w:jc w:val="center"/>
              <w:rPr>
                <w:rFonts w:ascii="Times New Roman" w:eastAsia="Times New Roman" w:hAnsi="Times New Roman" w:cs="Times New Roman"/>
                <w:color w:val="000000"/>
                <w:sz w:val="22"/>
                <w:szCs w:val="22"/>
                <w:lang w:val="sr-Cyrl-RS" w:eastAsia="en-GB"/>
                <w14:ligatures w14:val="none"/>
              </w:rPr>
            </w:pPr>
            <w:r w:rsidRPr="008B1397">
              <w:rPr>
                <w:rFonts w:ascii="Times New Roman" w:eastAsia="Times New Roman" w:hAnsi="Times New Roman" w:cs="Times New Roman"/>
                <w:color w:val="000000"/>
                <w:sz w:val="22"/>
                <w:szCs w:val="22"/>
                <w:lang w:val="sr-Cyrl-RS" w:eastAsia="en-GB"/>
                <w14:ligatures w14:val="none"/>
              </w:rPr>
              <w:t>715,380.2</w:t>
            </w:r>
          </w:p>
        </w:tc>
      </w:tr>
    </w:tbl>
    <w:p w14:paraId="3C5BD582" w14:textId="77777777" w:rsidR="0085507D" w:rsidRPr="008B1397" w:rsidRDefault="0085507D" w:rsidP="00034739">
      <w:pPr>
        <w:spacing w:line="259" w:lineRule="auto"/>
        <w:ind w:firstLine="720"/>
        <w:jc w:val="both"/>
        <w:rPr>
          <w:rFonts w:ascii="Times New Roman" w:eastAsia="Calibri" w:hAnsi="Times New Roman" w:cs="Times New Roman"/>
          <w:lang w:val="sr-Cyrl-RS"/>
          <w14:ligatures w14:val="none"/>
        </w:rPr>
      </w:pPr>
    </w:p>
    <w:p w14:paraId="2A1AA5CF" w14:textId="77777777" w:rsidR="0085507D" w:rsidRPr="008B1397" w:rsidRDefault="0085507D" w:rsidP="00882D88">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Already in 2022, there will be a sharp slowdown in real growth to 2.7%, as a result of a combination of external shocks (energy crisis and disruptions in supply chains) and more restrictive macroeconomic policies. In the following years, a moderate recovery is recorded (3.7% in 2023 and 3.9% in 2024), but with a slowdown again to 2.0% in 2025, which indicates that the economy is entering a more mature phase of the cycle with limited room for further expansion without structural reforms.</w:t>
      </w:r>
    </w:p>
    <w:p w14:paraId="5B57B7E9" w14:textId="77777777" w:rsidR="00CB1EDF" w:rsidRDefault="00CB1EDF" w:rsidP="00882D88">
      <w:pPr>
        <w:spacing w:line="259" w:lineRule="auto"/>
        <w:ind w:firstLine="720"/>
        <w:jc w:val="both"/>
        <w:rPr>
          <w:rFonts w:ascii="Times New Roman" w:eastAsia="Calibri" w:hAnsi="Times New Roman" w:cs="Times New Roman"/>
          <w:lang w:val="sr-Latn-RS"/>
          <w14:ligatures w14:val="none"/>
        </w:rPr>
      </w:pPr>
      <w:r w:rsidRPr="008B1397">
        <w:rPr>
          <w:noProof/>
          <w:lang w:val="en-US"/>
        </w:rPr>
        <w:lastRenderedPageBreak/>
        <w:drawing>
          <wp:inline distT="0" distB="0" distL="0" distR="0" wp14:anchorId="05DAA834" wp14:editId="48709904">
            <wp:extent cx="5305425" cy="2238375"/>
            <wp:effectExtent l="0" t="0" r="9525" b="9525"/>
            <wp:docPr id="1612564755" name="Chart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374AF2" w14:textId="77777777" w:rsidR="008B1397" w:rsidRDefault="008B1397" w:rsidP="00882D88">
      <w:pPr>
        <w:spacing w:line="259" w:lineRule="auto"/>
        <w:ind w:firstLine="720"/>
        <w:jc w:val="both"/>
        <w:rPr>
          <w:rFonts w:ascii="Times New Roman" w:eastAsia="Calibri" w:hAnsi="Times New Roman" w:cs="Times New Roman"/>
          <w:lang w:val="sr-Latn-RS"/>
          <w14:ligatures w14:val="none"/>
        </w:rPr>
      </w:pPr>
    </w:p>
    <w:p w14:paraId="174315EF" w14:textId="77777777" w:rsidR="008B1397" w:rsidRPr="008B1397" w:rsidRDefault="008B1397" w:rsidP="00882D88">
      <w:pPr>
        <w:spacing w:line="259" w:lineRule="auto"/>
        <w:ind w:firstLine="720"/>
        <w:jc w:val="both"/>
        <w:rPr>
          <w:rFonts w:ascii="Times New Roman" w:eastAsia="Calibri" w:hAnsi="Times New Roman" w:cs="Times New Roman"/>
          <w:lang w:val="sr-Latn-RS"/>
          <w14:ligatures w14:val="none"/>
        </w:rPr>
      </w:pPr>
    </w:p>
    <w:p w14:paraId="03AD3A82" w14:textId="77777777" w:rsidR="00B01439" w:rsidRPr="008B1397" w:rsidRDefault="00B01439" w:rsidP="00B01439">
      <w:pPr>
        <w:spacing w:line="259" w:lineRule="auto"/>
        <w:ind w:firstLine="720"/>
        <w:rPr>
          <w:rFonts w:ascii="Times New Roman" w:eastAsia="Calibri" w:hAnsi="Times New Roman" w:cs="Times New Roman"/>
          <w:b/>
          <w:lang w:val="sr-Cyrl-RS"/>
          <w14:ligatures w14:val="none"/>
        </w:rPr>
      </w:pPr>
      <w:r w:rsidRPr="008B1397">
        <w:rPr>
          <w:noProof/>
          <w:lang w:val="en-US"/>
        </w:rPr>
        <w:drawing>
          <wp:inline distT="0" distB="0" distL="0" distR="0" wp14:anchorId="175EC849" wp14:editId="701FAD3F">
            <wp:extent cx="5276850" cy="2705100"/>
            <wp:effectExtent l="0" t="0" r="0" b="0"/>
            <wp:docPr id="883165680" name="Chart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7AA480C" w14:textId="77777777" w:rsidR="00B01439" w:rsidRPr="008B1397" w:rsidRDefault="00B01439" w:rsidP="0085507D">
      <w:pPr>
        <w:spacing w:line="259" w:lineRule="auto"/>
        <w:ind w:firstLine="720"/>
        <w:jc w:val="both"/>
        <w:rPr>
          <w:rFonts w:ascii="Times New Roman" w:eastAsia="Calibri" w:hAnsi="Times New Roman" w:cs="Times New Roman"/>
          <w:b/>
          <w:lang w:val="sr-Cyrl-RS"/>
          <w14:ligatures w14:val="none"/>
        </w:rPr>
      </w:pPr>
    </w:p>
    <w:p w14:paraId="4A9ABE63" w14:textId="77777777" w:rsidR="0085507D" w:rsidRPr="008B1397" w:rsidRDefault="0085507D" w:rsidP="0085507D">
      <w:pPr>
        <w:spacing w:line="259" w:lineRule="auto"/>
        <w:ind w:firstLine="720"/>
        <w:jc w:val="both"/>
        <w:rPr>
          <w:rFonts w:ascii="Times New Roman" w:eastAsia="Calibri" w:hAnsi="Times New Roman" w:cs="Times New Roman"/>
          <w:lang w:val="sr-Cyrl-RS"/>
          <w14:ligatures w14:val="none"/>
        </w:rPr>
      </w:pPr>
      <w:r w:rsidRPr="008548AE">
        <w:rPr>
          <w:rFonts w:ascii="Times New Roman" w:eastAsia="Calibri" w:hAnsi="Times New Roman" w:cs="Times New Roman"/>
          <w:bCs/>
          <w:lang w:val="sr-Cyrl-RS"/>
          <w14:ligatures w14:val="none"/>
        </w:rPr>
        <w:t>Inflationary dynamics represent one of the key macroeconomic challenges in the observed period. After a relatively high rate of 7.9% in 2021, inflation peaks at 15.1% in 2022, a consequence of global price shocks, especially in the energy and food sectors. However, the coordination of monetary and fiscal policy leads to a gradual slowdown in price growth: to 7.6% in 2023, 4.3% in 2024 and 2.7% in 2025. This dynamic indicates a successful stabilisation of the price level and the return of inflation within the framework of target values, which is crucial for the preservation of real incomes and investment predictability.</w:t>
      </w:r>
    </w:p>
    <w:p w14:paraId="2D86C77D" w14:textId="77777777" w:rsidR="00B01439" w:rsidRPr="008B1397" w:rsidRDefault="00B01439" w:rsidP="0085507D">
      <w:pPr>
        <w:spacing w:line="259" w:lineRule="auto"/>
        <w:ind w:firstLine="720"/>
        <w:jc w:val="both"/>
        <w:rPr>
          <w:rFonts w:ascii="Times New Roman" w:eastAsia="Calibri" w:hAnsi="Times New Roman" w:cs="Times New Roman"/>
          <w:lang w:val="sr-Cyrl-RS"/>
          <w14:ligatures w14:val="none"/>
        </w:rPr>
      </w:pPr>
      <w:r w:rsidRPr="008B1397">
        <w:rPr>
          <w:noProof/>
          <w:lang w:val="en-US"/>
        </w:rPr>
        <w:lastRenderedPageBreak/>
        <w:drawing>
          <wp:inline distT="0" distB="0" distL="0" distR="0" wp14:anchorId="39F6084E" wp14:editId="001DBA05">
            <wp:extent cx="5133975" cy="1270000"/>
            <wp:effectExtent l="0" t="0" r="0" b="0"/>
            <wp:docPr id="729791190" name="Chart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9FD2FD" w14:textId="77777777" w:rsidR="0085507D" w:rsidRPr="008B1397" w:rsidRDefault="0085507D" w:rsidP="0085507D">
      <w:pPr>
        <w:spacing w:line="259" w:lineRule="auto"/>
        <w:ind w:firstLine="720"/>
        <w:jc w:val="both"/>
        <w:rPr>
          <w:rFonts w:ascii="Times New Roman" w:eastAsia="Calibri" w:hAnsi="Times New Roman" w:cs="Times New Roman"/>
          <w:lang w:val="sr-Cyrl-RS"/>
          <w14:ligatures w14:val="none"/>
        </w:rPr>
      </w:pPr>
      <w:r w:rsidRPr="008548AE">
        <w:rPr>
          <w:rFonts w:ascii="Times New Roman" w:eastAsia="Calibri" w:hAnsi="Times New Roman" w:cs="Times New Roman"/>
          <w:bCs/>
          <w:lang w:val="sr-Cyrl-RS"/>
          <w14:ligatures w14:val="none"/>
        </w:rPr>
        <w:t>The labour market shows continuous improvement throughout the period. The unemployment rate declines from 11.1% in 2021 to approximately 8.7% in 2025. Although the pace of reduction is moderate, the trend is consistent and indicates a gradual strengthening of the economy's ability to generate new jobs. The stabilisation of the labour market additionally contributes to the resilience of domestic demand, but also reduces social and fiscal pressures.</w:t>
      </w:r>
    </w:p>
    <w:p w14:paraId="5C6DFFD0" w14:textId="77777777" w:rsidR="005A7A74" w:rsidRPr="008B1397" w:rsidRDefault="005A7A74" w:rsidP="0085507D">
      <w:pPr>
        <w:spacing w:line="259" w:lineRule="auto"/>
        <w:ind w:firstLine="720"/>
        <w:jc w:val="both"/>
        <w:rPr>
          <w:rFonts w:ascii="Times New Roman" w:eastAsia="Calibri" w:hAnsi="Times New Roman" w:cs="Times New Roman"/>
          <w:lang w:val="sr-Cyrl-RS"/>
          <w14:ligatures w14:val="none"/>
        </w:rPr>
      </w:pPr>
      <w:r w:rsidRPr="008B1397">
        <w:rPr>
          <w:noProof/>
          <w:lang w:val="en-US"/>
        </w:rPr>
        <w:drawing>
          <wp:inline distT="0" distB="0" distL="0" distR="0" wp14:anchorId="1B8C0687" wp14:editId="057FC2B8">
            <wp:extent cx="5200650" cy="2028825"/>
            <wp:effectExtent l="0" t="0" r="0" b="0"/>
            <wp:docPr id="738199574" name="Chart 1">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FBA87B" w14:textId="77777777" w:rsidR="0085507D" w:rsidRPr="008B1397" w:rsidRDefault="0085507D" w:rsidP="0085507D">
      <w:pPr>
        <w:spacing w:line="259" w:lineRule="auto"/>
        <w:ind w:firstLine="720"/>
        <w:jc w:val="both"/>
        <w:rPr>
          <w:rFonts w:ascii="Times New Roman" w:eastAsia="Calibri" w:hAnsi="Times New Roman" w:cs="Times New Roman"/>
          <w:lang w:val="sr-Cyrl-RS"/>
          <w14:ligatures w14:val="none"/>
        </w:rPr>
      </w:pPr>
      <w:r w:rsidRPr="008548AE">
        <w:rPr>
          <w:rFonts w:ascii="Times New Roman" w:eastAsia="Calibri" w:hAnsi="Times New Roman" w:cs="Times New Roman"/>
          <w:bCs/>
          <w:lang w:val="sr-Cyrl-RS"/>
          <w14:ligatures w14:val="none"/>
        </w:rPr>
        <w:t>Fiscal indicators record extremely positive tendencies. The share of public debt in GDP is continuously declining, from 54.5% in 2021 to 44.7% in 2025, thereby significantly moving the country away from critical debt thresholds and increasing the fiscal space for potential future shocks. In parallel, the budget deficit is gradually decreasing from -3.9% of GDP in 2021 to -2.0% in 2024, with a slight deterioration to -2.4% in 2025, which may indicate cyclical or discretionary fiscal interventions. Nevertheless, overall, the fiscal policy shows a high degree of discipline and consolidation.</w:t>
      </w:r>
    </w:p>
    <w:p w14:paraId="0B7B28F7" w14:textId="77777777" w:rsidR="003602C6" w:rsidRPr="008B1397" w:rsidRDefault="003602C6" w:rsidP="0085507D">
      <w:pPr>
        <w:spacing w:line="259" w:lineRule="auto"/>
        <w:ind w:firstLine="720"/>
        <w:jc w:val="both"/>
        <w:rPr>
          <w:rFonts w:ascii="Times New Roman" w:eastAsia="Calibri" w:hAnsi="Times New Roman" w:cs="Times New Roman"/>
          <w:lang w:val="sr-Cyrl-RS"/>
          <w14:ligatures w14:val="none"/>
        </w:rPr>
      </w:pPr>
      <w:r w:rsidRPr="008B1397">
        <w:rPr>
          <w:noProof/>
          <w:lang w:val="en-US"/>
        </w:rPr>
        <w:drawing>
          <wp:inline distT="0" distB="0" distL="0" distR="0" wp14:anchorId="4B5293E5" wp14:editId="5AE2E494">
            <wp:extent cx="5038725" cy="1933575"/>
            <wp:effectExtent l="0" t="0" r="0" b="0"/>
            <wp:docPr id="2119027074" name="Chart 1">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DF3AA4" w14:textId="77777777" w:rsidR="00097295" w:rsidRPr="008B1397" w:rsidRDefault="00097295" w:rsidP="0085507D">
      <w:pPr>
        <w:spacing w:line="259" w:lineRule="auto"/>
        <w:ind w:firstLine="720"/>
        <w:jc w:val="both"/>
        <w:rPr>
          <w:rFonts w:ascii="Times New Roman" w:eastAsia="Calibri" w:hAnsi="Times New Roman" w:cs="Times New Roman"/>
          <w:lang w:val="sr-Cyrl-RS"/>
          <w14:ligatures w14:val="none"/>
        </w:rPr>
      </w:pPr>
      <w:r w:rsidRPr="008B1397">
        <w:rPr>
          <w:noProof/>
          <w:lang w:val="en-US"/>
        </w:rPr>
        <w:lastRenderedPageBreak/>
        <w:drawing>
          <wp:inline distT="0" distB="0" distL="0" distR="0" wp14:anchorId="50B133FA" wp14:editId="65F08770">
            <wp:extent cx="4886325" cy="2400300"/>
            <wp:effectExtent l="0" t="0" r="0" b="0"/>
            <wp:docPr id="1766471782" name="Chart 1">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D964CF" w14:textId="77777777" w:rsidR="0085507D" w:rsidRPr="008B1397" w:rsidRDefault="0085507D" w:rsidP="0085507D">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movement of capital expenditures indicates a clear strategic determination of the economic policy towards the intensification of public investments as a key carrier of economic growth. Capital expenditures record continuous growth, from RSD 466.6 billion in 2021 to RSD 715.4 billion in 2025, which represents a significant increase in allocations directed towards development projects. This trend indicates the proactive role of the state in stimulating economic activity, especially in conditions of slower growth of external demand.</w:t>
      </w:r>
    </w:p>
    <w:p w14:paraId="42FD2F7B" w14:textId="77777777" w:rsidR="00C5660E" w:rsidRPr="008B1397" w:rsidRDefault="00C5660E" w:rsidP="0085507D">
      <w:pPr>
        <w:spacing w:line="259" w:lineRule="auto"/>
        <w:ind w:firstLine="720"/>
        <w:jc w:val="both"/>
        <w:rPr>
          <w:rFonts w:ascii="Times New Roman" w:eastAsia="Calibri" w:hAnsi="Times New Roman" w:cs="Times New Roman"/>
          <w:lang w:val="sr-Cyrl-RS"/>
          <w14:ligatures w14:val="none"/>
        </w:rPr>
      </w:pPr>
      <w:r w:rsidRPr="008B1397">
        <w:rPr>
          <w:noProof/>
          <w:lang w:val="en-US"/>
        </w:rPr>
        <w:drawing>
          <wp:inline distT="0" distB="0" distL="0" distR="0" wp14:anchorId="4AF27100" wp14:editId="128D41BE">
            <wp:extent cx="5657850" cy="2381250"/>
            <wp:effectExtent l="0" t="0" r="0" b="0"/>
            <wp:docPr id="148326126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6134E74" w14:textId="77777777" w:rsidR="0085507D" w:rsidRPr="008548AE" w:rsidRDefault="0085507D" w:rsidP="0085507D">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From a structural point of view, the growth of capital expenditures is predominantly directed towards the implementation of large infrastructure projects, primarily in the field of road and railway infrastructure, which have strong multiplier effects on economic activity, regional connectivity and long-term productivity. The construction of highways and the modernisation of the railway network contribute to the reduction of transport costs, the improvement of logistics efficiency and the strengthening of the investment attractiveness of the country.</w:t>
      </w:r>
    </w:p>
    <w:p w14:paraId="2DB55BF5" w14:textId="77777777" w:rsidR="0085507D" w:rsidRPr="008B1397" w:rsidRDefault="0085507D" w:rsidP="0085507D">
      <w:pPr>
        <w:spacing w:line="259" w:lineRule="auto"/>
        <w:ind w:firstLine="720"/>
        <w:jc w:val="both"/>
        <w:rPr>
          <w:rFonts w:ascii="Times New Roman" w:eastAsia="Calibri" w:hAnsi="Times New Roman" w:cs="Times New Roman"/>
          <w:lang w:val="sr-Cyrl-RS"/>
          <w14:ligatures w14:val="none"/>
        </w:rPr>
      </w:pPr>
      <w:r w:rsidRPr="008548AE">
        <w:rPr>
          <w:rFonts w:ascii="Times New Roman" w:eastAsia="Calibri" w:hAnsi="Times New Roman" w:cs="Times New Roman"/>
          <w:lang w:val="sr-Cyrl-RS"/>
          <w14:ligatures w14:val="none"/>
        </w:rPr>
        <w:t xml:space="preserve">The implementation of the Expo 2027 Belgrade project, which represents one of the most significant development and infrastructure projects in the coming period, is of particular importance within the investment cycle. In addition to direct effects through increased construction activity and engagement of domestic resources, this project has the potential to generate wider </w:t>
      </w:r>
      <w:r w:rsidRPr="008548AE">
        <w:rPr>
          <w:rFonts w:ascii="Times New Roman" w:eastAsia="Calibri" w:hAnsi="Times New Roman" w:cs="Times New Roman"/>
          <w:lang w:val="sr-Cyrl-RS"/>
          <w14:ligatures w14:val="none"/>
        </w:rPr>
        <w:lastRenderedPageBreak/>
        <w:t>economic effects through the development of supporting infrastructure, tourism and the service sector, as well as through strengthening Serbia's international position as an investment and business destination.</w:t>
      </w:r>
    </w:p>
    <w:p w14:paraId="2195991A" w14:textId="77777777" w:rsidR="0085507D" w:rsidRPr="008548AE" w:rsidRDefault="0085507D" w:rsidP="0085507D">
      <w:pPr>
        <w:spacing w:line="259"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lang w:val="sr-Cyrl-RS"/>
          <w14:ligatures w14:val="none"/>
        </w:rPr>
        <w:t>The combination of macroeconomic stabilisation, falling public debt and controlled inflation is also reflected in the improvement of the country's credit profile. The credit rating according to Standard &amp; Poor's moves from the speculative level (BB+) to the investment grade (BBB-) in 2024, where it remains in 2025. This change has significant implications in the form of lower borrowing costs, increased investment attractiveness and wider access to international financial markets.</w:t>
      </w:r>
    </w:p>
    <w:p w14:paraId="031F3EC9" w14:textId="77777777" w:rsidR="0085507D" w:rsidRPr="008548AE" w:rsidRDefault="0085507D" w:rsidP="0085507D">
      <w:pPr>
        <w:spacing w:line="259" w:lineRule="auto"/>
        <w:ind w:firstLine="720"/>
        <w:jc w:val="both"/>
        <w:rPr>
          <w:rFonts w:ascii="Times New Roman" w:eastAsia="Calibri" w:hAnsi="Times New Roman" w:cs="Times New Roman"/>
          <w:bCs/>
          <w:lang w:val="sr-Cyrl-RS"/>
          <w14:ligatures w14:val="none"/>
        </w:rPr>
      </w:pPr>
      <w:r w:rsidRPr="008548AE">
        <w:rPr>
          <w:rFonts w:ascii="Times New Roman" w:eastAsia="Calibri" w:hAnsi="Times New Roman" w:cs="Times New Roman"/>
          <w:bCs/>
          <w:lang w:val="sr-Cyrl-RS"/>
          <w14:ligatures w14:val="none"/>
        </w:rPr>
        <w:t>Macroeconomic developments in the observed period indicate that the economic policy of the Government of the Republic of Serbia was directed towards a gradual transition from the phase of accelerated growth to the phase of macroeconomic stabilisation, while at the same time strengthening the development component through the intensification of public investments. The achieved results, primarily in the field of inflation control, reduction of public debt and preservation of fiscal discipline, confirm the relative effectiveness of implemented economic policy measures, while the growth of capital expenditures indicates the strategic determination of the state to support long-term growth through infrastructure and development projects.</w:t>
      </w:r>
    </w:p>
    <w:p w14:paraId="60B84B4E" w14:textId="77777777" w:rsidR="00F849D4" w:rsidRDefault="0085507D" w:rsidP="0058410E">
      <w:pPr>
        <w:spacing w:line="259" w:lineRule="auto"/>
        <w:ind w:firstLine="720"/>
        <w:jc w:val="both"/>
        <w:rPr>
          <w:rFonts w:ascii="Times New Roman" w:eastAsia="Calibri" w:hAnsi="Times New Roman" w:cs="Times New Roman"/>
          <w:lang w:val="en-US"/>
          <w14:ligatures w14:val="none"/>
        </w:rPr>
      </w:pPr>
      <w:r w:rsidRPr="008548AE">
        <w:rPr>
          <w:rFonts w:ascii="Times New Roman" w:eastAsia="Calibri" w:hAnsi="Times New Roman" w:cs="Times New Roman"/>
          <w:bCs/>
          <w:lang w:val="sr-Cyrl-RS"/>
          <w14:ligatures w14:val="none"/>
        </w:rPr>
        <w:t>At the same time, the slowdown in real growth at the end of the period indicates the need for further adjustment of the development policy, with an emphasis on strengthening the economy's potential for long-term growth. In the coming period, economic policy priorities will be directed towards improving the efficiency of public investments, encouraging productivity, intensifying investment activity of the private sector and implementing structural reforms, in order to ensure sustainable growth dynamics and accelerate convergence towards more developed economies.</w:t>
      </w:r>
    </w:p>
    <w:p w14:paraId="192DE893"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114015D7"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629282B0"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29AC92E0"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5C8B554B"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685407BE"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7AB9FAA2"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4BD1074C" w14:textId="77777777" w:rsidR="002C4825" w:rsidRDefault="002C4825" w:rsidP="0058410E">
      <w:pPr>
        <w:spacing w:line="259" w:lineRule="auto"/>
        <w:ind w:firstLine="720"/>
        <w:jc w:val="both"/>
        <w:rPr>
          <w:rFonts w:ascii="Times New Roman" w:eastAsia="Calibri" w:hAnsi="Times New Roman" w:cs="Times New Roman"/>
          <w:lang w:val="en-US"/>
          <w14:ligatures w14:val="none"/>
        </w:rPr>
      </w:pPr>
    </w:p>
    <w:p w14:paraId="2D11BE8F" w14:textId="77777777" w:rsidR="002C4825" w:rsidRPr="002C4825" w:rsidRDefault="002C4825" w:rsidP="0058410E">
      <w:pPr>
        <w:spacing w:line="259" w:lineRule="auto"/>
        <w:ind w:firstLine="720"/>
        <w:jc w:val="both"/>
        <w:rPr>
          <w:rFonts w:ascii="Times New Roman" w:eastAsia="Calibri" w:hAnsi="Times New Roman" w:cs="Times New Roman"/>
          <w:lang w:val="en-US"/>
          <w14:ligatures w14:val="none"/>
        </w:rPr>
      </w:pPr>
    </w:p>
    <w:p w14:paraId="1CC84686" w14:textId="77777777" w:rsidR="004237F9" w:rsidRPr="006E2DA7" w:rsidRDefault="004237F9" w:rsidP="006E2DA7">
      <w:pPr>
        <w:pStyle w:val="Heading1"/>
        <w:jc w:val="center"/>
        <w:rPr>
          <w:rFonts w:ascii="Times New Roman" w:eastAsia="Calibri" w:hAnsi="Times New Roman" w:cs="Times New Roman"/>
          <w:sz w:val="32"/>
          <w:szCs w:val="32"/>
          <w:lang w:val="sr-Latn-RS"/>
        </w:rPr>
      </w:pPr>
      <w:bookmarkStart w:id="5" w:name="_Toc233629223"/>
      <w:r w:rsidRPr="006E2DA7">
        <w:rPr>
          <w:rFonts w:ascii="Times New Roman" w:eastAsia="Calibri" w:hAnsi="Times New Roman" w:cs="Times New Roman"/>
          <w:sz w:val="32"/>
          <w:szCs w:val="32"/>
          <w:lang w:val="sr-Cyrl-RS"/>
        </w:rPr>
        <w:lastRenderedPageBreak/>
        <w:t>OVERVIEW OF PROGRAMME IMPLEMENTATION IN THE PERIOD 2021–2025</w:t>
      </w:r>
      <w:bookmarkEnd w:id="5"/>
    </w:p>
    <w:p w14:paraId="4A463C99" w14:textId="77777777" w:rsidR="004237F9" w:rsidRPr="004237F9" w:rsidRDefault="004237F9" w:rsidP="00E20C96">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4237F9">
        <w:rPr>
          <w:rFonts w:ascii="Times New Roman" w:eastAsia="Times New Roman" w:hAnsi="Times New Roman" w:cs="Times New Roman"/>
          <w:lang w:val="sr-Cyrl-RS" w:eastAsia="en-GB"/>
          <w14:ligatures w14:val="none"/>
        </w:rPr>
        <w:t>In the period of its application, the PFMRP 2021-2025 was implemented through six special objectives, and the measures and activities were determined by the Action Plan. Implementation monitoring was performed based on performance indicators at the level of the overall objective, specific goals and measures, as well as based on the status of the implementation of individual activities. This approach made it possible to monitor progress not only through the formal execution of activities, but also through the review of the achieved results in the individual subsystems of public financial management.</w:t>
      </w:r>
    </w:p>
    <w:p w14:paraId="038FA316" w14:textId="77777777" w:rsidR="004237F9" w:rsidRPr="004237F9" w:rsidRDefault="004237F9" w:rsidP="00E20C96">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4237F9">
        <w:rPr>
          <w:rFonts w:ascii="Times New Roman" w:eastAsia="Times New Roman" w:hAnsi="Times New Roman" w:cs="Times New Roman"/>
          <w:lang w:val="sr-Cyrl-RS" w:eastAsia="en-GB"/>
          <w14:ligatures w14:val="none"/>
        </w:rPr>
        <w:t>The largest number of implemented activities relates to the improvement of the normative, methodological, institutional and informational framework in the field of public financial management. At the same time, the activities that were not implemented within the planned period are mostly related to more complex reform processes that depend on the development or upgrading of information systems, the implementation of technical support projects, the provision of financial resources or the fulfilment of several mutually conditioned preconditions.</w:t>
      </w:r>
    </w:p>
    <w:p w14:paraId="38702CE1" w14:textId="77777777" w:rsidR="004237F9" w:rsidRPr="004237F9" w:rsidRDefault="004237F9" w:rsidP="00E20C96">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4237F9">
        <w:rPr>
          <w:rFonts w:ascii="Times New Roman" w:eastAsia="Times New Roman" w:hAnsi="Times New Roman" w:cs="Times New Roman"/>
          <w:lang w:val="sr-Cyrl-RS" w:eastAsia="en-GB"/>
          <w14:ligatures w14:val="none"/>
        </w:rPr>
        <w:t>Observed by areas of reform, progress was achieved in the further development of medium-term planning and programme budgeting, strengthening of public investment management, modernisation of business processes and information systems in institutions responsible for collecting and managing public revenues, improvement of the transparency of the budget process, strengthening of budget inspection and public procurement systems, development of PIFC, improvement of accounting in the public sector, as well as strengthening of external oversight of public finances.</w:t>
      </w:r>
    </w:p>
    <w:p w14:paraId="42767BD2" w14:textId="77777777" w:rsidR="004237F9" w:rsidRPr="004237F9" w:rsidRDefault="004237F9" w:rsidP="00E20C96">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4237F9">
        <w:rPr>
          <w:rFonts w:ascii="Times New Roman" w:eastAsia="Times New Roman" w:hAnsi="Times New Roman" w:cs="Times New Roman"/>
          <w:lang w:val="sr-Cyrl-RS" w:eastAsia="en-GB"/>
          <w14:ligatures w14:val="none"/>
        </w:rPr>
        <w:t>For some of the activities that were not implemented within the planned period, the implementation was not suspended, but continued through existing institutional processes or was planned within the next programme cycle. This especially applies to activities related to complex information technology (hereinafter: IT) systems, projects financed by the European Union and donor support, as well as to activities that require additional methodological preparation, capacity building or financial resources.</w:t>
      </w:r>
    </w:p>
    <w:p w14:paraId="5678F716" w14:textId="77777777" w:rsidR="004237F9" w:rsidRPr="004237F9" w:rsidRDefault="004237F9" w:rsidP="00E20C96">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4237F9">
        <w:rPr>
          <w:rFonts w:ascii="Times New Roman" w:eastAsia="Times New Roman" w:hAnsi="Times New Roman" w:cs="Times New Roman"/>
          <w:lang w:val="sr-Cyrl-RS" w:eastAsia="en-GB"/>
          <w14:ligatures w14:val="none"/>
        </w:rPr>
        <w:t>The degree of implementation of activities should be observed together with the achievement of performance indicators. In certain areas, although not all activities were implemented within the planned period, significant progress was made in achieving the expected results. On the other hand, in the case of measures that depended on the introduction of new information systems, organisational changes or complex project procedures, delays affected the dynamics of the achievement of certain result indicators.</w:t>
      </w:r>
    </w:p>
    <w:p w14:paraId="79ABF1FD" w14:textId="77777777" w:rsidR="00E605FB" w:rsidRPr="00694BED" w:rsidRDefault="004237F9" w:rsidP="00694BE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4237F9">
        <w:rPr>
          <w:rFonts w:ascii="Times New Roman" w:eastAsia="Times New Roman" w:hAnsi="Times New Roman" w:cs="Times New Roman"/>
          <w:lang w:val="sr-Cyrl-RS" w:eastAsia="en-GB"/>
          <w14:ligatures w14:val="none"/>
        </w:rPr>
        <w:t xml:space="preserve">In the rest of the report, a detailed description of the implementation of each specific goal and measure is given, with an overview of performance indicators, key results, financing, challenges and next steps. Such a presentation allows for each subsystem of public financial management to see not only the degree of formal implementation of activities, but also their </w:t>
      </w:r>
      <w:r w:rsidRPr="004237F9">
        <w:rPr>
          <w:rFonts w:ascii="Times New Roman" w:eastAsia="Times New Roman" w:hAnsi="Times New Roman" w:cs="Times New Roman"/>
          <w:lang w:val="sr-Cyrl-RS" w:eastAsia="en-GB"/>
          <w14:ligatures w14:val="none"/>
        </w:rPr>
        <w:lastRenderedPageBreak/>
        <w:t>contribution to the achievement of the goals of the 2021-2025 PFMRP and the preparation of the next reform cycle.</w:t>
      </w:r>
    </w:p>
    <w:p w14:paraId="546F5F6F" w14:textId="77777777" w:rsidR="00ED504C" w:rsidRPr="006E2DA7" w:rsidRDefault="000049CC" w:rsidP="006E2DA7">
      <w:pPr>
        <w:pStyle w:val="Heading1"/>
        <w:jc w:val="center"/>
        <w:rPr>
          <w:rFonts w:ascii="Times New Roman" w:eastAsia="Calibri" w:hAnsi="Times New Roman" w:cs="Times New Roman"/>
          <w:sz w:val="32"/>
          <w:szCs w:val="32"/>
          <w:lang w:val="sr-Cyrl-RS"/>
        </w:rPr>
      </w:pPr>
      <w:bookmarkStart w:id="6" w:name="_Toc233629224"/>
      <w:r w:rsidRPr="006E2DA7">
        <w:rPr>
          <w:rFonts w:ascii="Times New Roman" w:eastAsia="Calibri" w:hAnsi="Times New Roman" w:cs="Times New Roman"/>
          <w:sz w:val="32"/>
          <w:szCs w:val="32"/>
          <w:lang w:val="sr-Cyrl-RS"/>
        </w:rPr>
        <w:t>SPECIAL OBJECTIVE I - IMPROVED CAPACITIES FOR BUDGET PLANNING AND PUBLIC INVESTMENT MANAGEMENT AND MONITORING OF FISCAL RISKS</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67"/>
        <w:gridCol w:w="537"/>
        <w:gridCol w:w="1296"/>
        <w:gridCol w:w="1550"/>
      </w:tblGrid>
      <w:tr w:rsidR="00ED504C" w:rsidRPr="00ED504C" w14:paraId="5F22C7C9" w14:textId="77777777" w:rsidTr="007A199D">
        <w:tc>
          <w:tcPr>
            <w:tcW w:w="0" w:type="auto"/>
            <w:shd w:val="clear" w:color="auto" w:fill="9CC2E5" w:themeFill="accent1" w:themeFillTint="99"/>
            <w:vAlign w:val="center"/>
            <w:hideMark/>
          </w:tcPr>
          <w:p w14:paraId="4FAD0E26" w14:textId="77777777" w:rsidR="00ED504C" w:rsidRPr="00ED504C"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ED504C">
              <w:rPr>
                <w:rFonts w:ascii="Times New Roman" w:eastAsia="Times New Roman" w:hAnsi="Times New Roman" w:cs="Times New Roman"/>
                <w:b/>
                <w:bCs/>
                <w:lang w:val="sr-Cyrl-RS" w:eastAsia="en-GB"/>
                <w14:ligatures w14:val="none"/>
              </w:rPr>
              <w:t>Indicator at the level of a specific objective</w:t>
            </w:r>
          </w:p>
        </w:tc>
        <w:tc>
          <w:tcPr>
            <w:tcW w:w="0" w:type="auto"/>
            <w:shd w:val="clear" w:color="auto" w:fill="9CC2E5" w:themeFill="accent1" w:themeFillTint="99"/>
            <w:vAlign w:val="center"/>
            <w:hideMark/>
          </w:tcPr>
          <w:p w14:paraId="3D04A611" w14:textId="77777777" w:rsidR="00ED504C" w:rsidRPr="00ED504C"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ED504C">
              <w:rPr>
                <w:rFonts w:ascii="Times New Roman" w:eastAsia="Times New Roman" w:hAnsi="Times New Roman" w:cs="Times New Roman"/>
                <w:b/>
                <w:bCs/>
                <w:lang w:val="sr-Cyrl-RS" w:eastAsia="en-GB"/>
                <w14:ligatures w14:val="none"/>
              </w:rPr>
              <w:t>Year</w:t>
            </w:r>
          </w:p>
        </w:tc>
        <w:tc>
          <w:tcPr>
            <w:tcW w:w="0" w:type="auto"/>
            <w:shd w:val="clear" w:color="auto" w:fill="9CC2E5" w:themeFill="accent1" w:themeFillTint="99"/>
            <w:vAlign w:val="center"/>
            <w:hideMark/>
          </w:tcPr>
          <w:p w14:paraId="7663A0FB" w14:textId="77777777" w:rsidR="00ED504C" w:rsidRPr="00ED504C"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ED504C">
              <w:rPr>
                <w:rFonts w:ascii="Times New Roman" w:eastAsia="Times New Roman" w:hAnsi="Times New Roman" w:cs="Times New Roman"/>
                <w:b/>
                <w:bCs/>
                <w:lang w:val="sr-Cyrl-RS" w:eastAsia="en-GB"/>
                <w14:ligatures w14:val="none"/>
              </w:rPr>
              <w:t>Target value</w:t>
            </w:r>
          </w:p>
        </w:tc>
        <w:tc>
          <w:tcPr>
            <w:tcW w:w="0" w:type="auto"/>
            <w:shd w:val="clear" w:color="auto" w:fill="9CC2E5" w:themeFill="accent1" w:themeFillTint="99"/>
            <w:vAlign w:val="center"/>
            <w:hideMark/>
          </w:tcPr>
          <w:p w14:paraId="6723AFF9" w14:textId="77777777" w:rsidR="00ED504C" w:rsidRPr="00ED504C"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ED504C">
              <w:rPr>
                <w:rFonts w:ascii="Times New Roman" w:eastAsia="Times New Roman" w:hAnsi="Times New Roman" w:cs="Times New Roman"/>
                <w:b/>
                <w:bCs/>
                <w:lang w:val="sr-Cyrl-RS" w:eastAsia="en-GB"/>
                <w14:ligatures w14:val="none"/>
              </w:rPr>
              <w:t>Achieved value</w:t>
            </w:r>
          </w:p>
        </w:tc>
      </w:tr>
      <w:tr w:rsidR="00ED504C" w:rsidRPr="00ED504C" w14:paraId="011D9B45" w14:textId="77777777" w:rsidTr="007A199D">
        <w:tc>
          <w:tcPr>
            <w:tcW w:w="0" w:type="auto"/>
            <w:vAlign w:val="center"/>
            <w:hideMark/>
          </w:tcPr>
          <w:p w14:paraId="54574C2D" w14:textId="77777777" w:rsidR="00ED504C" w:rsidRPr="00694BED"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694BED">
              <w:rPr>
                <w:rFonts w:ascii="Times New Roman" w:eastAsia="Times New Roman" w:hAnsi="Times New Roman" w:cs="Times New Roman"/>
                <w:b/>
                <w:bCs/>
                <w:lang w:val="sr-Cyrl-RS" w:eastAsia="en-GB"/>
                <w14:ligatures w14:val="none"/>
              </w:rPr>
              <w:t>Performance information for the provision of public services</w:t>
            </w:r>
          </w:p>
        </w:tc>
        <w:tc>
          <w:tcPr>
            <w:tcW w:w="0" w:type="auto"/>
            <w:vAlign w:val="center"/>
            <w:hideMark/>
          </w:tcPr>
          <w:p w14:paraId="3412323D"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2025</w:t>
            </w:r>
          </w:p>
        </w:tc>
        <w:tc>
          <w:tcPr>
            <w:tcW w:w="0" w:type="auto"/>
            <w:vAlign w:val="center"/>
            <w:hideMark/>
          </w:tcPr>
          <w:p w14:paraId="391E2A79"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B</w:t>
            </w:r>
          </w:p>
        </w:tc>
        <w:tc>
          <w:tcPr>
            <w:tcW w:w="0" w:type="auto"/>
            <w:vAlign w:val="center"/>
            <w:hideMark/>
          </w:tcPr>
          <w:p w14:paraId="55503567"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B</w:t>
            </w:r>
          </w:p>
        </w:tc>
      </w:tr>
    </w:tbl>
    <w:p w14:paraId="67DA5A4A"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The initial value of the outcome indicator at the level of Special Objective I was C+, while the target value for 2025 was B. According to the PEFA assessment, the achieved value of the indicator in 2025 was B, which fulfilled the outcome indicator. The achievement of this indicator indicates progress in the area of ​​using performance information in the budget process and is the result of activities that, during the period of implementation of the Programme, were aimed at improving programme budgeting, medium-term planning, management of capital projects and monitoring of fiscal risks.</w:t>
      </w:r>
    </w:p>
    <w:p w14:paraId="3EC6B9E0" w14:textId="77777777" w:rsidR="00ED504C" w:rsidRPr="00ED504C" w:rsidRDefault="00ED504C" w:rsidP="00ED504C">
      <w:pPr>
        <w:spacing w:line="256" w:lineRule="auto"/>
        <w:jc w:val="both"/>
        <w:rPr>
          <w:rFonts w:ascii="Times New Roman" w:eastAsia="Calibri" w:hAnsi="Times New Roman" w:cs="Times New Roman"/>
          <w:b/>
          <w:u w:val="single"/>
          <w:lang w:val="sr-Cyrl-RS"/>
          <w14:ligatures w14:val="none"/>
        </w:rPr>
      </w:pPr>
      <w:r w:rsidRPr="00ED504C">
        <w:rPr>
          <w:rFonts w:ascii="Times New Roman" w:eastAsia="Calibri" w:hAnsi="Times New Roman" w:cs="Times New Roman"/>
          <w:b/>
          <w:u w:val="single"/>
          <w:lang w:val="sr-Cyrl-RS"/>
          <w14:ligatures w14:val="none"/>
        </w:rPr>
        <w:t>Measure 1.1. Improvement of the programme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97"/>
        <w:gridCol w:w="923"/>
        <w:gridCol w:w="1387"/>
        <w:gridCol w:w="1243"/>
      </w:tblGrid>
      <w:tr w:rsidR="00ED504C" w:rsidRPr="00ED504C" w14:paraId="470DEFE5" w14:textId="77777777" w:rsidTr="00BC355A">
        <w:tc>
          <w:tcPr>
            <w:tcW w:w="0" w:type="auto"/>
            <w:shd w:val="clear" w:color="auto" w:fill="9CC2E5" w:themeFill="accent1" w:themeFillTint="99"/>
            <w:vAlign w:val="center"/>
            <w:hideMark/>
          </w:tcPr>
          <w:p w14:paraId="68D5A861"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Indicator at the measure level</w:t>
            </w:r>
          </w:p>
        </w:tc>
        <w:tc>
          <w:tcPr>
            <w:tcW w:w="0" w:type="auto"/>
            <w:shd w:val="clear" w:color="auto" w:fill="9CC2E5" w:themeFill="accent1" w:themeFillTint="99"/>
            <w:vAlign w:val="center"/>
            <w:hideMark/>
          </w:tcPr>
          <w:p w14:paraId="67A9818E"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Initial value</w:t>
            </w:r>
          </w:p>
        </w:tc>
        <w:tc>
          <w:tcPr>
            <w:tcW w:w="0" w:type="auto"/>
            <w:shd w:val="clear" w:color="auto" w:fill="9CC2E5" w:themeFill="accent1" w:themeFillTint="99"/>
            <w:vAlign w:val="center"/>
            <w:hideMark/>
          </w:tcPr>
          <w:p w14:paraId="6CDC0923"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Target value for 2025</w:t>
            </w:r>
          </w:p>
        </w:tc>
        <w:tc>
          <w:tcPr>
            <w:tcW w:w="0" w:type="auto"/>
            <w:shd w:val="clear" w:color="auto" w:fill="9CC2E5" w:themeFill="accent1" w:themeFillTint="99"/>
            <w:vAlign w:val="center"/>
            <w:hideMark/>
          </w:tcPr>
          <w:p w14:paraId="50577AC6"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Achieved value</w:t>
            </w:r>
          </w:p>
        </w:tc>
      </w:tr>
      <w:tr w:rsidR="00ED504C" w:rsidRPr="00ED504C" w14:paraId="7B6DF425" w14:textId="77777777" w:rsidTr="007A199D">
        <w:tc>
          <w:tcPr>
            <w:tcW w:w="0" w:type="auto"/>
            <w:vAlign w:val="center"/>
            <w:hideMark/>
          </w:tcPr>
          <w:p w14:paraId="7CB90898"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An analysis of the application of the programme budget was made</w:t>
            </w:r>
          </w:p>
        </w:tc>
        <w:tc>
          <w:tcPr>
            <w:tcW w:w="0" w:type="auto"/>
            <w:vAlign w:val="center"/>
            <w:hideMark/>
          </w:tcPr>
          <w:p w14:paraId="618B9857"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0</w:t>
            </w:r>
          </w:p>
        </w:tc>
        <w:tc>
          <w:tcPr>
            <w:tcW w:w="0" w:type="auto"/>
            <w:vAlign w:val="center"/>
            <w:hideMark/>
          </w:tcPr>
          <w:p w14:paraId="43603BD0"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w:t>
            </w:r>
          </w:p>
        </w:tc>
        <w:tc>
          <w:tcPr>
            <w:tcW w:w="0" w:type="auto"/>
            <w:vAlign w:val="center"/>
            <w:hideMark/>
          </w:tcPr>
          <w:p w14:paraId="5DE37E37"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w:t>
            </w:r>
          </w:p>
        </w:tc>
      </w:tr>
      <w:tr w:rsidR="00ED504C" w:rsidRPr="00ED504C" w14:paraId="2EBE6A8A" w14:textId="77777777" w:rsidTr="007A199D">
        <w:tc>
          <w:tcPr>
            <w:tcW w:w="0" w:type="auto"/>
            <w:vAlign w:val="center"/>
            <w:hideMark/>
          </w:tcPr>
          <w:p w14:paraId="443C2C6C"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An analysis of the uniform structure of the programme budget of local self-government units was made</w:t>
            </w:r>
          </w:p>
        </w:tc>
        <w:tc>
          <w:tcPr>
            <w:tcW w:w="0" w:type="auto"/>
            <w:vAlign w:val="center"/>
            <w:hideMark/>
          </w:tcPr>
          <w:p w14:paraId="5381042C"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0</w:t>
            </w:r>
          </w:p>
        </w:tc>
        <w:tc>
          <w:tcPr>
            <w:tcW w:w="0" w:type="auto"/>
            <w:vAlign w:val="center"/>
            <w:hideMark/>
          </w:tcPr>
          <w:p w14:paraId="1789FD21"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w:t>
            </w:r>
          </w:p>
        </w:tc>
        <w:tc>
          <w:tcPr>
            <w:tcW w:w="0" w:type="auto"/>
            <w:vAlign w:val="center"/>
            <w:hideMark/>
          </w:tcPr>
          <w:p w14:paraId="23C0991B"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w:t>
            </w:r>
          </w:p>
        </w:tc>
      </w:tr>
      <w:tr w:rsidR="00ED504C" w:rsidRPr="00ED504C" w14:paraId="3AB737CD" w14:textId="77777777" w:rsidTr="007A199D">
        <w:tc>
          <w:tcPr>
            <w:tcW w:w="0" w:type="auto"/>
            <w:vAlign w:val="center"/>
            <w:hideMark/>
          </w:tcPr>
          <w:p w14:paraId="5A09FFC8"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Established uniform programme structure for mandatory social insurance organisations and their beneficiaries</w:t>
            </w:r>
          </w:p>
        </w:tc>
        <w:tc>
          <w:tcPr>
            <w:tcW w:w="0" w:type="auto"/>
            <w:vAlign w:val="center"/>
            <w:hideMark/>
          </w:tcPr>
          <w:p w14:paraId="4CA678B7"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0</w:t>
            </w:r>
          </w:p>
        </w:tc>
        <w:tc>
          <w:tcPr>
            <w:tcW w:w="0" w:type="auto"/>
            <w:vAlign w:val="center"/>
            <w:hideMark/>
          </w:tcPr>
          <w:p w14:paraId="2971F540"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w:t>
            </w:r>
          </w:p>
        </w:tc>
        <w:tc>
          <w:tcPr>
            <w:tcW w:w="0" w:type="auto"/>
            <w:vAlign w:val="center"/>
            <w:hideMark/>
          </w:tcPr>
          <w:p w14:paraId="13DA59E4" w14:textId="77777777" w:rsidR="00ED504C" w:rsidRPr="00ED504C" w:rsidRDefault="00ED504C" w:rsidP="00ED504C">
            <w:pPr>
              <w:spacing w:after="0" w:line="240" w:lineRule="auto"/>
              <w:jc w:val="center"/>
              <w:rPr>
                <w:rFonts w:ascii="Times New Roman" w:eastAsia="Calibri" w:hAnsi="Times New Roman" w:cs="Times New Roman"/>
                <w:b/>
                <w:bCs/>
                <w:lang w:val="sr-Cyrl-RS"/>
                <w14:ligatures w14:val="none"/>
              </w:rPr>
            </w:pPr>
            <w:r w:rsidRPr="00ED504C">
              <w:rPr>
                <w:rFonts w:ascii="Times New Roman" w:eastAsia="Calibri" w:hAnsi="Times New Roman" w:cs="Times New Roman"/>
                <w:b/>
                <w:bCs/>
                <w:lang w:val="sr-Cyrl-RS"/>
                <w14:ligatures w14:val="none"/>
              </w:rPr>
              <w:t>-</w:t>
            </w:r>
          </w:p>
        </w:tc>
      </w:tr>
    </w:tbl>
    <w:p w14:paraId="21E48140"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The result indicators within measure 1.1 did not have target values ​​for the year 2025, bearing in mind that part of the activities were planned and implemented in the earlier years of the Programme's implementation. As part of the measure, activities aimed at analyzing the implementation of the programme budget, the use of performance indicators, and considering opportunities for improving the programme structure at different levels of government were carried out.</w:t>
      </w:r>
    </w:p>
    <w:p w14:paraId="563F3C8E" w14:textId="77777777" w:rsidR="006C131E" w:rsidRPr="006C131E" w:rsidRDefault="006C131E" w:rsidP="006C131E">
      <w:pPr>
        <w:pStyle w:val="isselectedend"/>
        <w:ind w:firstLine="720"/>
        <w:jc w:val="both"/>
        <w:rPr>
          <w:lang w:val="sr-Cyrl-RS"/>
        </w:rPr>
      </w:pPr>
      <w:r w:rsidRPr="006C131E">
        <w:rPr>
          <w:lang w:val="sr-Cyrl-RS"/>
        </w:rPr>
        <w:t xml:space="preserve">During the reporting period, activities related to the analysis of the application of the programme budget and the use of performance indicators, the analysis of the uniform structure of the programme budget of local self-government units, the determination of the programme structure for mandatory social insurance organisations and their users, as well as workshops and trainings for users at all levels of government were carried out. These activities contributed to a better understanding of the quality of goals and performance indicators in the budget process, </w:t>
      </w:r>
      <w:r w:rsidRPr="006C131E">
        <w:rPr>
          <w:lang w:val="sr-Cyrl-RS"/>
        </w:rPr>
        <w:lastRenderedPageBreak/>
        <w:t>improvement of the programme structure and strengthening of the capacity of budget users for the application of programme budgeting.</w:t>
      </w:r>
    </w:p>
    <w:p w14:paraId="5302F84A" w14:textId="77777777" w:rsidR="006C131E" w:rsidRPr="006C131E" w:rsidRDefault="006C131E" w:rsidP="006C131E">
      <w:pPr>
        <w:pStyle w:val="isselectedend"/>
        <w:ind w:firstLine="720"/>
        <w:jc w:val="both"/>
        <w:rPr>
          <w:lang w:val="sr-Cyrl-RS"/>
        </w:rPr>
      </w:pPr>
      <w:r w:rsidRPr="006C131E">
        <w:rPr>
          <w:lang w:val="sr-Cyrl-RS"/>
        </w:rPr>
        <w:t>In addition to analytical activities, workshops and trainings were of particular importance, where the goals and performance indicators of budget users were discussed in the process of preparing financial plans. These activities contributed to the improvement of understanding of programme budgeting and better linking of budget programs, programme activities, goals and performance indicators.</w:t>
      </w:r>
    </w:p>
    <w:p w14:paraId="33FC0D85" w14:textId="77777777" w:rsidR="006C131E" w:rsidRPr="006C131E" w:rsidRDefault="006C131E" w:rsidP="006C131E">
      <w:pPr>
        <w:pStyle w:val="NormalWeb"/>
        <w:ind w:firstLine="720"/>
        <w:jc w:val="both"/>
        <w:rPr>
          <w:lang w:val="sr-Cyrl-RS"/>
        </w:rPr>
      </w:pPr>
      <w:r w:rsidRPr="006C131E">
        <w:rPr>
          <w:lang w:val="sr-Cyrl-RS"/>
        </w:rPr>
        <w:t>The activity related to the study visit in connection with the improvement of the performance report was not carried out within the planned period. Although the non-implementation of this activity did not call into question the implementation of key activities within the measure, it points to the need to continue strengthening capacity for performance reporting and the use of performance information in the process of budget preparation, execution and monitoring in the following period.</w:t>
      </w:r>
    </w:p>
    <w:p w14:paraId="679F6A9A"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The measure contributed to the achievement of Special Objective I by improving the basis for further development of programme budgeting and better use of performance information. At the same time, the results of this measure indicate that it is necessary to continue with methodological improvements, strengthening the capacities of budget users and further connecting the programme budget with medium-term planning and reporting on results.</w:t>
      </w:r>
    </w:p>
    <w:p w14:paraId="69C97421" w14:textId="77777777" w:rsidR="0058410E" w:rsidRPr="002C4825" w:rsidRDefault="00ED504C" w:rsidP="002C4825">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ED504C">
        <w:rPr>
          <w:rFonts w:ascii="Times New Roman" w:eastAsia="Times New Roman" w:hAnsi="Times New Roman" w:cs="Times New Roman"/>
          <w:lang w:val="sr-Cyrl-RS" w:eastAsia="en-GB"/>
          <w14:ligatures w14:val="none"/>
        </w:rPr>
        <w:t>Funding of the measure: activities within the measure were financed from the budget of the Republic of Serbia and donor funds, that is, they were implemented through the regular capacities of the Ministry of Finance.</w:t>
      </w:r>
    </w:p>
    <w:p w14:paraId="7078FC30" w14:textId="77777777" w:rsidR="00ED504C" w:rsidRPr="00ED504C" w:rsidRDefault="00ED504C" w:rsidP="00ED504C">
      <w:pPr>
        <w:spacing w:line="256" w:lineRule="auto"/>
        <w:jc w:val="both"/>
        <w:rPr>
          <w:rFonts w:ascii="Times New Roman" w:eastAsia="Calibri" w:hAnsi="Times New Roman" w:cs="Times New Roman"/>
          <w:b/>
          <w:u w:val="single"/>
          <w:lang w:val="sr-Cyrl-RS"/>
          <w14:ligatures w14:val="none"/>
        </w:rPr>
      </w:pPr>
      <w:r w:rsidRPr="00ED504C">
        <w:rPr>
          <w:rFonts w:ascii="Times New Roman" w:eastAsia="Calibri" w:hAnsi="Times New Roman" w:cs="Times New Roman"/>
          <w:b/>
          <w:u w:val="single"/>
          <w:lang w:val="sr-Cyrl-RS"/>
          <w14:ligatures w14:val="none"/>
        </w:rPr>
        <w:t>Measure 1.2. Improvement of capacity in relation to the preparation and obligations of EU member states during the budget preparation process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01"/>
        <w:gridCol w:w="1047"/>
        <w:gridCol w:w="1620"/>
        <w:gridCol w:w="1382"/>
      </w:tblGrid>
      <w:tr w:rsidR="00ED504C" w:rsidRPr="00ED504C" w14:paraId="3F0585ED" w14:textId="77777777" w:rsidTr="00BC355A">
        <w:trPr>
          <w:tblCellSpacing w:w="15" w:type="dxa"/>
        </w:trPr>
        <w:tc>
          <w:tcPr>
            <w:tcW w:w="0" w:type="auto"/>
            <w:shd w:val="clear" w:color="auto" w:fill="9CC2E5" w:themeFill="accent1" w:themeFillTint="99"/>
            <w:vAlign w:val="center"/>
            <w:hideMark/>
          </w:tcPr>
          <w:p w14:paraId="6C6FB459" w14:textId="77777777" w:rsidR="00ED504C" w:rsidRPr="00694BED"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694BED">
              <w:rPr>
                <w:rFonts w:ascii="Times New Roman" w:eastAsia="Times New Roman" w:hAnsi="Times New Roman" w:cs="Times New Roman"/>
                <w:b/>
                <w:bCs/>
                <w:lang w:val="sr-Cyrl-RS" w:eastAsia="en-GB"/>
                <w14:ligatures w14:val="none"/>
              </w:rPr>
              <w:t>Indicator at the measure level</w:t>
            </w:r>
          </w:p>
        </w:tc>
        <w:tc>
          <w:tcPr>
            <w:tcW w:w="0" w:type="auto"/>
            <w:shd w:val="clear" w:color="auto" w:fill="9CC2E5" w:themeFill="accent1" w:themeFillTint="99"/>
            <w:vAlign w:val="center"/>
            <w:hideMark/>
          </w:tcPr>
          <w:p w14:paraId="14669E5D" w14:textId="77777777" w:rsidR="00ED504C" w:rsidRPr="00694BED"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694BED">
              <w:rPr>
                <w:rFonts w:ascii="Times New Roman" w:eastAsia="Times New Roman" w:hAnsi="Times New Roman" w:cs="Times New Roman"/>
                <w:b/>
                <w:bCs/>
                <w:lang w:val="sr-Cyrl-RS" w:eastAsia="en-GB"/>
                <w14:ligatures w14:val="none"/>
              </w:rPr>
              <w:t>Initial value</w:t>
            </w:r>
          </w:p>
        </w:tc>
        <w:tc>
          <w:tcPr>
            <w:tcW w:w="0" w:type="auto"/>
            <w:shd w:val="clear" w:color="auto" w:fill="9CC2E5" w:themeFill="accent1" w:themeFillTint="99"/>
            <w:vAlign w:val="center"/>
            <w:hideMark/>
          </w:tcPr>
          <w:p w14:paraId="3FD61C25" w14:textId="77777777" w:rsidR="00ED504C" w:rsidRPr="00694BED"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694BED">
              <w:rPr>
                <w:rFonts w:ascii="Times New Roman" w:eastAsia="Times New Roman" w:hAnsi="Times New Roman" w:cs="Times New Roman"/>
                <w:b/>
                <w:bCs/>
                <w:lang w:val="sr-Cyrl-RS" w:eastAsia="en-GB"/>
                <w14:ligatures w14:val="none"/>
              </w:rPr>
              <w:t>Target value for 2025</w:t>
            </w:r>
          </w:p>
        </w:tc>
        <w:tc>
          <w:tcPr>
            <w:tcW w:w="0" w:type="auto"/>
            <w:shd w:val="clear" w:color="auto" w:fill="9CC2E5" w:themeFill="accent1" w:themeFillTint="99"/>
            <w:vAlign w:val="center"/>
            <w:hideMark/>
          </w:tcPr>
          <w:p w14:paraId="1402806D" w14:textId="77777777" w:rsidR="00ED504C" w:rsidRPr="00694BED"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694BED">
              <w:rPr>
                <w:rFonts w:ascii="Times New Roman" w:eastAsia="Times New Roman" w:hAnsi="Times New Roman" w:cs="Times New Roman"/>
                <w:b/>
                <w:bCs/>
                <w:lang w:val="sr-Cyrl-RS" w:eastAsia="en-GB"/>
                <w14:ligatures w14:val="none"/>
              </w:rPr>
              <w:t>Achieved value</w:t>
            </w:r>
          </w:p>
        </w:tc>
      </w:tr>
      <w:tr w:rsidR="00ED504C" w:rsidRPr="00ED504C" w14:paraId="634E9543" w14:textId="77777777" w:rsidTr="00ED504C">
        <w:trPr>
          <w:tblCellSpacing w:w="15" w:type="dxa"/>
        </w:trPr>
        <w:tc>
          <w:tcPr>
            <w:tcW w:w="0" w:type="auto"/>
            <w:vAlign w:val="center"/>
            <w:hideMark/>
          </w:tcPr>
          <w:p w14:paraId="51EFB501" w14:textId="77777777" w:rsidR="00ED504C" w:rsidRPr="00694BED"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694BED">
              <w:rPr>
                <w:rFonts w:ascii="Times New Roman" w:eastAsia="Times New Roman" w:hAnsi="Times New Roman" w:cs="Times New Roman"/>
                <w:b/>
                <w:bCs/>
                <w:lang w:val="sr-Cyrl-RS" w:eastAsia="en-GB"/>
                <w14:ligatures w14:val="none"/>
              </w:rPr>
              <w:t>An analysis of the budget preparation process of the EU member states was made</w:t>
            </w:r>
          </w:p>
        </w:tc>
        <w:tc>
          <w:tcPr>
            <w:tcW w:w="0" w:type="auto"/>
            <w:vAlign w:val="center"/>
            <w:hideMark/>
          </w:tcPr>
          <w:p w14:paraId="73FFD462"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0</w:t>
            </w:r>
          </w:p>
        </w:tc>
        <w:tc>
          <w:tcPr>
            <w:tcW w:w="0" w:type="auto"/>
            <w:vAlign w:val="center"/>
            <w:hideMark/>
          </w:tcPr>
          <w:p w14:paraId="38839875"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w:t>
            </w:r>
          </w:p>
        </w:tc>
        <w:tc>
          <w:tcPr>
            <w:tcW w:w="0" w:type="auto"/>
            <w:vAlign w:val="center"/>
            <w:hideMark/>
          </w:tcPr>
          <w:p w14:paraId="2B7C86DD"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w:t>
            </w:r>
          </w:p>
        </w:tc>
      </w:tr>
      <w:tr w:rsidR="00ED504C" w:rsidRPr="00ED504C" w14:paraId="770A72AD" w14:textId="77777777" w:rsidTr="00ED504C">
        <w:trPr>
          <w:tblCellSpacing w:w="15" w:type="dxa"/>
        </w:trPr>
        <w:tc>
          <w:tcPr>
            <w:tcW w:w="0" w:type="auto"/>
            <w:vAlign w:val="center"/>
            <w:hideMark/>
          </w:tcPr>
          <w:p w14:paraId="58C12865" w14:textId="77777777" w:rsidR="00ED504C" w:rsidRPr="00694BED" w:rsidRDefault="00ED504C" w:rsidP="00ED504C">
            <w:pPr>
              <w:spacing w:after="0" w:line="240" w:lineRule="auto"/>
              <w:jc w:val="both"/>
              <w:rPr>
                <w:rFonts w:ascii="Times New Roman" w:eastAsia="Times New Roman" w:hAnsi="Times New Roman" w:cs="Times New Roman"/>
                <w:b/>
                <w:bCs/>
                <w:lang w:val="sr-Cyrl-RS" w:eastAsia="en-GB"/>
                <w14:ligatures w14:val="none"/>
              </w:rPr>
            </w:pPr>
            <w:r w:rsidRPr="00694BED">
              <w:rPr>
                <w:rFonts w:ascii="Times New Roman" w:eastAsia="Times New Roman" w:hAnsi="Times New Roman" w:cs="Times New Roman"/>
                <w:b/>
                <w:bCs/>
                <w:lang w:val="sr-Cyrl-RS" w:eastAsia="en-GB"/>
                <w14:ligatures w14:val="none"/>
              </w:rPr>
              <w:t>Number of study visits</w:t>
            </w:r>
          </w:p>
        </w:tc>
        <w:tc>
          <w:tcPr>
            <w:tcW w:w="0" w:type="auto"/>
            <w:vAlign w:val="center"/>
            <w:hideMark/>
          </w:tcPr>
          <w:p w14:paraId="05378A9B"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0</w:t>
            </w:r>
          </w:p>
        </w:tc>
        <w:tc>
          <w:tcPr>
            <w:tcW w:w="0" w:type="auto"/>
            <w:vAlign w:val="center"/>
            <w:hideMark/>
          </w:tcPr>
          <w:p w14:paraId="3ECCFC9A"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1</w:t>
            </w:r>
          </w:p>
        </w:tc>
        <w:tc>
          <w:tcPr>
            <w:tcW w:w="0" w:type="auto"/>
            <w:vAlign w:val="center"/>
            <w:hideMark/>
          </w:tcPr>
          <w:p w14:paraId="590384CC" w14:textId="77777777" w:rsidR="00ED504C" w:rsidRPr="00ED504C" w:rsidRDefault="00ED504C" w:rsidP="00ED504C">
            <w:pPr>
              <w:spacing w:after="0" w:line="240" w:lineRule="auto"/>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0</w:t>
            </w:r>
          </w:p>
        </w:tc>
      </w:tr>
    </w:tbl>
    <w:p w14:paraId="66DE5E9E"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As part of measure 1.2, activities aimed at strengthening the capacities of the Ministry of Finance and direct budget users for a better understanding of the budget preparation process in the member states of the European Union and the obligations that the Republic of Serbia will have in the process of joining the European Union are planned.</w:t>
      </w:r>
    </w:p>
    <w:p w14:paraId="7BE0B254"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An analysis of the budget preparation process of the European Union member states and the obligations of the Republic of Serbia during budget preparation has been carried out. In this way, the basis was created for further consideration of the necessary adjustments in the budget process, as well as for planning future activities related to alignment with practices and obligations arising from membership in the European Union.</w:t>
      </w:r>
    </w:p>
    <w:p w14:paraId="76264609"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lastRenderedPageBreak/>
        <w:t>The indicator related to the number of study visits was not implemented in 2025, bearing in mind that the study visit did not take place within the planned period. Also, activities related to the training of employees in the Ministry of Finance and direct budget users were not fully implemented within this programme cycle. For this reason, the measure can be assessed as partially implemented.</w:t>
      </w:r>
    </w:p>
    <w:p w14:paraId="3559BB7C"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D504C">
        <w:rPr>
          <w:rFonts w:ascii="Times New Roman" w:eastAsia="Times New Roman" w:hAnsi="Times New Roman" w:cs="Times New Roman"/>
          <w:lang w:val="sr-Cyrl-RS" w:eastAsia="en-GB"/>
          <w14:ligatures w14:val="none"/>
        </w:rPr>
        <w:t>The key challenge in the implementation of the measure related to the need to further strengthen the administrative capacities of the Budget Sector and budget users in the area of budget preparation in accordance with the obligations that the Republic of Serbia will have as a future member of the European Union. Bearing in mind the importance of this area, activities related to the harmonisation of the budget process with the standards and practices of the European Union should be continued in the next programme cycle.</w:t>
      </w:r>
    </w:p>
    <w:p w14:paraId="4E7A5365" w14:textId="77777777" w:rsidR="00ED504C" w:rsidRPr="00ED504C" w:rsidRDefault="00ED504C" w:rsidP="00ED504C">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ED504C">
        <w:rPr>
          <w:rFonts w:ascii="Times New Roman" w:eastAsia="Times New Roman" w:hAnsi="Times New Roman" w:cs="Times New Roman"/>
          <w:lang w:val="sr-Cyrl-RS" w:eastAsia="en-GB"/>
          <w14:ligatures w14:val="none"/>
        </w:rPr>
        <w:t>Financing of the measure: the measure is financed from the budget of the Republic of Serbia and donor funds.</w:t>
      </w:r>
    </w:p>
    <w:p w14:paraId="45DE313E" w14:textId="77777777" w:rsidR="000049CC" w:rsidRPr="002C4825" w:rsidRDefault="000049CC" w:rsidP="002C4825">
      <w:pPr>
        <w:spacing w:line="256" w:lineRule="auto"/>
        <w:jc w:val="both"/>
        <w:rPr>
          <w:rFonts w:ascii="Times New Roman" w:eastAsia="Calibri" w:hAnsi="Times New Roman" w:cs="Times New Roman"/>
          <w:b/>
          <w:u w:val="single"/>
          <w:lang w:val="sr-Cyrl-RS"/>
          <w14:ligatures w14:val="none"/>
        </w:rPr>
      </w:pPr>
      <w:r w:rsidRPr="002C4825">
        <w:rPr>
          <w:rFonts w:ascii="Times New Roman" w:eastAsia="Calibri" w:hAnsi="Times New Roman" w:cs="Times New Roman"/>
          <w:b/>
          <w:u w:val="single"/>
          <w:lang w:val="sr-Cyrl-RS"/>
          <w14:ligatures w14:val="none"/>
        </w:rPr>
        <w:t>Measure 1.3. Improvement of medium-term planning</w:t>
      </w:r>
    </w:p>
    <w:tbl>
      <w:tblPr>
        <w:tblW w:w="9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1"/>
        <w:gridCol w:w="1045"/>
        <w:gridCol w:w="1349"/>
        <w:gridCol w:w="1631"/>
      </w:tblGrid>
      <w:tr w:rsidR="00543F74" w:rsidRPr="00543F74" w14:paraId="1DA48DCB" w14:textId="77777777" w:rsidTr="002C4825">
        <w:trPr>
          <w:trHeight w:val="642"/>
          <w:tblHeader/>
        </w:trPr>
        <w:tc>
          <w:tcPr>
            <w:tcW w:w="5491" w:type="dxa"/>
            <w:shd w:val="clear" w:color="auto" w:fill="9CC2E5" w:themeFill="accent1" w:themeFillTint="99"/>
            <w:vAlign w:val="center"/>
            <w:hideMark/>
          </w:tcPr>
          <w:p w14:paraId="7813F269" w14:textId="77777777" w:rsidR="00543F74" w:rsidRPr="00543F74" w:rsidRDefault="00543F74" w:rsidP="00543F74">
            <w:pPr>
              <w:spacing w:line="259" w:lineRule="auto"/>
              <w:rPr>
                <w:rFonts w:ascii="Times New Roman" w:eastAsia="Aptos" w:hAnsi="Times New Roman" w:cs="Times New Roman"/>
                <w:b/>
                <w:bCs/>
                <w:kern w:val="2"/>
                <w:sz w:val="22"/>
                <w:szCs w:val="22"/>
                <w:lang w:val="sr-Cyrl-RS"/>
              </w:rPr>
            </w:pPr>
            <w:r w:rsidRPr="00543F74">
              <w:rPr>
                <w:rFonts w:ascii="Times New Roman" w:eastAsia="Aptos" w:hAnsi="Times New Roman" w:cs="Times New Roman"/>
                <w:b/>
                <w:bCs/>
                <w:kern w:val="2"/>
                <w:sz w:val="22"/>
                <w:szCs w:val="22"/>
                <w:lang w:val="sr-Cyrl-RS"/>
              </w:rPr>
              <w:t>Indicator at the measure level</w:t>
            </w:r>
          </w:p>
        </w:tc>
        <w:tc>
          <w:tcPr>
            <w:tcW w:w="1045" w:type="dxa"/>
            <w:shd w:val="clear" w:color="auto" w:fill="9CC2E5" w:themeFill="accent1" w:themeFillTint="99"/>
            <w:vAlign w:val="center"/>
            <w:hideMark/>
          </w:tcPr>
          <w:p w14:paraId="30478CA6" w14:textId="77777777" w:rsidR="00543F74" w:rsidRPr="00543F74" w:rsidRDefault="00543F74" w:rsidP="00543F74">
            <w:pPr>
              <w:spacing w:line="259" w:lineRule="auto"/>
              <w:rPr>
                <w:rFonts w:ascii="Times New Roman" w:eastAsia="Aptos" w:hAnsi="Times New Roman" w:cs="Times New Roman"/>
                <w:b/>
                <w:bCs/>
                <w:kern w:val="2"/>
                <w:sz w:val="22"/>
                <w:szCs w:val="22"/>
                <w:lang w:val="sr-Cyrl-RS"/>
              </w:rPr>
            </w:pPr>
            <w:r w:rsidRPr="00543F74">
              <w:rPr>
                <w:rFonts w:ascii="Times New Roman" w:eastAsia="Aptos" w:hAnsi="Times New Roman" w:cs="Times New Roman"/>
                <w:b/>
                <w:bCs/>
                <w:kern w:val="2"/>
                <w:sz w:val="22"/>
                <w:szCs w:val="22"/>
                <w:lang w:val="sr-Cyrl-RS"/>
              </w:rPr>
              <w:t>Year</w:t>
            </w:r>
          </w:p>
        </w:tc>
        <w:tc>
          <w:tcPr>
            <w:tcW w:w="0" w:type="auto"/>
            <w:shd w:val="clear" w:color="auto" w:fill="9CC2E5" w:themeFill="accent1" w:themeFillTint="99"/>
            <w:vAlign w:val="center"/>
            <w:hideMark/>
          </w:tcPr>
          <w:p w14:paraId="43EB825D" w14:textId="77777777" w:rsidR="00543F74" w:rsidRPr="00543F74" w:rsidRDefault="00543F74" w:rsidP="00543F74">
            <w:pPr>
              <w:spacing w:line="259" w:lineRule="auto"/>
              <w:rPr>
                <w:rFonts w:ascii="Times New Roman" w:eastAsia="Aptos" w:hAnsi="Times New Roman" w:cs="Times New Roman"/>
                <w:b/>
                <w:bCs/>
                <w:kern w:val="2"/>
                <w:sz w:val="22"/>
                <w:szCs w:val="22"/>
                <w:lang w:val="sr-Cyrl-RS"/>
              </w:rPr>
            </w:pPr>
            <w:r w:rsidRPr="00543F74">
              <w:rPr>
                <w:rFonts w:ascii="Times New Roman" w:eastAsia="Aptos" w:hAnsi="Times New Roman" w:cs="Times New Roman"/>
                <w:b/>
                <w:bCs/>
                <w:kern w:val="2"/>
                <w:sz w:val="22"/>
                <w:szCs w:val="22"/>
                <w:lang w:val="sr-Cyrl-RS"/>
              </w:rPr>
              <w:t>Target value</w:t>
            </w:r>
          </w:p>
        </w:tc>
        <w:tc>
          <w:tcPr>
            <w:tcW w:w="0" w:type="auto"/>
            <w:shd w:val="clear" w:color="auto" w:fill="9CC2E5" w:themeFill="accent1" w:themeFillTint="99"/>
            <w:vAlign w:val="center"/>
            <w:hideMark/>
          </w:tcPr>
          <w:p w14:paraId="3CF4FD41" w14:textId="77777777" w:rsidR="00543F74" w:rsidRPr="00543F74" w:rsidRDefault="00543F74" w:rsidP="00543F74">
            <w:pPr>
              <w:spacing w:line="259" w:lineRule="auto"/>
              <w:rPr>
                <w:rFonts w:ascii="Times New Roman" w:eastAsia="Aptos" w:hAnsi="Times New Roman" w:cs="Times New Roman"/>
                <w:b/>
                <w:bCs/>
                <w:kern w:val="2"/>
                <w:sz w:val="22"/>
                <w:szCs w:val="22"/>
                <w:lang w:val="sr-Cyrl-RS"/>
              </w:rPr>
            </w:pPr>
            <w:r w:rsidRPr="00543F74">
              <w:rPr>
                <w:rFonts w:ascii="Times New Roman" w:eastAsia="Aptos" w:hAnsi="Times New Roman" w:cs="Times New Roman"/>
                <w:b/>
                <w:bCs/>
                <w:kern w:val="2"/>
                <w:sz w:val="22"/>
                <w:szCs w:val="22"/>
                <w:lang w:val="sr-Cyrl-RS"/>
              </w:rPr>
              <w:t>Achieved value</w:t>
            </w:r>
          </w:p>
        </w:tc>
      </w:tr>
      <w:tr w:rsidR="00543F74" w:rsidRPr="00543F74" w14:paraId="79F36F10" w14:textId="77777777" w:rsidTr="002C4825">
        <w:trPr>
          <w:trHeight w:val="403"/>
        </w:trPr>
        <w:tc>
          <w:tcPr>
            <w:tcW w:w="5491" w:type="dxa"/>
            <w:vMerge w:val="restart"/>
            <w:vAlign w:val="center"/>
            <w:hideMark/>
          </w:tcPr>
          <w:p w14:paraId="4CE05CCB" w14:textId="77777777" w:rsidR="002C4825" w:rsidRPr="008B1397" w:rsidRDefault="00543F74" w:rsidP="002C4825">
            <w:pPr>
              <w:spacing w:line="259" w:lineRule="auto"/>
              <w:rPr>
                <w:rFonts w:ascii="Times New Roman" w:eastAsia="Aptos" w:hAnsi="Times New Roman" w:cs="Times New Roman"/>
                <w:kern w:val="2"/>
                <w:sz w:val="22"/>
                <w:szCs w:val="22"/>
                <w:lang w:val="sr-Cyrl-RS"/>
              </w:rPr>
            </w:pPr>
            <w:r w:rsidRPr="00543F74">
              <w:rPr>
                <w:rFonts w:ascii="Times New Roman" w:eastAsia="Aptos" w:hAnsi="Times New Roman" w:cs="Times New Roman"/>
                <w:b/>
                <w:bCs/>
                <w:kern w:val="2"/>
                <w:sz w:val="22"/>
                <w:szCs w:val="22"/>
                <w:lang w:val="sr-Cyrl-RS"/>
              </w:rPr>
              <w:t>Number of adopted medium-term plans of medium-term planning obligees at the republic level Initial value: 4</w:t>
            </w:r>
          </w:p>
          <w:p w14:paraId="5654AC7D" w14:textId="77777777" w:rsidR="00543F74" w:rsidRPr="002C4825" w:rsidRDefault="00543F74" w:rsidP="00543F74">
            <w:pPr>
              <w:spacing w:line="259" w:lineRule="auto"/>
              <w:rPr>
                <w:rFonts w:ascii="Times New Roman" w:eastAsia="Aptos" w:hAnsi="Times New Roman" w:cs="Times New Roman"/>
                <w:b/>
                <w:bCs/>
                <w:kern w:val="2"/>
                <w:sz w:val="22"/>
                <w:szCs w:val="22"/>
                <w:lang w:val="en-US"/>
              </w:rPr>
            </w:pPr>
          </w:p>
        </w:tc>
        <w:tc>
          <w:tcPr>
            <w:tcW w:w="1045" w:type="dxa"/>
            <w:vAlign w:val="center"/>
            <w:hideMark/>
          </w:tcPr>
          <w:p w14:paraId="096A21F6"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2021</w:t>
            </w:r>
          </w:p>
        </w:tc>
        <w:tc>
          <w:tcPr>
            <w:tcW w:w="0" w:type="auto"/>
            <w:vAlign w:val="center"/>
            <w:hideMark/>
          </w:tcPr>
          <w:p w14:paraId="47A59915"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7</w:t>
            </w:r>
          </w:p>
        </w:tc>
        <w:tc>
          <w:tcPr>
            <w:tcW w:w="0" w:type="auto"/>
            <w:vAlign w:val="center"/>
            <w:hideMark/>
          </w:tcPr>
          <w:p w14:paraId="36EE95BE"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7</w:t>
            </w:r>
          </w:p>
        </w:tc>
      </w:tr>
      <w:tr w:rsidR="00543F74" w:rsidRPr="00543F74" w14:paraId="57126B12" w14:textId="77777777" w:rsidTr="002C4825">
        <w:trPr>
          <w:trHeight w:val="128"/>
        </w:trPr>
        <w:tc>
          <w:tcPr>
            <w:tcW w:w="5491" w:type="dxa"/>
            <w:vMerge/>
            <w:vAlign w:val="center"/>
            <w:hideMark/>
          </w:tcPr>
          <w:p w14:paraId="0AF8BF3D" w14:textId="77777777" w:rsidR="00543F74" w:rsidRPr="00543F74" w:rsidRDefault="00543F74" w:rsidP="00543F74">
            <w:pPr>
              <w:spacing w:line="259" w:lineRule="auto"/>
              <w:rPr>
                <w:rFonts w:ascii="Times New Roman" w:eastAsia="Aptos" w:hAnsi="Times New Roman" w:cs="Times New Roman"/>
                <w:b/>
                <w:bCs/>
                <w:kern w:val="2"/>
                <w:sz w:val="22"/>
                <w:szCs w:val="22"/>
              </w:rPr>
            </w:pPr>
          </w:p>
        </w:tc>
        <w:tc>
          <w:tcPr>
            <w:tcW w:w="1045" w:type="dxa"/>
            <w:vAlign w:val="center"/>
            <w:hideMark/>
          </w:tcPr>
          <w:p w14:paraId="03CD358B"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2022</w:t>
            </w:r>
          </w:p>
        </w:tc>
        <w:tc>
          <w:tcPr>
            <w:tcW w:w="0" w:type="auto"/>
            <w:vAlign w:val="center"/>
            <w:hideMark/>
          </w:tcPr>
          <w:p w14:paraId="728BD9AE"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22</w:t>
            </w:r>
          </w:p>
        </w:tc>
        <w:tc>
          <w:tcPr>
            <w:tcW w:w="0" w:type="auto"/>
            <w:vAlign w:val="center"/>
            <w:hideMark/>
          </w:tcPr>
          <w:p w14:paraId="7A2ACD49"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22</w:t>
            </w:r>
          </w:p>
        </w:tc>
      </w:tr>
      <w:tr w:rsidR="00543F74" w:rsidRPr="00543F74" w14:paraId="719B3CF5" w14:textId="77777777" w:rsidTr="002C4825">
        <w:trPr>
          <w:trHeight w:val="128"/>
        </w:trPr>
        <w:tc>
          <w:tcPr>
            <w:tcW w:w="5491" w:type="dxa"/>
            <w:vMerge/>
            <w:vAlign w:val="center"/>
            <w:hideMark/>
          </w:tcPr>
          <w:p w14:paraId="78A26D9F" w14:textId="77777777" w:rsidR="00543F74" w:rsidRPr="00543F74" w:rsidRDefault="00543F74" w:rsidP="00543F74">
            <w:pPr>
              <w:spacing w:line="259" w:lineRule="auto"/>
              <w:rPr>
                <w:rFonts w:ascii="Times New Roman" w:eastAsia="Aptos" w:hAnsi="Times New Roman" w:cs="Times New Roman"/>
                <w:b/>
                <w:bCs/>
                <w:kern w:val="2"/>
                <w:sz w:val="22"/>
                <w:szCs w:val="22"/>
              </w:rPr>
            </w:pPr>
          </w:p>
        </w:tc>
        <w:tc>
          <w:tcPr>
            <w:tcW w:w="1045" w:type="dxa"/>
            <w:vAlign w:val="center"/>
            <w:hideMark/>
          </w:tcPr>
          <w:p w14:paraId="0A547609"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2023</w:t>
            </w:r>
          </w:p>
        </w:tc>
        <w:tc>
          <w:tcPr>
            <w:tcW w:w="0" w:type="auto"/>
            <w:vAlign w:val="center"/>
            <w:hideMark/>
          </w:tcPr>
          <w:p w14:paraId="6540E1C0"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26</w:t>
            </w:r>
          </w:p>
        </w:tc>
        <w:tc>
          <w:tcPr>
            <w:tcW w:w="0" w:type="auto"/>
            <w:vAlign w:val="center"/>
            <w:hideMark/>
          </w:tcPr>
          <w:p w14:paraId="05218295"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26</w:t>
            </w:r>
          </w:p>
        </w:tc>
      </w:tr>
      <w:tr w:rsidR="00543F74" w:rsidRPr="00543F74" w14:paraId="66249B10" w14:textId="77777777" w:rsidTr="002C4825">
        <w:trPr>
          <w:trHeight w:val="128"/>
        </w:trPr>
        <w:tc>
          <w:tcPr>
            <w:tcW w:w="5491" w:type="dxa"/>
            <w:vMerge/>
            <w:vAlign w:val="center"/>
            <w:hideMark/>
          </w:tcPr>
          <w:p w14:paraId="6B7E70FF" w14:textId="77777777" w:rsidR="00543F74" w:rsidRPr="00543F74" w:rsidRDefault="00543F74" w:rsidP="00543F74">
            <w:pPr>
              <w:spacing w:line="259" w:lineRule="auto"/>
              <w:rPr>
                <w:rFonts w:ascii="Times New Roman" w:eastAsia="Aptos" w:hAnsi="Times New Roman" w:cs="Times New Roman"/>
                <w:b/>
                <w:bCs/>
                <w:kern w:val="2"/>
                <w:sz w:val="22"/>
                <w:szCs w:val="22"/>
              </w:rPr>
            </w:pPr>
          </w:p>
        </w:tc>
        <w:tc>
          <w:tcPr>
            <w:tcW w:w="1045" w:type="dxa"/>
            <w:vAlign w:val="center"/>
            <w:hideMark/>
          </w:tcPr>
          <w:p w14:paraId="6CC1D959"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2024</w:t>
            </w:r>
          </w:p>
        </w:tc>
        <w:tc>
          <w:tcPr>
            <w:tcW w:w="0" w:type="auto"/>
            <w:vAlign w:val="center"/>
            <w:hideMark/>
          </w:tcPr>
          <w:p w14:paraId="63BC2F21"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27</w:t>
            </w:r>
          </w:p>
        </w:tc>
        <w:tc>
          <w:tcPr>
            <w:tcW w:w="0" w:type="auto"/>
            <w:vAlign w:val="center"/>
            <w:hideMark/>
          </w:tcPr>
          <w:p w14:paraId="4568F24F"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28</w:t>
            </w:r>
          </w:p>
        </w:tc>
      </w:tr>
      <w:tr w:rsidR="00543F74" w:rsidRPr="00543F74" w14:paraId="5D54331B" w14:textId="77777777" w:rsidTr="002C4825">
        <w:trPr>
          <w:trHeight w:val="191"/>
        </w:trPr>
        <w:tc>
          <w:tcPr>
            <w:tcW w:w="5491" w:type="dxa"/>
            <w:vMerge/>
            <w:vAlign w:val="center"/>
            <w:hideMark/>
          </w:tcPr>
          <w:p w14:paraId="255D90E7" w14:textId="77777777" w:rsidR="00543F74" w:rsidRPr="00543F74" w:rsidRDefault="00543F74" w:rsidP="00543F74">
            <w:pPr>
              <w:spacing w:line="259" w:lineRule="auto"/>
              <w:rPr>
                <w:rFonts w:ascii="Times New Roman" w:eastAsia="Aptos" w:hAnsi="Times New Roman" w:cs="Times New Roman"/>
                <w:b/>
                <w:bCs/>
                <w:kern w:val="2"/>
                <w:sz w:val="22"/>
                <w:szCs w:val="22"/>
              </w:rPr>
            </w:pPr>
          </w:p>
        </w:tc>
        <w:tc>
          <w:tcPr>
            <w:tcW w:w="1045" w:type="dxa"/>
            <w:vAlign w:val="center"/>
            <w:hideMark/>
          </w:tcPr>
          <w:p w14:paraId="118CAA77"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2025</w:t>
            </w:r>
          </w:p>
        </w:tc>
        <w:tc>
          <w:tcPr>
            <w:tcW w:w="0" w:type="auto"/>
            <w:vAlign w:val="center"/>
            <w:hideMark/>
          </w:tcPr>
          <w:p w14:paraId="5C7441B7"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29</w:t>
            </w:r>
          </w:p>
        </w:tc>
        <w:tc>
          <w:tcPr>
            <w:tcW w:w="0" w:type="auto"/>
            <w:vAlign w:val="center"/>
            <w:hideMark/>
          </w:tcPr>
          <w:p w14:paraId="7309E2F1" w14:textId="77777777" w:rsidR="00543F74" w:rsidRPr="00694BED" w:rsidRDefault="00543F74" w:rsidP="00543F74">
            <w:pPr>
              <w:spacing w:line="259" w:lineRule="auto"/>
              <w:rPr>
                <w:rFonts w:ascii="Times New Roman" w:eastAsia="Aptos" w:hAnsi="Times New Roman" w:cs="Times New Roman"/>
                <w:kern w:val="2"/>
                <w:sz w:val="22"/>
                <w:szCs w:val="22"/>
              </w:rPr>
            </w:pPr>
            <w:r w:rsidRPr="00694BED">
              <w:rPr>
                <w:rFonts w:ascii="Times New Roman" w:eastAsia="Aptos" w:hAnsi="Times New Roman" w:cs="Times New Roman"/>
                <w:kern w:val="2"/>
                <w:sz w:val="22"/>
                <w:szCs w:val="22"/>
              </w:rPr>
              <w:t>29</w:t>
            </w:r>
          </w:p>
        </w:tc>
      </w:tr>
    </w:tbl>
    <w:p w14:paraId="023980E2" w14:textId="77777777" w:rsidR="000049CC" w:rsidRPr="008B1397" w:rsidRDefault="000049CC" w:rsidP="000049CC">
      <w:pPr>
        <w:keepLines/>
        <w:widowControl w:val="0"/>
        <w:spacing w:before="120" w:after="0" w:line="240" w:lineRule="auto"/>
        <w:ind w:firstLine="720"/>
        <w:jc w:val="both"/>
        <w:rPr>
          <w:rFonts w:ascii="Times New Roman" w:eastAsia="Aptos" w:hAnsi="Times New Roman" w:cs="Times New Roman"/>
          <w:kern w:val="2"/>
          <w:lang w:val="sr-Cyrl-RS"/>
        </w:rPr>
      </w:pPr>
      <w:r w:rsidRPr="008B1397">
        <w:rPr>
          <w:rFonts w:ascii="Times New Roman" w:eastAsia="Aptos" w:hAnsi="Times New Roman" w:cs="Times New Roman"/>
          <w:kern w:val="2"/>
          <w:lang w:val="sr-Cyrl-RS"/>
        </w:rPr>
        <w:t>From the initial value of four medium-term plans for the 2020-2022 planning cycle, the number of medium-term plans has been increased to 29 for the 2025-2027 cycle. The target values ​​were achieved in each year of the implementation of the Programme. In that period, 34 institutions developed at least one or more medium-term plans, of which 27 institutions developed more than one medium-term plan, 21 institutions managed to maintain continuity in the development of medium-term plans in each subsequent planning cycle, while three institutions developed their medium-term plans in all six planning cycles.</w:t>
      </w:r>
    </w:p>
    <w:p w14:paraId="73120B0E" w14:textId="77777777" w:rsidR="000049CC" w:rsidRDefault="000049CC" w:rsidP="000049CC">
      <w:pPr>
        <w:keepLines/>
        <w:widowControl w:val="0"/>
        <w:spacing w:before="120" w:after="0" w:line="240" w:lineRule="auto"/>
        <w:ind w:firstLine="720"/>
        <w:jc w:val="both"/>
        <w:rPr>
          <w:rFonts w:ascii="Times New Roman" w:eastAsia="Aptos" w:hAnsi="Times New Roman" w:cs="Times New Roman"/>
          <w:kern w:val="2"/>
          <w:lang w:val="sr-Cyrl-RS"/>
        </w:rPr>
      </w:pPr>
      <w:r w:rsidRPr="008B1397">
        <w:rPr>
          <w:rFonts w:ascii="Times New Roman" w:eastAsia="Aptos" w:hAnsi="Times New Roman" w:cs="Times New Roman"/>
          <w:kern w:val="2"/>
          <w:lang w:val="sr-Cyrl-RS"/>
        </w:rPr>
        <w:t>As part of the implementation of the measure, close to 400 officials were trained, and the support to medium-term planning obligees was also reflected through mentoring support through various forms of direct communication with the coordinators for the development of the medium-term plan in the institutions and the organisation of individual internal trainings and workshops for the employees of the institutions who were involved in the development of the medium-term plan. The capacities of those liable for medium-term planning were simultaneously improved for reporting on the implementation of the medium-term plan, which resulted in an increase in the share of published reports in relation to the number of adopted medium-term plans in a given year.</w:t>
      </w:r>
    </w:p>
    <w:p w14:paraId="163F17B2" w14:textId="77777777" w:rsidR="006252B5" w:rsidRDefault="006252B5" w:rsidP="000049CC">
      <w:pPr>
        <w:keepLines/>
        <w:widowControl w:val="0"/>
        <w:spacing w:before="120" w:after="0" w:line="240" w:lineRule="auto"/>
        <w:ind w:firstLine="720"/>
        <w:jc w:val="both"/>
        <w:rPr>
          <w:rFonts w:ascii="Times New Roman" w:eastAsia="Aptos" w:hAnsi="Times New Roman" w:cs="Times New Roman"/>
          <w:kern w:val="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5"/>
        <w:gridCol w:w="810"/>
        <w:gridCol w:w="900"/>
        <w:gridCol w:w="810"/>
        <w:gridCol w:w="900"/>
        <w:gridCol w:w="900"/>
        <w:gridCol w:w="1075"/>
      </w:tblGrid>
      <w:tr w:rsidR="00EC0715" w:rsidRPr="00EC0715" w14:paraId="50D6ABF9" w14:textId="77777777" w:rsidTr="005D00ED">
        <w:trPr>
          <w:tblHeader/>
        </w:trPr>
        <w:tc>
          <w:tcPr>
            <w:tcW w:w="3955" w:type="dxa"/>
            <w:shd w:val="clear" w:color="auto" w:fill="FBE4D5" w:themeFill="accent2" w:themeFillTint="33"/>
            <w:vAlign w:val="center"/>
            <w:hideMark/>
          </w:tcPr>
          <w:p w14:paraId="0D7CB898" w14:textId="77777777" w:rsidR="00EC0715" w:rsidRPr="00EC0715" w:rsidRDefault="00EC0715" w:rsidP="00EC0715">
            <w:pPr>
              <w:spacing w:after="0" w:line="240" w:lineRule="auto"/>
              <w:jc w:val="center"/>
              <w:rPr>
                <w:rFonts w:ascii="Times New Roman" w:eastAsia="Times New Roman" w:hAnsi="Times New Roman" w:cs="Times New Roman"/>
                <w:b/>
                <w:bCs/>
                <w:lang w:val="sr-Cyrl-RS" w:eastAsia="en-GB"/>
                <w14:ligatures w14:val="none"/>
              </w:rPr>
            </w:pPr>
            <w:r w:rsidRPr="00EC0715">
              <w:rPr>
                <w:rFonts w:ascii="Times New Roman" w:eastAsia="Times New Roman" w:hAnsi="Times New Roman" w:cs="Times New Roman"/>
                <w:b/>
                <w:bCs/>
                <w:lang w:val="sr-Cyrl-RS" w:eastAsia="en-GB"/>
                <w14:ligatures w14:val="none"/>
              </w:rPr>
              <w:lastRenderedPageBreak/>
              <w:t>Year</w:t>
            </w:r>
          </w:p>
        </w:tc>
        <w:tc>
          <w:tcPr>
            <w:tcW w:w="810" w:type="dxa"/>
            <w:shd w:val="clear" w:color="auto" w:fill="FBE4D5" w:themeFill="accent2" w:themeFillTint="33"/>
            <w:vAlign w:val="center"/>
            <w:hideMark/>
          </w:tcPr>
          <w:p w14:paraId="04C26A27" w14:textId="77777777" w:rsidR="00EC0715" w:rsidRPr="00EC0715" w:rsidRDefault="00EC0715" w:rsidP="00EC0715">
            <w:pPr>
              <w:spacing w:after="0" w:line="240" w:lineRule="auto"/>
              <w:jc w:val="center"/>
              <w:rPr>
                <w:rFonts w:ascii="Times New Roman" w:eastAsia="Times New Roman" w:hAnsi="Times New Roman" w:cs="Times New Roman"/>
                <w:b/>
                <w:bCs/>
                <w:lang w:val="sr-Cyrl-RS" w:eastAsia="en-GB"/>
                <w14:ligatures w14:val="none"/>
              </w:rPr>
            </w:pPr>
            <w:r w:rsidRPr="00EC0715">
              <w:rPr>
                <w:rFonts w:ascii="Times New Roman" w:eastAsia="Times New Roman" w:hAnsi="Times New Roman" w:cs="Times New Roman"/>
                <w:b/>
                <w:bCs/>
                <w:lang w:val="sr-Cyrl-RS" w:eastAsia="en-GB"/>
                <w14:ligatures w14:val="none"/>
              </w:rPr>
              <w:t>2020</w:t>
            </w:r>
          </w:p>
        </w:tc>
        <w:tc>
          <w:tcPr>
            <w:tcW w:w="900" w:type="dxa"/>
            <w:shd w:val="clear" w:color="auto" w:fill="FBE4D5" w:themeFill="accent2" w:themeFillTint="33"/>
            <w:vAlign w:val="center"/>
            <w:hideMark/>
          </w:tcPr>
          <w:p w14:paraId="316EFFDC" w14:textId="77777777" w:rsidR="00EC0715" w:rsidRPr="00EC0715" w:rsidRDefault="00EC0715" w:rsidP="00EC0715">
            <w:pPr>
              <w:spacing w:after="0" w:line="240" w:lineRule="auto"/>
              <w:jc w:val="center"/>
              <w:rPr>
                <w:rFonts w:ascii="Times New Roman" w:eastAsia="Times New Roman" w:hAnsi="Times New Roman" w:cs="Times New Roman"/>
                <w:b/>
                <w:bCs/>
                <w:lang w:val="sr-Cyrl-RS" w:eastAsia="en-GB"/>
                <w14:ligatures w14:val="none"/>
              </w:rPr>
            </w:pPr>
            <w:r w:rsidRPr="00EC0715">
              <w:rPr>
                <w:rFonts w:ascii="Times New Roman" w:eastAsia="Times New Roman" w:hAnsi="Times New Roman" w:cs="Times New Roman"/>
                <w:b/>
                <w:bCs/>
                <w:lang w:val="sr-Cyrl-RS" w:eastAsia="en-GB"/>
                <w14:ligatures w14:val="none"/>
              </w:rPr>
              <w:t>2021</w:t>
            </w:r>
          </w:p>
        </w:tc>
        <w:tc>
          <w:tcPr>
            <w:tcW w:w="810" w:type="dxa"/>
            <w:shd w:val="clear" w:color="auto" w:fill="FBE4D5" w:themeFill="accent2" w:themeFillTint="33"/>
            <w:vAlign w:val="center"/>
            <w:hideMark/>
          </w:tcPr>
          <w:p w14:paraId="0A5A5C6A" w14:textId="77777777" w:rsidR="00EC0715" w:rsidRPr="00EC0715" w:rsidRDefault="00EC0715" w:rsidP="00EC0715">
            <w:pPr>
              <w:spacing w:after="0" w:line="240" w:lineRule="auto"/>
              <w:jc w:val="center"/>
              <w:rPr>
                <w:rFonts w:ascii="Times New Roman" w:eastAsia="Times New Roman" w:hAnsi="Times New Roman" w:cs="Times New Roman"/>
                <w:b/>
                <w:bCs/>
                <w:lang w:val="sr-Cyrl-RS" w:eastAsia="en-GB"/>
                <w14:ligatures w14:val="none"/>
              </w:rPr>
            </w:pPr>
            <w:r w:rsidRPr="00EC0715">
              <w:rPr>
                <w:rFonts w:ascii="Times New Roman" w:eastAsia="Times New Roman" w:hAnsi="Times New Roman" w:cs="Times New Roman"/>
                <w:b/>
                <w:bCs/>
                <w:lang w:val="sr-Cyrl-RS" w:eastAsia="en-GB"/>
                <w14:ligatures w14:val="none"/>
              </w:rPr>
              <w:t>2022</w:t>
            </w:r>
          </w:p>
        </w:tc>
        <w:tc>
          <w:tcPr>
            <w:tcW w:w="900" w:type="dxa"/>
            <w:shd w:val="clear" w:color="auto" w:fill="FBE4D5" w:themeFill="accent2" w:themeFillTint="33"/>
            <w:vAlign w:val="center"/>
            <w:hideMark/>
          </w:tcPr>
          <w:p w14:paraId="4797F88B" w14:textId="77777777" w:rsidR="00EC0715" w:rsidRPr="00EC0715" w:rsidRDefault="00EC0715" w:rsidP="00EC0715">
            <w:pPr>
              <w:spacing w:after="0" w:line="240" w:lineRule="auto"/>
              <w:jc w:val="center"/>
              <w:rPr>
                <w:rFonts w:ascii="Times New Roman" w:eastAsia="Times New Roman" w:hAnsi="Times New Roman" w:cs="Times New Roman"/>
                <w:b/>
                <w:bCs/>
                <w:lang w:val="sr-Cyrl-RS" w:eastAsia="en-GB"/>
                <w14:ligatures w14:val="none"/>
              </w:rPr>
            </w:pPr>
            <w:r w:rsidRPr="00EC0715">
              <w:rPr>
                <w:rFonts w:ascii="Times New Roman" w:eastAsia="Times New Roman" w:hAnsi="Times New Roman" w:cs="Times New Roman"/>
                <w:b/>
                <w:bCs/>
                <w:lang w:val="sr-Cyrl-RS" w:eastAsia="en-GB"/>
                <w14:ligatures w14:val="none"/>
              </w:rPr>
              <w:t>2023</w:t>
            </w:r>
          </w:p>
        </w:tc>
        <w:tc>
          <w:tcPr>
            <w:tcW w:w="900" w:type="dxa"/>
            <w:shd w:val="clear" w:color="auto" w:fill="FBE4D5" w:themeFill="accent2" w:themeFillTint="33"/>
            <w:vAlign w:val="center"/>
            <w:hideMark/>
          </w:tcPr>
          <w:p w14:paraId="2C26C284" w14:textId="77777777" w:rsidR="00EC0715" w:rsidRPr="00EC0715" w:rsidRDefault="00EC0715" w:rsidP="00EC0715">
            <w:pPr>
              <w:spacing w:after="0" w:line="240" w:lineRule="auto"/>
              <w:jc w:val="center"/>
              <w:rPr>
                <w:rFonts w:ascii="Times New Roman" w:eastAsia="Times New Roman" w:hAnsi="Times New Roman" w:cs="Times New Roman"/>
                <w:b/>
                <w:bCs/>
                <w:lang w:val="sr-Cyrl-RS" w:eastAsia="en-GB"/>
                <w14:ligatures w14:val="none"/>
              </w:rPr>
            </w:pPr>
            <w:r w:rsidRPr="00EC0715">
              <w:rPr>
                <w:rFonts w:ascii="Times New Roman" w:eastAsia="Times New Roman" w:hAnsi="Times New Roman" w:cs="Times New Roman"/>
                <w:b/>
                <w:bCs/>
                <w:lang w:val="sr-Cyrl-RS" w:eastAsia="en-GB"/>
                <w14:ligatures w14:val="none"/>
              </w:rPr>
              <w:t>2024</w:t>
            </w:r>
          </w:p>
        </w:tc>
        <w:tc>
          <w:tcPr>
            <w:tcW w:w="1075" w:type="dxa"/>
            <w:shd w:val="clear" w:color="auto" w:fill="FBE4D5" w:themeFill="accent2" w:themeFillTint="33"/>
            <w:vAlign w:val="center"/>
            <w:hideMark/>
          </w:tcPr>
          <w:p w14:paraId="66010982" w14:textId="77777777" w:rsidR="00EC0715" w:rsidRPr="00EC0715" w:rsidRDefault="00EC0715" w:rsidP="00EC0715">
            <w:pPr>
              <w:spacing w:after="0" w:line="240" w:lineRule="auto"/>
              <w:jc w:val="center"/>
              <w:rPr>
                <w:rFonts w:ascii="Times New Roman" w:eastAsia="Times New Roman" w:hAnsi="Times New Roman" w:cs="Times New Roman"/>
                <w:b/>
                <w:bCs/>
                <w:lang w:val="sr-Cyrl-RS" w:eastAsia="en-GB"/>
                <w14:ligatures w14:val="none"/>
              </w:rPr>
            </w:pPr>
            <w:r w:rsidRPr="00EC0715">
              <w:rPr>
                <w:rFonts w:ascii="Times New Roman" w:eastAsia="Times New Roman" w:hAnsi="Times New Roman" w:cs="Times New Roman"/>
                <w:b/>
                <w:bCs/>
                <w:lang w:val="sr-Cyrl-RS" w:eastAsia="en-GB"/>
                <w14:ligatures w14:val="none"/>
              </w:rPr>
              <w:t>2025</w:t>
            </w:r>
          </w:p>
        </w:tc>
      </w:tr>
      <w:tr w:rsidR="00EC0715" w:rsidRPr="00EC0715" w14:paraId="3E96721C" w14:textId="77777777" w:rsidTr="00EC0715">
        <w:tc>
          <w:tcPr>
            <w:tcW w:w="3955" w:type="dxa"/>
            <w:vAlign w:val="center"/>
            <w:hideMark/>
          </w:tcPr>
          <w:p w14:paraId="569050F0" w14:textId="77777777" w:rsidR="00EC0715" w:rsidRPr="0095283C" w:rsidRDefault="00EC0715" w:rsidP="00EC0715">
            <w:pPr>
              <w:spacing w:after="0" w:line="240" w:lineRule="auto"/>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Share of published reports in relation to the number of adopted medium-term plans in a given year (%)</w:t>
            </w:r>
          </w:p>
        </w:tc>
        <w:tc>
          <w:tcPr>
            <w:tcW w:w="810" w:type="dxa"/>
            <w:vAlign w:val="center"/>
            <w:hideMark/>
          </w:tcPr>
          <w:p w14:paraId="797DED16" w14:textId="77777777" w:rsidR="00EC0715" w:rsidRPr="00EC0715" w:rsidRDefault="00EC0715" w:rsidP="00EC0715">
            <w:pPr>
              <w:spacing w:after="0" w:line="240" w:lineRule="auto"/>
              <w:jc w:val="center"/>
              <w:rPr>
                <w:rFonts w:ascii="Times New Roman" w:eastAsia="Times New Roman" w:hAnsi="Times New Roman" w:cs="Times New Roman"/>
                <w:lang w:val="sr-Cyrl-RS" w:eastAsia="en-GB"/>
                <w14:ligatures w14:val="none"/>
              </w:rPr>
            </w:pPr>
            <w:r w:rsidRPr="00EC0715">
              <w:rPr>
                <w:rFonts w:ascii="Times New Roman" w:eastAsia="Times New Roman" w:hAnsi="Times New Roman" w:cs="Times New Roman"/>
                <w:lang w:val="sr-Cyrl-RS" w:eastAsia="en-GB"/>
                <w14:ligatures w14:val="none"/>
              </w:rPr>
              <w:t>75</w:t>
            </w:r>
          </w:p>
        </w:tc>
        <w:tc>
          <w:tcPr>
            <w:tcW w:w="900" w:type="dxa"/>
            <w:vAlign w:val="center"/>
            <w:hideMark/>
          </w:tcPr>
          <w:p w14:paraId="6EFD6664" w14:textId="77777777" w:rsidR="00EC0715" w:rsidRPr="00EC0715" w:rsidRDefault="00EC0715" w:rsidP="00EC0715">
            <w:pPr>
              <w:spacing w:after="0" w:line="240" w:lineRule="auto"/>
              <w:jc w:val="center"/>
              <w:rPr>
                <w:rFonts w:ascii="Times New Roman" w:eastAsia="Times New Roman" w:hAnsi="Times New Roman" w:cs="Times New Roman"/>
                <w:lang w:val="sr-Cyrl-RS" w:eastAsia="en-GB"/>
                <w14:ligatures w14:val="none"/>
              </w:rPr>
            </w:pPr>
            <w:r w:rsidRPr="00EC0715">
              <w:rPr>
                <w:rFonts w:ascii="Times New Roman" w:eastAsia="Times New Roman" w:hAnsi="Times New Roman" w:cs="Times New Roman"/>
                <w:lang w:val="sr-Cyrl-RS" w:eastAsia="en-GB"/>
                <w14:ligatures w14:val="none"/>
              </w:rPr>
              <w:t>100</w:t>
            </w:r>
          </w:p>
        </w:tc>
        <w:tc>
          <w:tcPr>
            <w:tcW w:w="810" w:type="dxa"/>
            <w:vAlign w:val="center"/>
            <w:hideMark/>
          </w:tcPr>
          <w:p w14:paraId="0A4DFED8" w14:textId="77777777" w:rsidR="00EC0715" w:rsidRPr="00EC0715" w:rsidRDefault="00EC0715" w:rsidP="00EC0715">
            <w:pPr>
              <w:spacing w:after="0" w:line="240" w:lineRule="auto"/>
              <w:jc w:val="center"/>
              <w:rPr>
                <w:rFonts w:ascii="Times New Roman" w:eastAsia="Times New Roman" w:hAnsi="Times New Roman" w:cs="Times New Roman"/>
                <w:lang w:val="sr-Cyrl-RS" w:eastAsia="en-GB"/>
                <w14:ligatures w14:val="none"/>
              </w:rPr>
            </w:pPr>
            <w:r w:rsidRPr="00EC0715">
              <w:rPr>
                <w:rFonts w:ascii="Times New Roman" w:eastAsia="Times New Roman" w:hAnsi="Times New Roman" w:cs="Times New Roman"/>
                <w:lang w:val="sr-Cyrl-RS" w:eastAsia="en-GB"/>
                <w14:ligatures w14:val="none"/>
              </w:rPr>
              <w:t>77</w:t>
            </w:r>
          </w:p>
        </w:tc>
        <w:tc>
          <w:tcPr>
            <w:tcW w:w="900" w:type="dxa"/>
            <w:vAlign w:val="center"/>
            <w:hideMark/>
          </w:tcPr>
          <w:p w14:paraId="6D366953" w14:textId="77777777" w:rsidR="00EC0715" w:rsidRPr="00EC0715" w:rsidRDefault="00EC0715" w:rsidP="00EC0715">
            <w:pPr>
              <w:spacing w:after="0" w:line="240" w:lineRule="auto"/>
              <w:jc w:val="center"/>
              <w:rPr>
                <w:rFonts w:ascii="Times New Roman" w:eastAsia="Times New Roman" w:hAnsi="Times New Roman" w:cs="Times New Roman"/>
                <w:lang w:val="sr-Cyrl-RS" w:eastAsia="en-GB"/>
                <w14:ligatures w14:val="none"/>
              </w:rPr>
            </w:pPr>
            <w:r w:rsidRPr="00EC0715">
              <w:rPr>
                <w:rFonts w:ascii="Times New Roman" w:eastAsia="Times New Roman" w:hAnsi="Times New Roman" w:cs="Times New Roman"/>
                <w:lang w:val="sr-Cyrl-RS" w:eastAsia="en-GB"/>
                <w14:ligatures w14:val="none"/>
              </w:rPr>
              <w:t>88</w:t>
            </w:r>
          </w:p>
        </w:tc>
        <w:tc>
          <w:tcPr>
            <w:tcW w:w="900" w:type="dxa"/>
            <w:vAlign w:val="center"/>
            <w:hideMark/>
          </w:tcPr>
          <w:p w14:paraId="5B739295" w14:textId="77777777" w:rsidR="00EC0715" w:rsidRPr="00EC0715" w:rsidRDefault="00EC0715" w:rsidP="00EC0715">
            <w:pPr>
              <w:spacing w:after="0" w:line="240" w:lineRule="auto"/>
              <w:jc w:val="center"/>
              <w:rPr>
                <w:rFonts w:ascii="Times New Roman" w:eastAsia="Times New Roman" w:hAnsi="Times New Roman" w:cs="Times New Roman"/>
                <w:lang w:val="sr-Cyrl-RS" w:eastAsia="en-GB"/>
                <w14:ligatures w14:val="none"/>
              </w:rPr>
            </w:pPr>
            <w:r w:rsidRPr="00EC0715">
              <w:rPr>
                <w:rFonts w:ascii="Times New Roman" w:eastAsia="Times New Roman" w:hAnsi="Times New Roman" w:cs="Times New Roman"/>
                <w:lang w:val="sr-Cyrl-RS" w:eastAsia="en-GB"/>
                <w14:ligatures w14:val="none"/>
              </w:rPr>
              <w:t>93</w:t>
            </w:r>
          </w:p>
        </w:tc>
        <w:tc>
          <w:tcPr>
            <w:tcW w:w="1075" w:type="dxa"/>
            <w:vAlign w:val="center"/>
            <w:hideMark/>
          </w:tcPr>
          <w:p w14:paraId="7BCB3AA9" w14:textId="77777777" w:rsidR="00EC0715" w:rsidRPr="00DE368E" w:rsidRDefault="00DE368E" w:rsidP="00EC0715">
            <w:pPr>
              <w:spacing w:after="0" w:line="240" w:lineRule="auto"/>
              <w:jc w:val="center"/>
              <w:rPr>
                <w:rFonts w:ascii="Times New Roman" w:eastAsia="Times New Roman" w:hAnsi="Times New Roman" w:cs="Times New Roman"/>
                <w:lang w:val="en-US" w:eastAsia="en-GB"/>
                <w14:ligatures w14:val="none"/>
              </w:rPr>
            </w:pPr>
            <w:r>
              <w:rPr>
                <w:rFonts w:ascii="Times New Roman" w:eastAsia="Times New Roman" w:hAnsi="Times New Roman" w:cs="Times New Roman"/>
                <w:lang w:val="en-US" w:eastAsia="en-GB"/>
                <w14:ligatures w14:val="none"/>
              </w:rPr>
              <w:t>90</w:t>
            </w:r>
          </w:p>
        </w:tc>
      </w:tr>
    </w:tbl>
    <w:p w14:paraId="2CA47ACF" w14:textId="77777777" w:rsidR="00ED504C" w:rsidRPr="00ED504C" w:rsidRDefault="00ED504C" w:rsidP="00EC0715">
      <w:pPr>
        <w:keepLines/>
        <w:widowControl w:val="0"/>
        <w:spacing w:before="120" w:after="0" w:line="240" w:lineRule="auto"/>
        <w:jc w:val="both"/>
        <w:rPr>
          <w:rFonts w:ascii="Times New Roman" w:eastAsia="Aptos" w:hAnsi="Times New Roman" w:cs="Times New Roman"/>
          <w:kern w:val="2"/>
          <w:lang w:val="en-US"/>
        </w:rPr>
      </w:pPr>
    </w:p>
    <w:p w14:paraId="3D081A7C" w14:textId="77777777" w:rsidR="000049CC" w:rsidRPr="008B1397" w:rsidRDefault="000049CC" w:rsidP="000049CC">
      <w:pPr>
        <w:keepLines/>
        <w:widowControl w:val="0"/>
        <w:spacing w:before="120" w:after="0" w:line="240" w:lineRule="auto"/>
        <w:ind w:firstLine="720"/>
        <w:jc w:val="both"/>
        <w:rPr>
          <w:rFonts w:ascii="Times New Roman" w:eastAsia="Aptos" w:hAnsi="Times New Roman" w:cs="Times New Roman"/>
          <w:kern w:val="2"/>
          <w:lang w:val="sr-Cyrl-RS"/>
        </w:rPr>
      </w:pPr>
      <w:r w:rsidRPr="008B1397">
        <w:rPr>
          <w:rFonts w:ascii="Times New Roman" w:eastAsia="Aptos" w:hAnsi="Times New Roman" w:cs="Times New Roman"/>
          <w:kern w:val="2"/>
          <w:lang w:val="sr-Cyrl-RS"/>
        </w:rPr>
        <w:t>By stipulating the obligation that the institutions that are obliged to appoint coordinators for medium-term planning, it additionally strengthened the organisational structures within the institutions themselves and made it possible to maintain the continuity of personnel solutions related to medium-term planning.</w:t>
      </w:r>
    </w:p>
    <w:p w14:paraId="7AECE53A" w14:textId="77777777" w:rsidR="000049CC" w:rsidRPr="008B1397" w:rsidRDefault="000049CC" w:rsidP="000049CC">
      <w:pPr>
        <w:keepLines/>
        <w:widowControl w:val="0"/>
        <w:spacing w:before="120" w:after="0" w:line="240" w:lineRule="auto"/>
        <w:ind w:firstLine="720"/>
        <w:jc w:val="both"/>
        <w:rPr>
          <w:rFonts w:ascii="Times New Roman" w:eastAsia="Aptos" w:hAnsi="Times New Roman" w:cs="Times New Roman"/>
          <w:kern w:val="2"/>
          <w:lang w:val="sr-Cyrl-RS"/>
        </w:rPr>
      </w:pPr>
      <w:r w:rsidRPr="008B1397">
        <w:rPr>
          <w:rFonts w:ascii="Times New Roman" w:eastAsia="Aptos" w:hAnsi="Times New Roman" w:cs="Times New Roman"/>
          <w:kern w:val="2"/>
          <w:lang w:val="sr-Cyrl-RS"/>
        </w:rPr>
        <w:t>The planned activities within the measure were carried out within the stipulated deadlines, and to support those liable for medium-term planning, in 2021, RSD 3,048,313 was invested, in 2022, RSD 3,263,970 was invested, while the activities in the other years were carried out by the Republic Secretariat for Public Policy's own capacities, without spending additional budget funds.</w:t>
      </w:r>
    </w:p>
    <w:p w14:paraId="6D22EEA2" w14:textId="77777777" w:rsidR="000049CC" w:rsidRPr="008B1397" w:rsidRDefault="000049CC" w:rsidP="000049CC">
      <w:pPr>
        <w:keepLines/>
        <w:widowControl w:val="0"/>
        <w:spacing w:before="120" w:after="0" w:line="240" w:lineRule="auto"/>
        <w:ind w:firstLine="720"/>
        <w:jc w:val="both"/>
        <w:rPr>
          <w:rFonts w:ascii="Times New Roman" w:eastAsia="Aptos" w:hAnsi="Times New Roman" w:cs="Times New Roman"/>
          <w:kern w:val="2"/>
          <w:lang w:val="sr-Cyrl-RS"/>
        </w:rPr>
      </w:pPr>
      <w:r w:rsidRPr="008B1397">
        <w:rPr>
          <w:rFonts w:ascii="Times New Roman" w:eastAsia="Times New Roman" w:hAnsi="Times New Roman" w:cs="Times New Roman"/>
          <w:color w:val="000000"/>
          <w:kern w:val="2"/>
          <w:lang w:val="sr-Cyrl-RS" w:eastAsia="en-GB"/>
        </w:rPr>
        <w:t>The use of the Unified Information System for planning, implementation monitoring, coordination of public policies and reporting (JIS) contributed to progress in the implementation of the measure, in such a way that medium-term plans are created in the JIS based on relevant valid public policy documents, i.e. action plans and/or previously valid medium-term plan, which additionally ensures the connection of public policies with the programme budget and medium-term expenditure framework. Simple annual reporting on progress in the implementation of medium-term plans is ensured through JIS.</w:t>
      </w:r>
    </w:p>
    <w:p w14:paraId="7029B3C3" w14:textId="77777777" w:rsidR="000049CC" w:rsidRPr="008B1397" w:rsidRDefault="000049CC" w:rsidP="000049CC">
      <w:pPr>
        <w:keepLines/>
        <w:widowControl w:val="0"/>
        <w:spacing w:before="120" w:after="0" w:line="240" w:lineRule="auto"/>
        <w:ind w:firstLine="720"/>
        <w:jc w:val="both"/>
        <w:rPr>
          <w:rFonts w:ascii="Times New Roman" w:eastAsia="Aptos" w:hAnsi="Times New Roman" w:cs="Times New Roman"/>
          <w:kern w:val="2"/>
          <w:lang w:val="sr-Cyrl-RS"/>
        </w:rPr>
      </w:pPr>
      <w:r w:rsidRPr="008B1397">
        <w:rPr>
          <w:rFonts w:ascii="Times New Roman" w:eastAsia="Aptos" w:hAnsi="Times New Roman" w:cs="Times New Roman"/>
          <w:kern w:val="2"/>
          <w:lang w:val="sr-Cyrl-RS"/>
        </w:rPr>
        <w:t>The analysis made within this measure showed that the connection between the adopted medium-term plans and public policy documents, and in this connection, the connection between the medium-term plans and the programme budget, was achieved to a certain extent. Taking into account the PEFA report, which recognizes the relevance of this measure for the achievement of the specific objective of the Programme for improved capacities for budget planning and public investment management, as well as the achieved result of increasing the number of institutions involved in medium-term planning in each subsequent planning cycle, it can be assessed that the measure effectively contributed to the achievement of that goal.</w:t>
      </w:r>
    </w:p>
    <w:p w14:paraId="0AE223DF" w14:textId="77777777" w:rsidR="000049CC" w:rsidRPr="00956695" w:rsidRDefault="000049CC" w:rsidP="000049CC">
      <w:pPr>
        <w:keepLines/>
        <w:widowControl w:val="0"/>
        <w:spacing w:before="120" w:after="0" w:line="240" w:lineRule="auto"/>
        <w:ind w:firstLine="720"/>
        <w:jc w:val="both"/>
        <w:rPr>
          <w:rFonts w:ascii="Times New Roman" w:eastAsia="Aptos" w:hAnsi="Times New Roman" w:cs="Times New Roman"/>
          <w:kern w:val="2"/>
          <w:lang w:val="en-US"/>
        </w:rPr>
      </w:pPr>
      <w:r w:rsidRPr="008B1397">
        <w:rPr>
          <w:rFonts w:ascii="Times New Roman" w:eastAsia="Aptos" w:hAnsi="Times New Roman" w:cs="Times New Roman"/>
          <w:kern w:val="2"/>
          <w:lang w:val="sr-Cyrl-RS"/>
        </w:rPr>
        <w:t>Frequent organisational and staffing changes within institutions, difficulties in establishing an effective coordination mechanism and insufficient institutional capacity pose a risk to the long-term sustainability of progress in medium-term planning. This means that the required sustainability of the measure has not yet been secured. To ensure further improvements in medium-term planning, the role of the medium-term plan should be strengthened in the coming period as an institutional management instrument and a mechanism for implementing public policies and Government priorities</w:t>
      </w:r>
      <w:r w:rsidR="002C4825" w:rsidRPr="008B1397">
        <w:rPr>
          <w:rFonts w:ascii="Times New Roman" w:eastAsia="Aptos" w:hAnsi="Times New Roman" w:cs="Times New Roman"/>
          <w:kern w:val="2"/>
          <w:vertAlign w:val="superscript"/>
          <w:lang w:val="sr-Cyrl-RS"/>
        </w:rPr>
        <w:footnoteReference w:id="2"/>
      </w:r>
      <w:r>
        <w:rPr>
          <w:rFonts w:ascii="Times New Roman" w:eastAsia="Aptos" w:hAnsi="Times New Roman" w:cs="Times New Roman"/>
          <w:kern w:val="2"/>
          <w:vertAlign w:val="superscript"/>
          <w:lang w:val="sr-Cyrl-RS"/>
        </w:rPr>
        <w:t xml:space="preserve"> through effective budget planning in line with available resources and the medium-term expenditure framework.</w:t>
      </w:r>
    </w:p>
    <w:p w14:paraId="2086E85F" w14:textId="77777777" w:rsidR="0058410E" w:rsidRPr="002C4825" w:rsidRDefault="000049CC" w:rsidP="002C4825">
      <w:pPr>
        <w:keepLines/>
        <w:widowControl w:val="0"/>
        <w:spacing w:before="120" w:after="0" w:line="240" w:lineRule="auto"/>
        <w:ind w:firstLine="720"/>
        <w:jc w:val="both"/>
        <w:rPr>
          <w:rFonts w:ascii="Times New Roman" w:eastAsia="Aptos" w:hAnsi="Times New Roman" w:cs="Times New Roman"/>
          <w:bCs/>
          <w:iCs/>
          <w:kern w:val="2"/>
          <w:lang w:val="en-US"/>
        </w:rPr>
      </w:pPr>
      <w:r w:rsidRPr="008B1397">
        <w:rPr>
          <w:rFonts w:ascii="Times New Roman" w:eastAsia="Aptos" w:hAnsi="Times New Roman" w:cs="Times New Roman"/>
          <w:kern w:val="2"/>
          <w:lang w:val="sr-Cyrl-RS"/>
        </w:rPr>
        <w:lastRenderedPageBreak/>
        <w:t>As part of the reform of the planning system, a system of medium-term planning was established, which strengthened the connection between public policies and the budgeting process at the national level, in accordance with the fiscal strategy and the medium-term expenditure framework. By gradually increasing the number of institutions involved in medium-term planning in each subsequent planning cycle, the role of the medium-term plan as an important management instrument of institutions was strengthened and the transparency of public administration in the implementation of public policies was significantly improved.</w:t>
      </w:r>
    </w:p>
    <w:p w14:paraId="728D4D7D" w14:textId="77777777" w:rsidR="0058410E" w:rsidRPr="008B1397" w:rsidRDefault="0058410E" w:rsidP="000049CC">
      <w:pPr>
        <w:keepLines/>
        <w:widowControl w:val="0"/>
        <w:spacing w:before="120" w:after="0" w:line="240" w:lineRule="auto"/>
        <w:ind w:firstLine="720"/>
        <w:jc w:val="both"/>
        <w:rPr>
          <w:rFonts w:ascii="Times New Roman" w:eastAsia="Aptos" w:hAnsi="Times New Roman" w:cs="Times New Roman"/>
          <w:kern w:val="2"/>
          <w:lang w:val="sr-Cyrl-RS"/>
        </w:rPr>
      </w:pPr>
    </w:p>
    <w:p w14:paraId="31E2B177" w14:textId="77777777" w:rsidR="00ED504C" w:rsidRPr="00467C20" w:rsidRDefault="00ED504C" w:rsidP="00467C20">
      <w:pPr>
        <w:spacing w:line="256" w:lineRule="auto"/>
        <w:jc w:val="both"/>
        <w:rPr>
          <w:rFonts w:ascii="Times New Roman" w:eastAsia="Calibri" w:hAnsi="Times New Roman" w:cs="Times New Roman"/>
          <w:b/>
          <w:u w:val="single"/>
          <w:lang w:val="sr-Cyrl-RS"/>
          <w14:ligatures w14:val="none"/>
        </w:rPr>
      </w:pPr>
      <w:r w:rsidRPr="00467C20">
        <w:rPr>
          <w:rFonts w:ascii="Times New Roman" w:eastAsia="Calibri" w:hAnsi="Times New Roman" w:cs="Times New Roman"/>
          <w:b/>
          <w:u w:val="single"/>
          <w:lang w:val="sr-Cyrl-RS"/>
          <w14:ligatures w14:val="none"/>
        </w:rPr>
        <w:t>Measure 1.4. Improving the environment for efficient management of capital projects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19"/>
        <w:gridCol w:w="896"/>
        <w:gridCol w:w="1319"/>
        <w:gridCol w:w="1216"/>
      </w:tblGrid>
      <w:tr w:rsidR="00ED504C" w:rsidRPr="007A199D" w14:paraId="4E7053A6" w14:textId="77777777" w:rsidTr="007A199D">
        <w:tc>
          <w:tcPr>
            <w:tcW w:w="0" w:type="auto"/>
            <w:shd w:val="clear" w:color="auto" w:fill="9CC2E5" w:themeFill="accent1" w:themeFillTint="99"/>
            <w:vAlign w:val="center"/>
            <w:hideMark/>
          </w:tcPr>
          <w:p w14:paraId="60BF0236"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Indicator at the measure level</w:t>
            </w:r>
          </w:p>
        </w:tc>
        <w:tc>
          <w:tcPr>
            <w:tcW w:w="0" w:type="auto"/>
            <w:shd w:val="clear" w:color="auto" w:fill="9CC2E5" w:themeFill="accent1" w:themeFillTint="99"/>
            <w:vAlign w:val="center"/>
            <w:hideMark/>
          </w:tcPr>
          <w:p w14:paraId="1AC4C59C"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Initial value</w:t>
            </w:r>
          </w:p>
        </w:tc>
        <w:tc>
          <w:tcPr>
            <w:tcW w:w="0" w:type="auto"/>
            <w:shd w:val="clear" w:color="auto" w:fill="9CC2E5" w:themeFill="accent1" w:themeFillTint="99"/>
            <w:vAlign w:val="center"/>
            <w:hideMark/>
          </w:tcPr>
          <w:p w14:paraId="09DDAC0B"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Target value for 2025</w:t>
            </w:r>
          </w:p>
        </w:tc>
        <w:tc>
          <w:tcPr>
            <w:tcW w:w="0" w:type="auto"/>
            <w:shd w:val="clear" w:color="auto" w:fill="9CC2E5" w:themeFill="accent1" w:themeFillTint="99"/>
            <w:vAlign w:val="center"/>
            <w:hideMark/>
          </w:tcPr>
          <w:p w14:paraId="181DE895"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Achieved value</w:t>
            </w:r>
          </w:p>
        </w:tc>
      </w:tr>
      <w:tr w:rsidR="00ED504C" w:rsidRPr="007A199D" w14:paraId="31B79873" w14:textId="77777777" w:rsidTr="007A199D">
        <w:tc>
          <w:tcPr>
            <w:tcW w:w="0" w:type="auto"/>
            <w:vAlign w:val="center"/>
            <w:hideMark/>
          </w:tcPr>
          <w:p w14:paraId="4645F7FF"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Capital projects included in the budget, subject to and assessed in accordance with the methodology governing capital projects</w:t>
            </w:r>
          </w:p>
        </w:tc>
        <w:tc>
          <w:tcPr>
            <w:tcW w:w="0" w:type="auto"/>
            <w:vAlign w:val="center"/>
            <w:hideMark/>
          </w:tcPr>
          <w:p w14:paraId="0547D2AC"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0</w:t>
            </w:r>
          </w:p>
        </w:tc>
        <w:tc>
          <w:tcPr>
            <w:tcW w:w="0" w:type="auto"/>
            <w:vAlign w:val="center"/>
            <w:hideMark/>
          </w:tcPr>
          <w:p w14:paraId="2F69CC94"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60%</w:t>
            </w:r>
          </w:p>
        </w:tc>
        <w:tc>
          <w:tcPr>
            <w:tcW w:w="0" w:type="auto"/>
            <w:vAlign w:val="center"/>
            <w:hideMark/>
          </w:tcPr>
          <w:p w14:paraId="08DA172C"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82%</w:t>
            </w:r>
          </w:p>
        </w:tc>
      </w:tr>
      <w:tr w:rsidR="00ED504C" w:rsidRPr="007A199D" w14:paraId="56ADAC86" w14:textId="77777777" w:rsidTr="007A199D">
        <w:tc>
          <w:tcPr>
            <w:tcW w:w="0" w:type="auto"/>
            <w:vAlign w:val="center"/>
            <w:hideMark/>
          </w:tcPr>
          <w:p w14:paraId="6B6046B8"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Held trainings for civil servants from relevant ministries and other institutions</w:t>
            </w:r>
          </w:p>
        </w:tc>
        <w:tc>
          <w:tcPr>
            <w:tcW w:w="0" w:type="auto"/>
            <w:vAlign w:val="center"/>
            <w:hideMark/>
          </w:tcPr>
          <w:p w14:paraId="678603F7"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0</w:t>
            </w:r>
          </w:p>
        </w:tc>
        <w:tc>
          <w:tcPr>
            <w:tcW w:w="0" w:type="auto"/>
            <w:vAlign w:val="center"/>
            <w:hideMark/>
          </w:tcPr>
          <w:p w14:paraId="1B531624"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3</w:t>
            </w:r>
          </w:p>
        </w:tc>
        <w:tc>
          <w:tcPr>
            <w:tcW w:w="0" w:type="auto"/>
            <w:vAlign w:val="center"/>
            <w:hideMark/>
          </w:tcPr>
          <w:p w14:paraId="5D851CC5"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4</w:t>
            </w:r>
          </w:p>
        </w:tc>
      </w:tr>
    </w:tbl>
    <w:p w14:paraId="5FC06D4A" w14:textId="77777777" w:rsidR="00ED504C" w:rsidRPr="007A199D" w:rsidRDefault="00ED504C" w:rsidP="007A199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As part of measure 1.4, significant progress was made in improving the legal, methodological, institutional and informational framework for managing capital projects. The target values ​​of both result indicators in 2025 have been achieved. The percentage of capital projects included in the budget, which are subject to evaluation and which were evaluated in accordance with the methodology governing capital projects, was 82%, compared to the target value of 60%. Also, four trainings were held for civil servants from relevant ministries and other institutions, which exceeded the target value of three trainings.</w:t>
      </w:r>
    </w:p>
    <w:p w14:paraId="742D9D33" w14:textId="77777777" w:rsidR="00ED504C" w:rsidRPr="007A199D" w:rsidRDefault="00ED504C" w:rsidP="007A199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During the period of implementation of the Programme, activities were carried out related to amendments and additions to the legal framework in accordance with the identified weaknesses of application in practice, development of training programs for relevant participants in the process of managing capital projects, development and upgrading of the information system for managing capital projects, improvement of the skills of employees in the field of project management, as well as rounding off the legal framework in the part related to the impact of capital projects on the environment and climate change.</w:t>
      </w:r>
    </w:p>
    <w:p w14:paraId="14F4AE42" w14:textId="77777777" w:rsidR="00ED504C" w:rsidRPr="007A199D" w:rsidRDefault="00ED504C" w:rsidP="007A199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Of particular importance was the strengthening of the capacity of employees who participate in the process of managing capital projects. Employees in the competent organisational unit of the Ministry of Finance attended trainings in the field of public investment management, while some employees were accredited as lecturers for trainings related to the assessment and monitoring of capital projects, work in the information system for managing capital projects and the application of project management methodology. In this way, conditions were created for continuous strengthening of capacities and dissemination of knowledge among institutions participating in the preparation and monitoring of capital projects.</w:t>
      </w:r>
    </w:p>
    <w:p w14:paraId="09CDCFDB" w14:textId="77777777" w:rsidR="00ED504C" w:rsidRPr="007A199D" w:rsidRDefault="00ED504C" w:rsidP="007A199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 xml:space="preserve">Despite the achieved results, two activities were not implemented within the planned period. No public report has been prepared on the status of capital projects that are monitored in accordance with the methodology, nor has a manual been prepared on the methodology of capital </w:t>
      </w:r>
      <w:r w:rsidRPr="007A199D">
        <w:rPr>
          <w:rFonts w:ascii="Times New Roman" w:eastAsia="Times New Roman" w:hAnsi="Times New Roman" w:cs="Times New Roman"/>
          <w:lang w:val="sr-Cyrl-RS" w:eastAsia="en-GB"/>
          <w14:ligatures w14:val="none"/>
        </w:rPr>
        <w:lastRenderedPageBreak/>
        <w:t>project management. The reasons for the deviation are related to the need to align these activities with the expected changes to the legal framework and further steps within the Reform Agenda, especially in the part related to improving the transparency of capital project management and regular public information.</w:t>
      </w:r>
    </w:p>
    <w:p w14:paraId="37ABA8AD" w14:textId="77777777" w:rsidR="00ED504C" w:rsidRPr="007A199D" w:rsidRDefault="00ED504C" w:rsidP="007A199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The measure significantly contributed to the achievement of Special Objective I, bearing in mind that the application of the methodology for the management of capital projects was improved, the capacities of competent institutions were strengthened and the information support for the public investment management process was improved. In the following period, it is necessary to continue activities related to further improvement of transparency, standardisation of reporting for the public and preparation of manuals after harmonisation with new legal and methodological solutions.</w:t>
      </w:r>
    </w:p>
    <w:p w14:paraId="4F72BD74" w14:textId="77777777" w:rsidR="00ED504C" w:rsidRPr="007A199D" w:rsidRDefault="00ED504C" w:rsidP="007A199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Financing of the measure: the measure is financed from the budget of the Republic of Serbia, through regular allocations, as well as from donor funds. Support activities related to the local level are financed, among other things, through development support programs. An overview of the total funds used is given in the Tabular presentation of funds used for the implementation of the PFMRP 2021–2025, according to which for the implementation of measure 1.4. a total of RSD 446,500,000 was spent.</w:t>
      </w:r>
    </w:p>
    <w:p w14:paraId="7FDAE55A" w14:textId="77777777" w:rsidR="00ED504C" w:rsidRPr="00467C20" w:rsidRDefault="00ED504C" w:rsidP="00467C20">
      <w:pPr>
        <w:spacing w:line="256" w:lineRule="auto"/>
        <w:jc w:val="both"/>
        <w:rPr>
          <w:rFonts w:ascii="Times New Roman" w:eastAsia="Calibri" w:hAnsi="Times New Roman" w:cs="Times New Roman"/>
          <w:b/>
          <w:u w:val="single"/>
          <w:lang w:val="sr-Cyrl-RS"/>
          <w14:ligatures w14:val="none"/>
        </w:rPr>
      </w:pPr>
      <w:r w:rsidRPr="00467C20">
        <w:rPr>
          <w:rFonts w:ascii="Times New Roman" w:eastAsia="Calibri" w:hAnsi="Times New Roman" w:cs="Times New Roman"/>
          <w:b/>
          <w:u w:val="single"/>
          <w:lang w:val="sr-Cyrl-RS"/>
          <w14:ligatures w14:val="none"/>
        </w:rPr>
        <w:t>Measure 1.5. Strengthening the capacity of the Sector for monitoring fiscal risks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79"/>
        <w:gridCol w:w="994"/>
        <w:gridCol w:w="1563"/>
        <w:gridCol w:w="1314"/>
      </w:tblGrid>
      <w:tr w:rsidR="00ED504C" w:rsidRPr="007A199D" w14:paraId="460FE41C" w14:textId="77777777" w:rsidTr="007A199D">
        <w:tc>
          <w:tcPr>
            <w:tcW w:w="0" w:type="auto"/>
            <w:shd w:val="clear" w:color="auto" w:fill="9CC2E5" w:themeFill="accent1" w:themeFillTint="99"/>
            <w:vAlign w:val="center"/>
            <w:hideMark/>
          </w:tcPr>
          <w:p w14:paraId="0B9DA236"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Indicator at the measure level</w:t>
            </w:r>
          </w:p>
        </w:tc>
        <w:tc>
          <w:tcPr>
            <w:tcW w:w="0" w:type="auto"/>
            <w:shd w:val="clear" w:color="auto" w:fill="9CC2E5" w:themeFill="accent1" w:themeFillTint="99"/>
            <w:vAlign w:val="center"/>
            <w:hideMark/>
          </w:tcPr>
          <w:p w14:paraId="3964B67A"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Initial value</w:t>
            </w:r>
          </w:p>
        </w:tc>
        <w:tc>
          <w:tcPr>
            <w:tcW w:w="0" w:type="auto"/>
            <w:shd w:val="clear" w:color="auto" w:fill="9CC2E5" w:themeFill="accent1" w:themeFillTint="99"/>
            <w:vAlign w:val="center"/>
            <w:hideMark/>
          </w:tcPr>
          <w:p w14:paraId="67B93D63"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Target value for 2025</w:t>
            </w:r>
          </w:p>
        </w:tc>
        <w:tc>
          <w:tcPr>
            <w:tcW w:w="0" w:type="auto"/>
            <w:shd w:val="clear" w:color="auto" w:fill="9CC2E5" w:themeFill="accent1" w:themeFillTint="99"/>
            <w:vAlign w:val="center"/>
            <w:hideMark/>
          </w:tcPr>
          <w:p w14:paraId="4874DB5A"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Achieved value</w:t>
            </w:r>
          </w:p>
        </w:tc>
      </w:tr>
      <w:tr w:rsidR="00ED504C" w:rsidRPr="007A199D" w14:paraId="532B199D" w14:textId="77777777" w:rsidTr="007A199D">
        <w:tc>
          <w:tcPr>
            <w:tcW w:w="0" w:type="auto"/>
            <w:vAlign w:val="center"/>
            <w:hideMark/>
          </w:tcPr>
          <w:p w14:paraId="6AAEECE5"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Filled systematized positions in the Sector for monitoring fiscal risks</w:t>
            </w:r>
          </w:p>
        </w:tc>
        <w:tc>
          <w:tcPr>
            <w:tcW w:w="0" w:type="auto"/>
            <w:vAlign w:val="center"/>
            <w:hideMark/>
          </w:tcPr>
          <w:p w14:paraId="53C30E84"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33%</w:t>
            </w:r>
          </w:p>
        </w:tc>
        <w:tc>
          <w:tcPr>
            <w:tcW w:w="0" w:type="auto"/>
            <w:vAlign w:val="center"/>
            <w:hideMark/>
          </w:tcPr>
          <w:p w14:paraId="7D10CB6C"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90%</w:t>
            </w:r>
          </w:p>
        </w:tc>
        <w:tc>
          <w:tcPr>
            <w:tcW w:w="0" w:type="auto"/>
            <w:vAlign w:val="center"/>
            <w:hideMark/>
          </w:tcPr>
          <w:p w14:paraId="0858D68A"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100%</w:t>
            </w:r>
          </w:p>
        </w:tc>
      </w:tr>
      <w:tr w:rsidR="00ED504C" w:rsidRPr="007A199D" w14:paraId="7F91DFFC" w14:textId="77777777" w:rsidTr="007A199D">
        <w:tc>
          <w:tcPr>
            <w:tcW w:w="0" w:type="auto"/>
            <w:vAlign w:val="center"/>
            <w:hideMark/>
          </w:tcPr>
          <w:p w14:paraId="37827FB1"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Trained employees in the Sector for monitoring fiscal risks</w:t>
            </w:r>
          </w:p>
        </w:tc>
        <w:tc>
          <w:tcPr>
            <w:tcW w:w="0" w:type="auto"/>
            <w:vAlign w:val="center"/>
            <w:hideMark/>
          </w:tcPr>
          <w:p w14:paraId="2469731B"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0%</w:t>
            </w:r>
          </w:p>
        </w:tc>
        <w:tc>
          <w:tcPr>
            <w:tcW w:w="0" w:type="auto"/>
            <w:vAlign w:val="center"/>
            <w:hideMark/>
          </w:tcPr>
          <w:p w14:paraId="7C71A96C"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w:t>
            </w:r>
          </w:p>
        </w:tc>
        <w:tc>
          <w:tcPr>
            <w:tcW w:w="0" w:type="auto"/>
            <w:vAlign w:val="center"/>
            <w:hideMark/>
          </w:tcPr>
          <w:p w14:paraId="2F7D938A"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w:t>
            </w:r>
          </w:p>
        </w:tc>
      </w:tr>
      <w:tr w:rsidR="00ED504C" w:rsidRPr="007A199D" w14:paraId="3FE768A4" w14:textId="77777777" w:rsidTr="007A199D">
        <w:tc>
          <w:tcPr>
            <w:tcW w:w="0" w:type="auto"/>
            <w:vAlign w:val="center"/>
            <w:hideMark/>
          </w:tcPr>
          <w:p w14:paraId="1A4AB1FF"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The fiscal strategy includes a section that addresses quantified key fiscal risks</w:t>
            </w:r>
          </w:p>
        </w:tc>
        <w:tc>
          <w:tcPr>
            <w:tcW w:w="0" w:type="auto"/>
            <w:vAlign w:val="center"/>
            <w:hideMark/>
          </w:tcPr>
          <w:p w14:paraId="3E9B4965"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w:t>
            </w:r>
          </w:p>
        </w:tc>
        <w:tc>
          <w:tcPr>
            <w:tcW w:w="0" w:type="auto"/>
            <w:vAlign w:val="center"/>
            <w:hideMark/>
          </w:tcPr>
          <w:p w14:paraId="665B85A6"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w:t>
            </w:r>
          </w:p>
        </w:tc>
        <w:tc>
          <w:tcPr>
            <w:tcW w:w="0" w:type="auto"/>
            <w:vAlign w:val="center"/>
            <w:hideMark/>
          </w:tcPr>
          <w:p w14:paraId="602328F7"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w:t>
            </w:r>
          </w:p>
        </w:tc>
      </w:tr>
      <w:tr w:rsidR="00ED504C" w:rsidRPr="007A199D" w14:paraId="28C8EC56" w14:textId="77777777" w:rsidTr="007A199D">
        <w:tc>
          <w:tcPr>
            <w:tcW w:w="0" w:type="auto"/>
            <w:vAlign w:val="center"/>
            <w:hideMark/>
          </w:tcPr>
          <w:p w14:paraId="2BA63E69" w14:textId="77777777" w:rsidR="00ED504C" w:rsidRPr="0095283C" w:rsidRDefault="00ED504C" w:rsidP="007A199D">
            <w:pPr>
              <w:spacing w:after="0" w:line="240" w:lineRule="auto"/>
              <w:jc w:val="both"/>
              <w:rPr>
                <w:rFonts w:ascii="Times New Roman" w:eastAsia="Times New Roman" w:hAnsi="Times New Roman" w:cs="Times New Roman"/>
                <w:b/>
                <w:bCs/>
                <w:lang w:val="sr-Cyrl-RS" w:eastAsia="en-GB"/>
                <w14:ligatures w14:val="none"/>
              </w:rPr>
            </w:pPr>
            <w:r w:rsidRPr="0095283C">
              <w:rPr>
                <w:rFonts w:ascii="Times New Roman" w:eastAsia="Times New Roman" w:hAnsi="Times New Roman" w:cs="Times New Roman"/>
                <w:b/>
                <w:bCs/>
                <w:lang w:val="sr-Cyrl-RS" w:eastAsia="en-GB"/>
                <w14:ligatures w14:val="none"/>
              </w:rPr>
              <w:t>Trained employees in the Sector for monitoring fiscal risks, advanced level of training</w:t>
            </w:r>
          </w:p>
        </w:tc>
        <w:tc>
          <w:tcPr>
            <w:tcW w:w="0" w:type="auto"/>
            <w:vAlign w:val="center"/>
            <w:hideMark/>
          </w:tcPr>
          <w:p w14:paraId="23B50C07"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10%</w:t>
            </w:r>
          </w:p>
        </w:tc>
        <w:tc>
          <w:tcPr>
            <w:tcW w:w="0" w:type="auto"/>
            <w:vAlign w:val="center"/>
            <w:hideMark/>
          </w:tcPr>
          <w:p w14:paraId="739B1FC3"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80%</w:t>
            </w:r>
          </w:p>
        </w:tc>
        <w:tc>
          <w:tcPr>
            <w:tcW w:w="0" w:type="auto"/>
            <w:vAlign w:val="center"/>
            <w:hideMark/>
          </w:tcPr>
          <w:p w14:paraId="211E7706" w14:textId="77777777" w:rsidR="00ED504C" w:rsidRPr="007A199D" w:rsidRDefault="00ED504C" w:rsidP="007A199D">
            <w:pPr>
              <w:spacing w:after="0" w:line="240" w:lineRule="auto"/>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100%</w:t>
            </w:r>
          </w:p>
        </w:tc>
      </w:tr>
    </w:tbl>
    <w:p w14:paraId="3F1F59D6" w14:textId="77777777" w:rsidR="00ED504C" w:rsidRPr="007A199D" w:rsidRDefault="00ED504C" w:rsidP="00BC355A">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Within measure 1.5, progress was made in strengthening institutional and administrative capacities for monitoring fiscal risks. The indicator related to the occupancy of systematized jobs in the Sector for monitoring fiscal risks was achieved in 2025, bearing in mind that the achieved value was 100%, compared to the target value of 90%. The indicator related to trained employees at an advanced level of training was also achieved, with an achieved value of 100%, against a target value of 80%.</w:t>
      </w:r>
    </w:p>
    <w:p w14:paraId="30C6423B" w14:textId="77777777" w:rsidR="00ED504C" w:rsidRPr="007A199D" w:rsidRDefault="00ED504C" w:rsidP="00BC355A">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 xml:space="preserve">During the implementation of the Programme, activities related to employee training, establishment of methodologies for monitoring fiscal risks related to public sector operations, as well as methodologies for monitoring other fiscal risks, including risks from natural disasters and court cases, were implemented. In addition, activities aimed at improving the skills of employees in the field of financial analysis, cost-benefit analysis and risk analysis of climate-induced natural </w:t>
      </w:r>
      <w:r w:rsidRPr="007A199D">
        <w:rPr>
          <w:rFonts w:ascii="Times New Roman" w:eastAsia="Times New Roman" w:hAnsi="Times New Roman" w:cs="Times New Roman"/>
          <w:lang w:val="sr-Cyrl-RS" w:eastAsia="en-GB"/>
          <w14:ligatures w14:val="none"/>
        </w:rPr>
        <w:lastRenderedPageBreak/>
        <w:t>disasters were carried out, as well as activities that enabled familiarization with good international practices in the field of monitoring and reporting on fiscal risks.</w:t>
      </w:r>
    </w:p>
    <w:p w14:paraId="40E7A2F5" w14:textId="77777777" w:rsidR="00ED504C" w:rsidRPr="007A199D" w:rsidRDefault="00ED504C" w:rsidP="00BC355A">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During the implementation of the measure, the content of the Fiscal Strategy was improved in the part related to fiscal risks. The indicator related to the existence of the section on quantified key fiscal risks was achieved in the year in which it had a target value, while no specific target value was determined for the year 2025.</w:t>
      </w:r>
    </w:p>
    <w:p w14:paraId="11635C76" w14:textId="77777777" w:rsidR="00ED504C" w:rsidRPr="007A199D" w:rsidRDefault="00ED504C" w:rsidP="00BC355A">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The activity related to the improvement and standardisation of reporting on fiscal risks was not implemented within the planned period. The reason for the deviation is related to organisational changes and systematization changes, which affected the dynamics of adopting a standardized approach to reporting. Bearing in mind the importance of this activity for the further strengthening of the fiscal risk monitoring system, it is necessary to continue it in the next programme cycle.</w:t>
      </w:r>
    </w:p>
    <w:p w14:paraId="2BDECAF9" w14:textId="77777777" w:rsidR="00ED504C" w:rsidRPr="007A199D" w:rsidRDefault="00ED504C" w:rsidP="00BC355A">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7A199D">
        <w:rPr>
          <w:rFonts w:ascii="Times New Roman" w:eastAsia="Times New Roman" w:hAnsi="Times New Roman" w:cs="Times New Roman"/>
          <w:lang w:val="sr-Cyrl-RS" w:eastAsia="en-GB"/>
          <w14:ligatures w14:val="none"/>
        </w:rPr>
        <w:t>The measure contributed to the achievement of Special Objective I by strengthening the capacity for identifying, analyzing, monitoring and reporting on fiscal risks. At the same time, the implementation of the measure showed that in the following period it is necessary to continue with the standardisation of reporting, further development of the methodological framework and better connection of monitoring of fiscal risks with the budget process and medium-term fiscal planning.</w:t>
      </w:r>
    </w:p>
    <w:p w14:paraId="1D1D7D76" w14:textId="77777777" w:rsidR="0067689A" w:rsidRDefault="00ED504C"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7A199D">
        <w:rPr>
          <w:rFonts w:ascii="Times New Roman" w:eastAsia="Times New Roman" w:hAnsi="Times New Roman" w:cs="Times New Roman"/>
          <w:lang w:val="sr-Cyrl-RS" w:eastAsia="en-GB"/>
          <w14:ligatures w14:val="none"/>
        </w:rPr>
        <w:t>Financing of the measure: the activities were financed from the budget of the Republic of Serbia and donor funds, that is, they were implemented through the regular capacities of the Ministry of Finance and with project support. The data on the total spent funds must be supplemented after the delivery of the final financial data from the competent organisational unit.</w:t>
      </w:r>
    </w:p>
    <w:p w14:paraId="0F62EAE4" w14:textId="77777777" w:rsidR="00467C20" w:rsidRDefault="00467C20"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60D9EA31" w14:textId="77777777" w:rsidR="00467C20" w:rsidRDefault="00467C20"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2FA50F0" w14:textId="77777777" w:rsidR="00467C20" w:rsidRDefault="00467C20"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7FFD9AE" w14:textId="77777777" w:rsidR="00467C20" w:rsidRDefault="00467C20"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D4EE7E4" w14:textId="77777777" w:rsidR="00467C20" w:rsidRPr="00467C20" w:rsidRDefault="00467C20" w:rsidP="0058410E">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4722DD16" w14:textId="77777777" w:rsidR="00685537" w:rsidRPr="008548AE" w:rsidRDefault="00685537" w:rsidP="008548AE">
      <w:pPr>
        <w:pStyle w:val="Heading1"/>
        <w:jc w:val="center"/>
        <w:rPr>
          <w:rFonts w:ascii="Times New Roman" w:eastAsia="Calibri" w:hAnsi="Times New Roman" w:cs="Times New Roman"/>
          <w:color w:val="000000"/>
          <w:sz w:val="32"/>
          <w:szCs w:val="32"/>
          <w:lang w:val="sr-Cyrl-RS"/>
        </w:rPr>
      </w:pPr>
      <w:bookmarkStart w:id="7" w:name="_Toc233629225"/>
      <w:r w:rsidRPr="008548AE">
        <w:rPr>
          <w:rFonts w:ascii="Times New Roman" w:eastAsia="Calibri" w:hAnsi="Times New Roman" w:cs="Times New Roman"/>
          <w:sz w:val="32"/>
          <w:szCs w:val="32"/>
          <w:lang w:val="sr-Cyrl-RS"/>
        </w:rPr>
        <w:t>SPECIAL OBJECTIVE II: EFFICIENT COLLECTION AND MANAGEMENT OF BUDGET FUNDS</w:t>
      </w:r>
      <w:bookmarkEnd w:id="7"/>
    </w:p>
    <w:p w14:paraId="1F8864DE" w14:textId="77777777" w:rsidR="00685537" w:rsidRPr="008B1397" w:rsidRDefault="00685537" w:rsidP="00685537">
      <w:pPr>
        <w:spacing w:line="256" w:lineRule="auto"/>
        <w:rPr>
          <w:rFonts w:ascii="Calibri" w:eastAsia="Calibri" w:hAnsi="Calibri" w:cs="Times New Roman"/>
          <w:sz w:val="22"/>
          <w:szCs w:val="22"/>
          <w:lang w:val="sr-Cyrl-RS"/>
          <w14:ligatures w14:val="none"/>
        </w:rPr>
      </w:pPr>
    </w:p>
    <w:tbl>
      <w:tblPr>
        <w:tblStyle w:val="TableGrid"/>
        <w:tblpPr w:leftFromText="181" w:rightFromText="181" w:vertAnchor="text" w:horzAnchor="margin" w:tblpY="1"/>
        <w:tblOverlap w:val="never"/>
        <w:tblW w:w="0" w:type="auto"/>
        <w:tblInd w:w="0" w:type="dxa"/>
        <w:tblLook w:val="04A0" w:firstRow="1" w:lastRow="0" w:firstColumn="1" w:lastColumn="0" w:noHBand="0" w:noVBand="1"/>
      </w:tblPr>
      <w:tblGrid>
        <w:gridCol w:w="2337"/>
        <w:gridCol w:w="2337"/>
        <w:gridCol w:w="2338"/>
        <w:gridCol w:w="2338"/>
      </w:tblGrid>
      <w:tr w:rsidR="00685537" w:rsidRPr="008B1397" w14:paraId="0CB439A5" w14:textId="77777777" w:rsidTr="00E4060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E926440"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Indicator(s) at the level of the specific objective (outcome indicator)</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11CCFA7"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95722CB"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EDE9985"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Achieved value</w:t>
            </w:r>
          </w:p>
        </w:tc>
      </w:tr>
      <w:tr w:rsidR="00685537" w:rsidRPr="008B1397" w14:paraId="6EDE1B45"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79141680" w14:textId="77777777" w:rsidR="00685537" w:rsidRPr="0095283C" w:rsidRDefault="00685537" w:rsidP="00685537">
            <w:pPr>
              <w:rPr>
                <w:rFonts w:ascii="Times New Roman" w:hAnsi="Times New Roman"/>
                <w:b/>
                <w:bCs/>
                <w:lang w:val="sr-Cyrl-RS"/>
              </w:rPr>
            </w:pPr>
            <w:r w:rsidRPr="0095283C">
              <w:rPr>
                <w:rFonts w:ascii="Times New Roman" w:hAnsi="Times New Roman"/>
                <w:b/>
                <w:bCs/>
                <w:lang w:val="sr-Cyrl-RS"/>
              </w:rPr>
              <w:t>Actual revenues and expenditures of the general state budget on an annual basis are in the range of 5% of those projected in the fiscal strategy.</w:t>
            </w:r>
          </w:p>
        </w:tc>
        <w:tc>
          <w:tcPr>
            <w:tcW w:w="2337" w:type="dxa"/>
            <w:tcBorders>
              <w:top w:val="single" w:sz="4" w:space="0" w:color="auto"/>
              <w:left w:val="single" w:sz="4" w:space="0" w:color="auto"/>
              <w:bottom w:val="single" w:sz="4" w:space="0" w:color="auto"/>
              <w:right w:val="single" w:sz="4" w:space="0" w:color="auto"/>
            </w:tcBorders>
            <w:hideMark/>
          </w:tcPr>
          <w:p w14:paraId="12B0291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0B25CD5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c>
          <w:tcPr>
            <w:tcW w:w="2338" w:type="dxa"/>
            <w:tcBorders>
              <w:top w:val="single" w:sz="4" w:space="0" w:color="auto"/>
              <w:left w:val="single" w:sz="4" w:space="0" w:color="auto"/>
              <w:bottom w:val="single" w:sz="4" w:space="0" w:color="auto"/>
              <w:right w:val="single" w:sz="4" w:space="0" w:color="auto"/>
            </w:tcBorders>
            <w:hideMark/>
          </w:tcPr>
          <w:p w14:paraId="44438F5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r>
      <w:tr w:rsidR="00685537" w:rsidRPr="008B1397" w14:paraId="64C75841"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92824"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1515D38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015FE15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c>
          <w:tcPr>
            <w:tcW w:w="2338" w:type="dxa"/>
            <w:tcBorders>
              <w:top w:val="single" w:sz="4" w:space="0" w:color="auto"/>
              <w:left w:val="single" w:sz="4" w:space="0" w:color="auto"/>
              <w:bottom w:val="single" w:sz="4" w:space="0" w:color="auto"/>
              <w:right w:val="single" w:sz="4" w:space="0" w:color="auto"/>
            </w:tcBorders>
            <w:hideMark/>
          </w:tcPr>
          <w:p w14:paraId="5653B80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r>
      <w:tr w:rsidR="00685537" w:rsidRPr="008B1397" w14:paraId="205DABB6"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91A302"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427650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365CC86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c>
          <w:tcPr>
            <w:tcW w:w="2338" w:type="dxa"/>
            <w:tcBorders>
              <w:top w:val="single" w:sz="4" w:space="0" w:color="auto"/>
              <w:left w:val="single" w:sz="4" w:space="0" w:color="auto"/>
              <w:bottom w:val="single" w:sz="4" w:space="0" w:color="auto"/>
              <w:right w:val="single" w:sz="4" w:space="0" w:color="auto"/>
            </w:tcBorders>
            <w:hideMark/>
          </w:tcPr>
          <w:p w14:paraId="20816DC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r>
      <w:tr w:rsidR="00685537" w:rsidRPr="008B1397" w14:paraId="1C71B867"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129FA"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100432E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0C210AD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c>
          <w:tcPr>
            <w:tcW w:w="2338" w:type="dxa"/>
            <w:tcBorders>
              <w:top w:val="single" w:sz="4" w:space="0" w:color="auto"/>
              <w:left w:val="single" w:sz="4" w:space="0" w:color="auto"/>
              <w:bottom w:val="single" w:sz="4" w:space="0" w:color="auto"/>
              <w:right w:val="single" w:sz="4" w:space="0" w:color="auto"/>
            </w:tcBorders>
            <w:hideMark/>
          </w:tcPr>
          <w:p w14:paraId="6AAA259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r>
      <w:tr w:rsidR="00685537" w:rsidRPr="008B1397" w14:paraId="274AE531"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BBFC04"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33C012E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6AA2D00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Within 5%</w:t>
            </w:r>
          </w:p>
        </w:tc>
        <w:tc>
          <w:tcPr>
            <w:tcW w:w="2338" w:type="dxa"/>
            <w:tcBorders>
              <w:top w:val="single" w:sz="4" w:space="0" w:color="auto"/>
              <w:left w:val="single" w:sz="4" w:space="0" w:color="auto"/>
              <w:bottom w:val="single" w:sz="4" w:space="0" w:color="auto"/>
              <w:right w:val="single" w:sz="4" w:space="0" w:color="auto"/>
            </w:tcBorders>
            <w:hideMark/>
          </w:tcPr>
          <w:p w14:paraId="0313BD1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Revenues increased by 5.9%; expenses higher by 8.3%</w:t>
            </w:r>
          </w:p>
        </w:tc>
      </w:tr>
      <w:tr w:rsidR="00685537" w:rsidRPr="008B1397" w14:paraId="212541A3" w14:textId="77777777">
        <w:trPr>
          <w:trHeight w:val="422"/>
        </w:trPr>
        <w:tc>
          <w:tcPr>
            <w:tcW w:w="2337" w:type="dxa"/>
            <w:vMerge w:val="restart"/>
            <w:tcBorders>
              <w:top w:val="single" w:sz="4" w:space="0" w:color="auto"/>
              <w:left w:val="single" w:sz="4" w:space="0" w:color="auto"/>
              <w:bottom w:val="single" w:sz="4" w:space="0" w:color="auto"/>
              <w:right w:val="single" w:sz="4" w:space="0" w:color="auto"/>
            </w:tcBorders>
            <w:hideMark/>
          </w:tcPr>
          <w:p w14:paraId="7F47529B" w14:textId="77777777" w:rsidR="00685537" w:rsidRPr="0095283C" w:rsidRDefault="00685537" w:rsidP="00685537">
            <w:pPr>
              <w:rPr>
                <w:rFonts w:ascii="Times New Roman" w:hAnsi="Times New Roman"/>
                <w:b/>
                <w:bCs/>
                <w:lang w:val="sr-Cyrl-RS"/>
              </w:rPr>
            </w:pPr>
            <w:r w:rsidRPr="0095283C">
              <w:rPr>
                <w:rFonts w:ascii="Times New Roman" w:hAnsi="Times New Roman"/>
                <w:b/>
                <w:bCs/>
                <w:lang w:val="sr-Cyrl-RS"/>
              </w:rPr>
              <w:t>Annual public debt servicing costs (interest payments - net amount) as a % of GDP</w:t>
            </w:r>
          </w:p>
        </w:tc>
        <w:tc>
          <w:tcPr>
            <w:tcW w:w="2337" w:type="dxa"/>
            <w:tcBorders>
              <w:top w:val="single" w:sz="4" w:space="0" w:color="auto"/>
              <w:left w:val="single" w:sz="4" w:space="0" w:color="auto"/>
              <w:bottom w:val="single" w:sz="4" w:space="0" w:color="auto"/>
              <w:right w:val="single" w:sz="4" w:space="0" w:color="auto"/>
            </w:tcBorders>
            <w:hideMark/>
          </w:tcPr>
          <w:p w14:paraId="6E38F1E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19A6076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1,9%</w:t>
            </w:r>
          </w:p>
        </w:tc>
        <w:tc>
          <w:tcPr>
            <w:tcW w:w="2338" w:type="dxa"/>
            <w:tcBorders>
              <w:top w:val="single" w:sz="4" w:space="0" w:color="auto"/>
              <w:left w:val="single" w:sz="4" w:space="0" w:color="auto"/>
              <w:bottom w:val="single" w:sz="4" w:space="0" w:color="auto"/>
              <w:right w:val="single" w:sz="4" w:space="0" w:color="auto"/>
            </w:tcBorders>
            <w:hideMark/>
          </w:tcPr>
          <w:p w14:paraId="117719C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1,7%</w:t>
            </w:r>
          </w:p>
        </w:tc>
      </w:tr>
      <w:tr w:rsidR="00685537" w:rsidRPr="008B1397" w14:paraId="76660907"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3C93B"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25BAD0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120ADD0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1,9%</w:t>
            </w:r>
          </w:p>
        </w:tc>
        <w:tc>
          <w:tcPr>
            <w:tcW w:w="2338" w:type="dxa"/>
            <w:tcBorders>
              <w:top w:val="single" w:sz="4" w:space="0" w:color="auto"/>
              <w:left w:val="single" w:sz="4" w:space="0" w:color="auto"/>
              <w:bottom w:val="single" w:sz="4" w:space="0" w:color="auto"/>
              <w:right w:val="single" w:sz="4" w:space="0" w:color="auto"/>
            </w:tcBorders>
            <w:hideMark/>
          </w:tcPr>
          <w:p w14:paraId="45CD774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1,5%</w:t>
            </w:r>
          </w:p>
        </w:tc>
      </w:tr>
      <w:tr w:rsidR="00685537" w:rsidRPr="008B1397" w14:paraId="452599CB"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545C2"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501F2D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36CD703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1,9%</w:t>
            </w:r>
          </w:p>
        </w:tc>
        <w:tc>
          <w:tcPr>
            <w:tcW w:w="2338" w:type="dxa"/>
            <w:tcBorders>
              <w:top w:val="single" w:sz="4" w:space="0" w:color="auto"/>
              <w:left w:val="single" w:sz="4" w:space="0" w:color="auto"/>
              <w:bottom w:val="single" w:sz="4" w:space="0" w:color="auto"/>
              <w:right w:val="single" w:sz="4" w:space="0" w:color="auto"/>
            </w:tcBorders>
            <w:hideMark/>
          </w:tcPr>
          <w:p w14:paraId="025655C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1,8%</w:t>
            </w:r>
          </w:p>
        </w:tc>
      </w:tr>
      <w:tr w:rsidR="00685537" w:rsidRPr="008B1397" w14:paraId="43E6EEEB"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9ED2B"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1C5C751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2204F7D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2,1%</w:t>
            </w:r>
          </w:p>
        </w:tc>
        <w:tc>
          <w:tcPr>
            <w:tcW w:w="2338" w:type="dxa"/>
            <w:tcBorders>
              <w:top w:val="single" w:sz="4" w:space="0" w:color="auto"/>
              <w:left w:val="single" w:sz="4" w:space="0" w:color="auto"/>
              <w:bottom w:val="single" w:sz="4" w:space="0" w:color="auto"/>
              <w:right w:val="single" w:sz="4" w:space="0" w:color="auto"/>
            </w:tcBorders>
            <w:hideMark/>
          </w:tcPr>
          <w:p w14:paraId="33A45F4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1,8%</w:t>
            </w:r>
          </w:p>
        </w:tc>
      </w:tr>
      <w:tr w:rsidR="00685537" w:rsidRPr="008B1397" w14:paraId="1081A9B4"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890F4"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F8DA37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77C55A0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2,1%</w:t>
            </w:r>
          </w:p>
        </w:tc>
        <w:tc>
          <w:tcPr>
            <w:tcW w:w="2338" w:type="dxa"/>
            <w:tcBorders>
              <w:top w:val="single" w:sz="4" w:space="0" w:color="auto"/>
              <w:left w:val="single" w:sz="4" w:space="0" w:color="auto"/>
              <w:bottom w:val="single" w:sz="4" w:space="0" w:color="auto"/>
              <w:right w:val="single" w:sz="4" w:space="0" w:color="auto"/>
            </w:tcBorders>
            <w:hideMark/>
          </w:tcPr>
          <w:p w14:paraId="691CCA1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1,8%</w:t>
            </w:r>
          </w:p>
        </w:tc>
      </w:tr>
      <w:tr w:rsidR="00685537" w:rsidRPr="008B1397" w14:paraId="015B42E9" w14:textId="77777777">
        <w:trPr>
          <w:trHeight w:val="422"/>
        </w:trPr>
        <w:tc>
          <w:tcPr>
            <w:tcW w:w="2337" w:type="dxa"/>
            <w:vMerge w:val="restart"/>
            <w:tcBorders>
              <w:top w:val="single" w:sz="4" w:space="0" w:color="auto"/>
              <w:left w:val="single" w:sz="4" w:space="0" w:color="auto"/>
              <w:bottom w:val="single" w:sz="4" w:space="0" w:color="auto"/>
              <w:right w:val="single" w:sz="4" w:space="0" w:color="auto"/>
            </w:tcBorders>
            <w:hideMark/>
          </w:tcPr>
          <w:p w14:paraId="59580D98" w14:textId="77777777" w:rsidR="00685537" w:rsidRPr="0095283C" w:rsidRDefault="00685537" w:rsidP="00685537">
            <w:pPr>
              <w:rPr>
                <w:rFonts w:ascii="Times New Roman" w:hAnsi="Times New Roman"/>
                <w:b/>
                <w:bCs/>
                <w:lang w:val="sr-Cyrl-RS"/>
              </w:rPr>
            </w:pPr>
            <w:r w:rsidRPr="0095283C">
              <w:rPr>
                <w:rFonts w:ascii="Times New Roman" w:hAnsi="Times New Roman"/>
                <w:b/>
                <w:bCs/>
                <w:lang w:val="sr-Cyrl-RS"/>
              </w:rPr>
              <w:t>Average duration of an open procedure (days)</w:t>
            </w:r>
          </w:p>
        </w:tc>
        <w:tc>
          <w:tcPr>
            <w:tcW w:w="2337" w:type="dxa"/>
            <w:tcBorders>
              <w:top w:val="single" w:sz="4" w:space="0" w:color="auto"/>
              <w:left w:val="single" w:sz="4" w:space="0" w:color="auto"/>
              <w:bottom w:val="single" w:sz="4" w:space="0" w:color="auto"/>
              <w:right w:val="single" w:sz="4" w:space="0" w:color="auto"/>
            </w:tcBorders>
            <w:hideMark/>
          </w:tcPr>
          <w:p w14:paraId="220E6AB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1E1FE66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50</w:t>
            </w:r>
          </w:p>
        </w:tc>
        <w:tc>
          <w:tcPr>
            <w:tcW w:w="2338" w:type="dxa"/>
            <w:tcBorders>
              <w:top w:val="single" w:sz="4" w:space="0" w:color="auto"/>
              <w:left w:val="single" w:sz="4" w:space="0" w:color="auto"/>
              <w:bottom w:val="single" w:sz="4" w:space="0" w:color="auto"/>
              <w:right w:val="single" w:sz="4" w:space="0" w:color="auto"/>
            </w:tcBorders>
            <w:hideMark/>
          </w:tcPr>
          <w:p w14:paraId="48D7296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48</w:t>
            </w:r>
          </w:p>
        </w:tc>
      </w:tr>
      <w:tr w:rsidR="00685537" w:rsidRPr="008B1397" w14:paraId="550E4521"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2A1DD"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3CA85E1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222FB18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48</w:t>
            </w:r>
          </w:p>
        </w:tc>
        <w:tc>
          <w:tcPr>
            <w:tcW w:w="2338" w:type="dxa"/>
            <w:tcBorders>
              <w:top w:val="single" w:sz="4" w:space="0" w:color="auto"/>
              <w:left w:val="single" w:sz="4" w:space="0" w:color="auto"/>
              <w:bottom w:val="single" w:sz="4" w:space="0" w:color="auto"/>
              <w:right w:val="single" w:sz="4" w:space="0" w:color="auto"/>
            </w:tcBorders>
            <w:hideMark/>
          </w:tcPr>
          <w:p w14:paraId="1AB962C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47</w:t>
            </w:r>
          </w:p>
        </w:tc>
      </w:tr>
      <w:tr w:rsidR="00685537" w:rsidRPr="008B1397" w14:paraId="16F86964"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ED39D"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F88F29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23CF92C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46</w:t>
            </w:r>
          </w:p>
        </w:tc>
        <w:tc>
          <w:tcPr>
            <w:tcW w:w="2338" w:type="dxa"/>
            <w:tcBorders>
              <w:top w:val="single" w:sz="4" w:space="0" w:color="auto"/>
              <w:left w:val="single" w:sz="4" w:space="0" w:color="auto"/>
              <w:bottom w:val="single" w:sz="4" w:space="0" w:color="auto"/>
              <w:right w:val="single" w:sz="4" w:space="0" w:color="auto"/>
            </w:tcBorders>
            <w:hideMark/>
          </w:tcPr>
          <w:p w14:paraId="6D3EA2C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44</w:t>
            </w:r>
          </w:p>
        </w:tc>
      </w:tr>
      <w:tr w:rsidR="00685537" w:rsidRPr="008B1397" w14:paraId="77AEC9B6"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FEFC7"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9CE85F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62F5A14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45</w:t>
            </w:r>
          </w:p>
        </w:tc>
        <w:tc>
          <w:tcPr>
            <w:tcW w:w="2338" w:type="dxa"/>
            <w:tcBorders>
              <w:top w:val="single" w:sz="4" w:space="0" w:color="auto"/>
              <w:left w:val="single" w:sz="4" w:space="0" w:color="auto"/>
              <w:bottom w:val="single" w:sz="4" w:space="0" w:color="auto"/>
              <w:right w:val="single" w:sz="4" w:space="0" w:color="auto"/>
            </w:tcBorders>
            <w:hideMark/>
          </w:tcPr>
          <w:p w14:paraId="04381CA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42</w:t>
            </w:r>
          </w:p>
        </w:tc>
      </w:tr>
      <w:tr w:rsidR="00685537" w:rsidRPr="008B1397" w14:paraId="24A3788F"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D560A"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6E5A681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1D59205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44</w:t>
            </w:r>
          </w:p>
        </w:tc>
        <w:tc>
          <w:tcPr>
            <w:tcW w:w="2338" w:type="dxa"/>
            <w:tcBorders>
              <w:top w:val="single" w:sz="4" w:space="0" w:color="auto"/>
              <w:left w:val="single" w:sz="4" w:space="0" w:color="auto"/>
              <w:bottom w:val="single" w:sz="4" w:space="0" w:color="auto"/>
              <w:right w:val="single" w:sz="4" w:space="0" w:color="auto"/>
            </w:tcBorders>
            <w:hideMark/>
          </w:tcPr>
          <w:p w14:paraId="7F3B652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42</w:t>
            </w:r>
          </w:p>
        </w:tc>
      </w:tr>
    </w:tbl>
    <w:p w14:paraId="2E54CA36" w14:textId="77777777" w:rsidR="00685537" w:rsidRPr="008B1397" w:rsidRDefault="00685537" w:rsidP="00685537">
      <w:pPr>
        <w:spacing w:line="256" w:lineRule="auto"/>
        <w:rPr>
          <w:rFonts w:ascii="Calibri" w:eastAsia="Calibri" w:hAnsi="Calibri" w:cs="Times New Roman"/>
          <w:sz w:val="22"/>
          <w:szCs w:val="22"/>
          <w:lang w:val="sr-Cyrl-RS"/>
          <w14:ligatures w14:val="none"/>
        </w:rPr>
      </w:pPr>
    </w:p>
    <w:p w14:paraId="05DE3F4E" w14:textId="77777777" w:rsidR="00685537" w:rsidRPr="008B1397" w:rsidRDefault="00685537" w:rsidP="00E4060C">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During the duration of the programme, from 2021 to 2024, the actual revenues and expenditures of the general government budget deviated by up to 5% compared to the planned ones, which is in accordance with the defined target values. The only deviation outside the scope occurred in 2025, when the actual revenues were higher than planned by 5.9%, so the expenses were increased accordingly.</w:t>
      </w:r>
    </w:p>
    <w:p w14:paraId="3A2F43F7" w14:textId="77777777" w:rsidR="00685537" w:rsidRPr="008B1397" w:rsidRDefault="00685537" w:rsidP="00E4060C">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indicator that measures the participation of public debt servicing costs in GDP was achieved in each calendar year of the reporting period.</w:t>
      </w:r>
    </w:p>
    <w:p w14:paraId="424F3026" w14:textId="77777777" w:rsidR="00685537" w:rsidRPr="008B1397" w:rsidRDefault="00685537" w:rsidP="005841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implementation of public procurement procedures in the reporting period was efficient, which shows the average duration of the open procedure, which was shorter than planned for each calendar year. By switching to electronic procurement, the duration of the open procedure was shortened.</w:t>
      </w:r>
    </w:p>
    <w:p w14:paraId="72F6FE57" w14:textId="77777777" w:rsidR="00685537" w:rsidRPr="008B1397" w:rsidRDefault="00685537" w:rsidP="00685537">
      <w:pPr>
        <w:spacing w:line="256"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Measure 2.1: Effective collection of budget revenues under the jurisdiction of the Tax Administration</w:t>
      </w:r>
    </w:p>
    <w:tbl>
      <w:tblPr>
        <w:tblStyle w:val="TableGrid"/>
        <w:tblpPr w:leftFromText="181" w:rightFromText="181" w:vertAnchor="text" w:horzAnchor="margin" w:tblpY="1"/>
        <w:tblOverlap w:val="never"/>
        <w:tblW w:w="0" w:type="auto"/>
        <w:tblInd w:w="0" w:type="dxa"/>
        <w:tblLook w:val="04A0" w:firstRow="1" w:lastRow="0" w:firstColumn="1" w:lastColumn="0" w:noHBand="0" w:noVBand="1"/>
      </w:tblPr>
      <w:tblGrid>
        <w:gridCol w:w="2264"/>
        <w:gridCol w:w="2238"/>
        <w:gridCol w:w="2252"/>
        <w:gridCol w:w="2262"/>
      </w:tblGrid>
      <w:tr w:rsidR="00685537" w:rsidRPr="008B1397" w14:paraId="50F5E189" w14:textId="77777777" w:rsidTr="00E4060C">
        <w:tc>
          <w:tcPr>
            <w:tcW w:w="226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88835F6" w14:textId="77777777" w:rsidR="00685537" w:rsidRPr="0095283C" w:rsidRDefault="00685537" w:rsidP="00685537">
            <w:pPr>
              <w:jc w:val="center"/>
              <w:rPr>
                <w:rFonts w:ascii="Times New Roman" w:hAnsi="Times New Roman"/>
                <w:b/>
                <w:bCs/>
                <w:lang w:val="sr-Cyrl-RS"/>
              </w:rPr>
            </w:pPr>
            <w:r w:rsidRPr="0095283C">
              <w:rPr>
                <w:rFonts w:ascii="Times New Roman" w:hAnsi="Times New Roman"/>
                <w:b/>
                <w:bCs/>
                <w:lang w:val="sr-Cyrl-RS"/>
              </w:rPr>
              <w:t>Indicator at the measure level</w:t>
            </w:r>
          </w:p>
        </w:tc>
        <w:tc>
          <w:tcPr>
            <w:tcW w:w="22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C8AD6A3" w14:textId="77777777" w:rsidR="00685537" w:rsidRPr="0095283C" w:rsidRDefault="00685537" w:rsidP="00685537">
            <w:pPr>
              <w:jc w:val="center"/>
              <w:rPr>
                <w:rFonts w:ascii="Times New Roman" w:hAnsi="Times New Roman"/>
                <w:b/>
                <w:bCs/>
                <w:lang w:val="sr-Cyrl-RS"/>
              </w:rPr>
            </w:pPr>
            <w:r w:rsidRPr="0095283C">
              <w:rPr>
                <w:rFonts w:ascii="Times New Roman" w:hAnsi="Times New Roman"/>
                <w:b/>
                <w:bCs/>
                <w:lang w:val="sr-Cyrl-RS"/>
              </w:rPr>
              <w:t>Year</w:t>
            </w:r>
          </w:p>
        </w:tc>
        <w:tc>
          <w:tcPr>
            <w:tcW w:w="225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55914DE" w14:textId="77777777" w:rsidR="00685537" w:rsidRPr="0095283C" w:rsidRDefault="00685537" w:rsidP="00685537">
            <w:pPr>
              <w:jc w:val="center"/>
              <w:rPr>
                <w:rFonts w:ascii="Times New Roman" w:hAnsi="Times New Roman"/>
                <w:b/>
                <w:bCs/>
                <w:lang w:val="sr-Cyrl-RS"/>
              </w:rPr>
            </w:pPr>
            <w:r w:rsidRPr="0095283C">
              <w:rPr>
                <w:rFonts w:ascii="Times New Roman" w:hAnsi="Times New Roman"/>
                <w:b/>
                <w:bCs/>
                <w:lang w:val="sr-Cyrl-RS"/>
              </w:rPr>
              <w:t>Target value</w:t>
            </w:r>
          </w:p>
        </w:tc>
        <w:tc>
          <w:tcPr>
            <w:tcW w:w="226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582409E" w14:textId="77777777" w:rsidR="00685537" w:rsidRPr="0095283C" w:rsidRDefault="00685537" w:rsidP="00685537">
            <w:pPr>
              <w:jc w:val="center"/>
              <w:rPr>
                <w:rFonts w:ascii="Times New Roman" w:hAnsi="Times New Roman"/>
                <w:b/>
                <w:bCs/>
                <w:lang w:val="sr-Cyrl-RS"/>
              </w:rPr>
            </w:pPr>
            <w:r w:rsidRPr="0095283C">
              <w:rPr>
                <w:rFonts w:ascii="Times New Roman" w:hAnsi="Times New Roman"/>
                <w:b/>
                <w:bCs/>
                <w:lang w:val="sr-Cyrl-RS"/>
              </w:rPr>
              <w:t>Achieved value</w:t>
            </w:r>
          </w:p>
        </w:tc>
      </w:tr>
      <w:tr w:rsidR="00685537" w:rsidRPr="008B1397" w14:paraId="7BE1F0A2" w14:textId="77777777">
        <w:trPr>
          <w:trHeight w:val="431"/>
        </w:trPr>
        <w:tc>
          <w:tcPr>
            <w:tcW w:w="2264" w:type="dxa"/>
            <w:vMerge w:val="restart"/>
            <w:tcBorders>
              <w:top w:val="single" w:sz="4" w:space="0" w:color="auto"/>
              <w:left w:val="single" w:sz="4" w:space="0" w:color="auto"/>
              <w:bottom w:val="single" w:sz="4" w:space="0" w:color="auto"/>
              <w:right w:val="single" w:sz="4" w:space="0" w:color="auto"/>
            </w:tcBorders>
            <w:hideMark/>
          </w:tcPr>
          <w:p w14:paraId="03DA3371" w14:textId="77777777" w:rsidR="00685537" w:rsidRPr="0095283C" w:rsidRDefault="00685537" w:rsidP="00685537">
            <w:pPr>
              <w:jc w:val="both"/>
              <w:rPr>
                <w:rFonts w:ascii="Times New Roman" w:hAnsi="Times New Roman"/>
                <w:b/>
                <w:bCs/>
                <w:lang w:val="sr-Cyrl-RS"/>
              </w:rPr>
            </w:pPr>
            <w:r w:rsidRPr="0095283C">
              <w:rPr>
                <w:rFonts w:ascii="Times New Roman" w:hAnsi="Times New Roman"/>
                <w:b/>
                <w:bCs/>
                <w:lang w:val="sr-Cyrl-RS"/>
              </w:rPr>
              <w:t xml:space="preserve">The percentage of actual collection in relation to the </w:t>
            </w:r>
            <w:r w:rsidRPr="0095283C">
              <w:rPr>
                <w:rFonts w:ascii="Times New Roman" w:hAnsi="Times New Roman"/>
                <w:b/>
                <w:bCs/>
                <w:lang w:val="sr-Cyrl-RS"/>
              </w:rPr>
              <w:lastRenderedPageBreak/>
              <w:t>approved budget estimate (income tax, profit tax, gross domestic VAT, gross excise duties)</w:t>
            </w:r>
          </w:p>
        </w:tc>
        <w:tc>
          <w:tcPr>
            <w:tcW w:w="2238" w:type="dxa"/>
            <w:tcBorders>
              <w:top w:val="single" w:sz="4" w:space="0" w:color="auto"/>
              <w:left w:val="single" w:sz="4" w:space="0" w:color="auto"/>
              <w:bottom w:val="single" w:sz="4" w:space="0" w:color="auto"/>
              <w:right w:val="single" w:sz="4" w:space="0" w:color="auto"/>
            </w:tcBorders>
            <w:hideMark/>
          </w:tcPr>
          <w:p w14:paraId="64F4346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lastRenderedPageBreak/>
              <w:t>2021</w:t>
            </w:r>
          </w:p>
        </w:tc>
        <w:tc>
          <w:tcPr>
            <w:tcW w:w="2252" w:type="dxa"/>
            <w:tcBorders>
              <w:top w:val="single" w:sz="4" w:space="0" w:color="auto"/>
              <w:left w:val="single" w:sz="4" w:space="0" w:color="auto"/>
              <w:bottom w:val="single" w:sz="4" w:space="0" w:color="auto"/>
              <w:right w:val="single" w:sz="4" w:space="0" w:color="auto"/>
            </w:tcBorders>
            <w:hideMark/>
          </w:tcPr>
          <w:p w14:paraId="078ABEF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100%</w:t>
            </w:r>
          </w:p>
        </w:tc>
        <w:tc>
          <w:tcPr>
            <w:tcW w:w="2262" w:type="dxa"/>
            <w:tcBorders>
              <w:top w:val="single" w:sz="4" w:space="0" w:color="auto"/>
              <w:left w:val="single" w:sz="4" w:space="0" w:color="auto"/>
              <w:bottom w:val="single" w:sz="4" w:space="0" w:color="auto"/>
              <w:right w:val="single" w:sz="4" w:space="0" w:color="auto"/>
            </w:tcBorders>
            <w:hideMark/>
          </w:tcPr>
          <w:p w14:paraId="70CCCD0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110%</w:t>
            </w:r>
          </w:p>
        </w:tc>
      </w:tr>
      <w:tr w:rsidR="00685537" w:rsidRPr="008B1397" w14:paraId="0E1D1A96"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D9837E" w14:textId="77777777" w:rsidR="00685537" w:rsidRPr="008B1397" w:rsidRDefault="00685537" w:rsidP="00685537">
            <w:pPr>
              <w:rPr>
                <w:rFonts w:ascii="Times New Roman" w:hAnsi="Times New Roman"/>
                <w:lang w:val="sr-Cyrl-RS"/>
              </w:rPr>
            </w:pPr>
          </w:p>
        </w:tc>
        <w:tc>
          <w:tcPr>
            <w:tcW w:w="2238" w:type="dxa"/>
            <w:tcBorders>
              <w:top w:val="single" w:sz="4" w:space="0" w:color="auto"/>
              <w:left w:val="single" w:sz="4" w:space="0" w:color="auto"/>
              <w:bottom w:val="single" w:sz="4" w:space="0" w:color="auto"/>
              <w:right w:val="single" w:sz="4" w:space="0" w:color="auto"/>
            </w:tcBorders>
            <w:hideMark/>
          </w:tcPr>
          <w:p w14:paraId="2496505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252" w:type="dxa"/>
            <w:tcBorders>
              <w:top w:val="single" w:sz="4" w:space="0" w:color="auto"/>
              <w:left w:val="single" w:sz="4" w:space="0" w:color="auto"/>
              <w:bottom w:val="single" w:sz="4" w:space="0" w:color="auto"/>
              <w:right w:val="single" w:sz="4" w:space="0" w:color="auto"/>
            </w:tcBorders>
            <w:hideMark/>
          </w:tcPr>
          <w:p w14:paraId="3595E69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100%</w:t>
            </w:r>
          </w:p>
        </w:tc>
        <w:tc>
          <w:tcPr>
            <w:tcW w:w="2262" w:type="dxa"/>
            <w:tcBorders>
              <w:top w:val="single" w:sz="4" w:space="0" w:color="auto"/>
              <w:left w:val="single" w:sz="4" w:space="0" w:color="auto"/>
              <w:bottom w:val="single" w:sz="4" w:space="0" w:color="auto"/>
              <w:right w:val="single" w:sz="4" w:space="0" w:color="auto"/>
            </w:tcBorders>
            <w:hideMark/>
          </w:tcPr>
          <w:p w14:paraId="52BBEA6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109,7%</w:t>
            </w:r>
          </w:p>
        </w:tc>
      </w:tr>
      <w:tr w:rsidR="00685537" w:rsidRPr="008B1397" w14:paraId="26FB4361"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91AECF" w14:textId="77777777" w:rsidR="00685537" w:rsidRPr="008B1397" w:rsidRDefault="00685537" w:rsidP="00685537">
            <w:pPr>
              <w:rPr>
                <w:rFonts w:ascii="Times New Roman" w:hAnsi="Times New Roman"/>
                <w:lang w:val="sr-Cyrl-RS"/>
              </w:rPr>
            </w:pPr>
          </w:p>
        </w:tc>
        <w:tc>
          <w:tcPr>
            <w:tcW w:w="2238" w:type="dxa"/>
            <w:tcBorders>
              <w:top w:val="single" w:sz="4" w:space="0" w:color="auto"/>
              <w:left w:val="single" w:sz="4" w:space="0" w:color="auto"/>
              <w:bottom w:val="single" w:sz="4" w:space="0" w:color="auto"/>
              <w:right w:val="single" w:sz="4" w:space="0" w:color="auto"/>
            </w:tcBorders>
            <w:hideMark/>
          </w:tcPr>
          <w:p w14:paraId="28EBE52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252" w:type="dxa"/>
            <w:tcBorders>
              <w:top w:val="single" w:sz="4" w:space="0" w:color="auto"/>
              <w:left w:val="single" w:sz="4" w:space="0" w:color="auto"/>
              <w:bottom w:val="single" w:sz="4" w:space="0" w:color="auto"/>
              <w:right w:val="single" w:sz="4" w:space="0" w:color="auto"/>
            </w:tcBorders>
            <w:hideMark/>
          </w:tcPr>
          <w:p w14:paraId="7CC324F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100%</w:t>
            </w:r>
          </w:p>
        </w:tc>
        <w:tc>
          <w:tcPr>
            <w:tcW w:w="2262" w:type="dxa"/>
            <w:tcBorders>
              <w:top w:val="single" w:sz="4" w:space="0" w:color="auto"/>
              <w:left w:val="single" w:sz="4" w:space="0" w:color="auto"/>
              <w:bottom w:val="single" w:sz="4" w:space="0" w:color="auto"/>
              <w:right w:val="single" w:sz="4" w:space="0" w:color="auto"/>
            </w:tcBorders>
            <w:hideMark/>
          </w:tcPr>
          <w:p w14:paraId="656D239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107,6%</w:t>
            </w:r>
          </w:p>
        </w:tc>
      </w:tr>
      <w:tr w:rsidR="00685537" w:rsidRPr="008B1397" w14:paraId="23A95CB7"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4ACD1" w14:textId="77777777" w:rsidR="00685537" w:rsidRPr="008B1397" w:rsidRDefault="00685537" w:rsidP="00685537">
            <w:pPr>
              <w:rPr>
                <w:rFonts w:ascii="Times New Roman" w:hAnsi="Times New Roman"/>
                <w:lang w:val="sr-Cyrl-RS"/>
              </w:rPr>
            </w:pPr>
          </w:p>
        </w:tc>
        <w:tc>
          <w:tcPr>
            <w:tcW w:w="2238" w:type="dxa"/>
            <w:tcBorders>
              <w:top w:val="single" w:sz="4" w:space="0" w:color="auto"/>
              <w:left w:val="single" w:sz="4" w:space="0" w:color="auto"/>
              <w:bottom w:val="single" w:sz="4" w:space="0" w:color="auto"/>
              <w:right w:val="single" w:sz="4" w:space="0" w:color="auto"/>
            </w:tcBorders>
            <w:hideMark/>
          </w:tcPr>
          <w:p w14:paraId="1B7699D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252" w:type="dxa"/>
            <w:tcBorders>
              <w:top w:val="single" w:sz="4" w:space="0" w:color="auto"/>
              <w:left w:val="single" w:sz="4" w:space="0" w:color="auto"/>
              <w:bottom w:val="single" w:sz="4" w:space="0" w:color="auto"/>
              <w:right w:val="single" w:sz="4" w:space="0" w:color="auto"/>
            </w:tcBorders>
            <w:hideMark/>
          </w:tcPr>
          <w:p w14:paraId="2FF833E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100%</w:t>
            </w:r>
          </w:p>
        </w:tc>
        <w:tc>
          <w:tcPr>
            <w:tcW w:w="2262" w:type="dxa"/>
            <w:tcBorders>
              <w:top w:val="single" w:sz="4" w:space="0" w:color="auto"/>
              <w:left w:val="single" w:sz="4" w:space="0" w:color="auto"/>
              <w:bottom w:val="single" w:sz="4" w:space="0" w:color="auto"/>
              <w:right w:val="single" w:sz="4" w:space="0" w:color="auto"/>
            </w:tcBorders>
            <w:hideMark/>
          </w:tcPr>
          <w:p w14:paraId="5FED0A1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109,4%</w:t>
            </w:r>
          </w:p>
        </w:tc>
      </w:tr>
      <w:tr w:rsidR="00685537" w:rsidRPr="008B1397" w14:paraId="2CDCB04C"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6A715" w14:textId="77777777" w:rsidR="00685537" w:rsidRPr="008B1397" w:rsidRDefault="00685537" w:rsidP="00685537">
            <w:pPr>
              <w:rPr>
                <w:rFonts w:ascii="Times New Roman" w:hAnsi="Times New Roman"/>
                <w:lang w:val="sr-Cyrl-RS"/>
              </w:rPr>
            </w:pPr>
          </w:p>
        </w:tc>
        <w:tc>
          <w:tcPr>
            <w:tcW w:w="2238" w:type="dxa"/>
            <w:tcBorders>
              <w:top w:val="single" w:sz="4" w:space="0" w:color="auto"/>
              <w:left w:val="single" w:sz="4" w:space="0" w:color="auto"/>
              <w:bottom w:val="single" w:sz="4" w:space="0" w:color="auto"/>
              <w:right w:val="single" w:sz="4" w:space="0" w:color="auto"/>
            </w:tcBorders>
            <w:hideMark/>
          </w:tcPr>
          <w:p w14:paraId="1E5498D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252" w:type="dxa"/>
            <w:tcBorders>
              <w:top w:val="single" w:sz="4" w:space="0" w:color="auto"/>
              <w:left w:val="single" w:sz="4" w:space="0" w:color="auto"/>
              <w:bottom w:val="single" w:sz="4" w:space="0" w:color="auto"/>
              <w:right w:val="single" w:sz="4" w:space="0" w:color="auto"/>
            </w:tcBorders>
            <w:hideMark/>
          </w:tcPr>
          <w:p w14:paraId="2E790DA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100%</w:t>
            </w:r>
          </w:p>
        </w:tc>
        <w:tc>
          <w:tcPr>
            <w:tcW w:w="2262" w:type="dxa"/>
            <w:tcBorders>
              <w:top w:val="single" w:sz="4" w:space="0" w:color="auto"/>
              <w:left w:val="single" w:sz="4" w:space="0" w:color="auto"/>
              <w:bottom w:val="single" w:sz="4" w:space="0" w:color="auto"/>
              <w:right w:val="single" w:sz="4" w:space="0" w:color="auto"/>
            </w:tcBorders>
            <w:hideMark/>
          </w:tcPr>
          <w:p w14:paraId="750DC8C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104,4%</w:t>
            </w:r>
          </w:p>
        </w:tc>
      </w:tr>
    </w:tbl>
    <w:p w14:paraId="29640F07" w14:textId="77777777" w:rsidR="00685537" w:rsidRPr="008B1397" w:rsidRDefault="00685537" w:rsidP="00685537">
      <w:pPr>
        <w:spacing w:line="256" w:lineRule="auto"/>
        <w:rPr>
          <w:rFonts w:ascii="Times New Roman" w:eastAsia="Calibri" w:hAnsi="Times New Roman" w:cs="Times New Roman"/>
          <w:lang w:val="sr-Cyrl-RS"/>
          <w14:ligatures w14:val="none"/>
        </w:rPr>
      </w:pPr>
    </w:p>
    <w:p w14:paraId="7EA15AF4" w14:textId="77777777" w:rsidR="00685537" w:rsidRPr="008B1397" w:rsidRDefault="00685537" w:rsidP="00685537">
      <w:pPr>
        <w:spacing w:line="254" w:lineRule="auto"/>
        <w:ind w:firstLine="708"/>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collection of income tax, profit tax, gross domestic value added tax (hereinafter: VAT) and gross excise duty accounts for about 64% of the total gross collection of public revenues. For this reason, the chosen indicator at the measure level, which was fulfilled for each year in the reporting period, adequately contributes to the efficiency of the entire public finance system.</w:t>
      </w:r>
    </w:p>
    <w:p w14:paraId="0F2B3390" w14:textId="77777777" w:rsidR="00685537" w:rsidRPr="008B1397" w:rsidRDefault="00685537" w:rsidP="00685537">
      <w:pPr>
        <w:spacing w:line="256" w:lineRule="auto"/>
        <w:ind w:firstLine="708"/>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reporting period, the design of the future business model was defined, as well as the road map of changes to the final implementation of the finished commercial solution for the integrated information system for tax management (Commercial Off-The Shelf solution Integrated Tax Management System - COTS-ITMS), which represents the basic tool for the functioning of the new business model. Given that the completion of the project is expected in the last quarter of 2028, all activities related to the implementation of a ready-made commercial solution for the integrated information system for tax management are planned in the PFMRP 2026-2030.</w:t>
      </w:r>
    </w:p>
    <w:p w14:paraId="0765C49A" w14:textId="77777777" w:rsidR="00685537" w:rsidRPr="008B1397" w:rsidRDefault="00685537" w:rsidP="00685537">
      <w:pPr>
        <w:spacing w:line="256" w:lineRule="auto"/>
        <w:ind w:firstLine="708"/>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Simultaneously with the aforementioned activities, the Tax Administration, as part of the implementation of the policy of the Government of the Republic of Serbia, together with the Ministry of Finance, implemented the introduction of a new fiscalization system, as well as actively participated in the entire process of introducing the e-invoice system, as an infrastructure prerequisite for the introduction of a previously completed VAT tax return, as key measures and activities to suppress the gray economy and reduce the tax gap in the field of VAT.</w:t>
      </w:r>
    </w:p>
    <w:p w14:paraId="6633FEA4" w14:textId="77777777" w:rsidR="00685537" w:rsidRPr="008B1397" w:rsidRDefault="00685537" w:rsidP="00685537">
      <w:pPr>
        <w:spacing w:line="256" w:lineRule="auto"/>
        <w:ind w:firstLine="708"/>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e-fiscalization system has been in use since May 2022, which created the structural prerequisites for the digital transformation process, which enable not only the use of e-invoices as a legal obligation, but also the introduction and use of previously completed VAT returns (preliminary tax returns).</w:t>
      </w:r>
    </w:p>
    <w:p w14:paraId="73BCCA58" w14:textId="77777777" w:rsidR="00685537" w:rsidRPr="008B1397" w:rsidRDefault="00685537" w:rsidP="00791D7E">
      <w:pPr>
        <w:spacing w:line="256" w:lineRule="auto"/>
        <w:ind w:firstLine="708"/>
        <w:jc w:val="both"/>
        <w:rPr>
          <w:rFonts w:ascii="Times New Roman" w:eastAsia="Calibri" w:hAnsi="Times New Roman" w:cs="Times New Roman"/>
          <w:lang w:val="sr-Cyrl-RS"/>
          <w14:ligatures w14:val="none"/>
        </w:rPr>
      </w:pPr>
      <w:bookmarkStart w:id="8" w:name="_Hlk223087013"/>
      <w:r w:rsidRPr="008B1397">
        <w:rPr>
          <w:rFonts w:ascii="Times New Roman" w:eastAsia="Calibri" w:hAnsi="Times New Roman" w:cs="Times New Roman"/>
          <w:lang w:val="sr-Cyrl-RS"/>
          <w14:ligatures w14:val="none"/>
        </w:rPr>
        <w:t>The implementation of the project for the development of the VIES (VAT Information Exchange System) system for the exchange of information on value added tax, which is financed by EU funds, is underway. Given that the completion of the project is expected in the last quarter of 2027, all activities are also planned in the PFMRP 2026-2030.</w:t>
      </w:r>
    </w:p>
    <w:p w14:paraId="2CAB79F9" w14:textId="77777777" w:rsidR="00685537" w:rsidRPr="008B1397" w:rsidRDefault="00685537" w:rsidP="00685537">
      <w:pPr>
        <w:spacing w:line="256" w:lineRule="auto"/>
        <w:ind w:firstLine="708"/>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As a member of the Global Forum on Transparency and Exchange of Information for Tax Purposes since 2018, the Republic of Serbia has been working to meet the standards of exchange of information on request. After a long-term expert evaluation process, which was officially started on September 30, 2022, and was carried out by the expert team of the Global Forum, in October 2023, the Republic of Serbia received the official rating "To a large extent compliant" - rating for the fulfilment of the exchange of information on request (EOIR) standard.</w:t>
      </w:r>
    </w:p>
    <w:bookmarkEnd w:id="8"/>
    <w:p w14:paraId="4972FD6E" w14:textId="77777777" w:rsidR="00685537" w:rsidRDefault="00685537" w:rsidP="00685537">
      <w:pPr>
        <w:spacing w:line="256" w:lineRule="auto"/>
        <w:ind w:firstLine="708"/>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 xml:space="preserve">Through the Tax Administration Modernisation Project TAMR (Tax Administration Modernisation Project), the work on the improvement of the human resources function within the project of Consulting services for the institutional development of the human resources function </w:t>
      </w:r>
      <w:r w:rsidRPr="008B1397">
        <w:rPr>
          <w:rFonts w:ascii="Times New Roman" w:eastAsia="Calibri" w:hAnsi="Times New Roman" w:cs="Times New Roman"/>
          <w:lang w:val="sr-Cyrl-RS"/>
          <w14:ligatures w14:val="none"/>
        </w:rPr>
        <w:lastRenderedPageBreak/>
        <w:t>of the Tax Administration of the Republic of Serbia has been intensified. The Human Resources Management Strategy of the Tax Administration of the Republic of Serbia 2023-2028 was adopted. Key results are expected in recruitment and selection activities (replacement of personnel, i.e. rejuvenating the workforce), process improvements through digitalisation, operational improvements through modification of the organisation and structure, and then essential and long-term investments in employee development. After the completion of the project, a proposal was made to expand the scope of project activities between the consultant and the Tax Administration of the Republic of Serbia, which included additional project activities, with the extension of the project duration. The activities continued through the project "Support in the institutional development of the human resources function of the Tax Administration of the Republic of Serbia". At the same time, activities related to the improvement of the HRMIS (Human Resource Management Information System) software solution for human resources were carried out in order to optimise business processes in the domain of the human resource management function. The software was put into production at the end of 2025.</w:t>
      </w:r>
    </w:p>
    <w:p w14:paraId="5B7132BC" w14:textId="77777777" w:rsidR="00CA0D24" w:rsidRPr="008B1397" w:rsidRDefault="00CA0D24" w:rsidP="00685537">
      <w:pPr>
        <w:spacing w:line="256" w:lineRule="auto"/>
        <w:ind w:firstLine="708"/>
        <w:jc w:val="both"/>
        <w:rPr>
          <w:rFonts w:ascii="Times New Roman" w:eastAsia="Calibri" w:hAnsi="Times New Roman" w:cs="Times New Roman"/>
          <w:lang w:val="sr-Cyrl-RS"/>
          <w14:ligatures w14:val="none"/>
        </w:rPr>
      </w:pPr>
      <w:r w:rsidRPr="00CA0D24">
        <w:rPr>
          <w:rFonts w:ascii="Times New Roman" w:eastAsia="Calibri" w:hAnsi="Times New Roman" w:cs="Times New Roman"/>
          <w:lang w:val="sr-Cyrl-RS"/>
          <w14:ligatures w14:val="none"/>
        </w:rPr>
        <w:t>Within the activities related to digitalisation, activities related to the introduction of the electronic dispatch note system were implemented, including the analysis of the legal and administrative framework, the preparation of documentation for the procurement of hardware and software solutions, the introduction of the IT system and the development of a communication strategy for the introduction of the electronic dispatch note system. At the same time, the activity related to the introduction of the IT system for the management of immovable property of the Ministry of Finance and its administrations was abandoned. Activities related to the improvement of information and communication technology (hereinafter: ICT) infrastructure through a COTS solution, as well as the harmonisation of the legislative framework and the preparation of technical specifications for information exchange systems according to European Union standards, were not completed in this programme cycle and were transferred to the PFMRP 2026-2030.</w:t>
      </w:r>
    </w:p>
    <w:p w14:paraId="20B444F8" w14:textId="77777777" w:rsidR="00685537" w:rsidRPr="008B1397" w:rsidRDefault="00685537" w:rsidP="00685537">
      <w:pPr>
        <w:spacing w:line="256" w:lineRule="auto"/>
        <w:ind w:firstLine="708"/>
        <w:jc w:val="both"/>
        <w:rPr>
          <w:rFonts w:ascii="Times New Roman" w:eastAsia="Calibri" w:hAnsi="Times New Roman" w:cs="Times New Roman"/>
          <w:lang w:val="sr-Cyrl-RS"/>
          <w14:ligatures w14:val="none"/>
        </w:rPr>
      </w:pPr>
      <w:r w:rsidRPr="008B1397">
        <w:rPr>
          <w:rFonts w:ascii="Times New Roman" w:eastAsia="Calibri" w:hAnsi="Times New Roman" w:cs="Times New Roman"/>
          <w:b/>
          <w:lang w:val="sr-Cyrl-RS"/>
          <w14:ligatures w14:val="none"/>
        </w:rPr>
        <w:t>Funding of the PURS measure: For the implementation of this measure in the period 2021-2025. a total of 2,461,333,579.52 dinars were spent. The measure was financed from the budget of the RS, the World Bank, the IPA Programme, the German Organisation for International Cooperation GIZ and other donor sources.</w:t>
      </w:r>
    </w:p>
    <w:p w14:paraId="3EC69C6F" w14:textId="77777777" w:rsidR="007E0803" w:rsidRPr="00A32FE0" w:rsidRDefault="007E0803" w:rsidP="00FF526A">
      <w:pPr>
        <w:spacing w:line="276" w:lineRule="auto"/>
        <w:ind w:firstLine="720"/>
        <w:jc w:val="both"/>
        <w:rPr>
          <w:rFonts w:ascii="Times New Roman" w:eastAsia="Aptos" w:hAnsi="Times New Roman" w:cs="Times New Roman"/>
          <w:lang w:val="sr-Cyrl-RS"/>
        </w:rPr>
      </w:pPr>
      <w:r w:rsidRPr="00A32FE0">
        <w:rPr>
          <w:rFonts w:ascii="Times New Roman" w:eastAsia="Aptos" w:hAnsi="Times New Roman" w:cs="Times New Roman"/>
          <w:lang w:val="sr-Cyrl-RS"/>
        </w:rPr>
        <w:t>During 2025, the sector for digitalisation in the field of finance carried out the further improvement of electronic invoicing in two directions: the establishment of the prerequisites to enable, to the greatest extent possible, a digitized value added tax calculation system by using the electronic invoice system, and at the same time creating the prerequisites for the start of the application of regulations regulating the use of the eOtpremnica System (an electronic document that confirms the delivery and receipt of goods).</w:t>
      </w:r>
    </w:p>
    <w:p w14:paraId="646C2CF5" w14:textId="77777777" w:rsidR="007E0803" w:rsidRPr="00A32FE0" w:rsidRDefault="007E0803" w:rsidP="00FF526A">
      <w:pPr>
        <w:spacing w:line="276" w:lineRule="auto"/>
        <w:ind w:firstLine="720"/>
        <w:jc w:val="both"/>
        <w:rPr>
          <w:rFonts w:ascii="Times New Roman" w:eastAsia="Aptos" w:hAnsi="Times New Roman" w:cs="Times New Roman"/>
          <w:lang w:val="sr-Cyrl-RS"/>
        </w:rPr>
      </w:pPr>
      <w:r w:rsidRPr="00A32FE0">
        <w:rPr>
          <w:rFonts w:ascii="Times New Roman" w:eastAsia="Aptos" w:hAnsi="Times New Roman" w:cs="Times New Roman"/>
          <w:lang w:val="sr-Cyrl-RS"/>
        </w:rPr>
        <w:t xml:space="preserve">During 2025, amendments were made to the Law on Electronic Invoicing (hereinafter: ZEF) and the Rulebook on Electronic Invoicing (hereinafter: PEF). The goal of these changes is the planned and announced continuation of the development of the Electronic Invoice System (hereinafter: SEF), in order to digitize the VAT calculation to the greatest extent possible. The continuation of the development will enable the preparation of a preliminary VAT tax return based on the data available to the SEF, which is also prescribed by the ZEF, and at the same time the </w:t>
      </w:r>
      <w:r w:rsidRPr="00A32FE0">
        <w:rPr>
          <w:rFonts w:ascii="Times New Roman" w:eastAsia="Aptos" w:hAnsi="Times New Roman" w:cs="Times New Roman"/>
          <w:lang w:val="sr-Cyrl-RS"/>
        </w:rPr>
        <w:lastRenderedPageBreak/>
        <w:t>amended and supplemented provisions governing the SEF are fully aligned with the amendments to the Value Added Tax Act. The system of electronic invoices has also been improved in terms of enabling the storage of a larger number of documents that were created in the SEF, that is, that are processed by the SEF, and which are needed for the purposes of electronic VAT recording and preliminary VAT tax returns. Also, the process of integrating the Electronic Invoice System with the Fiscalization Management System was implemented in March 2025. The module is available on the SEF demo environment from March 6, 2025, and from April 1, 2025, it is also available on the production environment.</w:t>
      </w:r>
    </w:p>
    <w:p w14:paraId="25059CA8" w14:textId="77777777" w:rsidR="007E0803" w:rsidRPr="00FF526A" w:rsidRDefault="007E0803" w:rsidP="00FF526A">
      <w:pPr>
        <w:spacing w:line="256" w:lineRule="auto"/>
        <w:ind w:firstLine="720"/>
        <w:jc w:val="both"/>
        <w:rPr>
          <w:rFonts w:ascii="Times New Roman" w:eastAsia="Calibri" w:hAnsi="Times New Roman" w:cs="Times New Roman"/>
          <w:lang w:val="en-US"/>
          <w14:ligatures w14:val="none"/>
        </w:rPr>
      </w:pPr>
      <w:r w:rsidRPr="00A32FE0">
        <w:rPr>
          <w:rFonts w:ascii="Times New Roman" w:eastAsia="Aptos" w:hAnsi="Times New Roman" w:cs="Times New Roman"/>
          <w:lang w:val="sr-Cyrl-RS"/>
        </w:rPr>
        <w:t>In December 2025, the Law on Electronic Delivery Notes, which was adopted in 2024, was amended and supplemented. Also, in March 2025, a by-law was adopted, which was amended and supplemented in December 2025. The eOtpremnica system has been set to DEMO environment since March 2025. Along with placing the System on the demo environment, all technical documentation and user manuals were also published. Also, mobile applications for transport companies (MATP) and mobile applications for system users (MAKS) are also available on the production environment, in accordance with the deadline prescribed by the Law. The eOtpremnica system has been in the production environment since December 30, 2025, and the mandatory use of the system began on January 1, 2026, for excise products and the delivery of goods to the public sector, while for private sector entities, this obligation will occur from October 1, 2027.</w:t>
      </w:r>
    </w:p>
    <w:p w14:paraId="635790DA" w14:textId="77777777" w:rsidR="00685537" w:rsidRPr="008B1397" w:rsidRDefault="00685537" w:rsidP="00685537">
      <w:pPr>
        <w:spacing w:line="256"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Measure 2.2. Modernisation of the work process of the Tobacco Administration</w:t>
      </w:r>
    </w:p>
    <w:p w14:paraId="315CE166" w14:textId="77777777" w:rsidR="00685537" w:rsidRPr="008B1397" w:rsidRDefault="00685537" w:rsidP="00685537">
      <w:pPr>
        <w:spacing w:line="256" w:lineRule="auto"/>
        <w:rPr>
          <w:rFonts w:ascii="Times New Roman" w:eastAsia="Calibri" w:hAnsi="Times New Roman" w:cs="Times New Roman"/>
          <w:lang w:val="sr-Cyrl-RS"/>
          <w14:ligatures w14:val="none"/>
        </w:rPr>
      </w:pPr>
    </w:p>
    <w:tbl>
      <w:tblPr>
        <w:tblStyle w:val="TableGrid"/>
        <w:tblW w:w="0" w:type="auto"/>
        <w:tblInd w:w="0" w:type="dxa"/>
        <w:tblLook w:val="04A0" w:firstRow="1" w:lastRow="0" w:firstColumn="1" w:lastColumn="0" w:noHBand="0" w:noVBand="1"/>
      </w:tblPr>
      <w:tblGrid>
        <w:gridCol w:w="2279"/>
        <w:gridCol w:w="2232"/>
        <w:gridCol w:w="2247"/>
        <w:gridCol w:w="2258"/>
      </w:tblGrid>
      <w:tr w:rsidR="00685537" w:rsidRPr="008B1397" w14:paraId="7BC6E9E5" w14:textId="77777777" w:rsidTr="00E4060C">
        <w:tc>
          <w:tcPr>
            <w:tcW w:w="227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33FD69A" w14:textId="77777777" w:rsidR="00685537" w:rsidRPr="0095283C" w:rsidRDefault="00685537" w:rsidP="00685537">
            <w:pPr>
              <w:jc w:val="center"/>
              <w:rPr>
                <w:rFonts w:ascii="Times New Roman" w:hAnsi="Times New Roman"/>
                <w:b/>
                <w:bCs/>
                <w:lang w:val="sr-Cyrl-RS"/>
              </w:rPr>
            </w:pPr>
            <w:r w:rsidRPr="0095283C">
              <w:rPr>
                <w:rFonts w:ascii="Times New Roman" w:hAnsi="Times New Roman"/>
                <w:b/>
                <w:bCs/>
                <w:lang w:val="sr-Cyrl-RS"/>
              </w:rPr>
              <w:t>Indicators at the measure level</w:t>
            </w:r>
          </w:p>
        </w:tc>
        <w:tc>
          <w:tcPr>
            <w:tcW w:w="22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318B5E6"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Year</w:t>
            </w:r>
          </w:p>
        </w:tc>
        <w:tc>
          <w:tcPr>
            <w:tcW w:w="224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6071E3B"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Target value</w:t>
            </w:r>
          </w:p>
        </w:tc>
        <w:tc>
          <w:tcPr>
            <w:tcW w:w="225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A1FA9EF"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Achieved value</w:t>
            </w:r>
          </w:p>
        </w:tc>
      </w:tr>
      <w:tr w:rsidR="00685537" w:rsidRPr="008B1397" w14:paraId="56B710BD" w14:textId="77777777">
        <w:trPr>
          <w:trHeight w:val="431"/>
        </w:trPr>
        <w:tc>
          <w:tcPr>
            <w:tcW w:w="2279" w:type="dxa"/>
            <w:vMerge w:val="restart"/>
            <w:tcBorders>
              <w:top w:val="single" w:sz="4" w:space="0" w:color="auto"/>
              <w:left w:val="single" w:sz="4" w:space="0" w:color="auto"/>
              <w:bottom w:val="single" w:sz="4" w:space="0" w:color="auto"/>
              <w:right w:val="single" w:sz="4" w:space="0" w:color="auto"/>
            </w:tcBorders>
          </w:tcPr>
          <w:p w14:paraId="1907FF9D" w14:textId="77777777" w:rsidR="00685537" w:rsidRPr="0095283C" w:rsidRDefault="00685537" w:rsidP="00685537">
            <w:pPr>
              <w:jc w:val="both"/>
              <w:rPr>
                <w:rFonts w:ascii="Times New Roman" w:hAnsi="Times New Roman"/>
                <w:b/>
                <w:bCs/>
                <w:lang w:val="sr-Cyrl-RS"/>
              </w:rPr>
            </w:pPr>
            <w:r w:rsidRPr="0095283C">
              <w:rPr>
                <w:rFonts w:ascii="Times New Roman" w:hAnsi="Times New Roman"/>
                <w:b/>
                <w:bCs/>
                <w:lang w:val="sr-Cyrl-RS"/>
              </w:rPr>
              <w:t>A unique system of registers has been established</w:t>
            </w:r>
          </w:p>
          <w:p w14:paraId="62E5E29B"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2833337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247" w:type="dxa"/>
            <w:tcBorders>
              <w:top w:val="single" w:sz="4" w:space="0" w:color="auto"/>
              <w:left w:val="single" w:sz="4" w:space="0" w:color="auto"/>
              <w:bottom w:val="single" w:sz="4" w:space="0" w:color="auto"/>
              <w:right w:val="single" w:sz="4" w:space="0" w:color="auto"/>
            </w:tcBorders>
            <w:hideMark/>
          </w:tcPr>
          <w:p w14:paraId="4F4A504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w:t>
            </w:r>
          </w:p>
        </w:tc>
        <w:tc>
          <w:tcPr>
            <w:tcW w:w="2258" w:type="dxa"/>
            <w:tcBorders>
              <w:top w:val="single" w:sz="4" w:space="0" w:color="auto"/>
              <w:left w:val="single" w:sz="4" w:space="0" w:color="auto"/>
              <w:bottom w:val="single" w:sz="4" w:space="0" w:color="auto"/>
              <w:right w:val="single" w:sz="4" w:space="0" w:color="auto"/>
            </w:tcBorders>
            <w:hideMark/>
          </w:tcPr>
          <w:p w14:paraId="70F734F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w:t>
            </w:r>
          </w:p>
        </w:tc>
      </w:tr>
      <w:tr w:rsidR="00685537" w:rsidRPr="008B1397" w14:paraId="52C56D57"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A00FF"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42D5046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247" w:type="dxa"/>
            <w:tcBorders>
              <w:top w:val="single" w:sz="4" w:space="0" w:color="auto"/>
              <w:left w:val="single" w:sz="4" w:space="0" w:color="auto"/>
              <w:bottom w:val="single" w:sz="4" w:space="0" w:color="auto"/>
              <w:right w:val="single" w:sz="4" w:space="0" w:color="auto"/>
            </w:tcBorders>
            <w:hideMark/>
          </w:tcPr>
          <w:p w14:paraId="01171ED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6F05F64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6D50F20B"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07180"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5B0F45F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247" w:type="dxa"/>
            <w:tcBorders>
              <w:top w:val="single" w:sz="4" w:space="0" w:color="auto"/>
              <w:left w:val="single" w:sz="4" w:space="0" w:color="auto"/>
              <w:bottom w:val="single" w:sz="4" w:space="0" w:color="auto"/>
              <w:right w:val="single" w:sz="4" w:space="0" w:color="auto"/>
            </w:tcBorders>
            <w:hideMark/>
          </w:tcPr>
          <w:p w14:paraId="73FC085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26D8FC3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3BAF5126"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279F2"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3DED0CC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247" w:type="dxa"/>
            <w:tcBorders>
              <w:top w:val="single" w:sz="4" w:space="0" w:color="auto"/>
              <w:left w:val="single" w:sz="4" w:space="0" w:color="auto"/>
              <w:bottom w:val="single" w:sz="4" w:space="0" w:color="auto"/>
              <w:right w:val="single" w:sz="4" w:space="0" w:color="auto"/>
            </w:tcBorders>
            <w:hideMark/>
          </w:tcPr>
          <w:p w14:paraId="4A0F522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48CEAC2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2F0A77ED"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8F7BE"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6BD5252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247" w:type="dxa"/>
            <w:tcBorders>
              <w:top w:val="single" w:sz="4" w:space="0" w:color="auto"/>
              <w:left w:val="single" w:sz="4" w:space="0" w:color="auto"/>
              <w:bottom w:val="single" w:sz="4" w:space="0" w:color="auto"/>
              <w:right w:val="single" w:sz="4" w:space="0" w:color="auto"/>
            </w:tcBorders>
            <w:hideMark/>
          </w:tcPr>
          <w:p w14:paraId="6AFFA0B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6BC63C7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2730696D" w14:textId="77777777">
        <w:trPr>
          <w:trHeight w:val="431"/>
        </w:trPr>
        <w:tc>
          <w:tcPr>
            <w:tcW w:w="2279" w:type="dxa"/>
            <w:vMerge w:val="restart"/>
            <w:tcBorders>
              <w:top w:val="single" w:sz="4" w:space="0" w:color="auto"/>
              <w:left w:val="single" w:sz="4" w:space="0" w:color="auto"/>
              <w:bottom w:val="single" w:sz="4" w:space="0" w:color="auto"/>
              <w:right w:val="single" w:sz="4" w:space="0" w:color="auto"/>
            </w:tcBorders>
          </w:tcPr>
          <w:p w14:paraId="3FA778B8" w14:textId="77777777" w:rsidR="00685537" w:rsidRPr="0095283C" w:rsidRDefault="00685537" w:rsidP="00685537">
            <w:pPr>
              <w:rPr>
                <w:rFonts w:eastAsia="Times New Roman"/>
                <w:b/>
                <w:bCs/>
                <w:color w:val="000000"/>
                <w:lang w:val="sr-Cyrl-RS" w:eastAsia="en-GB"/>
              </w:rPr>
            </w:pPr>
            <w:r w:rsidRPr="0095283C">
              <w:rPr>
                <w:rFonts w:ascii="Times New Roman" w:eastAsia="Times New Roman" w:hAnsi="Times New Roman"/>
                <w:b/>
                <w:bCs/>
                <w:color w:val="000000"/>
                <w:lang w:val="sr-Cyrl-RS" w:eastAsia="en-GB"/>
              </w:rPr>
              <w:t>All employees of the Tobacco Administration were trained to work in a unified system of registers</w:t>
            </w:r>
          </w:p>
          <w:p w14:paraId="16CEF879"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1D1EF45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247" w:type="dxa"/>
            <w:tcBorders>
              <w:top w:val="single" w:sz="4" w:space="0" w:color="auto"/>
              <w:left w:val="single" w:sz="4" w:space="0" w:color="auto"/>
              <w:bottom w:val="single" w:sz="4" w:space="0" w:color="auto"/>
              <w:right w:val="single" w:sz="4" w:space="0" w:color="auto"/>
            </w:tcBorders>
            <w:hideMark/>
          </w:tcPr>
          <w:p w14:paraId="4790011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100%</w:t>
            </w:r>
          </w:p>
        </w:tc>
        <w:tc>
          <w:tcPr>
            <w:tcW w:w="2258" w:type="dxa"/>
            <w:tcBorders>
              <w:top w:val="single" w:sz="4" w:space="0" w:color="auto"/>
              <w:left w:val="single" w:sz="4" w:space="0" w:color="auto"/>
              <w:bottom w:val="single" w:sz="4" w:space="0" w:color="auto"/>
              <w:right w:val="single" w:sz="4" w:space="0" w:color="auto"/>
            </w:tcBorders>
            <w:hideMark/>
          </w:tcPr>
          <w:p w14:paraId="7A86F9F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100%</w:t>
            </w:r>
          </w:p>
        </w:tc>
      </w:tr>
      <w:tr w:rsidR="00685537" w:rsidRPr="008B1397" w14:paraId="14CD54A3"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93545"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1E8D542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247" w:type="dxa"/>
            <w:tcBorders>
              <w:top w:val="single" w:sz="4" w:space="0" w:color="auto"/>
              <w:left w:val="single" w:sz="4" w:space="0" w:color="auto"/>
              <w:bottom w:val="single" w:sz="4" w:space="0" w:color="auto"/>
              <w:right w:val="single" w:sz="4" w:space="0" w:color="auto"/>
            </w:tcBorders>
            <w:hideMark/>
          </w:tcPr>
          <w:p w14:paraId="2EE2764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40E10D7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66B2C997"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4A79D"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130F06E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247" w:type="dxa"/>
            <w:tcBorders>
              <w:top w:val="single" w:sz="4" w:space="0" w:color="auto"/>
              <w:left w:val="single" w:sz="4" w:space="0" w:color="auto"/>
              <w:bottom w:val="single" w:sz="4" w:space="0" w:color="auto"/>
              <w:right w:val="single" w:sz="4" w:space="0" w:color="auto"/>
            </w:tcBorders>
            <w:hideMark/>
          </w:tcPr>
          <w:p w14:paraId="4289AA9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3661F2F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1572FDA5"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EC9A37"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56E5338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247" w:type="dxa"/>
            <w:tcBorders>
              <w:top w:val="single" w:sz="4" w:space="0" w:color="auto"/>
              <w:left w:val="single" w:sz="4" w:space="0" w:color="auto"/>
              <w:bottom w:val="single" w:sz="4" w:space="0" w:color="auto"/>
              <w:right w:val="single" w:sz="4" w:space="0" w:color="auto"/>
            </w:tcBorders>
            <w:hideMark/>
          </w:tcPr>
          <w:p w14:paraId="31F7A6E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04CBB1D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1CC788EE"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969AC"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07D7D74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247" w:type="dxa"/>
            <w:tcBorders>
              <w:top w:val="single" w:sz="4" w:space="0" w:color="auto"/>
              <w:left w:val="single" w:sz="4" w:space="0" w:color="auto"/>
              <w:bottom w:val="single" w:sz="4" w:space="0" w:color="auto"/>
              <w:right w:val="single" w:sz="4" w:space="0" w:color="auto"/>
            </w:tcBorders>
            <w:hideMark/>
          </w:tcPr>
          <w:p w14:paraId="7E6BB3D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04DFE7A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450A87D7" w14:textId="77777777">
        <w:trPr>
          <w:trHeight w:val="431"/>
        </w:trPr>
        <w:tc>
          <w:tcPr>
            <w:tcW w:w="2279" w:type="dxa"/>
            <w:vMerge w:val="restart"/>
            <w:tcBorders>
              <w:top w:val="single" w:sz="4" w:space="0" w:color="auto"/>
              <w:left w:val="single" w:sz="4" w:space="0" w:color="auto"/>
              <w:bottom w:val="single" w:sz="4" w:space="0" w:color="auto"/>
              <w:right w:val="single" w:sz="4" w:space="0" w:color="auto"/>
            </w:tcBorders>
            <w:hideMark/>
          </w:tcPr>
          <w:p w14:paraId="2DDCC4F7" w14:textId="77777777" w:rsidR="00685537" w:rsidRPr="0095283C" w:rsidRDefault="00685537" w:rsidP="00685537">
            <w:pPr>
              <w:rPr>
                <w:rFonts w:ascii="Times New Roman" w:hAnsi="Times New Roman"/>
                <w:b/>
                <w:bCs/>
                <w:lang w:val="sr-Cyrl-RS"/>
              </w:rPr>
            </w:pPr>
            <w:r w:rsidRPr="0095283C">
              <w:rPr>
                <w:rFonts w:ascii="Times New Roman" w:eastAsia="Times New Roman" w:hAnsi="Times New Roman"/>
                <w:b/>
                <w:bCs/>
                <w:color w:val="000000"/>
                <w:lang w:val="sr-Cyrl-RS" w:eastAsia="en-GB"/>
              </w:rPr>
              <w:t xml:space="preserve">% of business entities that operate on the market of tobacco and tobacco products use the electronic </w:t>
            </w:r>
            <w:r w:rsidRPr="0095283C">
              <w:rPr>
                <w:rFonts w:ascii="Times New Roman" w:eastAsia="Times New Roman" w:hAnsi="Times New Roman"/>
                <w:b/>
                <w:bCs/>
                <w:color w:val="000000"/>
                <w:lang w:val="sr-Cyrl-RS" w:eastAsia="en-GB"/>
              </w:rPr>
              <w:lastRenderedPageBreak/>
              <w:t>services of the Tobacco Administration</w:t>
            </w:r>
          </w:p>
        </w:tc>
        <w:tc>
          <w:tcPr>
            <w:tcW w:w="2232" w:type="dxa"/>
            <w:tcBorders>
              <w:top w:val="single" w:sz="4" w:space="0" w:color="auto"/>
              <w:left w:val="single" w:sz="4" w:space="0" w:color="auto"/>
              <w:bottom w:val="single" w:sz="4" w:space="0" w:color="auto"/>
              <w:right w:val="single" w:sz="4" w:space="0" w:color="auto"/>
            </w:tcBorders>
            <w:hideMark/>
          </w:tcPr>
          <w:p w14:paraId="097CFB8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lastRenderedPageBreak/>
              <w:t>2021</w:t>
            </w:r>
          </w:p>
        </w:tc>
        <w:tc>
          <w:tcPr>
            <w:tcW w:w="2247" w:type="dxa"/>
            <w:tcBorders>
              <w:top w:val="single" w:sz="4" w:space="0" w:color="auto"/>
              <w:left w:val="single" w:sz="4" w:space="0" w:color="auto"/>
              <w:bottom w:val="single" w:sz="4" w:space="0" w:color="auto"/>
              <w:right w:val="single" w:sz="4" w:space="0" w:color="auto"/>
            </w:tcBorders>
            <w:hideMark/>
          </w:tcPr>
          <w:p w14:paraId="1ACAC5B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w:t>
            </w:r>
          </w:p>
        </w:tc>
        <w:tc>
          <w:tcPr>
            <w:tcW w:w="2258" w:type="dxa"/>
            <w:tcBorders>
              <w:top w:val="single" w:sz="4" w:space="0" w:color="auto"/>
              <w:left w:val="single" w:sz="4" w:space="0" w:color="auto"/>
              <w:bottom w:val="single" w:sz="4" w:space="0" w:color="auto"/>
              <w:right w:val="single" w:sz="4" w:space="0" w:color="auto"/>
            </w:tcBorders>
            <w:hideMark/>
          </w:tcPr>
          <w:p w14:paraId="701086A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w:t>
            </w:r>
          </w:p>
        </w:tc>
      </w:tr>
      <w:tr w:rsidR="00685537" w:rsidRPr="008B1397" w14:paraId="48D9C76C"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0A0E8F"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5CDD5A6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247" w:type="dxa"/>
            <w:tcBorders>
              <w:top w:val="single" w:sz="4" w:space="0" w:color="auto"/>
              <w:left w:val="single" w:sz="4" w:space="0" w:color="auto"/>
              <w:bottom w:val="single" w:sz="4" w:space="0" w:color="auto"/>
              <w:right w:val="single" w:sz="4" w:space="0" w:color="auto"/>
            </w:tcBorders>
            <w:hideMark/>
          </w:tcPr>
          <w:p w14:paraId="32E285E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40%</w:t>
            </w:r>
          </w:p>
        </w:tc>
        <w:tc>
          <w:tcPr>
            <w:tcW w:w="2258" w:type="dxa"/>
            <w:tcBorders>
              <w:top w:val="single" w:sz="4" w:space="0" w:color="auto"/>
              <w:left w:val="single" w:sz="4" w:space="0" w:color="auto"/>
              <w:bottom w:val="single" w:sz="4" w:space="0" w:color="auto"/>
              <w:right w:val="single" w:sz="4" w:space="0" w:color="auto"/>
            </w:tcBorders>
            <w:hideMark/>
          </w:tcPr>
          <w:p w14:paraId="3736B56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40%</w:t>
            </w:r>
          </w:p>
        </w:tc>
      </w:tr>
      <w:tr w:rsidR="00685537" w:rsidRPr="008B1397" w14:paraId="654ACB8F"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44B01"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367E5E3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247" w:type="dxa"/>
            <w:tcBorders>
              <w:top w:val="single" w:sz="4" w:space="0" w:color="auto"/>
              <w:left w:val="single" w:sz="4" w:space="0" w:color="auto"/>
              <w:bottom w:val="single" w:sz="4" w:space="0" w:color="auto"/>
              <w:right w:val="single" w:sz="4" w:space="0" w:color="auto"/>
            </w:tcBorders>
            <w:hideMark/>
          </w:tcPr>
          <w:p w14:paraId="28F18A0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60%</w:t>
            </w:r>
          </w:p>
        </w:tc>
        <w:tc>
          <w:tcPr>
            <w:tcW w:w="2258" w:type="dxa"/>
            <w:tcBorders>
              <w:top w:val="single" w:sz="4" w:space="0" w:color="auto"/>
              <w:left w:val="single" w:sz="4" w:space="0" w:color="auto"/>
              <w:bottom w:val="single" w:sz="4" w:space="0" w:color="auto"/>
              <w:right w:val="single" w:sz="4" w:space="0" w:color="auto"/>
            </w:tcBorders>
            <w:hideMark/>
          </w:tcPr>
          <w:p w14:paraId="5548CF6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65%</w:t>
            </w:r>
          </w:p>
        </w:tc>
      </w:tr>
      <w:tr w:rsidR="00685537" w:rsidRPr="008B1397" w14:paraId="65CBD0A4"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01EEB"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455EDB6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247" w:type="dxa"/>
            <w:tcBorders>
              <w:top w:val="single" w:sz="4" w:space="0" w:color="auto"/>
              <w:left w:val="single" w:sz="4" w:space="0" w:color="auto"/>
              <w:bottom w:val="single" w:sz="4" w:space="0" w:color="auto"/>
              <w:right w:val="single" w:sz="4" w:space="0" w:color="auto"/>
            </w:tcBorders>
            <w:hideMark/>
          </w:tcPr>
          <w:p w14:paraId="6314344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60%</w:t>
            </w:r>
          </w:p>
        </w:tc>
        <w:tc>
          <w:tcPr>
            <w:tcW w:w="2258" w:type="dxa"/>
            <w:tcBorders>
              <w:top w:val="single" w:sz="4" w:space="0" w:color="auto"/>
              <w:left w:val="single" w:sz="4" w:space="0" w:color="auto"/>
              <w:bottom w:val="single" w:sz="4" w:space="0" w:color="auto"/>
              <w:right w:val="single" w:sz="4" w:space="0" w:color="auto"/>
            </w:tcBorders>
            <w:hideMark/>
          </w:tcPr>
          <w:p w14:paraId="19261A4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65%</w:t>
            </w:r>
          </w:p>
        </w:tc>
      </w:tr>
      <w:tr w:rsidR="00685537" w:rsidRPr="008B1397" w14:paraId="6BE59E05"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00728" w14:textId="77777777" w:rsidR="00685537" w:rsidRPr="0095283C" w:rsidRDefault="00685537" w:rsidP="00685537">
            <w:pPr>
              <w:rPr>
                <w:rFonts w:ascii="Times New Roman" w:hAnsi="Times New Roman"/>
                <w:b/>
                <w:bCs/>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1CEF72B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247" w:type="dxa"/>
            <w:tcBorders>
              <w:top w:val="single" w:sz="4" w:space="0" w:color="auto"/>
              <w:left w:val="single" w:sz="4" w:space="0" w:color="auto"/>
              <w:bottom w:val="single" w:sz="4" w:space="0" w:color="auto"/>
              <w:right w:val="single" w:sz="4" w:space="0" w:color="auto"/>
            </w:tcBorders>
            <w:hideMark/>
          </w:tcPr>
          <w:p w14:paraId="29114AA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60%</w:t>
            </w:r>
          </w:p>
        </w:tc>
        <w:tc>
          <w:tcPr>
            <w:tcW w:w="2258" w:type="dxa"/>
            <w:tcBorders>
              <w:top w:val="single" w:sz="4" w:space="0" w:color="auto"/>
              <w:left w:val="single" w:sz="4" w:space="0" w:color="auto"/>
              <w:bottom w:val="single" w:sz="4" w:space="0" w:color="auto"/>
              <w:right w:val="single" w:sz="4" w:space="0" w:color="auto"/>
            </w:tcBorders>
            <w:hideMark/>
          </w:tcPr>
          <w:p w14:paraId="176A810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65%</w:t>
            </w:r>
          </w:p>
        </w:tc>
      </w:tr>
      <w:tr w:rsidR="00685537" w:rsidRPr="008B1397" w14:paraId="2BDB6FBA" w14:textId="77777777">
        <w:trPr>
          <w:trHeight w:val="431"/>
        </w:trPr>
        <w:tc>
          <w:tcPr>
            <w:tcW w:w="2279" w:type="dxa"/>
            <w:vMerge w:val="restart"/>
            <w:tcBorders>
              <w:top w:val="single" w:sz="4" w:space="0" w:color="auto"/>
              <w:left w:val="single" w:sz="4" w:space="0" w:color="auto"/>
              <w:bottom w:val="single" w:sz="4" w:space="0" w:color="auto"/>
              <w:right w:val="single" w:sz="4" w:space="0" w:color="auto"/>
            </w:tcBorders>
            <w:hideMark/>
          </w:tcPr>
          <w:p w14:paraId="62EC1EE6" w14:textId="77777777" w:rsidR="00685537" w:rsidRPr="0095283C" w:rsidRDefault="00685537" w:rsidP="00685537">
            <w:pPr>
              <w:rPr>
                <w:rFonts w:ascii="Times New Roman" w:hAnsi="Times New Roman"/>
                <w:b/>
                <w:bCs/>
                <w:lang w:val="sr-Cyrl-RS"/>
              </w:rPr>
            </w:pPr>
            <w:r w:rsidRPr="0095283C">
              <w:rPr>
                <w:rFonts w:ascii="Times New Roman" w:eastAsia="Times New Roman" w:hAnsi="Times New Roman"/>
                <w:b/>
                <w:bCs/>
                <w:color w:val="000000"/>
                <w:lang w:val="sr-Cyrl-RS" w:eastAsia="en-GB"/>
              </w:rPr>
              <w:t>Established new functionalities within the Integrated Information System of the Tobacco Administration</w:t>
            </w:r>
          </w:p>
        </w:tc>
        <w:tc>
          <w:tcPr>
            <w:tcW w:w="2232" w:type="dxa"/>
            <w:tcBorders>
              <w:top w:val="single" w:sz="4" w:space="0" w:color="auto"/>
              <w:left w:val="single" w:sz="4" w:space="0" w:color="auto"/>
              <w:bottom w:val="single" w:sz="4" w:space="0" w:color="auto"/>
              <w:right w:val="single" w:sz="4" w:space="0" w:color="auto"/>
            </w:tcBorders>
            <w:hideMark/>
          </w:tcPr>
          <w:p w14:paraId="176A4BC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247" w:type="dxa"/>
            <w:tcBorders>
              <w:top w:val="single" w:sz="4" w:space="0" w:color="auto"/>
              <w:left w:val="single" w:sz="4" w:space="0" w:color="auto"/>
              <w:bottom w:val="single" w:sz="4" w:space="0" w:color="auto"/>
              <w:right w:val="single" w:sz="4" w:space="0" w:color="auto"/>
            </w:tcBorders>
            <w:hideMark/>
          </w:tcPr>
          <w:p w14:paraId="63E9CC2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1B4B1E7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2665FBF5"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9FF86" w14:textId="77777777" w:rsidR="00685537" w:rsidRPr="008B1397" w:rsidRDefault="00685537" w:rsidP="00685537">
            <w:pPr>
              <w:rPr>
                <w:rFonts w:ascii="Times New Roman" w:hAnsi="Times New Roman"/>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43AC800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247" w:type="dxa"/>
            <w:tcBorders>
              <w:top w:val="single" w:sz="4" w:space="0" w:color="auto"/>
              <w:left w:val="single" w:sz="4" w:space="0" w:color="auto"/>
              <w:bottom w:val="single" w:sz="4" w:space="0" w:color="auto"/>
              <w:right w:val="single" w:sz="4" w:space="0" w:color="auto"/>
            </w:tcBorders>
            <w:hideMark/>
          </w:tcPr>
          <w:p w14:paraId="4BB9AB1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2CE69EC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1E0A5A2D"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F9A4E" w14:textId="77777777" w:rsidR="00685537" w:rsidRPr="008B1397" w:rsidRDefault="00685537" w:rsidP="00685537">
            <w:pPr>
              <w:rPr>
                <w:rFonts w:ascii="Times New Roman" w:hAnsi="Times New Roman"/>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074F73F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247" w:type="dxa"/>
            <w:tcBorders>
              <w:top w:val="single" w:sz="4" w:space="0" w:color="auto"/>
              <w:left w:val="single" w:sz="4" w:space="0" w:color="auto"/>
              <w:bottom w:val="single" w:sz="4" w:space="0" w:color="auto"/>
              <w:right w:val="single" w:sz="4" w:space="0" w:color="auto"/>
            </w:tcBorders>
            <w:hideMark/>
          </w:tcPr>
          <w:p w14:paraId="0E1F6A4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663BC53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3E88171D"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323FDA" w14:textId="77777777" w:rsidR="00685537" w:rsidRPr="008B1397" w:rsidRDefault="00685537" w:rsidP="00685537">
            <w:pPr>
              <w:rPr>
                <w:rFonts w:ascii="Times New Roman" w:hAnsi="Times New Roman"/>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38C836F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247" w:type="dxa"/>
            <w:tcBorders>
              <w:top w:val="single" w:sz="4" w:space="0" w:color="auto"/>
              <w:left w:val="single" w:sz="4" w:space="0" w:color="auto"/>
              <w:bottom w:val="single" w:sz="4" w:space="0" w:color="auto"/>
              <w:right w:val="single" w:sz="4" w:space="0" w:color="auto"/>
            </w:tcBorders>
            <w:hideMark/>
          </w:tcPr>
          <w:p w14:paraId="73F127A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258" w:type="dxa"/>
            <w:tcBorders>
              <w:top w:val="single" w:sz="4" w:space="0" w:color="auto"/>
              <w:left w:val="single" w:sz="4" w:space="0" w:color="auto"/>
              <w:bottom w:val="single" w:sz="4" w:space="0" w:color="auto"/>
              <w:right w:val="single" w:sz="4" w:space="0" w:color="auto"/>
            </w:tcBorders>
            <w:hideMark/>
          </w:tcPr>
          <w:p w14:paraId="058AF28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r>
      <w:tr w:rsidR="00685537" w:rsidRPr="008B1397" w14:paraId="39195A52"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B9219" w14:textId="77777777" w:rsidR="00685537" w:rsidRPr="008B1397" w:rsidRDefault="00685537" w:rsidP="00685537">
            <w:pPr>
              <w:rPr>
                <w:rFonts w:ascii="Times New Roman" w:hAnsi="Times New Roman"/>
                <w:lang w:val="sr-Cyrl-RS"/>
              </w:rPr>
            </w:pPr>
          </w:p>
        </w:tc>
        <w:tc>
          <w:tcPr>
            <w:tcW w:w="2232" w:type="dxa"/>
            <w:tcBorders>
              <w:top w:val="single" w:sz="4" w:space="0" w:color="auto"/>
              <w:left w:val="single" w:sz="4" w:space="0" w:color="auto"/>
              <w:bottom w:val="single" w:sz="4" w:space="0" w:color="auto"/>
              <w:right w:val="single" w:sz="4" w:space="0" w:color="auto"/>
            </w:tcBorders>
            <w:hideMark/>
          </w:tcPr>
          <w:p w14:paraId="3950856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247" w:type="dxa"/>
            <w:tcBorders>
              <w:top w:val="single" w:sz="4" w:space="0" w:color="auto"/>
              <w:left w:val="single" w:sz="4" w:space="0" w:color="auto"/>
              <w:bottom w:val="single" w:sz="4" w:space="0" w:color="auto"/>
              <w:right w:val="single" w:sz="4" w:space="0" w:color="auto"/>
            </w:tcBorders>
            <w:hideMark/>
          </w:tcPr>
          <w:p w14:paraId="611A7C5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w:t>
            </w:r>
          </w:p>
        </w:tc>
        <w:tc>
          <w:tcPr>
            <w:tcW w:w="2258" w:type="dxa"/>
            <w:tcBorders>
              <w:top w:val="single" w:sz="4" w:space="0" w:color="auto"/>
              <w:left w:val="single" w:sz="4" w:space="0" w:color="auto"/>
              <w:bottom w:val="single" w:sz="4" w:space="0" w:color="auto"/>
              <w:right w:val="single" w:sz="4" w:space="0" w:color="auto"/>
            </w:tcBorders>
            <w:hideMark/>
          </w:tcPr>
          <w:p w14:paraId="5021BB4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w:t>
            </w:r>
          </w:p>
        </w:tc>
      </w:tr>
    </w:tbl>
    <w:p w14:paraId="1CAACDFD" w14:textId="77777777" w:rsidR="00685537" w:rsidRPr="008B1397" w:rsidRDefault="00685537" w:rsidP="00685537">
      <w:pPr>
        <w:spacing w:line="256" w:lineRule="auto"/>
        <w:jc w:val="both"/>
        <w:rPr>
          <w:rFonts w:ascii="Times New Roman" w:eastAsia="Calibri" w:hAnsi="Times New Roman" w:cs="Times New Roman"/>
          <w:lang w:val="sr-Cyrl-RS"/>
          <w14:ligatures w14:val="none"/>
        </w:rPr>
      </w:pPr>
    </w:p>
    <w:p w14:paraId="5FAD205A"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reporting period, the Tobacco Administration worked on modernisation and automation of work processes. A unique system of registers has been established that unites 9 registers and 3 record lists in order to improve the efficiency of the services provided by the Tobacco Administration. The contribution is reflected in more efficient handling of the requests of business entities, as well as a more effective exchange of information with other competent authorities in order to carry out inspection supervision over business entities that operate on the market of tobacco and tobacco products and to suppress illegal traffic. Activities were carried out to strengthen the capacity of the Tobacco Administration for the use of the new information system and more efficient provision of services within the scope of the Administration's work, as well as raising the awareness of business entities operating in the tobacco and tobacco products market to submit their requests electronically and via the eAdministration portal, which contributed to reducing the expenses of business entities and saving time.</w:t>
      </w:r>
    </w:p>
    <w:p w14:paraId="0FBEF471"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During 2023, the project team of the Tobacco Administration worked on defining the new functionalities of the Integrated Information System, which were established through the upgrade of this system in 2024 and 2025.</w:t>
      </w:r>
    </w:p>
    <w:p w14:paraId="2BB43B10"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integrated information system of the Tobacco Administration was upgraded, which provided for the upgrade of existing modules in order to integrate with the e-Excise system and the introduction of new functionalities by creating a web portal for submitting reports of business entities entered in the registers and record lists at the Tobacco Administration. The reporting portal has been put into production.</w:t>
      </w:r>
    </w:p>
    <w:p w14:paraId="3C4AAE81"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end result of these activities is an increase in transparency and an easier exchange of information between competent authorities, all with the aim of more efficient revenue collection.</w:t>
      </w:r>
    </w:p>
    <w:p w14:paraId="18154E9A" w14:textId="77777777" w:rsidR="0058410E" w:rsidRPr="00467C20" w:rsidRDefault="00685537" w:rsidP="00467C20">
      <w:pPr>
        <w:spacing w:line="256"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b/>
          <w:lang w:val="sr-Cyrl-RS"/>
          <w14:ligatures w14:val="none"/>
        </w:rPr>
        <w:t>Financing of the measure: The measure was fully financed from the RS budget. In the period 2021-2025, 30,998,400.00 dinars were spent.</w:t>
      </w:r>
    </w:p>
    <w:p w14:paraId="04752538" w14:textId="77777777" w:rsidR="00685537" w:rsidRPr="008B1397" w:rsidRDefault="00685537" w:rsidP="00685537">
      <w:pPr>
        <w:spacing w:line="256"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Measure 2.3: Strengthening the administrative capacity of the Customs Administration</w:t>
      </w:r>
    </w:p>
    <w:p w14:paraId="1D217C75" w14:textId="77777777" w:rsidR="00685537" w:rsidRPr="008B1397" w:rsidRDefault="00685537" w:rsidP="00685537">
      <w:pPr>
        <w:spacing w:line="256" w:lineRule="auto"/>
        <w:jc w:val="both"/>
        <w:rPr>
          <w:rFonts w:ascii="Times New Roman" w:eastAsia="Calibri" w:hAnsi="Times New Roman" w:cs="Times New Roman"/>
          <w:b/>
          <w:u w:val="single"/>
          <w:lang w:val="sr-Cyrl-RS"/>
          <w14:ligatures w14:val="none"/>
        </w:rPr>
      </w:pPr>
    </w:p>
    <w:tbl>
      <w:tblPr>
        <w:tblStyle w:val="TableGrid1"/>
        <w:tblpPr w:leftFromText="181" w:rightFromText="181" w:vertAnchor="text" w:horzAnchor="margin" w:tblpY="1"/>
        <w:tblOverlap w:val="never"/>
        <w:tblW w:w="0" w:type="auto"/>
        <w:tblInd w:w="0" w:type="dxa"/>
        <w:tblLook w:val="04A0" w:firstRow="1" w:lastRow="0" w:firstColumn="1" w:lastColumn="0" w:noHBand="0" w:noVBand="1"/>
      </w:tblPr>
      <w:tblGrid>
        <w:gridCol w:w="2337"/>
        <w:gridCol w:w="1168"/>
        <w:gridCol w:w="2700"/>
        <w:gridCol w:w="3145"/>
      </w:tblGrid>
      <w:tr w:rsidR="00685537" w:rsidRPr="008B1397" w14:paraId="1CB4B7DC" w14:textId="77777777" w:rsidTr="00E4060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8B0674D"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Indicator at the measure level</w:t>
            </w:r>
          </w:p>
        </w:tc>
        <w:tc>
          <w:tcPr>
            <w:tcW w:w="116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277C3CD"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Year</w:t>
            </w:r>
          </w:p>
        </w:tc>
        <w:tc>
          <w:tcPr>
            <w:tcW w:w="270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79F463F"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Target value</w:t>
            </w:r>
          </w:p>
        </w:tc>
        <w:tc>
          <w:tcPr>
            <w:tcW w:w="314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456B042"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Achieved value in %</w:t>
            </w:r>
          </w:p>
        </w:tc>
      </w:tr>
      <w:tr w:rsidR="00685537" w:rsidRPr="008B1397" w14:paraId="6B9DB5C6"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5BFE2B44" w14:textId="77777777" w:rsidR="00685537" w:rsidRPr="0095283C" w:rsidRDefault="00685537" w:rsidP="00685537">
            <w:pPr>
              <w:rPr>
                <w:rFonts w:ascii="Times New Roman" w:hAnsi="Times New Roman"/>
                <w:b/>
                <w:bCs/>
                <w:lang w:val="sr-Cyrl-RS"/>
              </w:rPr>
            </w:pPr>
            <w:r w:rsidRPr="0095283C">
              <w:rPr>
                <w:rFonts w:ascii="Times New Roman" w:hAnsi="Times New Roman"/>
                <w:b/>
                <w:bCs/>
                <w:lang w:val="sr-Cyrl-RS"/>
              </w:rPr>
              <w:lastRenderedPageBreak/>
              <w:t>The percentage of actual collection of customs duties and VAT from imports in relation to the approved budget estimate.</w:t>
            </w:r>
          </w:p>
        </w:tc>
        <w:tc>
          <w:tcPr>
            <w:tcW w:w="1168" w:type="dxa"/>
            <w:tcBorders>
              <w:top w:val="single" w:sz="4" w:space="0" w:color="auto"/>
              <w:left w:val="single" w:sz="4" w:space="0" w:color="auto"/>
              <w:bottom w:val="single" w:sz="4" w:space="0" w:color="auto"/>
              <w:right w:val="single" w:sz="4" w:space="0" w:color="auto"/>
            </w:tcBorders>
            <w:hideMark/>
          </w:tcPr>
          <w:p w14:paraId="40CEC05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700" w:type="dxa"/>
            <w:tcBorders>
              <w:top w:val="single" w:sz="4" w:space="0" w:color="auto"/>
              <w:left w:val="single" w:sz="4" w:space="0" w:color="auto"/>
              <w:bottom w:val="single" w:sz="4" w:space="0" w:color="auto"/>
              <w:right w:val="single" w:sz="4" w:space="0" w:color="auto"/>
            </w:tcBorders>
            <w:hideMark/>
          </w:tcPr>
          <w:p w14:paraId="56B4E3D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duty 100%</w:t>
            </w:r>
          </w:p>
          <w:p w14:paraId="749608C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VAT 100%</w:t>
            </w:r>
          </w:p>
        </w:tc>
        <w:tc>
          <w:tcPr>
            <w:tcW w:w="3145" w:type="dxa"/>
            <w:tcBorders>
              <w:top w:val="single" w:sz="4" w:space="0" w:color="auto"/>
              <w:left w:val="single" w:sz="4" w:space="0" w:color="auto"/>
              <w:bottom w:val="single" w:sz="4" w:space="0" w:color="auto"/>
              <w:right w:val="single" w:sz="4" w:space="0" w:color="auto"/>
            </w:tcBorders>
            <w:hideMark/>
          </w:tcPr>
          <w:p w14:paraId="3ADB60F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105.49 (+5.49%)</w:t>
            </w:r>
          </w:p>
          <w:p w14:paraId="0D23665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VAT 101.86 (+1.86%)</w:t>
            </w:r>
          </w:p>
          <w:p w14:paraId="221A724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Average: 103.67</w:t>
            </w:r>
          </w:p>
        </w:tc>
      </w:tr>
      <w:tr w:rsidR="00685537" w:rsidRPr="008B1397" w14:paraId="28D55C13"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3536F" w14:textId="77777777" w:rsidR="00685537" w:rsidRPr="008B1397" w:rsidRDefault="00685537" w:rsidP="00685537">
            <w:pPr>
              <w:rPr>
                <w:rFonts w:ascii="Times New Roman" w:hAnsi="Times New Roman"/>
                <w:lang w:val="sr-Cyrl-RS"/>
              </w:rPr>
            </w:pPr>
          </w:p>
        </w:tc>
        <w:tc>
          <w:tcPr>
            <w:tcW w:w="1168" w:type="dxa"/>
            <w:tcBorders>
              <w:top w:val="single" w:sz="4" w:space="0" w:color="auto"/>
              <w:left w:val="single" w:sz="4" w:space="0" w:color="auto"/>
              <w:bottom w:val="single" w:sz="4" w:space="0" w:color="auto"/>
              <w:right w:val="single" w:sz="4" w:space="0" w:color="auto"/>
            </w:tcBorders>
            <w:hideMark/>
          </w:tcPr>
          <w:p w14:paraId="43B48F6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700" w:type="dxa"/>
            <w:tcBorders>
              <w:top w:val="single" w:sz="4" w:space="0" w:color="auto"/>
              <w:left w:val="single" w:sz="4" w:space="0" w:color="auto"/>
              <w:bottom w:val="single" w:sz="4" w:space="0" w:color="auto"/>
              <w:right w:val="single" w:sz="4" w:space="0" w:color="auto"/>
            </w:tcBorders>
            <w:hideMark/>
          </w:tcPr>
          <w:p w14:paraId="00ED761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100% VAT 100%</w:t>
            </w:r>
          </w:p>
        </w:tc>
        <w:tc>
          <w:tcPr>
            <w:tcW w:w="3145" w:type="dxa"/>
            <w:tcBorders>
              <w:top w:val="single" w:sz="4" w:space="0" w:color="auto"/>
              <w:left w:val="single" w:sz="4" w:space="0" w:color="auto"/>
              <w:bottom w:val="single" w:sz="4" w:space="0" w:color="auto"/>
              <w:right w:val="single" w:sz="4" w:space="0" w:color="auto"/>
            </w:tcBorders>
            <w:hideMark/>
          </w:tcPr>
          <w:p w14:paraId="30D777B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99.93 (-0.07%) VAT 98.95 (-1.05%)</w:t>
            </w:r>
          </w:p>
          <w:p w14:paraId="551885E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Average: 99.44</w:t>
            </w:r>
          </w:p>
        </w:tc>
      </w:tr>
      <w:tr w:rsidR="00685537" w:rsidRPr="008B1397" w14:paraId="1777C617"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3A17C7" w14:textId="77777777" w:rsidR="00685537" w:rsidRPr="008B1397" w:rsidRDefault="00685537" w:rsidP="00685537">
            <w:pPr>
              <w:rPr>
                <w:rFonts w:ascii="Times New Roman" w:hAnsi="Times New Roman"/>
                <w:lang w:val="sr-Cyrl-RS"/>
              </w:rPr>
            </w:pPr>
          </w:p>
        </w:tc>
        <w:tc>
          <w:tcPr>
            <w:tcW w:w="1168" w:type="dxa"/>
            <w:tcBorders>
              <w:top w:val="single" w:sz="4" w:space="0" w:color="auto"/>
              <w:left w:val="single" w:sz="4" w:space="0" w:color="auto"/>
              <w:bottom w:val="single" w:sz="4" w:space="0" w:color="auto"/>
              <w:right w:val="single" w:sz="4" w:space="0" w:color="auto"/>
            </w:tcBorders>
            <w:hideMark/>
          </w:tcPr>
          <w:p w14:paraId="7BAEDCB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700" w:type="dxa"/>
            <w:tcBorders>
              <w:top w:val="single" w:sz="4" w:space="0" w:color="auto"/>
              <w:left w:val="single" w:sz="4" w:space="0" w:color="auto"/>
              <w:bottom w:val="single" w:sz="4" w:space="0" w:color="auto"/>
              <w:right w:val="single" w:sz="4" w:space="0" w:color="auto"/>
            </w:tcBorders>
            <w:hideMark/>
          </w:tcPr>
          <w:p w14:paraId="7E567E3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duty 100%</w:t>
            </w:r>
          </w:p>
          <w:p w14:paraId="5735227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VAT 100%</w:t>
            </w:r>
          </w:p>
        </w:tc>
        <w:tc>
          <w:tcPr>
            <w:tcW w:w="3145" w:type="dxa"/>
            <w:tcBorders>
              <w:top w:val="single" w:sz="4" w:space="0" w:color="auto"/>
              <w:left w:val="single" w:sz="4" w:space="0" w:color="auto"/>
              <w:bottom w:val="single" w:sz="4" w:space="0" w:color="auto"/>
              <w:right w:val="single" w:sz="4" w:space="0" w:color="auto"/>
            </w:tcBorders>
            <w:hideMark/>
          </w:tcPr>
          <w:p w14:paraId="2C779C93" w14:textId="77777777" w:rsidR="00685537" w:rsidRPr="009965DC" w:rsidRDefault="00685537" w:rsidP="00685537">
            <w:pPr>
              <w:jc w:val="center"/>
              <w:rPr>
                <w:rFonts w:ascii="Times New Roman" w:hAnsi="Times New Roman"/>
              </w:rPr>
            </w:pPr>
            <w:r w:rsidRPr="008B1397">
              <w:rPr>
                <w:rFonts w:ascii="Times New Roman" w:hAnsi="Times New Roman"/>
                <w:lang w:val="sr-Cyrl-RS"/>
              </w:rPr>
              <w:t>Customs 97.89</w:t>
            </w:r>
          </w:p>
          <w:p w14:paraId="03BE847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r w:rsidR="007C28CD">
              <w:rPr>
                <w:rFonts w:ascii="Times New Roman" w:hAnsi="Times New Roman"/>
              </w:rPr>
              <w:t>-</w:t>
            </w:r>
            <w:r w:rsidR="005C7CBC">
              <w:rPr>
                <w:rFonts w:ascii="Times New Roman" w:hAnsi="Times New Roman"/>
                <w:lang w:val="sr-Cyrl-RS"/>
              </w:rPr>
              <w:t>2,11</w:t>
            </w:r>
            <w:r w:rsidR="007C28CD">
              <w:rPr>
                <w:rFonts w:ascii="Times New Roman" w:hAnsi="Times New Roman"/>
              </w:rPr>
              <w:t>%</w:t>
            </w:r>
            <w:r w:rsidRPr="008B1397">
              <w:rPr>
                <w:rFonts w:ascii="Times New Roman" w:hAnsi="Times New Roman"/>
                <w:lang w:val="sr-Cyrl-RS"/>
              </w:rPr>
              <w:t>)</w:t>
            </w:r>
          </w:p>
          <w:p w14:paraId="3EED045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VAT 97.55 (-2.45%)</w:t>
            </w:r>
          </w:p>
          <w:p w14:paraId="25CBD35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Average: 97.72</w:t>
            </w:r>
          </w:p>
        </w:tc>
      </w:tr>
      <w:tr w:rsidR="00685537" w:rsidRPr="008B1397" w14:paraId="10BBA854"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F72224" w14:textId="77777777" w:rsidR="00685537" w:rsidRPr="008B1397" w:rsidRDefault="00685537" w:rsidP="00685537">
            <w:pPr>
              <w:rPr>
                <w:rFonts w:ascii="Times New Roman" w:hAnsi="Times New Roman"/>
                <w:lang w:val="sr-Cyrl-RS"/>
              </w:rPr>
            </w:pPr>
          </w:p>
        </w:tc>
        <w:tc>
          <w:tcPr>
            <w:tcW w:w="1168" w:type="dxa"/>
            <w:tcBorders>
              <w:top w:val="single" w:sz="4" w:space="0" w:color="auto"/>
              <w:left w:val="single" w:sz="4" w:space="0" w:color="auto"/>
              <w:bottom w:val="single" w:sz="4" w:space="0" w:color="auto"/>
              <w:right w:val="single" w:sz="4" w:space="0" w:color="auto"/>
            </w:tcBorders>
            <w:hideMark/>
          </w:tcPr>
          <w:p w14:paraId="6BE5AB59"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700" w:type="dxa"/>
            <w:tcBorders>
              <w:top w:val="single" w:sz="4" w:space="0" w:color="auto"/>
              <w:left w:val="single" w:sz="4" w:space="0" w:color="auto"/>
              <w:bottom w:val="single" w:sz="4" w:space="0" w:color="auto"/>
              <w:right w:val="single" w:sz="4" w:space="0" w:color="auto"/>
            </w:tcBorders>
            <w:hideMark/>
          </w:tcPr>
          <w:p w14:paraId="64EB613A"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100% VAT 100%</w:t>
            </w:r>
          </w:p>
        </w:tc>
        <w:tc>
          <w:tcPr>
            <w:tcW w:w="3145" w:type="dxa"/>
            <w:tcBorders>
              <w:top w:val="single" w:sz="4" w:space="0" w:color="auto"/>
              <w:left w:val="single" w:sz="4" w:space="0" w:color="auto"/>
              <w:bottom w:val="single" w:sz="4" w:space="0" w:color="auto"/>
              <w:right w:val="single" w:sz="4" w:space="0" w:color="auto"/>
            </w:tcBorders>
            <w:hideMark/>
          </w:tcPr>
          <w:p w14:paraId="34FDDD7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101.64 (+1.64%) VAT 97.72 (-2.28%)</w:t>
            </w:r>
          </w:p>
          <w:p w14:paraId="0A26E21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Average: 99.68</w:t>
            </w:r>
          </w:p>
        </w:tc>
      </w:tr>
      <w:tr w:rsidR="00685537" w:rsidRPr="008B1397" w14:paraId="5898962C"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35658D" w14:textId="77777777" w:rsidR="00685537" w:rsidRPr="008B1397" w:rsidRDefault="00685537" w:rsidP="00685537">
            <w:pPr>
              <w:rPr>
                <w:rFonts w:ascii="Times New Roman" w:hAnsi="Times New Roman"/>
                <w:lang w:val="sr-Cyrl-RS"/>
              </w:rPr>
            </w:pPr>
          </w:p>
        </w:tc>
        <w:tc>
          <w:tcPr>
            <w:tcW w:w="1168" w:type="dxa"/>
            <w:tcBorders>
              <w:top w:val="single" w:sz="4" w:space="0" w:color="auto"/>
              <w:left w:val="single" w:sz="4" w:space="0" w:color="auto"/>
              <w:bottom w:val="single" w:sz="4" w:space="0" w:color="auto"/>
              <w:right w:val="single" w:sz="4" w:space="0" w:color="auto"/>
            </w:tcBorders>
            <w:hideMark/>
          </w:tcPr>
          <w:p w14:paraId="3D858D3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700" w:type="dxa"/>
            <w:tcBorders>
              <w:top w:val="single" w:sz="4" w:space="0" w:color="auto"/>
              <w:left w:val="single" w:sz="4" w:space="0" w:color="auto"/>
              <w:bottom w:val="single" w:sz="4" w:space="0" w:color="auto"/>
              <w:right w:val="single" w:sz="4" w:space="0" w:color="auto"/>
            </w:tcBorders>
            <w:hideMark/>
          </w:tcPr>
          <w:p w14:paraId="478668C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customs duty 100%</w:t>
            </w:r>
          </w:p>
          <w:p w14:paraId="0A6E0A7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VAT 100%</w:t>
            </w:r>
          </w:p>
        </w:tc>
        <w:tc>
          <w:tcPr>
            <w:tcW w:w="3145" w:type="dxa"/>
            <w:tcBorders>
              <w:top w:val="single" w:sz="4" w:space="0" w:color="auto"/>
              <w:left w:val="single" w:sz="4" w:space="0" w:color="auto"/>
              <w:bottom w:val="single" w:sz="4" w:space="0" w:color="auto"/>
              <w:right w:val="single" w:sz="4" w:space="0" w:color="auto"/>
            </w:tcBorders>
            <w:hideMark/>
          </w:tcPr>
          <w:p w14:paraId="3A950460" w14:textId="77777777" w:rsidR="00685537" w:rsidRPr="009965DC" w:rsidRDefault="00685537" w:rsidP="00685537">
            <w:pPr>
              <w:jc w:val="center"/>
              <w:rPr>
                <w:rFonts w:ascii="Times New Roman" w:hAnsi="Times New Roman"/>
              </w:rPr>
            </w:pPr>
            <w:r w:rsidRPr="008B1397">
              <w:rPr>
                <w:rFonts w:ascii="Times New Roman" w:hAnsi="Times New Roman"/>
                <w:lang w:val="sr-Cyrl-RS"/>
              </w:rPr>
              <w:t>Customs 98.58</w:t>
            </w:r>
          </w:p>
          <w:p w14:paraId="01D59BBD" w14:textId="77777777" w:rsidR="00685537" w:rsidRPr="009965DC" w:rsidRDefault="00685537" w:rsidP="00685537">
            <w:pPr>
              <w:jc w:val="center"/>
              <w:rPr>
                <w:rFonts w:ascii="Times New Roman" w:hAnsi="Times New Roman"/>
              </w:rPr>
            </w:pPr>
            <w:r w:rsidRPr="008B1397">
              <w:rPr>
                <w:rFonts w:ascii="Times New Roman" w:hAnsi="Times New Roman"/>
                <w:lang w:val="sr-Cyrl-RS"/>
              </w:rPr>
              <w:t>VAT 92.81</w:t>
            </w:r>
          </w:p>
          <w:p w14:paraId="7AC4525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Average: 95.70</w:t>
            </w:r>
          </w:p>
        </w:tc>
      </w:tr>
    </w:tbl>
    <w:p w14:paraId="70C60566" w14:textId="77777777" w:rsidR="00685537" w:rsidRPr="008B1397" w:rsidRDefault="00685537" w:rsidP="00685537">
      <w:pPr>
        <w:spacing w:line="256" w:lineRule="auto"/>
        <w:rPr>
          <w:rFonts w:ascii="Times New Roman" w:eastAsia="Calibri" w:hAnsi="Times New Roman" w:cs="Times New Roman"/>
          <w:b/>
          <w:lang w:val="sr-Cyrl-RS"/>
          <w14:ligatures w14:val="none"/>
        </w:rPr>
      </w:pPr>
    </w:p>
    <w:p w14:paraId="77CA1E13"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period 2021-2025. within the framework of the Strengthening the Administrative Capacity of the Customs Administration measure, the target values ​​of the indicators can be assessed as achieved, calculating the average value of the achieved collection of customs duties (customs duties and VAT from imports) and taking into account the foreseen permitted deviation from the target value of up to 5%.</w:t>
      </w:r>
    </w:p>
    <w:p w14:paraId="1FF0C134"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reporting period, the Customs Administration successfully carried out regular simulations for posting to A and B accounts within the stipulated period as part of the application of the regulation reporting for traditional EU own funds and reporting on EU income, which is an important part of the obligations for the negotiation chapter 33 - Financial and budgetary provisions.</w:t>
      </w:r>
    </w:p>
    <w:p w14:paraId="7230BCEE"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technical-technological modernisation of the customs service and the high level of automation and paperless operations of the Customs Administration is in accordance with the EU information standards, which is also of great importance for the negotiation chapter 29 of the Customs Union. The legally harmonized functioning of customs IT systems is conditional and related to shortening the duration of customs procedures and customs formalities, i.e. more efficient calculation of customs duties and more effective fulfilment of the level of collection, which is extremely important for strengthening the administrative capacities of the Customs Administration, but also for the economy.</w:t>
      </w:r>
    </w:p>
    <w:p w14:paraId="52CCFCE2"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During 2023, the Customs Administration worked on the development of the NCTS (New Computerized Transit System) phase 5 software, and its implementation began in January 2024. In the second half of 2025, the Customs Administration started activities aimed at improving this system within NCTS phase 6.</w:t>
      </w:r>
    </w:p>
    <w:p w14:paraId="1D0E3ED9"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 xml:space="preserve">The development of customs IT systems is connected with the implementation of several important projects: implementation of import and export automated systems (AIS-AES) and decision management system (CDS), as well as the introduction of an integrated tariff management system (ITMS). The second component of the Instrument for Pre-Accession Assistance </w:t>
      </w:r>
      <w:r w:rsidRPr="008B1397">
        <w:rPr>
          <w:rFonts w:ascii="Times New Roman" w:eastAsia="Calibri" w:hAnsi="Times New Roman" w:cs="Times New Roman"/>
          <w:lang w:val="sr-Cyrl-RS"/>
          <w14:ligatures w14:val="none"/>
        </w:rPr>
        <w:lastRenderedPageBreak/>
        <w:t>(hereinafter: IPA) 2021 of the EU Project to Support Public Finance Reforms (EU PFM Flexible Facility) is support to the Customs Administration for the introduction of Integrated Customs Tariff Management (ITMS). Within this component, the development of software and procurement of hardware for ITMS is foreseen, which is a basic prerequisite for the development of other customs IT systems.</w:t>
      </w:r>
    </w:p>
    <w:p w14:paraId="468DCF04"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main challenge to the implementation of the measure arose from the failed tender for ITMS in Serbia in 2025, given the lack of bids, which caused a delay in its implementation. Given that the AIS-AES systems are completely dependent on ITMS (tariff data, quotas and calculation of customs duties), this delay directly affected the delay in the implementation of the activities foreseen by the PFMRP related to these systems. The measure was partially implemented by the fact that preparatory actions were carried out for the finalization of activities related to IT systems and warehouses for storing customs data (data warehouse). In order to optimise the operation of the mentioned systems, it is predicted that the ITMS will be ready by the end of 2026, which led to the preparation of a revised project plan with adjusted deadlines and key stages.</w:t>
      </w:r>
    </w:p>
    <w:p w14:paraId="494BB188"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reporting period regarding the Customs Laboratory, efforts were made to provide appropriate space as a prerequisite for the full modernisation of the Customs Laboratory. Regarding equipment in 2025, work was being done on the preparation of technical documentation for the procurement of appropriate laboratory equipment. Preparatory activities aimed at improving the management and public sale of customs goods have been successfully implemented, so that e-auctions of customs goods are now being organized, and further development of the customs infrastructure of special purpose warehouses has been abandoned.</w:t>
      </w:r>
    </w:p>
    <w:p w14:paraId="77E68984"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Bearing in mind the relevance of the measure, i.e. the importance of the establishment of customs IT systems, the Customs Laboratory and the development of capacities for the full implementation of the regulation of traditional EU own funds, for the Customs Administration and the future membership of the Republic of Serbia in the European Union, it is recommended to continue the activities of phased implementation of digitalisation and automation with corrected implementation deadlines within the PFMRP 2026-2030, with the implementation of which they will become regular business processes of the customs service in accordance with the highest EU standards.</w:t>
      </w:r>
    </w:p>
    <w:p w14:paraId="32AF9A4C" w14:textId="074DBD5E" w:rsidR="007E4949" w:rsidRPr="007E4949" w:rsidRDefault="00685537" w:rsidP="00301F00">
      <w:pPr>
        <w:spacing w:line="256"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b/>
          <w:lang w:val="sr-Cyrl-RS"/>
          <w14:ligatures w14:val="none"/>
        </w:rPr>
        <w:t>Financing of the measure: The measure was financed from the RS budget and EU funds (IPA). In the period 2021-2025, a total of 495,127,253.99 dinars was spent.</w:t>
      </w:r>
    </w:p>
    <w:p w14:paraId="15BF1CF2" w14:textId="77777777" w:rsidR="00685537" w:rsidRPr="008B1397" w:rsidRDefault="00685537" w:rsidP="00685537">
      <w:pPr>
        <w:spacing w:line="256"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Measure 2.4: Effective management of public debt</w:t>
      </w:r>
    </w:p>
    <w:tbl>
      <w:tblPr>
        <w:tblStyle w:val="TableGrid"/>
        <w:tblpPr w:leftFromText="181" w:rightFromText="181" w:vertAnchor="text" w:horzAnchor="margin" w:tblpY="364"/>
        <w:tblOverlap w:val="never"/>
        <w:tblW w:w="0" w:type="auto"/>
        <w:tblInd w:w="0" w:type="dxa"/>
        <w:tblLook w:val="04A0" w:firstRow="1" w:lastRow="0" w:firstColumn="1" w:lastColumn="0" w:noHBand="0" w:noVBand="1"/>
      </w:tblPr>
      <w:tblGrid>
        <w:gridCol w:w="2337"/>
        <w:gridCol w:w="2337"/>
        <w:gridCol w:w="2338"/>
        <w:gridCol w:w="2338"/>
      </w:tblGrid>
      <w:tr w:rsidR="00685537" w:rsidRPr="008B1397" w14:paraId="7EB2C893" w14:textId="77777777" w:rsidTr="00E4060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FC62064"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ED58A2C"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1229EC3"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8318471"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Achieved value</w:t>
            </w:r>
          </w:p>
        </w:tc>
      </w:tr>
      <w:tr w:rsidR="00685537" w:rsidRPr="008B1397" w14:paraId="576DA9E4"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2BC5B454" w14:textId="77777777" w:rsidR="00685537" w:rsidRPr="0095283C" w:rsidRDefault="00685537" w:rsidP="00685537">
            <w:pPr>
              <w:rPr>
                <w:rFonts w:ascii="Times New Roman" w:hAnsi="Times New Roman"/>
                <w:b/>
                <w:bCs/>
                <w:lang w:val="sr-Cyrl-RS"/>
              </w:rPr>
            </w:pPr>
            <w:r w:rsidRPr="0095283C">
              <w:rPr>
                <w:rFonts w:ascii="Times New Roman" w:hAnsi="Times New Roman"/>
                <w:b/>
                <w:bCs/>
                <w:lang w:val="sr-Cyrl-RS"/>
              </w:rPr>
              <w:t>Share of domestic currency debt in total public debt - central level of government</w:t>
            </w:r>
          </w:p>
        </w:tc>
        <w:tc>
          <w:tcPr>
            <w:tcW w:w="2337" w:type="dxa"/>
            <w:tcBorders>
              <w:top w:val="single" w:sz="4" w:space="0" w:color="auto"/>
              <w:left w:val="single" w:sz="4" w:space="0" w:color="auto"/>
              <w:bottom w:val="single" w:sz="4" w:space="0" w:color="auto"/>
              <w:right w:val="single" w:sz="4" w:space="0" w:color="auto"/>
            </w:tcBorders>
            <w:hideMark/>
          </w:tcPr>
          <w:p w14:paraId="5AA3B6F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55AFAB6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31,0%</w:t>
            </w:r>
          </w:p>
        </w:tc>
        <w:tc>
          <w:tcPr>
            <w:tcW w:w="2338" w:type="dxa"/>
            <w:tcBorders>
              <w:top w:val="single" w:sz="4" w:space="0" w:color="auto"/>
              <w:left w:val="single" w:sz="4" w:space="0" w:color="auto"/>
              <w:bottom w:val="single" w:sz="4" w:space="0" w:color="auto"/>
              <w:right w:val="single" w:sz="4" w:space="0" w:color="auto"/>
            </w:tcBorders>
            <w:hideMark/>
          </w:tcPr>
          <w:p w14:paraId="4F50522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28,5%</w:t>
            </w:r>
          </w:p>
        </w:tc>
      </w:tr>
      <w:tr w:rsidR="00685537" w:rsidRPr="008B1397" w14:paraId="34A338E9"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B8159"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B3DEDE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01DD789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31,0%</w:t>
            </w:r>
          </w:p>
        </w:tc>
        <w:tc>
          <w:tcPr>
            <w:tcW w:w="2338" w:type="dxa"/>
            <w:tcBorders>
              <w:top w:val="single" w:sz="4" w:space="0" w:color="auto"/>
              <w:left w:val="single" w:sz="4" w:space="0" w:color="auto"/>
              <w:bottom w:val="single" w:sz="4" w:space="0" w:color="auto"/>
              <w:right w:val="single" w:sz="4" w:space="0" w:color="auto"/>
            </w:tcBorders>
            <w:hideMark/>
          </w:tcPr>
          <w:p w14:paraId="2867E40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25,2%</w:t>
            </w:r>
          </w:p>
        </w:tc>
      </w:tr>
      <w:tr w:rsidR="00685537" w:rsidRPr="008B1397" w14:paraId="270A21D6"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CB09C0"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C41F30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79160D9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20,5%</w:t>
            </w:r>
          </w:p>
        </w:tc>
        <w:tc>
          <w:tcPr>
            <w:tcW w:w="2338" w:type="dxa"/>
            <w:tcBorders>
              <w:top w:val="single" w:sz="4" w:space="0" w:color="auto"/>
              <w:left w:val="single" w:sz="4" w:space="0" w:color="auto"/>
              <w:bottom w:val="single" w:sz="4" w:space="0" w:color="auto"/>
              <w:right w:val="single" w:sz="4" w:space="0" w:color="auto"/>
            </w:tcBorders>
            <w:hideMark/>
          </w:tcPr>
          <w:p w14:paraId="5E13575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21,7%</w:t>
            </w:r>
          </w:p>
        </w:tc>
      </w:tr>
      <w:tr w:rsidR="00685537" w:rsidRPr="008B1397" w14:paraId="0CAFB443"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0CCEF"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6182BD8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6FAD8934"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21,0%</w:t>
            </w:r>
          </w:p>
        </w:tc>
        <w:tc>
          <w:tcPr>
            <w:tcW w:w="2338" w:type="dxa"/>
            <w:tcBorders>
              <w:top w:val="single" w:sz="4" w:space="0" w:color="auto"/>
              <w:left w:val="single" w:sz="4" w:space="0" w:color="auto"/>
              <w:bottom w:val="single" w:sz="4" w:space="0" w:color="auto"/>
              <w:right w:val="single" w:sz="4" w:space="0" w:color="auto"/>
            </w:tcBorders>
            <w:hideMark/>
          </w:tcPr>
          <w:p w14:paraId="6F7593B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21,8%</w:t>
            </w:r>
          </w:p>
        </w:tc>
      </w:tr>
      <w:tr w:rsidR="00685537" w:rsidRPr="008B1397" w14:paraId="72C4BC47"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3226A"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C6C1F9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6B03B61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22,0%</w:t>
            </w:r>
          </w:p>
        </w:tc>
        <w:tc>
          <w:tcPr>
            <w:tcW w:w="2338" w:type="dxa"/>
            <w:tcBorders>
              <w:top w:val="single" w:sz="4" w:space="0" w:color="auto"/>
              <w:left w:val="single" w:sz="4" w:space="0" w:color="auto"/>
              <w:bottom w:val="single" w:sz="4" w:space="0" w:color="auto"/>
              <w:right w:val="single" w:sz="4" w:space="0" w:color="auto"/>
            </w:tcBorders>
            <w:hideMark/>
          </w:tcPr>
          <w:p w14:paraId="086DAE4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22,5%</w:t>
            </w:r>
          </w:p>
        </w:tc>
      </w:tr>
    </w:tbl>
    <w:p w14:paraId="0077D6C0" w14:textId="77777777" w:rsidR="00685537" w:rsidRPr="008B1397" w:rsidRDefault="00685537" w:rsidP="00685537">
      <w:pPr>
        <w:spacing w:line="256" w:lineRule="auto"/>
        <w:jc w:val="both"/>
        <w:rPr>
          <w:rFonts w:ascii="Times New Roman" w:eastAsia="Calibri" w:hAnsi="Times New Roman" w:cs="Times New Roman"/>
          <w:lang w:val="sr-Cyrl-RS"/>
          <w14:ligatures w14:val="none"/>
        </w:rPr>
      </w:pPr>
    </w:p>
    <w:p w14:paraId="1076270B"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Increasing the share of debt in domestic currency reduces the risk of growth in the level of public debt and servicing costs, which is why it was chosen as an adequate indicator of efficient public debt management.</w:t>
      </w:r>
    </w:p>
    <w:p w14:paraId="1FC499AE" w14:textId="77777777" w:rsidR="00685537" w:rsidRPr="008B1397" w:rsidRDefault="00685537" w:rsidP="00685537">
      <w:pPr>
        <w:spacing w:line="256" w:lineRule="auto"/>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ab/>
        <w:t>During 2020, due to the pandemic caused by the Kovid-19 virus, in order to avoid negative consequences for the economy and the population, the Republic of Serbia was forced to take on significantly more debt compared to the planned level. As the domestic market was not liquid enough, most of the needs were met on the international financial market. As a result of the conflict in Ukraine during 2022, there was a sharp rise in interest rates, and the orientation towards the international market was even more necessary. For this reason, the target values ​​were redefined in 2023 in order to respect the new reality, but while maintaining the goal of increasing the share of debt in domestic currency. In the period from 2023 to 2025, the target values ​​were achieved and to some extent exceeded.</w:t>
      </w:r>
    </w:p>
    <w:p w14:paraId="54486E88" w14:textId="77777777" w:rsidR="00685537" w:rsidRPr="008B1397" w:rsidRDefault="00685537" w:rsidP="00685537">
      <w:pPr>
        <w:spacing w:line="256" w:lineRule="auto"/>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ab/>
        <w:t>In order to take the best possible view of the risks related to public debt management, the development of a complex module for risk management was planned, which would upgrade the existing information system (PDMS). Due to the lack of financial resources for the development of this module, activities related to it were not carried out.</w:t>
      </w:r>
    </w:p>
    <w:p w14:paraId="79C53015" w14:textId="77777777" w:rsidR="00685537" w:rsidRPr="008B1397" w:rsidRDefault="00685537" w:rsidP="00685537">
      <w:pPr>
        <w:spacing w:line="256" w:lineRule="auto"/>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ab/>
        <w:t>The implementation of the pilot project for the introduction of the system of primary dealers and the further development of the domestic bond market was not implemented due to the assessment that its implementation required complete stability, both on the domestic and on the international financial market, which was not the case in the previous period due to geopolitical circumstances.</w:t>
      </w:r>
    </w:p>
    <w:p w14:paraId="1CD28187" w14:textId="77777777" w:rsidR="0067689A" w:rsidRDefault="00685537" w:rsidP="0058410E">
      <w:pPr>
        <w:spacing w:line="256"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The upgrade of the existing information system (PDMS) - using business intelligence tools, in order to improve reporting, was not implemented due to a lack of financial resources, but was planned in the PFMRP 2026-2030.</w:t>
      </w:r>
    </w:p>
    <w:p w14:paraId="52BFE119" w14:textId="77777777" w:rsidR="007E4949" w:rsidRDefault="007E4949" w:rsidP="0058410E">
      <w:pPr>
        <w:spacing w:line="256" w:lineRule="auto"/>
        <w:ind w:firstLine="720"/>
        <w:jc w:val="both"/>
        <w:rPr>
          <w:rFonts w:ascii="Times New Roman" w:eastAsia="Calibri" w:hAnsi="Times New Roman" w:cs="Times New Roman"/>
          <w:lang w:val="en-US"/>
          <w14:ligatures w14:val="none"/>
        </w:rPr>
      </w:pPr>
    </w:p>
    <w:p w14:paraId="7B655797" w14:textId="77777777" w:rsidR="007E4949" w:rsidRPr="007E4949" w:rsidRDefault="007E4949" w:rsidP="00301F00">
      <w:pPr>
        <w:spacing w:line="256" w:lineRule="auto"/>
        <w:jc w:val="both"/>
        <w:rPr>
          <w:rFonts w:ascii="Times New Roman" w:eastAsia="Calibri" w:hAnsi="Times New Roman" w:cs="Times New Roman"/>
          <w:lang w:val="en-US"/>
          <w14:ligatures w14:val="none"/>
        </w:rPr>
      </w:pPr>
    </w:p>
    <w:p w14:paraId="79DE438C" w14:textId="77777777" w:rsidR="00685537" w:rsidRPr="008B1397" w:rsidRDefault="00685537" w:rsidP="00467C20">
      <w:pPr>
        <w:spacing w:line="256"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Measure 2.5: Improvement of the electronic public procurement system</w:t>
      </w:r>
    </w:p>
    <w:p w14:paraId="5ED25043" w14:textId="77777777" w:rsidR="00685537" w:rsidRPr="008B1397" w:rsidRDefault="00685537" w:rsidP="00685537">
      <w:pPr>
        <w:spacing w:line="256" w:lineRule="auto"/>
        <w:rPr>
          <w:rFonts w:ascii="Times New Roman" w:eastAsia="Calibri" w:hAnsi="Times New Roman" w:cs="Times New Roman"/>
          <w:b/>
          <w:u w:val="single"/>
          <w:lang w:val="sr-Cyrl-RS"/>
          <w14:ligatures w14:val="none"/>
        </w:rPr>
      </w:pPr>
    </w:p>
    <w:tbl>
      <w:tblPr>
        <w:tblStyle w:val="TableGrid2"/>
        <w:tblpPr w:leftFromText="181" w:rightFromText="181" w:vertAnchor="text" w:horzAnchor="margin" w:tblpY="1"/>
        <w:tblOverlap w:val="never"/>
        <w:tblW w:w="0" w:type="auto"/>
        <w:tblInd w:w="0" w:type="dxa"/>
        <w:tblLook w:val="04A0" w:firstRow="1" w:lastRow="0" w:firstColumn="1" w:lastColumn="0" w:noHBand="0" w:noVBand="1"/>
      </w:tblPr>
      <w:tblGrid>
        <w:gridCol w:w="2337"/>
        <w:gridCol w:w="2337"/>
        <w:gridCol w:w="2338"/>
        <w:gridCol w:w="2338"/>
      </w:tblGrid>
      <w:tr w:rsidR="00685537" w:rsidRPr="008B1397" w14:paraId="2E403F6F" w14:textId="77777777" w:rsidTr="00E4060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55E04AA"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2E5BDEE"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2B43AF1"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745DD1B" w14:textId="77777777" w:rsidR="00685537" w:rsidRPr="008B1397" w:rsidRDefault="00685537" w:rsidP="00685537">
            <w:pPr>
              <w:jc w:val="center"/>
              <w:rPr>
                <w:rFonts w:ascii="Times New Roman" w:hAnsi="Times New Roman"/>
                <w:b/>
                <w:bCs/>
                <w:lang w:val="sr-Cyrl-RS"/>
              </w:rPr>
            </w:pPr>
            <w:r w:rsidRPr="008B1397">
              <w:rPr>
                <w:rFonts w:ascii="Times New Roman" w:hAnsi="Times New Roman"/>
                <w:b/>
                <w:bCs/>
                <w:lang w:val="sr-Cyrl-RS"/>
              </w:rPr>
              <w:t>Achieved value</w:t>
            </w:r>
          </w:p>
        </w:tc>
      </w:tr>
      <w:tr w:rsidR="00685537" w:rsidRPr="008B1397" w14:paraId="7839DE01"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71CE6202" w14:textId="77777777" w:rsidR="00685537" w:rsidRPr="0095283C" w:rsidRDefault="00685537" w:rsidP="00685537">
            <w:pPr>
              <w:rPr>
                <w:rFonts w:ascii="Times New Roman" w:hAnsi="Times New Roman"/>
                <w:b/>
                <w:bCs/>
                <w:lang w:val="sr-Cyrl-RS"/>
              </w:rPr>
            </w:pPr>
            <w:r w:rsidRPr="0095283C">
              <w:rPr>
                <w:rFonts w:ascii="Times New Roman" w:hAnsi="Times New Roman"/>
                <w:b/>
                <w:bCs/>
                <w:lang w:val="sr-Cyrl-RS"/>
              </w:rPr>
              <w:t>The number of offers according to the public procurement procedure</w:t>
            </w:r>
          </w:p>
        </w:tc>
        <w:tc>
          <w:tcPr>
            <w:tcW w:w="2337" w:type="dxa"/>
            <w:tcBorders>
              <w:top w:val="single" w:sz="4" w:space="0" w:color="auto"/>
              <w:left w:val="single" w:sz="4" w:space="0" w:color="auto"/>
              <w:bottom w:val="single" w:sz="4" w:space="0" w:color="auto"/>
              <w:right w:val="single" w:sz="4" w:space="0" w:color="auto"/>
            </w:tcBorders>
            <w:hideMark/>
          </w:tcPr>
          <w:p w14:paraId="1592DB05"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3DE8FEB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2,7</w:t>
            </w:r>
          </w:p>
        </w:tc>
        <w:tc>
          <w:tcPr>
            <w:tcW w:w="2338" w:type="dxa"/>
            <w:tcBorders>
              <w:top w:val="single" w:sz="4" w:space="0" w:color="auto"/>
              <w:left w:val="single" w:sz="4" w:space="0" w:color="auto"/>
              <w:bottom w:val="single" w:sz="4" w:space="0" w:color="auto"/>
              <w:right w:val="single" w:sz="4" w:space="0" w:color="auto"/>
            </w:tcBorders>
            <w:hideMark/>
          </w:tcPr>
          <w:p w14:paraId="2E7FCF2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2,5</w:t>
            </w:r>
          </w:p>
        </w:tc>
      </w:tr>
      <w:tr w:rsidR="00685537" w:rsidRPr="008B1397" w14:paraId="6B52163F"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6D555"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432F938"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528F9CE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2,7</w:t>
            </w:r>
          </w:p>
        </w:tc>
        <w:tc>
          <w:tcPr>
            <w:tcW w:w="2338" w:type="dxa"/>
            <w:tcBorders>
              <w:top w:val="single" w:sz="4" w:space="0" w:color="auto"/>
              <w:left w:val="single" w:sz="4" w:space="0" w:color="auto"/>
              <w:bottom w:val="single" w:sz="4" w:space="0" w:color="auto"/>
              <w:right w:val="single" w:sz="4" w:space="0" w:color="auto"/>
            </w:tcBorders>
            <w:hideMark/>
          </w:tcPr>
          <w:p w14:paraId="6A842A2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2,5</w:t>
            </w:r>
          </w:p>
        </w:tc>
      </w:tr>
      <w:tr w:rsidR="00685537" w:rsidRPr="008B1397" w14:paraId="04A2134E"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2C674C"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D83A48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0E4C9C2D"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2,9</w:t>
            </w:r>
          </w:p>
        </w:tc>
        <w:tc>
          <w:tcPr>
            <w:tcW w:w="2338" w:type="dxa"/>
            <w:tcBorders>
              <w:top w:val="single" w:sz="4" w:space="0" w:color="auto"/>
              <w:left w:val="single" w:sz="4" w:space="0" w:color="auto"/>
              <w:bottom w:val="single" w:sz="4" w:space="0" w:color="auto"/>
              <w:right w:val="single" w:sz="4" w:space="0" w:color="auto"/>
            </w:tcBorders>
            <w:hideMark/>
          </w:tcPr>
          <w:p w14:paraId="2C1033DB"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2,4</w:t>
            </w:r>
          </w:p>
        </w:tc>
      </w:tr>
      <w:tr w:rsidR="00685537" w:rsidRPr="008B1397" w14:paraId="0E150F44"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B5A65"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C57C45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1E13E372"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2,9</w:t>
            </w:r>
          </w:p>
        </w:tc>
        <w:tc>
          <w:tcPr>
            <w:tcW w:w="2338" w:type="dxa"/>
            <w:tcBorders>
              <w:top w:val="single" w:sz="4" w:space="0" w:color="auto"/>
              <w:left w:val="single" w:sz="4" w:space="0" w:color="auto"/>
              <w:bottom w:val="single" w:sz="4" w:space="0" w:color="auto"/>
              <w:right w:val="single" w:sz="4" w:space="0" w:color="auto"/>
            </w:tcBorders>
            <w:hideMark/>
          </w:tcPr>
          <w:p w14:paraId="7C095BD6"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2,5</w:t>
            </w:r>
          </w:p>
        </w:tc>
      </w:tr>
      <w:tr w:rsidR="00685537" w:rsidRPr="008B1397" w14:paraId="09F45680"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7542E" w14:textId="77777777" w:rsidR="00685537" w:rsidRPr="0095283C" w:rsidRDefault="00685537" w:rsidP="00685537">
            <w:pPr>
              <w:rPr>
                <w:rFonts w:ascii="Times New Roman" w:hAnsi="Times New Roman"/>
                <w:b/>
                <w:bCs/>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365568F"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01B66A5E"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3,1</w:t>
            </w:r>
          </w:p>
        </w:tc>
        <w:tc>
          <w:tcPr>
            <w:tcW w:w="2338" w:type="dxa"/>
            <w:tcBorders>
              <w:top w:val="single" w:sz="4" w:space="0" w:color="auto"/>
              <w:left w:val="single" w:sz="4" w:space="0" w:color="auto"/>
              <w:bottom w:val="single" w:sz="4" w:space="0" w:color="auto"/>
              <w:right w:val="single" w:sz="4" w:space="0" w:color="auto"/>
            </w:tcBorders>
            <w:hideMark/>
          </w:tcPr>
          <w:p w14:paraId="4E1B576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2,5</w:t>
            </w:r>
          </w:p>
        </w:tc>
      </w:tr>
      <w:tr w:rsidR="00685537" w:rsidRPr="008B1397" w14:paraId="32AB898E" w14:textId="77777777">
        <w:trPr>
          <w:trHeight w:val="422"/>
        </w:trPr>
        <w:tc>
          <w:tcPr>
            <w:tcW w:w="2337" w:type="dxa"/>
            <w:vMerge w:val="restart"/>
            <w:tcBorders>
              <w:top w:val="single" w:sz="4" w:space="0" w:color="auto"/>
              <w:left w:val="single" w:sz="4" w:space="0" w:color="auto"/>
              <w:bottom w:val="single" w:sz="4" w:space="0" w:color="auto"/>
              <w:right w:val="single" w:sz="4" w:space="0" w:color="auto"/>
            </w:tcBorders>
            <w:hideMark/>
          </w:tcPr>
          <w:p w14:paraId="7DA71555" w14:textId="77777777" w:rsidR="00685537" w:rsidRPr="0095283C" w:rsidRDefault="00685537" w:rsidP="00685537">
            <w:pPr>
              <w:rPr>
                <w:rFonts w:ascii="Times New Roman" w:hAnsi="Times New Roman"/>
                <w:b/>
                <w:bCs/>
                <w:lang w:val="sr-Cyrl-RS"/>
              </w:rPr>
            </w:pPr>
            <w:r w:rsidRPr="0095283C">
              <w:rPr>
                <w:rFonts w:ascii="Times New Roman" w:hAnsi="Times New Roman"/>
                <w:b/>
                <w:bCs/>
                <w:lang w:val="sr-Cyrl-RS"/>
              </w:rPr>
              <w:t>Database of contracts on the Portal</w:t>
            </w:r>
          </w:p>
        </w:tc>
        <w:tc>
          <w:tcPr>
            <w:tcW w:w="2337" w:type="dxa"/>
            <w:tcBorders>
              <w:top w:val="single" w:sz="4" w:space="0" w:color="auto"/>
              <w:left w:val="single" w:sz="4" w:space="0" w:color="auto"/>
              <w:bottom w:val="single" w:sz="4" w:space="0" w:color="auto"/>
              <w:right w:val="single" w:sz="4" w:space="0" w:color="auto"/>
            </w:tcBorders>
            <w:hideMark/>
          </w:tcPr>
          <w:p w14:paraId="0DEA5DDC"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731F7DB0"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1A25AEB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w:t>
            </w:r>
          </w:p>
        </w:tc>
      </w:tr>
      <w:tr w:rsidR="00685537" w:rsidRPr="008B1397" w14:paraId="641AE5F1"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C8CA79" w14:textId="77777777" w:rsidR="00685537" w:rsidRPr="008B1397" w:rsidRDefault="00685537" w:rsidP="00685537">
            <w:pPr>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70C8583"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266AA851"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64C7E7F7" w14:textId="77777777" w:rsidR="00685537" w:rsidRPr="008B1397" w:rsidRDefault="00685537" w:rsidP="00685537">
            <w:pPr>
              <w:jc w:val="center"/>
              <w:rPr>
                <w:rFonts w:ascii="Times New Roman" w:hAnsi="Times New Roman"/>
                <w:lang w:val="sr-Cyrl-RS"/>
              </w:rPr>
            </w:pPr>
            <w:r w:rsidRPr="008B1397">
              <w:rPr>
                <w:rFonts w:ascii="Times New Roman" w:hAnsi="Times New Roman"/>
                <w:lang w:val="sr-Cyrl-RS"/>
              </w:rPr>
              <w:t>1</w:t>
            </w:r>
          </w:p>
        </w:tc>
      </w:tr>
    </w:tbl>
    <w:p w14:paraId="76F42803"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p>
    <w:p w14:paraId="0FAFF6A6"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public procurement portal, which was established on July 1, 2020, significantly simplified the implementation of public procurement procedures and did a lot in terms of their uniformity and multifunctionality. When defining this measure and activity, it was taken into account that there is always room for further improvement in order to improve efficiency and reduce the possibility of procedural errors, which would make public procurement even more accessible to business entities.</w:t>
      </w:r>
    </w:p>
    <w:p w14:paraId="6C960602"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During the duration of this programme, greater involvement of business entities in public procurement procedures was not recorded. One of the reasons for the deviation is, among other things, the consequence of the frequent participation of a group of bidders in public procurement procedures. The group of bidders implies that a larger number of economic entities participated in the public procurement procedure, which means that the number of economic entities participating in public procurement procedures is significantly higher than the number of submitted bids. Likewise, the impossibility of greater influence of the Public Procurement Office on the public procurement market prevented the full fulfilment of the performance indicators. In the coming period, the emphasis will be on organizing training for clients and bidders, publishing various practical tools, as well as improving the Public Procurement Portal in order to strengthen competition. The second indicator of results related to the establishment of the Database in contracts on the Public Procurement Portal has been achieved, bearing in mind that the database, as of version 1.16 of the Public Procurement Portal, has been established in the form of a register of contracts and framework agreements in accordance with the amendments to the Law on Public Procurement which are in effect from January 1, 2024.</w:t>
      </w:r>
    </w:p>
    <w:p w14:paraId="52717469" w14:textId="77777777" w:rsidR="00685537" w:rsidRPr="008B1397" w:rsidRDefault="00685537" w:rsidP="00685537">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 xml:space="preserve">The primary focus of the Public Procurement Office during the duration of the programme was to continue the digitalisation process for more efficient functioning of the public procurement system, strengthening the capacity of the Public Procurement Office, continuous training for clients and bidders, and the creation of a new public policy document in the field of public procurement. In this regard, the Public Procurement Portal has been improved several times a year with new versions of the Portal and the introduction of new functionalities that make it easier for users to work, use the Portal in English and on mobile devices through a mobile application for Android and iOS devices, etc. Then, the capacities of the Public Procurement Office were strengthened, since a total of 33 civil servants were employed in the Office on December 31, 2021, while as of December 31, 2025, a total of 37 civil servants (4 persons in position) and 7 persons on the basis of temporary and casual work contracts were employed. The continuation of the continuous organisation of trainings for clients and bidders was carried out with the aim of helping participants in the public procurement market in conducting and participating in public procurement procedures in accordance with the provisions of the law. During the duration of this </w:t>
      </w:r>
      <w:r w:rsidRPr="008B1397">
        <w:rPr>
          <w:rFonts w:ascii="Times New Roman" w:eastAsia="Calibri" w:hAnsi="Times New Roman" w:cs="Times New Roman"/>
          <w:lang w:val="sr-Cyrl-RS"/>
          <w14:ligatures w14:val="none"/>
        </w:rPr>
        <w:lastRenderedPageBreak/>
        <w:t>programme, the Programme for the Development of Public Procurement in the Republic of Serbia for the period 2024-2028 was drawn up. year, with the accompanying one-year action plan, which defined the vision, general and specific objectives, measures and activities for the next five-year period. Financial resources for the implementation of these activities were provided from regular budget funds and international aid funds from IPA III, SIDA (Swedish Agency for International Cooperation), UNDP (United Nations Development Programme).</w:t>
      </w:r>
    </w:p>
    <w:p w14:paraId="658BB962" w14:textId="77777777" w:rsidR="00F849D4" w:rsidRDefault="00685537" w:rsidP="0058410E">
      <w:pPr>
        <w:spacing w:line="256" w:lineRule="auto"/>
        <w:ind w:firstLine="720"/>
        <w:jc w:val="both"/>
        <w:rPr>
          <w:rFonts w:ascii="Times New Roman" w:eastAsia="Times New Roman" w:hAnsi="Times New Roman" w:cs="Times New Roman"/>
          <w:shd w:val="clear" w:color="auto" w:fill="FFFFFF"/>
          <w:lang w:val="en-US"/>
          <w14:ligatures w14:val="none"/>
        </w:rPr>
      </w:pPr>
      <w:r w:rsidRPr="008B1397">
        <w:rPr>
          <w:rFonts w:ascii="Times New Roman" w:eastAsia="Times New Roman" w:hAnsi="Times New Roman" w:cs="Times New Roman"/>
          <w:shd w:val="clear" w:color="auto" w:fill="FFFFFF"/>
          <w:lang w:val="sr-Cyrl-RS"/>
          <w14:ligatures w14:val="none"/>
        </w:rPr>
        <w:t>The next Public Financial Management Reform Programme 2026-2030, the emphasis will be on strengthening the capacity of public procurement officers, and measures and activities have been defined in terms of further raising the knowledge and capacity of public procurement officers, all with the aim of reducing irregularities in public procurement procedures and the proper application of the provisions of the Law on Public Procurement and the proper use of the Public Procurement Portal.</w:t>
      </w:r>
    </w:p>
    <w:p w14:paraId="3C53CB41"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75A9509B"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7B863BE6"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67B4CE7A"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1E621C21"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34DDD07E"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3C943596"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1CD87DBB"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385C384A"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44E8420E" w14:textId="77777777" w:rsid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1D3ADE64" w14:textId="77777777" w:rsidR="007E4949" w:rsidRDefault="007E4949"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76726ADB" w14:textId="77777777" w:rsidR="00467C20" w:rsidRPr="00467C20" w:rsidRDefault="00467C20" w:rsidP="0058410E">
      <w:pPr>
        <w:spacing w:line="256" w:lineRule="auto"/>
        <w:ind w:firstLine="720"/>
        <w:jc w:val="both"/>
        <w:rPr>
          <w:rFonts w:ascii="Times New Roman" w:eastAsia="Times New Roman" w:hAnsi="Times New Roman" w:cs="Times New Roman"/>
          <w:shd w:val="clear" w:color="auto" w:fill="FFFFFF"/>
          <w:lang w:val="en-US"/>
          <w14:ligatures w14:val="none"/>
        </w:rPr>
      </w:pPr>
    </w:p>
    <w:p w14:paraId="1E7A4D2B" w14:textId="77777777" w:rsidR="00D72D9B" w:rsidRPr="008548AE" w:rsidRDefault="00D72D9B" w:rsidP="008548AE">
      <w:pPr>
        <w:pStyle w:val="Heading1"/>
        <w:jc w:val="center"/>
        <w:rPr>
          <w:rFonts w:ascii="Times New Roman" w:eastAsia="Calibri" w:hAnsi="Times New Roman" w:cs="Times New Roman"/>
          <w:sz w:val="32"/>
          <w:szCs w:val="32"/>
          <w:lang w:val="sr-Cyrl-RS"/>
        </w:rPr>
      </w:pPr>
      <w:bookmarkStart w:id="9" w:name="_Toc233629226"/>
      <w:r w:rsidRPr="008548AE">
        <w:rPr>
          <w:rFonts w:ascii="Times New Roman" w:eastAsia="Calibri" w:hAnsi="Times New Roman" w:cs="Times New Roman"/>
          <w:sz w:val="32"/>
          <w:szCs w:val="32"/>
          <w:lang w:val="sr-Cyrl-RS"/>
        </w:rPr>
        <w:t>SPECIAL OBJECTIVE III: IMPROVEMENT OF BUDGETARY DISCIPLINE AND MORE TRANSPARENT USE OF PUBLIC FUNDS</w:t>
      </w:r>
      <w:bookmarkEnd w:id="9"/>
    </w:p>
    <w:p w14:paraId="54EF3CF7"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tbl>
      <w:tblPr>
        <w:tblStyle w:val="TableGrid4"/>
        <w:tblpPr w:leftFromText="180" w:rightFromText="180" w:vertAnchor="text" w:horzAnchor="margin" w:tblpY="64"/>
        <w:tblW w:w="0" w:type="auto"/>
        <w:tblLook w:val="04A0" w:firstRow="1" w:lastRow="0" w:firstColumn="1" w:lastColumn="0" w:noHBand="0" w:noVBand="1"/>
      </w:tblPr>
      <w:tblGrid>
        <w:gridCol w:w="2337"/>
        <w:gridCol w:w="2337"/>
        <w:gridCol w:w="2338"/>
        <w:gridCol w:w="2338"/>
      </w:tblGrid>
      <w:tr w:rsidR="00D72D9B" w:rsidRPr="008B1397" w14:paraId="5596426A" w14:textId="77777777" w:rsidTr="00E4060C">
        <w:tc>
          <w:tcPr>
            <w:tcW w:w="2337" w:type="dxa"/>
            <w:shd w:val="clear" w:color="auto" w:fill="9CC2E5" w:themeFill="accent1" w:themeFillTint="99"/>
          </w:tcPr>
          <w:p w14:paraId="7902C178"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level of a specific objective</w:t>
            </w:r>
          </w:p>
        </w:tc>
        <w:tc>
          <w:tcPr>
            <w:tcW w:w="2337" w:type="dxa"/>
            <w:shd w:val="clear" w:color="auto" w:fill="9CC2E5" w:themeFill="accent1" w:themeFillTint="99"/>
          </w:tcPr>
          <w:p w14:paraId="79C50E74"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17C86DB5"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7F256C14"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p w14:paraId="59B0255D"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(smaller value is better)</w:t>
            </w:r>
          </w:p>
        </w:tc>
      </w:tr>
      <w:tr w:rsidR="00D72D9B" w:rsidRPr="008B1397" w14:paraId="2BE7501D" w14:textId="77777777" w:rsidTr="00BD105F">
        <w:trPr>
          <w:trHeight w:val="431"/>
        </w:trPr>
        <w:tc>
          <w:tcPr>
            <w:tcW w:w="2337" w:type="dxa"/>
            <w:vMerge w:val="restart"/>
          </w:tcPr>
          <w:p w14:paraId="007ED05A" w14:textId="77777777" w:rsidR="00D72D9B" w:rsidRPr="0095283C" w:rsidRDefault="00D72D9B" w:rsidP="0095283C">
            <w:pPr>
              <w:spacing w:line="259" w:lineRule="auto"/>
              <w:rPr>
                <w:rFonts w:ascii="Times New Roman" w:eastAsia="Calibri" w:hAnsi="Times New Roman" w:cs="Times New Roman"/>
                <w:b/>
                <w:bCs/>
                <w:lang w:val="sr-Cyrl-RS"/>
              </w:rPr>
            </w:pPr>
          </w:p>
          <w:p w14:paraId="1C0BB921" w14:textId="77777777" w:rsidR="00D72D9B" w:rsidRPr="008B1397" w:rsidRDefault="00D72D9B" w:rsidP="0095283C">
            <w:pPr>
              <w:spacing w:line="259" w:lineRule="auto"/>
              <w:rPr>
                <w:rFonts w:ascii="Times New Roman" w:eastAsia="Calibri" w:hAnsi="Times New Roman" w:cs="Times New Roman"/>
                <w:lang w:val="sr-Cyrl-RS"/>
              </w:rPr>
            </w:pPr>
            <w:r w:rsidRPr="0095283C">
              <w:rPr>
                <w:rFonts w:ascii="Times New Roman" w:eastAsia="Calibri" w:hAnsi="Times New Roman" w:cs="Times New Roman"/>
                <w:b/>
                <w:bCs/>
                <w:lang w:val="sr-Cyrl-RS"/>
              </w:rPr>
              <w:lastRenderedPageBreak/>
              <w:t>Average number of illegalities and irregularities per control in relation to the total number of performed controls</w:t>
            </w:r>
          </w:p>
        </w:tc>
        <w:tc>
          <w:tcPr>
            <w:tcW w:w="2337" w:type="dxa"/>
          </w:tcPr>
          <w:p w14:paraId="08C9F5D1"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lastRenderedPageBreak/>
              <w:t>2021</w:t>
            </w:r>
          </w:p>
        </w:tc>
        <w:tc>
          <w:tcPr>
            <w:tcW w:w="2338" w:type="dxa"/>
          </w:tcPr>
          <w:p w14:paraId="46E81533"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w:t>
            </w:r>
          </w:p>
        </w:tc>
        <w:tc>
          <w:tcPr>
            <w:tcW w:w="2338" w:type="dxa"/>
          </w:tcPr>
          <w:p w14:paraId="5082258C"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3,45</w:t>
            </w:r>
          </w:p>
        </w:tc>
      </w:tr>
      <w:tr w:rsidR="00D72D9B" w:rsidRPr="008B1397" w14:paraId="7BDA2395" w14:textId="77777777" w:rsidTr="00BD105F">
        <w:trPr>
          <w:trHeight w:val="422"/>
        </w:trPr>
        <w:tc>
          <w:tcPr>
            <w:tcW w:w="2337" w:type="dxa"/>
            <w:vMerge/>
          </w:tcPr>
          <w:p w14:paraId="63F943B9"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6CA7EC37"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011DFC49" w14:textId="77777777" w:rsidR="00D72D9B" w:rsidRPr="007E4949" w:rsidRDefault="00D72D9B" w:rsidP="00D72D9B">
            <w:pPr>
              <w:spacing w:line="259" w:lineRule="auto"/>
              <w:jc w:val="both"/>
              <w:rPr>
                <w:rFonts w:ascii="Times New Roman" w:eastAsia="Calibri" w:hAnsi="Times New Roman" w:cs="Times New Roman"/>
                <w:lang w:val="sr-Cyrl-RS"/>
              </w:rPr>
            </w:pPr>
            <w:r w:rsidRPr="007E4949">
              <w:rPr>
                <w:rFonts w:ascii="Times New Roman" w:eastAsia="Calibri" w:hAnsi="Times New Roman" w:cs="Times New Roman"/>
                <w:lang w:val="sr-Cyrl-RS"/>
              </w:rPr>
              <w:t>2</w:t>
            </w:r>
          </w:p>
        </w:tc>
        <w:tc>
          <w:tcPr>
            <w:tcW w:w="2338" w:type="dxa"/>
          </w:tcPr>
          <w:p w14:paraId="76642B32" w14:textId="77777777" w:rsidR="00D72D9B" w:rsidRPr="007E4949" w:rsidRDefault="00D72D9B" w:rsidP="00D72D9B">
            <w:pPr>
              <w:spacing w:line="259" w:lineRule="auto"/>
              <w:jc w:val="both"/>
              <w:rPr>
                <w:rFonts w:ascii="Times New Roman" w:eastAsia="Calibri" w:hAnsi="Times New Roman" w:cs="Times New Roman"/>
                <w:lang w:val="sr-Cyrl-RS"/>
              </w:rPr>
            </w:pPr>
            <w:r w:rsidRPr="007E4949">
              <w:rPr>
                <w:rFonts w:ascii="Times New Roman" w:eastAsia="Calibri" w:hAnsi="Times New Roman" w:cs="Times New Roman"/>
                <w:lang w:val="sr-Cyrl-RS"/>
              </w:rPr>
              <w:t>2</w:t>
            </w:r>
          </w:p>
        </w:tc>
      </w:tr>
      <w:tr w:rsidR="00D72D9B" w:rsidRPr="008B1397" w14:paraId="24FDFA69" w14:textId="77777777" w:rsidTr="00BD105F">
        <w:trPr>
          <w:trHeight w:val="438"/>
        </w:trPr>
        <w:tc>
          <w:tcPr>
            <w:tcW w:w="2337" w:type="dxa"/>
            <w:vMerge/>
          </w:tcPr>
          <w:p w14:paraId="7A94119F"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1D7502C4"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2CF7D260"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w:t>
            </w:r>
          </w:p>
        </w:tc>
        <w:tc>
          <w:tcPr>
            <w:tcW w:w="2338" w:type="dxa"/>
          </w:tcPr>
          <w:p w14:paraId="3A4E770E"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2,5</w:t>
            </w:r>
          </w:p>
          <w:p w14:paraId="6F3A272E" w14:textId="77777777" w:rsidR="00D72D9B" w:rsidRPr="008B1397" w:rsidRDefault="00D72D9B" w:rsidP="00D72D9B">
            <w:pPr>
              <w:spacing w:line="259" w:lineRule="auto"/>
              <w:jc w:val="both"/>
              <w:rPr>
                <w:rFonts w:ascii="Times New Roman" w:eastAsia="Calibri" w:hAnsi="Times New Roman" w:cs="Times New Roman"/>
                <w:lang w:val="sr-Cyrl-RS"/>
              </w:rPr>
            </w:pPr>
          </w:p>
        </w:tc>
      </w:tr>
      <w:tr w:rsidR="00D72D9B" w:rsidRPr="008B1397" w14:paraId="40A7867D" w14:textId="77777777" w:rsidTr="00BD105F">
        <w:trPr>
          <w:trHeight w:val="413"/>
        </w:trPr>
        <w:tc>
          <w:tcPr>
            <w:tcW w:w="2337" w:type="dxa"/>
            <w:vMerge/>
          </w:tcPr>
          <w:p w14:paraId="3E7C5ACC"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43B416FB"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6EE270F9"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w:t>
            </w:r>
          </w:p>
        </w:tc>
        <w:tc>
          <w:tcPr>
            <w:tcW w:w="2338" w:type="dxa"/>
          </w:tcPr>
          <w:p w14:paraId="0014FFD7"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1,9</w:t>
            </w:r>
          </w:p>
        </w:tc>
      </w:tr>
      <w:tr w:rsidR="00D72D9B" w:rsidRPr="008B1397" w14:paraId="3ED995D8" w14:textId="77777777" w:rsidTr="00BD105F">
        <w:trPr>
          <w:trHeight w:val="422"/>
        </w:trPr>
        <w:tc>
          <w:tcPr>
            <w:tcW w:w="2337" w:type="dxa"/>
            <w:vMerge/>
          </w:tcPr>
          <w:p w14:paraId="75DF49C4"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121DE250"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1F7FBF27"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w:t>
            </w:r>
          </w:p>
        </w:tc>
        <w:tc>
          <w:tcPr>
            <w:tcW w:w="2338" w:type="dxa"/>
          </w:tcPr>
          <w:p w14:paraId="02D4F577"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1,58</w:t>
            </w:r>
          </w:p>
        </w:tc>
      </w:tr>
    </w:tbl>
    <w:p w14:paraId="3C56617A"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tbl>
      <w:tblPr>
        <w:tblStyle w:val="TableGrid4"/>
        <w:tblpPr w:leftFromText="180" w:rightFromText="180" w:vertAnchor="text" w:horzAnchor="margin" w:tblpY="64"/>
        <w:tblW w:w="0" w:type="auto"/>
        <w:tblLook w:val="04A0" w:firstRow="1" w:lastRow="0" w:firstColumn="1" w:lastColumn="0" w:noHBand="0" w:noVBand="1"/>
      </w:tblPr>
      <w:tblGrid>
        <w:gridCol w:w="2337"/>
        <w:gridCol w:w="2337"/>
        <w:gridCol w:w="2338"/>
        <w:gridCol w:w="2338"/>
      </w:tblGrid>
      <w:tr w:rsidR="00D72D9B" w:rsidRPr="008B1397" w14:paraId="4D57DDF2" w14:textId="77777777" w:rsidTr="00E4060C">
        <w:tc>
          <w:tcPr>
            <w:tcW w:w="2337" w:type="dxa"/>
            <w:shd w:val="clear" w:color="auto" w:fill="9CC2E5" w:themeFill="accent1" w:themeFillTint="99"/>
          </w:tcPr>
          <w:p w14:paraId="58E66647"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level of a specific objective</w:t>
            </w:r>
          </w:p>
        </w:tc>
        <w:tc>
          <w:tcPr>
            <w:tcW w:w="2337" w:type="dxa"/>
            <w:shd w:val="clear" w:color="auto" w:fill="9CC2E5" w:themeFill="accent1" w:themeFillTint="99"/>
          </w:tcPr>
          <w:p w14:paraId="19EE8D48"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6FAED4AD"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2121E2AA"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p w14:paraId="2C016A4D"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(allowed deviation 10%)</w:t>
            </w:r>
          </w:p>
        </w:tc>
      </w:tr>
      <w:tr w:rsidR="00D72D9B" w:rsidRPr="008B1397" w14:paraId="4DAEA957" w14:textId="77777777" w:rsidTr="00BD105F">
        <w:trPr>
          <w:trHeight w:val="431"/>
        </w:trPr>
        <w:tc>
          <w:tcPr>
            <w:tcW w:w="2337" w:type="dxa"/>
            <w:vMerge w:val="restart"/>
          </w:tcPr>
          <w:p w14:paraId="3EEA5BD0" w14:textId="77777777" w:rsidR="00D72D9B" w:rsidRPr="008B1397" w:rsidRDefault="00D72D9B" w:rsidP="00D72D9B">
            <w:pPr>
              <w:spacing w:line="259" w:lineRule="auto"/>
              <w:jc w:val="both"/>
              <w:rPr>
                <w:rFonts w:ascii="Times New Roman" w:eastAsia="Calibri" w:hAnsi="Times New Roman" w:cs="Times New Roman"/>
                <w:lang w:val="sr-Cyrl-RS"/>
              </w:rPr>
            </w:pPr>
          </w:p>
          <w:p w14:paraId="3FD11EAB" w14:textId="77777777" w:rsidR="00D72D9B" w:rsidRPr="0095283C" w:rsidRDefault="00D72D9B" w:rsidP="0095283C">
            <w:pPr>
              <w:spacing w:line="259" w:lineRule="auto"/>
              <w:rPr>
                <w:rFonts w:ascii="Times New Roman" w:eastAsia="Calibri" w:hAnsi="Times New Roman" w:cs="Times New Roman"/>
                <w:b/>
                <w:bCs/>
                <w:lang w:val="sr-Cyrl-RS"/>
              </w:rPr>
            </w:pPr>
            <w:r w:rsidRPr="0095283C">
              <w:rPr>
                <w:rFonts w:ascii="Times New Roman" w:eastAsia="Calibri" w:hAnsi="Times New Roman" w:cs="Times New Roman"/>
                <w:b/>
                <w:bCs/>
                <w:lang w:val="sr-Cyrl-RS"/>
              </w:rPr>
              <w:t>The percentage of accepted and implemented recommendations given by the audit body to subjects of indirect management of EU funds</w:t>
            </w:r>
          </w:p>
        </w:tc>
        <w:tc>
          <w:tcPr>
            <w:tcW w:w="2337" w:type="dxa"/>
          </w:tcPr>
          <w:p w14:paraId="5492535F"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0C9547C5"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50%</w:t>
            </w:r>
          </w:p>
        </w:tc>
        <w:tc>
          <w:tcPr>
            <w:tcW w:w="2338" w:type="dxa"/>
          </w:tcPr>
          <w:p w14:paraId="55EF0564"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91%</w:t>
            </w:r>
          </w:p>
        </w:tc>
      </w:tr>
      <w:tr w:rsidR="00D72D9B" w:rsidRPr="008B1397" w14:paraId="489FE01A" w14:textId="77777777" w:rsidTr="00BD105F">
        <w:trPr>
          <w:trHeight w:val="422"/>
        </w:trPr>
        <w:tc>
          <w:tcPr>
            <w:tcW w:w="2337" w:type="dxa"/>
            <w:vMerge/>
          </w:tcPr>
          <w:p w14:paraId="40A34A8B"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536F8B77"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79462D51"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55%</w:t>
            </w:r>
          </w:p>
        </w:tc>
        <w:tc>
          <w:tcPr>
            <w:tcW w:w="2338" w:type="dxa"/>
          </w:tcPr>
          <w:p w14:paraId="14457B82"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48%</w:t>
            </w:r>
          </w:p>
        </w:tc>
      </w:tr>
      <w:tr w:rsidR="00D72D9B" w:rsidRPr="008B1397" w14:paraId="28ADF3C5" w14:textId="77777777" w:rsidTr="00BD105F">
        <w:trPr>
          <w:trHeight w:val="413"/>
        </w:trPr>
        <w:tc>
          <w:tcPr>
            <w:tcW w:w="2337" w:type="dxa"/>
            <w:vMerge/>
          </w:tcPr>
          <w:p w14:paraId="38650FED"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1820BFB5"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3B67369B"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60%</w:t>
            </w:r>
          </w:p>
        </w:tc>
        <w:tc>
          <w:tcPr>
            <w:tcW w:w="2338" w:type="dxa"/>
          </w:tcPr>
          <w:p w14:paraId="01A6A677"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64%</w:t>
            </w:r>
          </w:p>
          <w:p w14:paraId="714CC1A6" w14:textId="77777777" w:rsidR="00D72D9B" w:rsidRPr="00FF526A" w:rsidRDefault="00D72D9B" w:rsidP="00D72D9B">
            <w:pPr>
              <w:spacing w:line="259" w:lineRule="auto"/>
              <w:jc w:val="both"/>
              <w:rPr>
                <w:rFonts w:ascii="Times New Roman" w:eastAsia="Calibri" w:hAnsi="Times New Roman" w:cs="Times New Roman"/>
                <w:lang w:val="sr-Cyrl-RS"/>
              </w:rPr>
            </w:pPr>
          </w:p>
        </w:tc>
      </w:tr>
      <w:tr w:rsidR="00D72D9B" w:rsidRPr="008B1397" w14:paraId="5C6B8AB6" w14:textId="77777777" w:rsidTr="00BD105F">
        <w:trPr>
          <w:trHeight w:val="413"/>
        </w:trPr>
        <w:tc>
          <w:tcPr>
            <w:tcW w:w="2337" w:type="dxa"/>
            <w:vMerge/>
          </w:tcPr>
          <w:p w14:paraId="346D9253"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6A93581C"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31A821D5"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65%</w:t>
            </w:r>
          </w:p>
        </w:tc>
        <w:tc>
          <w:tcPr>
            <w:tcW w:w="2338" w:type="dxa"/>
          </w:tcPr>
          <w:p w14:paraId="1A26C54B"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66%</w:t>
            </w:r>
          </w:p>
        </w:tc>
      </w:tr>
      <w:tr w:rsidR="00D72D9B" w:rsidRPr="008B1397" w14:paraId="74D4460B" w14:textId="77777777" w:rsidTr="00BD105F">
        <w:trPr>
          <w:trHeight w:val="422"/>
        </w:trPr>
        <w:tc>
          <w:tcPr>
            <w:tcW w:w="2337" w:type="dxa"/>
            <w:vMerge/>
          </w:tcPr>
          <w:p w14:paraId="24B5585D"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5C0B9F02"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44DFE48C"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70%</w:t>
            </w:r>
          </w:p>
        </w:tc>
        <w:tc>
          <w:tcPr>
            <w:tcW w:w="2338" w:type="dxa"/>
          </w:tcPr>
          <w:p w14:paraId="5C4F9A03" w14:textId="77777777" w:rsidR="00D72D9B" w:rsidRPr="00D1419E"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color w:val="000000" w:themeColor="text1"/>
                <w:lang w:val="sr-Cyrl-RS"/>
              </w:rPr>
              <w:t>50%</w:t>
            </w:r>
          </w:p>
        </w:tc>
      </w:tr>
    </w:tbl>
    <w:p w14:paraId="0E9015DA"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48A2F76E" w14:textId="77777777" w:rsidR="00D47EAC" w:rsidRPr="008D14FD" w:rsidRDefault="00D47EAC" w:rsidP="00D47EAC">
      <w:pPr>
        <w:spacing w:line="259" w:lineRule="auto"/>
        <w:ind w:firstLine="720"/>
        <w:jc w:val="both"/>
        <w:rPr>
          <w:rFonts w:ascii="Times New Roman" w:hAnsi="Times New Roman" w:cs="Times New Roman"/>
          <w:lang w:val="sr-Cyrl-RS"/>
        </w:rPr>
      </w:pPr>
      <w:r w:rsidRPr="00D47EAC">
        <w:rPr>
          <w:rFonts w:ascii="Times New Roman" w:hAnsi="Times New Roman" w:cs="Times New Roman"/>
          <w:lang w:val="sr-Cyrl-RS"/>
        </w:rPr>
        <w:t>Within Special Objective III, significant progress was made in strengthening institutional, administrative and professional capacities in the system of budget inspection, management of EU funds and audit of the system of EU funds management. Although the outcome indicators at the level of a specific objective were not fully achieved in all years of the Programme's implementation, especially in 2025, the achieved results indicate the improvement of control mechanisms, the increase in the number of inspection controls, the strengthening of capacities in the IPA system and the reduction of the number of open audit findings of the European Commission. The above results gain additional importance considering that during the period of implementation of the Programme, the number of IPA programs and the volume of funds managed by the Republic of Serbia were simultaneously increased, which required the strengthening of institutional capacities and additional improvement of the management and control system.</w:t>
      </w:r>
    </w:p>
    <w:p w14:paraId="2EFB0962" w14:textId="77777777" w:rsidR="00D72D9B" w:rsidRPr="00D47EAC" w:rsidRDefault="00D47EAC" w:rsidP="00D47EAC">
      <w:pPr>
        <w:spacing w:line="259" w:lineRule="auto"/>
        <w:ind w:firstLine="720"/>
        <w:jc w:val="both"/>
        <w:rPr>
          <w:rFonts w:ascii="Times New Roman" w:eastAsia="Calibri" w:hAnsi="Times New Roman" w:cs="Times New Roman"/>
          <w:lang w:val="sr-Cyrl-RS"/>
          <w14:ligatures w14:val="none"/>
        </w:rPr>
      </w:pPr>
      <w:r w:rsidRPr="00D47EAC">
        <w:rPr>
          <w:rFonts w:ascii="Times New Roman" w:hAnsi="Times New Roman" w:cs="Times New Roman"/>
          <w:lang w:val="sr-Cyrl-RS"/>
        </w:rPr>
        <w:t>The average number of illegalities and irregularities per control continuously decreased during the observed period, from 3.45 in 2021 to 1.58 in 2025, which represents significant progress towards the target value, although the target value for 2025 was not reached.</w:t>
      </w:r>
    </w:p>
    <w:tbl>
      <w:tblPr>
        <w:tblStyle w:val="TableGrid4"/>
        <w:tblpPr w:leftFromText="180" w:rightFromText="180" w:vertAnchor="page" w:horzAnchor="margin" w:tblpY="4036"/>
        <w:tblW w:w="0" w:type="auto"/>
        <w:tblLook w:val="04A0" w:firstRow="1" w:lastRow="0" w:firstColumn="1" w:lastColumn="0" w:noHBand="0" w:noVBand="1"/>
      </w:tblPr>
      <w:tblGrid>
        <w:gridCol w:w="2337"/>
        <w:gridCol w:w="2337"/>
        <w:gridCol w:w="2338"/>
        <w:gridCol w:w="2338"/>
      </w:tblGrid>
      <w:tr w:rsidR="00D72D9B" w:rsidRPr="008B1397" w14:paraId="117AE2B5" w14:textId="77777777" w:rsidTr="00AE1A14">
        <w:tc>
          <w:tcPr>
            <w:tcW w:w="2337" w:type="dxa"/>
            <w:shd w:val="clear" w:color="auto" w:fill="9CC2E5" w:themeFill="accent1" w:themeFillTint="99"/>
          </w:tcPr>
          <w:p w14:paraId="6FA3C6F2" w14:textId="77777777" w:rsidR="00D72D9B" w:rsidRPr="008B1397" w:rsidRDefault="00D72D9B" w:rsidP="00AE1A14">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lastRenderedPageBreak/>
              <w:t>Indicator at the measure level</w:t>
            </w:r>
          </w:p>
        </w:tc>
        <w:tc>
          <w:tcPr>
            <w:tcW w:w="2337" w:type="dxa"/>
            <w:shd w:val="clear" w:color="auto" w:fill="9CC2E5" w:themeFill="accent1" w:themeFillTint="99"/>
          </w:tcPr>
          <w:p w14:paraId="791423A7" w14:textId="77777777" w:rsidR="00D72D9B" w:rsidRPr="008B1397" w:rsidRDefault="00D72D9B" w:rsidP="00AE1A14">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14A8B3AF" w14:textId="77777777" w:rsidR="00D72D9B" w:rsidRPr="008B1397" w:rsidRDefault="00D72D9B" w:rsidP="00AE1A14">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2701F759" w14:textId="77777777" w:rsidR="00D72D9B" w:rsidRPr="008B1397" w:rsidRDefault="00D72D9B" w:rsidP="00AE1A14">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72D9B" w:rsidRPr="008B1397" w14:paraId="5FA3542E" w14:textId="77777777" w:rsidTr="00AE1A14">
        <w:trPr>
          <w:trHeight w:val="432"/>
        </w:trPr>
        <w:tc>
          <w:tcPr>
            <w:tcW w:w="2337" w:type="dxa"/>
            <w:vMerge w:val="restart"/>
          </w:tcPr>
          <w:p w14:paraId="3257F745" w14:textId="77777777" w:rsidR="00D72D9B" w:rsidRPr="008B1397" w:rsidRDefault="00D72D9B" w:rsidP="00AE1A14">
            <w:pPr>
              <w:spacing w:line="259" w:lineRule="auto"/>
              <w:jc w:val="both"/>
              <w:rPr>
                <w:rFonts w:ascii="Times New Roman" w:eastAsia="Calibri" w:hAnsi="Times New Roman" w:cs="Times New Roman"/>
                <w:lang w:val="sr-Cyrl-RS"/>
              </w:rPr>
            </w:pPr>
            <w:r w:rsidRPr="0095283C">
              <w:rPr>
                <w:rFonts w:ascii="Times New Roman" w:eastAsia="Calibri" w:hAnsi="Times New Roman" w:cs="Times New Roman"/>
                <w:b/>
                <w:bCs/>
                <w:lang w:val="sr-Cyrl-RS"/>
              </w:rPr>
              <w:t>Measure 3.1: Number of EC audit findings in relation to the number of implemented audit recommendations (initial value 16)</w:t>
            </w:r>
          </w:p>
        </w:tc>
        <w:tc>
          <w:tcPr>
            <w:tcW w:w="2337" w:type="dxa"/>
          </w:tcPr>
          <w:p w14:paraId="73B5F0C6"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25E2CC8D"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10</w:t>
            </w:r>
          </w:p>
        </w:tc>
        <w:tc>
          <w:tcPr>
            <w:tcW w:w="2338" w:type="dxa"/>
          </w:tcPr>
          <w:p w14:paraId="08CDF100"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10</w:t>
            </w:r>
          </w:p>
        </w:tc>
      </w:tr>
      <w:tr w:rsidR="00D72D9B" w:rsidRPr="008B1397" w14:paraId="78D2FA7E" w14:textId="77777777" w:rsidTr="00AE1A14">
        <w:trPr>
          <w:trHeight w:val="432"/>
        </w:trPr>
        <w:tc>
          <w:tcPr>
            <w:tcW w:w="2337" w:type="dxa"/>
            <w:vMerge/>
          </w:tcPr>
          <w:p w14:paraId="17E157FB" w14:textId="77777777" w:rsidR="00D72D9B" w:rsidRPr="008B1397" w:rsidRDefault="00D72D9B" w:rsidP="00AE1A14">
            <w:pPr>
              <w:spacing w:line="259" w:lineRule="auto"/>
              <w:jc w:val="both"/>
              <w:rPr>
                <w:rFonts w:ascii="Times New Roman" w:eastAsia="Calibri" w:hAnsi="Times New Roman" w:cs="Times New Roman"/>
                <w:lang w:val="sr-Cyrl-RS"/>
              </w:rPr>
            </w:pPr>
          </w:p>
        </w:tc>
        <w:tc>
          <w:tcPr>
            <w:tcW w:w="2337" w:type="dxa"/>
          </w:tcPr>
          <w:p w14:paraId="3AF907E8"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7EB1334F"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8</w:t>
            </w:r>
          </w:p>
        </w:tc>
        <w:tc>
          <w:tcPr>
            <w:tcW w:w="2338" w:type="dxa"/>
          </w:tcPr>
          <w:p w14:paraId="6F0A4A58"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8</w:t>
            </w:r>
          </w:p>
        </w:tc>
      </w:tr>
      <w:tr w:rsidR="00D72D9B" w:rsidRPr="008B1397" w14:paraId="6BB6A8F3" w14:textId="77777777" w:rsidTr="00AE1A14">
        <w:trPr>
          <w:trHeight w:val="432"/>
        </w:trPr>
        <w:tc>
          <w:tcPr>
            <w:tcW w:w="2337" w:type="dxa"/>
            <w:vMerge/>
          </w:tcPr>
          <w:p w14:paraId="50E09C99" w14:textId="77777777" w:rsidR="00D72D9B" w:rsidRPr="008B1397" w:rsidRDefault="00D72D9B" w:rsidP="00AE1A14">
            <w:pPr>
              <w:spacing w:line="259" w:lineRule="auto"/>
              <w:jc w:val="both"/>
              <w:rPr>
                <w:rFonts w:ascii="Times New Roman" w:eastAsia="Calibri" w:hAnsi="Times New Roman" w:cs="Times New Roman"/>
                <w:lang w:val="sr-Cyrl-RS"/>
              </w:rPr>
            </w:pPr>
          </w:p>
        </w:tc>
        <w:tc>
          <w:tcPr>
            <w:tcW w:w="2337" w:type="dxa"/>
          </w:tcPr>
          <w:p w14:paraId="53E477EA"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7ED94025"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w:t>
            </w:r>
          </w:p>
        </w:tc>
        <w:tc>
          <w:tcPr>
            <w:tcW w:w="2338" w:type="dxa"/>
          </w:tcPr>
          <w:p w14:paraId="6F7EBA1C"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w:t>
            </w:r>
          </w:p>
        </w:tc>
      </w:tr>
      <w:tr w:rsidR="00D72D9B" w:rsidRPr="008B1397" w14:paraId="2EBFC1B2" w14:textId="77777777" w:rsidTr="00AE1A14">
        <w:trPr>
          <w:trHeight w:val="432"/>
        </w:trPr>
        <w:tc>
          <w:tcPr>
            <w:tcW w:w="2337" w:type="dxa"/>
            <w:vMerge/>
          </w:tcPr>
          <w:p w14:paraId="597C57F4" w14:textId="77777777" w:rsidR="00D72D9B" w:rsidRPr="008B1397" w:rsidRDefault="00D72D9B" w:rsidP="00AE1A14">
            <w:pPr>
              <w:spacing w:line="259" w:lineRule="auto"/>
              <w:jc w:val="both"/>
              <w:rPr>
                <w:rFonts w:ascii="Times New Roman" w:eastAsia="Calibri" w:hAnsi="Times New Roman" w:cs="Times New Roman"/>
                <w:lang w:val="sr-Cyrl-RS"/>
              </w:rPr>
            </w:pPr>
          </w:p>
        </w:tc>
        <w:tc>
          <w:tcPr>
            <w:tcW w:w="2337" w:type="dxa"/>
          </w:tcPr>
          <w:p w14:paraId="12471837"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4C78B106"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w:t>
            </w:r>
          </w:p>
        </w:tc>
        <w:tc>
          <w:tcPr>
            <w:tcW w:w="2338" w:type="dxa"/>
          </w:tcPr>
          <w:p w14:paraId="4D2C121D"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4</w:t>
            </w:r>
          </w:p>
        </w:tc>
      </w:tr>
      <w:tr w:rsidR="00D72D9B" w:rsidRPr="008B1397" w14:paraId="70D0683C" w14:textId="77777777" w:rsidTr="00AE1A14">
        <w:trPr>
          <w:trHeight w:val="432"/>
        </w:trPr>
        <w:tc>
          <w:tcPr>
            <w:tcW w:w="2337" w:type="dxa"/>
            <w:vMerge/>
          </w:tcPr>
          <w:p w14:paraId="0D76975E" w14:textId="77777777" w:rsidR="00D72D9B" w:rsidRPr="008B1397" w:rsidRDefault="00D72D9B" w:rsidP="00AE1A14">
            <w:pPr>
              <w:spacing w:line="259" w:lineRule="auto"/>
              <w:jc w:val="both"/>
              <w:rPr>
                <w:rFonts w:ascii="Times New Roman" w:eastAsia="Calibri" w:hAnsi="Times New Roman" w:cs="Times New Roman"/>
                <w:lang w:val="sr-Cyrl-RS"/>
              </w:rPr>
            </w:pPr>
          </w:p>
        </w:tc>
        <w:tc>
          <w:tcPr>
            <w:tcW w:w="2337" w:type="dxa"/>
          </w:tcPr>
          <w:p w14:paraId="1999B27D"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386127DF"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4</w:t>
            </w:r>
          </w:p>
        </w:tc>
        <w:tc>
          <w:tcPr>
            <w:tcW w:w="2338" w:type="dxa"/>
          </w:tcPr>
          <w:p w14:paraId="02437447" w14:textId="77777777" w:rsidR="00D72D9B" w:rsidRPr="008B1397" w:rsidRDefault="00D72D9B" w:rsidP="00AE1A14">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3</w:t>
            </w:r>
          </w:p>
        </w:tc>
      </w:tr>
    </w:tbl>
    <w:p w14:paraId="063BB898"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3C254DE6" w14:textId="77777777" w:rsidR="0067689A" w:rsidRPr="002C61A1" w:rsidRDefault="0067689A" w:rsidP="002C61A1">
      <w:pPr>
        <w:spacing w:line="256" w:lineRule="auto"/>
        <w:rPr>
          <w:rFonts w:ascii="Times New Roman" w:eastAsia="Calibri" w:hAnsi="Times New Roman" w:cs="Times New Roman"/>
          <w:b/>
          <w:u w:val="single"/>
          <w:lang w:val="sr-Cyrl-RS"/>
          <w14:ligatures w14:val="none"/>
        </w:rPr>
      </w:pPr>
      <w:r w:rsidRPr="002C61A1">
        <w:rPr>
          <w:rFonts w:ascii="Times New Roman" w:eastAsia="Calibri" w:hAnsi="Times New Roman" w:cs="Times New Roman"/>
          <w:b/>
          <w:u w:val="single"/>
          <w:lang w:val="sr-Cyrl-RS"/>
          <w14:ligatures w14:val="none"/>
        </w:rPr>
        <w:t>Measure 3.1: Strengthening the capacity of the Office for the Audit of the EU Funds Management System</w:t>
      </w:r>
    </w:p>
    <w:p w14:paraId="7E2A509C" w14:textId="77777777" w:rsidR="00D72D9B" w:rsidRPr="008B1397" w:rsidRDefault="00D72D9B" w:rsidP="0041053A">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result indicator at the measure level refers to the number of open audit findings of the European Commission. At the end of 2025, the target value of indicator (4) was reached and exceeded (reduction of the number of open findings of the European Commission from 16 to 3), which indicates the improvement of the capacity of the audit authority.</w:t>
      </w:r>
    </w:p>
    <w:p w14:paraId="38636BA1" w14:textId="77777777" w:rsidR="00D72D9B" w:rsidRPr="008B1397" w:rsidRDefault="00D72D9B" w:rsidP="0041053A">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activities were implemented within the stipulated deadlines, with the efficient use of budget and donor resources, through the improvement of the regulatory framework and the strengthening of professional capacities. The indicator is relevant for monitoring the improvement of the audit authority's capacity in the observed period, while the PFMRP 2026–2030 envisages the expansion of the audit scope and further improvement of the methodological framework.</w:t>
      </w:r>
    </w:p>
    <w:p w14:paraId="5924DC2C" w14:textId="77777777" w:rsidR="00D72D9B" w:rsidRPr="00E06202" w:rsidRDefault="00D72D9B" w:rsidP="00D72D9B">
      <w:pPr>
        <w:spacing w:line="259" w:lineRule="auto"/>
        <w:jc w:val="both"/>
        <w:rPr>
          <w:rFonts w:ascii="Times New Roman" w:eastAsia="Calibri" w:hAnsi="Times New Roman" w:cs="Times New Roman"/>
          <w:lang w:val="sr-Cyrl-RS"/>
          <w14:ligatures w14:val="none"/>
        </w:rPr>
      </w:pPr>
    </w:p>
    <w:p w14:paraId="761F7845" w14:textId="77777777" w:rsidR="00143A46" w:rsidRPr="00143A46" w:rsidRDefault="00F849D4" w:rsidP="00143A46">
      <w:pPr>
        <w:spacing w:line="256" w:lineRule="auto"/>
        <w:rPr>
          <w:rFonts w:ascii="Times New Roman" w:eastAsia="Calibri" w:hAnsi="Times New Roman" w:cs="Times New Roman"/>
          <w:b/>
          <w:u w:val="single"/>
          <w:lang w:val="en-US"/>
          <w14:ligatures w14:val="none"/>
        </w:rPr>
      </w:pPr>
      <w:r w:rsidRPr="002C61A1">
        <w:rPr>
          <w:rFonts w:ascii="Times New Roman" w:eastAsia="Calibri" w:hAnsi="Times New Roman" w:cs="Times New Roman"/>
          <w:b/>
          <w:u w:val="single"/>
          <w:lang w:val="sr-Cyrl-RS"/>
          <w14:ligatures w14:val="none"/>
        </w:rPr>
        <w:t>Measure 3.2: Strengthening the system for more efficient and effective management of EU funds</w:t>
      </w:r>
    </w:p>
    <w:p w14:paraId="3055EBAC" w14:textId="77777777" w:rsidR="00D72D9B" w:rsidRPr="008B1397" w:rsidRDefault="00D72D9B" w:rsidP="002C61A1">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Within the Sector for the management of EU funds in the previous period, in accordance with the identified recommendations of the EC and PEFA analysis, activities were aimed at further strengthening of administrative capacities in the area of ​​protection of financial interests of the EU and the Republic of Serbia.</w:t>
      </w:r>
    </w:p>
    <w:p w14:paraId="6B3F0205" w14:textId="77777777" w:rsidR="00D72D9B" w:rsidRPr="008B1397" w:rsidRDefault="00D72D9B" w:rsidP="009C0FD8">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During the entire period of implementation of the PFMRP programme 2021–2025, the indicators at the level of measure 3.2 were achieved to a large extent in accordance with the planned target values.</w:t>
      </w:r>
    </w:p>
    <w:tbl>
      <w:tblPr>
        <w:tblStyle w:val="TableGrid4"/>
        <w:tblpPr w:leftFromText="180" w:rightFromText="180" w:vertAnchor="text" w:horzAnchor="margin" w:tblpY="64"/>
        <w:tblW w:w="0" w:type="auto"/>
        <w:tblLook w:val="04A0" w:firstRow="1" w:lastRow="0" w:firstColumn="1" w:lastColumn="0" w:noHBand="0" w:noVBand="1"/>
      </w:tblPr>
      <w:tblGrid>
        <w:gridCol w:w="2337"/>
        <w:gridCol w:w="2337"/>
        <w:gridCol w:w="2338"/>
        <w:gridCol w:w="2338"/>
      </w:tblGrid>
      <w:tr w:rsidR="00D72D9B" w:rsidRPr="008B1397" w14:paraId="2AD9BBED" w14:textId="77777777" w:rsidTr="00E4060C">
        <w:tc>
          <w:tcPr>
            <w:tcW w:w="2337" w:type="dxa"/>
            <w:shd w:val="clear" w:color="auto" w:fill="9CC2E5" w:themeFill="accent1" w:themeFillTint="99"/>
          </w:tcPr>
          <w:p w14:paraId="6B3D602B" w14:textId="77777777" w:rsidR="00D72D9B" w:rsidRPr="008B1397" w:rsidRDefault="00D72D9B" w:rsidP="00D72D9B">
            <w:pPr>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measure level</w:t>
            </w:r>
          </w:p>
        </w:tc>
        <w:tc>
          <w:tcPr>
            <w:tcW w:w="2337" w:type="dxa"/>
            <w:shd w:val="clear" w:color="auto" w:fill="9CC2E5" w:themeFill="accent1" w:themeFillTint="99"/>
          </w:tcPr>
          <w:p w14:paraId="2C9F3042" w14:textId="77777777" w:rsidR="00D72D9B" w:rsidRPr="008B1397" w:rsidRDefault="00D72D9B" w:rsidP="00D72D9B">
            <w:pPr>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720B1756" w14:textId="77777777" w:rsidR="00D72D9B" w:rsidRPr="008B1397" w:rsidRDefault="00D72D9B" w:rsidP="00D72D9B">
            <w:pPr>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2E8B2366" w14:textId="77777777" w:rsidR="00D72D9B" w:rsidRPr="008B1397" w:rsidRDefault="00D72D9B" w:rsidP="00D72D9B">
            <w:pPr>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72D9B" w:rsidRPr="008B1397" w14:paraId="3EFC7207" w14:textId="77777777" w:rsidTr="00BD105F">
        <w:trPr>
          <w:trHeight w:val="431"/>
        </w:trPr>
        <w:tc>
          <w:tcPr>
            <w:tcW w:w="2337" w:type="dxa"/>
            <w:vMerge w:val="restart"/>
          </w:tcPr>
          <w:p w14:paraId="7E0B2B97" w14:textId="77777777" w:rsidR="00D72D9B" w:rsidRPr="008B1397" w:rsidRDefault="00D72D9B" w:rsidP="00D72D9B">
            <w:pPr>
              <w:jc w:val="both"/>
              <w:rPr>
                <w:rFonts w:ascii="Times New Roman" w:eastAsia="Calibri" w:hAnsi="Times New Roman" w:cs="Times New Roman"/>
                <w:lang w:val="sr-Cyrl-RS"/>
              </w:rPr>
            </w:pPr>
          </w:p>
          <w:p w14:paraId="0D943E6A" w14:textId="77777777" w:rsidR="00D72D9B" w:rsidRPr="0095283C" w:rsidRDefault="00D72D9B" w:rsidP="0095283C">
            <w:pPr>
              <w:rPr>
                <w:rFonts w:ascii="Times New Roman" w:eastAsia="Calibri" w:hAnsi="Times New Roman" w:cs="Times New Roman"/>
                <w:b/>
                <w:bCs/>
                <w:lang w:val="sr-Cyrl-RS"/>
              </w:rPr>
            </w:pPr>
            <w:r w:rsidRPr="0095283C">
              <w:rPr>
                <w:rFonts w:ascii="Times New Roman" w:eastAsia="Calibri" w:hAnsi="Times New Roman" w:cs="Times New Roman"/>
                <w:b/>
                <w:bCs/>
                <w:lang w:val="sr-Cyrl-RS"/>
              </w:rPr>
              <w:t>Adopted acts aimed at staff retention policy</w:t>
            </w:r>
          </w:p>
        </w:tc>
        <w:tc>
          <w:tcPr>
            <w:tcW w:w="2337" w:type="dxa"/>
          </w:tcPr>
          <w:p w14:paraId="0B2B140B"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0EACB1EE"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1</w:t>
            </w:r>
          </w:p>
        </w:tc>
        <w:tc>
          <w:tcPr>
            <w:tcW w:w="2338" w:type="dxa"/>
          </w:tcPr>
          <w:p w14:paraId="1232B953"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1</w:t>
            </w:r>
          </w:p>
        </w:tc>
      </w:tr>
      <w:tr w:rsidR="00D72D9B" w:rsidRPr="008B1397" w14:paraId="7BE8D756" w14:textId="77777777" w:rsidTr="00BD105F">
        <w:trPr>
          <w:trHeight w:val="422"/>
        </w:trPr>
        <w:tc>
          <w:tcPr>
            <w:tcW w:w="2337" w:type="dxa"/>
            <w:vMerge/>
          </w:tcPr>
          <w:p w14:paraId="75AF5E51" w14:textId="77777777" w:rsidR="00D72D9B" w:rsidRPr="008B1397" w:rsidRDefault="00D72D9B" w:rsidP="00D72D9B">
            <w:pPr>
              <w:jc w:val="both"/>
              <w:rPr>
                <w:rFonts w:ascii="Times New Roman" w:eastAsia="Calibri" w:hAnsi="Times New Roman" w:cs="Times New Roman"/>
                <w:lang w:val="sr-Cyrl-RS"/>
              </w:rPr>
            </w:pPr>
          </w:p>
        </w:tc>
        <w:tc>
          <w:tcPr>
            <w:tcW w:w="2337" w:type="dxa"/>
          </w:tcPr>
          <w:p w14:paraId="63C23938"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2D19F37C"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1</w:t>
            </w:r>
          </w:p>
        </w:tc>
        <w:tc>
          <w:tcPr>
            <w:tcW w:w="2338" w:type="dxa"/>
          </w:tcPr>
          <w:p w14:paraId="579EA33A" w14:textId="77777777" w:rsidR="00D72D9B" w:rsidRPr="008B1397" w:rsidRDefault="00D72D9B" w:rsidP="00E4060C">
            <w:pPr>
              <w:rPr>
                <w:rFonts w:ascii="Times New Roman" w:eastAsia="Calibri" w:hAnsi="Times New Roman" w:cs="Times New Roman"/>
                <w:lang w:val="sr-Cyrl-RS"/>
              </w:rPr>
            </w:pPr>
            <w:r w:rsidRPr="008B1397">
              <w:rPr>
                <w:rFonts w:ascii="Times New Roman" w:eastAsia="Calibri" w:hAnsi="Times New Roman" w:cs="Times New Roman"/>
                <w:lang w:val="sr-Cyrl-RS"/>
              </w:rPr>
              <w:t>1 - The result indicator is partially fulfilled - through the official letter of joining the regional initiative</w:t>
            </w:r>
          </w:p>
        </w:tc>
      </w:tr>
      <w:tr w:rsidR="00D72D9B" w:rsidRPr="008B1397" w14:paraId="4E56F42C" w14:textId="77777777" w:rsidTr="00BD105F">
        <w:trPr>
          <w:trHeight w:val="413"/>
        </w:trPr>
        <w:tc>
          <w:tcPr>
            <w:tcW w:w="2337" w:type="dxa"/>
            <w:vMerge/>
          </w:tcPr>
          <w:p w14:paraId="2E99F455" w14:textId="77777777" w:rsidR="00D72D9B" w:rsidRPr="008B1397" w:rsidRDefault="00D72D9B" w:rsidP="00D72D9B">
            <w:pPr>
              <w:jc w:val="both"/>
              <w:rPr>
                <w:rFonts w:ascii="Times New Roman" w:eastAsia="Calibri" w:hAnsi="Times New Roman" w:cs="Times New Roman"/>
                <w:lang w:val="sr-Cyrl-RS"/>
              </w:rPr>
            </w:pPr>
          </w:p>
        </w:tc>
        <w:tc>
          <w:tcPr>
            <w:tcW w:w="2337" w:type="dxa"/>
          </w:tcPr>
          <w:p w14:paraId="633F1E8B"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0783A725"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60AFF874"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w:t>
            </w:r>
          </w:p>
          <w:p w14:paraId="59DB54F4" w14:textId="77777777" w:rsidR="00D72D9B" w:rsidRPr="008B1397" w:rsidRDefault="00D72D9B" w:rsidP="00D72D9B">
            <w:pPr>
              <w:jc w:val="both"/>
              <w:rPr>
                <w:rFonts w:ascii="Times New Roman" w:eastAsia="Calibri" w:hAnsi="Times New Roman" w:cs="Times New Roman"/>
                <w:lang w:val="sr-Cyrl-RS"/>
              </w:rPr>
            </w:pPr>
          </w:p>
        </w:tc>
      </w:tr>
      <w:tr w:rsidR="00D72D9B" w:rsidRPr="008B1397" w14:paraId="7A3557A7" w14:textId="77777777" w:rsidTr="00BD105F">
        <w:trPr>
          <w:trHeight w:val="413"/>
        </w:trPr>
        <w:tc>
          <w:tcPr>
            <w:tcW w:w="2337" w:type="dxa"/>
            <w:vMerge/>
          </w:tcPr>
          <w:p w14:paraId="78E22C86" w14:textId="77777777" w:rsidR="00D72D9B" w:rsidRPr="008B1397" w:rsidRDefault="00D72D9B" w:rsidP="00D72D9B">
            <w:pPr>
              <w:jc w:val="both"/>
              <w:rPr>
                <w:rFonts w:ascii="Times New Roman" w:eastAsia="Calibri" w:hAnsi="Times New Roman" w:cs="Times New Roman"/>
                <w:lang w:val="sr-Cyrl-RS"/>
              </w:rPr>
            </w:pPr>
          </w:p>
        </w:tc>
        <w:tc>
          <w:tcPr>
            <w:tcW w:w="2337" w:type="dxa"/>
          </w:tcPr>
          <w:p w14:paraId="17D30A24"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1638CB7E"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1BE34E08"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72D9B" w:rsidRPr="008B1397" w14:paraId="6BDEFFF8" w14:textId="77777777" w:rsidTr="00BD105F">
        <w:trPr>
          <w:trHeight w:val="422"/>
        </w:trPr>
        <w:tc>
          <w:tcPr>
            <w:tcW w:w="2337" w:type="dxa"/>
            <w:vMerge/>
          </w:tcPr>
          <w:p w14:paraId="6B709E32" w14:textId="77777777" w:rsidR="00D72D9B" w:rsidRPr="008B1397" w:rsidRDefault="00D72D9B" w:rsidP="00D72D9B">
            <w:pPr>
              <w:jc w:val="both"/>
              <w:rPr>
                <w:rFonts w:ascii="Times New Roman" w:eastAsia="Calibri" w:hAnsi="Times New Roman" w:cs="Times New Roman"/>
                <w:lang w:val="sr-Cyrl-RS"/>
              </w:rPr>
            </w:pPr>
          </w:p>
        </w:tc>
        <w:tc>
          <w:tcPr>
            <w:tcW w:w="2337" w:type="dxa"/>
          </w:tcPr>
          <w:p w14:paraId="5A71E02B"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5DB1C323" w14:textId="77777777" w:rsidR="00D72D9B" w:rsidRPr="008B1397" w:rsidRDefault="00D72D9B" w:rsidP="00D72D9B">
            <w:pPr>
              <w:jc w:val="both"/>
              <w:rPr>
                <w:rFonts w:ascii="Times New Roman" w:eastAsia="Calibri" w:hAnsi="Times New Roman" w:cs="Times New Roman"/>
                <w:lang w:val="sr-Cyrl-RS"/>
              </w:rPr>
            </w:pPr>
            <w:r w:rsidRPr="008B1397">
              <w:rPr>
                <w:rFonts w:ascii="Times New Roman" w:eastAsia="Calibri" w:hAnsi="Times New Roman" w:cs="Times New Roman"/>
                <w:lang w:val="sr-Cyrl-RS"/>
              </w:rPr>
              <w:t>1</w:t>
            </w:r>
          </w:p>
        </w:tc>
        <w:tc>
          <w:tcPr>
            <w:tcW w:w="2338" w:type="dxa"/>
          </w:tcPr>
          <w:p w14:paraId="0797F6AD" w14:textId="77777777" w:rsidR="00D72D9B" w:rsidRPr="008B1397" w:rsidRDefault="00D72D9B" w:rsidP="00D72D9B">
            <w:pPr>
              <w:jc w:val="both"/>
              <w:rPr>
                <w:rFonts w:ascii="Times New Roman" w:eastAsia="Calibri" w:hAnsi="Times New Roman" w:cs="Times New Roman"/>
                <w:lang w:val="sr-Cyrl-RS"/>
              </w:rPr>
            </w:pPr>
            <w:r w:rsidRPr="00FF526A">
              <w:rPr>
                <w:rFonts w:ascii="Times New Roman" w:eastAsia="Calibri" w:hAnsi="Times New Roman" w:cs="Times New Roman"/>
                <w:lang w:val="sr-Cyrl-RS"/>
              </w:rPr>
              <w:t>0</w:t>
            </w:r>
          </w:p>
        </w:tc>
      </w:tr>
    </w:tbl>
    <w:p w14:paraId="650EC4FA"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02A79CA4" w14:textId="77777777" w:rsidR="00D72D9B" w:rsidRPr="008B1397" w:rsidRDefault="00D72D9B" w:rsidP="00E4060C">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activity focused on the preparation of acts dealing with the policy for staff retention within the IPA structure, the Sector for the Management of EU Funds, in cooperation with the competent institutions, in accordance with the measures adopted at the national level for state administration bodies and Government services, carried out the following:</w:t>
      </w:r>
    </w:p>
    <w:p w14:paraId="7330EFAE" w14:textId="77777777" w:rsidR="00D72D9B" w:rsidRPr="00D1419E" w:rsidRDefault="00D72D9B" w:rsidP="00CE42EA">
      <w:pPr>
        <w:pStyle w:val="ListParagraph"/>
        <w:numPr>
          <w:ilvl w:val="0"/>
          <w:numId w:val="1"/>
        </w:numPr>
        <w:spacing w:line="259" w:lineRule="auto"/>
        <w:jc w:val="both"/>
        <w:rPr>
          <w:rFonts w:ascii="Times New Roman" w:eastAsia="Calibri" w:hAnsi="Times New Roman" w:cs="Times New Roman"/>
          <w:lang w:val="sr-Cyrl-RS"/>
          <w14:ligatures w14:val="none"/>
        </w:rPr>
      </w:pPr>
      <w:r w:rsidRPr="00FF526A">
        <w:rPr>
          <w:rFonts w:ascii="Times New Roman" w:eastAsia="Calibri" w:hAnsi="Times New Roman" w:cs="Times New Roman"/>
          <w:lang w:val="sr-Cyrl-RS"/>
          <w14:ligatures w14:val="none"/>
        </w:rPr>
        <w:t>Developing a document on the retention policy aimed at strengthening efficiency, building and retaining staff in IPA structures. The final document has not yet been adopted.</w:t>
      </w:r>
    </w:p>
    <w:p w14:paraId="3767D795" w14:textId="77777777" w:rsidR="00D72D9B" w:rsidRPr="00D1419E" w:rsidRDefault="00D72D9B" w:rsidP="00CE42EA">
      <w:pPr>
        <w:pStyle w:val="ListParagraph"/>
        <w:numPr>
          <w:ilvl w:val="0"/>
          <w:numId w:val="1"/>
        </w:numPr>
        <w:spacing w:line="259" w:lineRule="auto"/>
        <w:jc w:val="both"/>
        <w:rPr>
          <w:rFonts w:ascii="Times New Roman" w:eastAsia="Calibri" w:hAnsi="Times New Roman" w:cs="Times New Roman"/>
          <w:lang w:val="sr-Cyrl-RS"/>
          <w14:ligatures w14:val="none"/>
        </w:rPr>
      </w:pPr>
      <w:r w:rsidRPr="00FF526A">
        <w:rPr>
          <w:rFonts w:ascii="Times New Roman" w:eastAsia="Calibri" w:hAnsi="Times New Roman" w:cs="Times New Roman"/>
          <w:lang w:val="sr-Cyrl-RS"/>
          <w14:ligatures w14:val="none"/>
        </w:rPr>
        <w:t>Amendment of the Regulation on the classification of jobs and criteria for the description of jobs of civil servants, which enabled the central IPA bodies to classify jobs without restrictions.</w:t>
      </w:r>
    </w:p>
    <w:p w14:paraId="25C632CB" w14:textId="77777777" w:rsidR="00D72D9B" w:rsidRPr="008B1397" w:rsidRDefault="00D72D9B" w:rsidP="00E4060C">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Also, during the last quarter of 2022, the National Approving Officer joined a regional initiative to work together on the issue of staff retention policy within the IPA system, which represents an important step towards the implementation of good regional practices.</w:t>
      </w:r>
    </w:p>
    <w:p w14:paraId="3F974A0C" w14:textId="77777777" w:rsidR="00D72D9B" w:rsidRPr="008B1397" w:rsidRDefault="00D72D9B" w:rsidP="004062BE">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EU funds management sector supervises the functioning of the IPA system and continuously monitors and promotes the importance of staff retention, the need for additional training and the importance of timely reactions to unforeseen circumstances such as the outflow of a significant number of employees, thus ensuring the maintenance of the stability and continuity of the IPA system, which remains one of the sector's key priorities in the coming period.</w:t>
      </w:r>
    </w:p>
    <w:tbl>
      <w:tblPr>
        <w:tblStyle w:val="TableGrid4"/>
        <w:tblW w:w="0" w:type="auto"/>
        <w:tblLook w:val="04A0" w:firstRow="1" w:lastRow="0" w:firstColumn="1" w:lastColumn="0" w:noHBand="0" w:noVBand="1"/>
      </w:tblPr>
      <w:tblGrid>
        <w:gridCol w:w="2337"/>
        <w:gridCol w:w="2337"/>
        <w:gridCol w:w="2338"/>
        <w:gridCol w:w="2338"/>
      </w:tblGrid>
      <w:tr w:rsidR="00D72D9B" w:rsidRPr="008B1397" w14:paraId="30565AB1" w14:textId="77777777" w:rsidTr="00E4060C">
        <w:tc>
          <w:tcPr>
            <w:tcW w:w="2337" w:type="dxa"/>
            <w:shd w:val="clear" w:color="auto" w:fill="9CC2E5" w:themeFill="accent1" w:themeFillTint="99"/>
          </w:tcPr>
          <w:p w14:paraId="2A007FF5"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measure level</w:t>
            </w:r>
          </w:p>
        </w:tc>
        <w:tc>
          <w:tcPr>
            <w:tcW w:w="2337" w:type="dxa"/>
            <w:shd w:val="clear" w:color="auto" w:fill="9CC2E5" w:themeFill="accent1" w:themeFillTint="99"/>
          </w:tcPr>
          <w:p w14:paraId="7039AC6C"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6F98A3F1"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4DD6465E"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72D9B" w:rsidRPr="008B1397" w14:paraId="5CCC0F5C" w14:textId="77777777" w:rsidTr="00BD105F">
        <w:trPr>
          <w:trHeight w:val="431"/>
        </w:trPr>
        <w:tc>
          <w:tcPr>
            <w:tcW w:w="2337" w:type="dxa"/>
            <w:vMerge w:val="restart"/>
          </w:tcPr>
          <w:p w14:paraId="7BE20A45" w14:textId="77777777" w:rsidR="00D72D9B" w:rsidRPr="00383B23" w:rsidRDefault="00D72D9B" w:rsidP="00383B23">
            <w:pPr>
              <w:spacing w:line="259" w:lineRule="auto"/>
              <w:rPr>
                <w:rFonts w:ascii="Times New Roman" w:eastAsia="Calibri" w:hAnsi="Times New Roman" w:cs="Times New Roman"/>
                <w:b/>
                <w:bCs/>
                <w:lang w:val="sr-Cyrl-RS"/>
              </w:rPr>
            </w:pPr>
          </w:p>
          <w:p w14:paraId="29B0EE55" w14:textId="77777777" w:rsidR="00D72D9B" w:rsidRPr="008B1397" w:rsidRDefault="00D72D9B" w:rsidP="00383B23">
            <w:pPr>
              <w:spacing w:line="259" w:lineRule="auto"/>
              <w:rPr>
                <w:rFonts w:ascii="Times New Roman" w:eastAsia="Calibri" w:hAnsi="Times New Roman" w:cs="Times New Roman"/>
                <w:lang w:val="sr-Cyrl-RS"/>
              </w:rPr>
            </w:pPr>
            <w:r w:rsidRPr="00383B23">
              <w:rPr>
                <w:rFonts w:ascii="Times New Roman" w:eastAsia="Calibri" w:hAnsi="Times New Roman" w:cs="Times New Roman"/>
                <w:b/>
                <w:bCs/>
                <w:lang w:val="sr-Cyrl-RS"/>
              </w:rPr>
              <w:t>The percentage of trained officers in terms of managing the control of the use of means of managing risks and irregularities</w:t>
            </w:r>
          </w:p>
        </w:tc>
        <w:tc>
          <w:tcPr>
            <w:tcW w:w="2337" w:type="dxa"/>
          </w:tcPr>
          <w:p w14:paraId="03B3F0B3"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2925B0E3"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w:t>
            </w:r>
          </w:p>
        </w:tc>
        <w:tc>
          <w:tcPr>
            <w:tcW w:w="2338" w:type="dxa"/>
          </w:tcPr>
          <w:p w14:paraId="25FFAE3D"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30%</w:t>
            </w:r>
          </w:p>
        </w:tc>
      </w:tr>
      <w:tr w:rsidR="00D72D9B" w:rsidRPr="008B1397" w14:paraId="49424BC1" w14:textId="77777777" w:rsidTr="00BD105F">
        <w:trPr>
          <w:trHeight w:val="422"/>
        </w:trPr>
        <w:tc>
          <w:tcPr>
            <w:tcW w:w="2337" w:type="dxa"/>
            <w:vMerge/>
          </w:tcPr>
          <w:p w14:paraId="1B7614EA"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1C0D1C58"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3E050C73"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30%</w:t>
            </w:r>
          </w:p>
        </w:tc>
        <w:tc>
          <w:tcPr>
            <w:tcW w:w="2338" w:type="dxa"/>
          </w:tcPr>
          <w:p w14:paraId="62BB5F42"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46,2%</w:t>
            </w:r>
          </w:p>
        </w:tc>
      </w:tr>
      <w:tr w:rsidR="00D72D9B" w:rsidRPr="008B1397" w14:paraId="40AB9AD5" w14:textId="77777777" w:rsidTr="00BD105F">
        <w:trPr>
          <w:trHeight w:val="413"/>
        </w:trPr>
        <w:tc>
          <w:tcPr>
            <w:tcW w:w="2337" w:type="dxa"/>
            <w:vMerge/>
          </w:tcPr>
          <w:p w14:paraId="0F6110B8"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19CB2203"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20E4854A"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35%</w:t>
            </w:r>
          </w:p>
        </w:tc>
        <w:tc>
          <w:tcPr>
            <w:tcW w:w="2338" w:type="dxa"/>
          </w:tcPr>
          <w:p w14:paraId="79DA2432"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83,27%</w:t>
            </w:r>
          </w:p>
        </w:tc>
      </w:tr>
      <w:tr w:rsidR="00D72D9B" w:rsidRPr="008B1397" w14:paraId="0AB9E655" w14:textId="77777777" w:rsidTr="00BD105F">
        <w:trPr>
          <w:trHeight w:val="413"/>
        </w:trPr>
        <w:tc>
          <w:tcPr>
            <w:tcW w:w="2337" w:type="dxa"/>
            <w:vMerge/>
          </w:tcPr>
          <w:p w14:paraId="125FC336"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7ED09C52"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2409EE5A"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40%</w:t>
            </w:r>
          </w:p>
        </w:tc>
        <w:tc>
          <w:tcPr>
            <w:tcW w:w="2338" w:type="dxa"/>
          </w:tcPr>
          <w:p w14:paraId="2C09B037"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100%</w:t>
            </w:r>
          </w:p>
        </w:tc>
      </w:tr>
      <w:tr w:rsidR="00D72D9B" w:rsidRPr="008B1397" w14:paraId="2183771D" w14:textId="77777777" w:rsidTr="00BD105F">
        <w:trPr>
          <w:trHeight w:val="422"/>
        </w:trPr>
        <w:tc>
          <w:tcPr>
            <w:tcW w:w="2337" w:type="dxa"/>
            <w:vMerge/>
          </w:tcPr>
          <w:p w14:paraId="18C5EEC6"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7C65D5A0"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69C16810"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50%</w:t>
            </w:r>
          </w:p>
        </w:tc>
        <w:tc>
          <w:tcPr>
            <w:tcW w:w="2338" w:type="dxa"/>
          </w:tcPr>
          <w:p w14:paraId="3BC22147"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90%</w:t>
            </w:r>
          </w:p>
        </w:tc>
      </w:tr>
    </w:tbl>
    <w:p w14:paraId="4B7D509A"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2189FF36" w14:textId="77777777" w:rsidR="00D72D9B" w:rsidRPr="008B1397" w:rsidRDefault="00D72D9B" w:rsidP="002C61A1">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Bearing in mind the fact that employees in the IPA system continuously receive professional training during the entire period of implementation of the programme, as well as that in previous years a significant number of employees attended organized trainings within the framework of the National Academy for Public Administration (hereinafter: NAJU) and technical assistance projects, it can be concluded that the indicator is fully fulfilled, and that the level of training of employees is at an extremely high level.</w:t>
      </w:r>
    </w:p>
    <w:p w14:paraId="4610773C" w14:textId="77777777" w:rsidR="00D72D9B" w:rsidRPr="008B1397" w:rsidRDefault="00D72D9B" w:rsidP="004062BE">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lastRenderedPageBreak/>
        <w:t>In addition, all newly employed persons are provided with access to training provided by the annual training programme, as well as continuous mentoring support in the process of acquiring, improving and applying knowledge and skills necessary for efficient performance of work within the IPA system.</w:t>
      </w:r>
    </w:p>
    <w:tbl>
      <w:tblPr>
        <w:tblStyle w:val="TableGrid4"/>
        <w:tblW w:w="0" w:type="auto"/>
        <w:tblLook w:val="04A0" w:firstRow="1" w:lastRow="0" w:firstColumn="1" w:lastColumn="0" w:noHBand="0" w:noVBand="1"/>
      </w:tblPr>
      <w:tblGrid>
        <w:gridCol w:w="2337"/>
        <w:gridCol w:w="2337"/>
        <w:gridCol w:w="2338"/>
        <w:gridCol w:w="2338"/>
      </w:tblGrid>
      <w:tr w:rsidR="00D72D9B" w:rsidRPr="008B1397" w14:paraId="3A30A012" w14:textId="77777777" w:rsidTr="00E4060C">
        <w:tc>
          <w:tcPr>
            <w:tcW w:w="2337" w:type="dxa"/>
            <w:shd w:val="clear" w:color="auto" w:fill="9CC2E5" w:themeFill="accent1" w:themeFillTint="99"/>
          </w:tcPr>
          <w:p w14:paraId="00BB109E"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measure level</w:t>
            </w:r>
          </w:p>
        </w:tc>
        <w:tc>
          <w:tcPr>
            <w:tcW w:w="2337" w:type="dxa"/>
            <w:shd w:val="clear" w:color="auto" w:fill="9CC2E5" w:themeFill="accent1" w:themeFillTint="99"/>
          </w:tcPr>
          <w:p w14:paraId="23792C61"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7AA85ACE"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27B086D0"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72D9B" w:rsidRPr="008B1397" w14:paraId="2D3DE5A9" w14:textId="77777777" w:rsidTr="00BD105F">
        <w:trPr>
          <w:trHeight w:val="431"/>
        </w:trPr>
        <w:tc>
          <w:tcPr>
            <w:tcW w:w="2337" w:type="dxa"/>
            <w:vMerge w:val="restart"/>
          </w:tcPr>
          <w:p w14:paraId="7679A974" w14:textId="77777777" w:rsidR="00D72D9B" w:rsidRPr="00383B23" w:rsidRDefault="00D72D9B" w:rsidP="00383B23">
            <w:pPr>
              <w:spacing w:line="259" w:lineRule="auto"/>
              <w:rPr>
                <w:rFonts w:ascii="Times New Roman" w:eastAsia="Calibri" w:hAnsi="Times New Roman" w:cs="Times New Roman"/>
                <w:b/>
                <w:bCs/>
                <w:lang w:val="sr-Cyrl-RS"/>
              </w:rPr>
            </w:pPr>
          </w:p>
          <w:p w14:paraId="3466BBF4" w14:textId="77777777" w:rsidR="00D72D9B" w:rsidRPr="008B1397" w:rsidRDefault="00D72D9B" w:rsidP="00383B23">
            <w:pPr>
              <w:spacing w:line="259" w:lineRule="auto"/>
              <w:rPr>
                <w:rFonts w:ascii="Times New Roman" w:eastAsia="Calibri" w:hAnsi="Times New Roman" w:cs="Times New Roman"/>
                <w:lang w:val="sr-Cyrl-RS"/>
              </w:rPr>
            </w:pPr>
            <w:r w:rsidRPr="00383B23">
              <w:rPr>
                <w:rFonts w:ascii="Times New Roman" w:eastAsia="Calibri" w:hAnsi="Times New Roman" w:cs="Times New Roman"/>
                <w:b/>
                <w:bCs/>
                <w:lang w:val="sr-Cyrl-RS"/>
              </w:rPr>
              <w:t>Performed on-site checks with users of public funds</w:t>
            </w:r>
          </w:p>
        </w:tc>
        <w:tc>
          <w:tcPr>
            <w:tcW w:w="2337" w:type="dxa"/>
          </w:tcPr>
          <w:p w14:paraId="6445605F"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548F0975"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10</w:t>
            </w:r>
          </w:p>
        </w:tc>
        <w:tc>
          <w:tcPr>
            <w:tcW w:w="2338" w:type="dxa"/>
          </w:tcPr>
          <w:p w14:paraId="0E6AAB64"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11</w:t>
            </w:r>
          </w:p>
        </w:tc>
      </w:tr>
      <w:tr w:rsidR="00D72D9B" w:rsidRPr="008B1397" w14:paraId="434D682E" w14:textId="77777777" w:rsidTr="00BD105F">
        <w:trPr>
          <w:trHeight w:val="422"/>
        </w:trPr>
        <w:tc>
          <w:tcPr>
            <w:tcW w:w="2337" w:type="dxa"/>
            <w:vMerge/>
          </w:tcPr>
          <w:p w14:paraId="3AA03F10"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30A02B45"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0BA8C379"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12</w:t>
            </w:r>
          </w:p>
        </w:tc>
        <w:tc>
          <w:tcPr>
            <w:tcW w:w="2338" w:type="dxa"/>
          </w:tcPr>
          <w:p w14:paraId="645F9E6B"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13</w:t>
            </w:r>
          </w:p>
        </w:tc>
      </w:tr>
      <w:tr w:rsidR="00D72D9B" w:rsidRPr="008B1397" w14:paraId="56C7B233" w14:textId="77777777" w:rsidTr="00BD105F">
        <w:trPr>
          <w:trHeight w:val="413"/>
        </w:trPr>
        <w:tc>
          <w:tcPr>
            <w:tcW w:w="2337" w:type="dxa"/>
            <w:vMerge/>
          </w:tcPr>
          <w:p w14:paraId="0BA2897A"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7580BBD9"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66B36C51"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w:t>
            </w:r>
          </w:p>
        </w:tc>
        <w:tc>
          <w:tcPr>
            <w:tcW w:w="2338" w:type="dxa"/>
          </w:tcPr>
          <w:p w14:paraId="0C4F3C44"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25</w:t>
            </w:r>
          </w:p>
        </w:tc>
      </w:tr>
      <w:tr w:rsidR="00D72D9B" w:rsidRPr="008B1397" w14:paraId="69A8E610" w14:textId="77777777" w:rsidTr="00BD105F">
        <w:trPr>
          <w:trHeight w:val="413"/>
        </w:trPr>
        <w:tc>
          <w:tcPr>
            <w:tcW w:w="2337" w:type="dxa"/>
            <w:vMerge/>
          </w:tcPr>
          <w:p w14:paraId="460C42E4"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5F6F020A"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40AE11F9"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w:t>
            </w:r>
          </w:p>
        </w:tc>
        <w:tc>
          <w:tcPr>
            <w:tcW w:w="2338" w:type="dxa"/>
          </w:tcPr>
          <w:p w14:paraId="70F45D36"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14</w:t>
            </w:r>
          </w:p>
        </w:tc>
      </w:tr>
      <w:tr w:rsidR="00D72D9B" w:rsidRPr="008B1397" w14:paraId="2724521C" w14:textId="77777777" w:rsidTr="00BD105F">
        <w:trPr>
          <w:trHeight w:val="422"/>
        </w:trPr>
        <w:tc>
          <w:tcPr>
            <w:tcW w:w="2337" w:type="dxa"/>
            <w:vMerge/>
          </w:tcPr>
          <w:p w14:paraId="0F8EE0FC"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7759EFF8"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505807C9"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w:t>
            </w:r>
          </w:p>
        </w:tc>
        <w:tc>
          <w:tcPr>
            <w:tcW w:w="2338" w:type="dxa"/>
          </w:tcPr>
          <w:p w14:paraId="5C2F8C40"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14</w:t>
            </w:r>
          </w:p>
        </w:tc>
      </w:tr>
    </w:tbl>
    <w:p w14:paraId="376ED45D"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31D5C59C" w14:textId="77777777" w:rsidR="00D1419E" w:rsidRPr="008D14FD" w:rsidRDefault="00D1419E" w:rsidP="00D1419E">
      <w:pPr>
        <w:spacing w:line="259" w:lineRule="auto"/>
        <w:ind w:firstLine="720"/>
        <w:jc w:val="both"/>
        <w:rPr>
          <w:rFonts w:ascii="Times New Roman" w:eastAsia="Calibri" w:hAnsi="Times New Roman" w:cs="Times New Roman"/>
          <w:lang w:val="sr-Cyrl-RS"/>
          <w14:ligatures w14:val="none"/>
        </w:rPr>
      </w:pPr>
      <w:r w:rsidRPr="008D14FD">
        <w:rPr>
          <w:rFonts w:ascii="Times New Roman" w:eastAsia="Calibri" w:hAnsi="Times New Roman" w:cs="Times New Roman"/>
          <w:lang w:val="sr-Cyrl-RS"/>
          <w14:ligatures w14:val="none"/>
        </w:rPr>
        <w:t>The Support Unit of the National Authorization Officer (NAO), in accordance with its competences in the system of indirect management of European Union funds, annually conducts on-the-spot checks of beneficiaries of indirect IPA funds. The aim of these checks is to assess the functioning of the management and control system, check the compliance of the implementation of activities with valid regulations and procedures, as well as timely identification of potential risks and irregularities.</w:t>
      </w:r>
    </w:p>
    <w:p w14:paraId="710AB2A2" w14:textId="77777777" w:rsidR="00D72D9B" w:rsidRPr="008D14FD" w:rsidRDefault="00D1419E" w:rsidP="00E4060C">
      <w:pPr>
        <w:spacing w:line="259" w:lineRule="auto"/>
        <w:ind w:firstLine="720"/>
        <w:jc w:val="both"/>
        <w:rPr>
          <w:rFonts w:ascii="Times New Roman" w:eastAsia="Calibri" w:hAnsi="Times New Roman" w:cs="Times New Roman"/>
          <w:lang w:val="sr-Cyrl-RS"/>
          <w14:ligatures w14:val="none"/>
        </w:rPr>
      </w:pPr>
      <w:r w:rsidRPr="008D14FD">
        <w:rPr>
          <w:rFonts w:ascii="Times New Roman" w:eastAsia="Calibri" w:hAnsi="Times New Roman" w:cs="Times New Roman"/>
          <w:lang w:val="sr-Cyrl-RS"/>
          <w14:ligatures w14:val="none"/>
        </w:rPr>
        <w:t>During the entire period, the number of on-the-spot controls was higher than planned, which indicates a significant strengthening of the control function of the EU funds management system. The development of improved operating procedures, methodological guidelines and other auxiliary tools for the institutions responsible for managing IPA funds, which was based on the auditor's findings and lessons learned from practice, also contributed to the increase in efficiency.</w:t>
      </w:r>
    </w:p>
    <w:p w14:paraId="14684996" w14:textId="4C667BC4" w:rsidR="00143A46" w:rsidRPr="00143A46" w:rsidRDefault="00D72D9B" w:rsidP="00301F00">
      <w:pPr>
        <w:spacing w:line="259"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The increase in efficiency and the number of on-site controls has, on the one hand, reduced the risks of irregularities and fraud among users of public funds (hereinafter: public sector entities), and on the other hand, strengthened the system of indirect management.</w:t>
      </w:r>
    </w:p>
    <w:tbl>
      <w:tblPr>
        <w:tblStyle w:val="TableGrid4"/>
        <w:tblW w:w="0" w:type="auto"/>
        <w:tblLook w:val="04A0" w:firstRow="1" w:lastRow="0" w:firstColumn="1" w:lastColumn="0" w:noHBand="0" w:noVBand="1"/>
      </w:tblPr>
      <w:tblGrid>
        <w:gridCol w:w="2337"/>
        <w:gridCol w:w="2337"/>
        <w:gridCol w:w="2338"/>
        <w:gridCol w:w="2338"/>
      </w:tblGrid>
      <w:tr w:rsidR="00D72D9B" w:rsidRPr="008B1397" w14:paraId="069447C4" w14:textId="77777777" w:rsidTr="00E4060C">
        <w:tc>
          <w:tcPr>
            <w:tcW w:w="2337" w:type="dxa"/>
            <w:shd w:val="clear" w:color="auto" w:fill="9CC2E5" w:themeFill="accent1" w:themeFillTint="99"/>
          </w:tcPr>
          <w:p w14:paraId="7FDBAF11"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measure level</w:t>
            </w:r>
          </w:p>
        </w:tc>
        <w:tc>
          <w:tcPr>
            <w:tcW w:w="2337" w:type="dxa"/>
            <w:shd w:val="clear" w:color="auto" w:fill="9CC2E5" w:themeFill="accent1" w:themeFillTint="99"/>
          </w:tcPr>
          <w:p w14:paraId="29D82C7E"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652FA76D"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7036EFA4"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72D9B" w:rsidRPr="008B1397" w14:paraId="4EA85E29" w14:textId="77777777" w:rsidTr="00BD105F">
        <w:trPr>
          <w:trHeight w:val="431"/>
        </w:trPr>
        <w:tc>
          <w:tcPr>
            <w:tcW w:w="2337" w:type="dxa"/>
            <w:vMerge w:val="restart"/>
          </w:tcPr>
          <w:p w14:paraId="0191CDF3" w14:textId="77777777" w:rsidR="00D72D9B" w:rsidRPr="008B1397" w:rsidRDefault="00D72D9B" w:rsidP="00D72D9B">
            <w:pPr>
              <w:spacing w:line="259" w:lineRule="auto"/>
              <w:jc w:val="both"/>
              <w:rPr>
                <w:rFonts w:ascii="Times New Roman" w:eastAsia="Calibri" w:hAnsi="Times New Roman" w:cs="Times New Roman"/>
                <w:lang w:val="sr-Cyrl-RS"/>
              </w:rPr>
            </w:pPr>
          </w:p>
          <w:p w14:paraId="5196890A" w14:textId="77777777" w:rsidR="00D72D9B" w:rsidRPr="00383B23" w:rsidRDefault="00D72D9B" w:rsidP="00D72D9B">
            <w:pPr>
              <w:spacing w:line="259" w:lineRule="auto"/>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The percentage of irregularities identified during the first/first-level control</w:t>
            </w:r>
          </w:p>
        </w:tc>
        <w:tc>
          <w:tcPr>
            <w:tcW w:w="2337" w:type="dxa"/>
          </w:tcPr>
          <w:p w14:paraId="17143375"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7D06C0E1"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50%</w:t>
            </w:r>
          </w:p>
        </w:tc>
        <w:tc>
          <w:tcPr>
            <w:tcW w:w="2338" w:type="dxa"/>
          </w:tcPr>
          <w:p w14:paraId="07226C7B"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50%</w:t>
            </w:r>
          </w:p>
        </w:tc>
      </w:tr>
      <w:tr w:rsidR="00D72D9B" w:rsidRPr="008B1397" w14:paraId="3D3F3D09" w14:textId="77777777" w:rsidTr="00BD105F">
        <w:trPr>
          <w:trHeight w:val="422"/>
        </w:trPr>
        <w:tc>
          <w:tcPr>
            <w:tcW w:w="2337" w:type="dxa"/>
            <w:vMerge/>
          </w:tcPr>
          <w:p w14:paraId="2C311C91"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7321C010"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70D21A66"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55%</w:t>
            </w:r>
          </w:p>
        </w:tc>
        <w:tc>
          <w:tcPr>
            <w:tcW w:w="2338" w:type="dxa"/>
          </w:tcPr>
          <w:p w14:paraId="474BAD2C"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77,8%</w:t>
            </w:r>
          </w:p>
        </w:tc>
      </w:tr>
      <w:tr w:rsidR="00D72D9B" w:rsidRPr="008B1397" w14:paraId="70D1178F" w14:textId="77777777" w:rsidTr="00BD105F">
        <w:trPr>
          <w:trHeight w:val="413"/>
        </w:trPr>
        <w:tc>
          <w:tcPr>
            <w:tcW w:w="2337" w:type="dxa"/>
            <w:vMerge/>
          </w:tcPr>
          <w:p w14:paraId="3E156A1F"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5694F7A9"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2BEDE46A"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60%</w:t>
            </w:r>
          </w:p>
        </w:tc>
        <w:tc>
          <w:tcPr>
            <w:tcW w:w="2338" w:type="dxa"/>
          </w:tcPr>
          <w:p w14:paraId="60607E10"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68,2%</w:t>
            </w:r>
          </w:p>
        </w:tc>
      </w:tr>
      <w:tr w:rsidR="00D72D9B" w:rsidRPr="008B1397" w14:paraId="284B9B74" w14:textId="77777777" w:rsidTr="00BD105F">
        <w:trPr>
          <w:trHeight w:val="413"/>
        </w:trPr>
        <w:tc>
          <w:tcPr>
            <w:tcW w:w="2337" w:type="dxa"/>
            <w:vMerge/>
          </w:tcPr>
          <w:p w14:paraId="2081AA6F"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297423F1"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67939031"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65%</w:t>
            </w:r>
          </w:p>
        </w:tc>
        <w:tc>
          <w:tcPr>
            <w:tcW w:w="2338" w:type="dxa"/>
          </w:tcPr>
          <w:p w14:paraId="230F981F"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85%</w:t>
            </w:r>
          </w:p>
        </w:tc>
      </w:tr>
      <w:tr w:rsidR="00D72D9B" w:rsidRPr="008B1397" w14:paraId="78311F98" w14:textId="77777777" w:rsidTr="00BD105F">
        <w:trPr>
          <w:trHeight w:val="422"/>
        </w:trPr>
        <w:tc>
          <w:tcPr>
            <w:tcW w:w="2337" w:type="dxa"/>
            <w:vMerge/>
          </w:tcPr>
          <w:p w14:paraId="779781D6"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0A5CE0A3"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2822844A"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70%</w:t>
            </w:r>
          </w:p>
        </w:tc>
        <w:tc>
          <w:tcPr>
            <w:tcW w:w="2338" w:type="dxa"/>
          </w:tcPr>
          <w:p w14:paraId="4F39D1C4"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93,33%</w:t>
            </w:r>
          </w:p>
        </w:tc>
      </w:tr>
    </w:tbl>
    <w:p w14:paraId="0F9610CB"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0B0EF7EB" w14:textId="77777777" w:rsidR="00D72D9B" w:rsidRPr="008B1397" w:rsidRDefault="00D72D9B" w:rsidP="00E4060C">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 xml:space="preserve">The EU funds management sector continuously improves activities related to the fight against fraud and irregularities, as well as cooperation with other relevant institutions in the field </w:t>
      </w:r>
      <w:r w:rsidRPr="008B1397">
        <w:rPr>
          <w:rFonts w:ascii="Times New Roman" w:eastAsia="Calibri" w:hAnsi="Times New Roman" w:cs="Times New Roman"/>
          <w:lang w:val="sr-Cyrl-RS"/>
          <w14:ligatures w14:val="none"/>
        </w:rPr>
        <w:lastRenderedPageBreak/>
        <w:t>of protecting the financial interests of the EU and the Republic of Serbia. As previously stated, by strengthening the capacity of employees and improving relevant procedures, the percentage of irregularities identified within the EU funds management system, before payments are made or during regular control activities, increased every year, which significantly reduces the risk of financial losses and corrections. A higher percentage of observed and confirmed irregularities already within the first-level control is an indicator of the efficient functioning of the competent system for managing EU funds. In this regard, the fulfilment of indicators will be monitored in the following period, with a target value of 85%.</w:t>
      </w:r>
    </w:p>
    <w:p w14:paraId="5849A060" w14:textId="77777777" w:rsidR="00D72D9B" w:rsidRPr="008B1397" w:rsidRDefault="00D72D9B" w:rsidP="004062BE">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addition, during 2025, the Regulations on the management of EU pre-accession aid programs within the IPA II and IPA III programs were amended, and in connection with the determination of financial corrections to the costs financed by the European Union in case of non-compliance with the rules on public procurement and the allocation of grants within the Instrument for Pre-accession Aid, which contributes to a comprehensive institutional approach to the protection of the financial interests of the EU and the Republic of Serbia. The mentioned changes represent a significant step towards further improvement of the system of protection of financial interests of the European Union and the Republic of Serbia. In the following programming period, additional refinement of this system is planned through amendments to the relevant national regulations.</w:t>
      </w:r>
    </w:p>
    <w:tbl>
      <w:tblPr>
        <w:tblStyle w:val="TableGrid4"/>
        <w:tblW w:w="0" w:type="auto"/>
        <w:tblLook w:val="04A0" w:firstRow="1" w:lastRow="0" w:firstColumn="1" w:lastColumn="0" w:noHBand="0" w:noVBand="1"/>
      </w:tblPr>
      <w:tblGrid>
        <w:gridCol w:w="2337"/>
        <w:gridCol w:w="2337"/>
        <w:gridCol w:w="2338"/>
        <w:gridCol w:w="2338"/>
      </w:tblGrid>
      <w:tr w:rsidR="00D72D9B" w:rsidRPr="008B1397" w14:paraId="5CAAC6BA" w14:textId="77777777" w:rsidTr="00E4060C">
        <w:tc>
          <w:tcPr>
            <w:tcW w:w="2337" w:type="dxa"/>
            <w:shd w:val="clear" w:color="auto" w:fill="9CC2E5" w:themeFill="accent1" w:themeFillTint="99"/>
          </w:tcPr>
          <w:p w14:paraId="1B9A70F2"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measure level</w:t>
            </w:r>
          </w:p>
        </w:tc>
        <w:tc>
          <w:tcPr>
            <w:tcW w:w="2337" w:type="dxa"/>
            <w:shd w:val="clear" w:color="auto" w:fill="9CC2E5" w:themeFill="accent1" w:themeFillTint="99"/>
          </w:tcPr>
          <w:p w14:paraId="0EEBC73D"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0647220A"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71F199EB" w14:textId="77777777" w:rsidR="00D72D9B" w:rsidRPr="008B1397" w:rsidRDefault="00D72D9B" w:rsidP="00D72D9B">
            <w:pPr>
              <w:spacing w:line="259" w:lineRule="auto"/>
              <w:jc w:val="both"/>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72D9B" w:rsidRPr="008B1397" w14:paraId="332B2976" w14:textId="77777777" w:rsidTr="00BD105F">
        <w:trPr>
          <w:trHeight w:val="431"/>
        </w:trPr>
        <w:tc>
          <w:tcPr>
            <w:tcW w:w="2337" w:type="dxa"/>
            <w:vMerge w:val="restart"/>
          </w:tcPr>
          <w:p w14:paraId="1E96BF3D" w14:textId="77777777" w:rsidR="00D72D9B" w:rsidRPr="008B1397" w:rsidRDefault="00D72D9B" w:rsidP="00D72D9B">
            <w:pPr>
              <w:spacing w:line="259" w:lineRule="auto"/>
              <w:jc w:val="both"/>
              <w:rPr>
                <w:rFonts w:ascii="Times New Roman" w:eastAsia="Calibri" w:hAnsi="Times New Roman" w:cs="Times New Roman"/>
                <w:lang w:val="sr-Cyrl-RS"/>
              </w:rPr>
            </w:pPr>
          </w:p>
          <w:p w14:paraId="18334FB2" w14:textId="77777777" w:rsidR="00D72D9B" w:rsidRPr="00383B23" w:rsidRDefault="00D72D9B" w:rsidP="00D72D9B">
            <w:pPr>
              <w:spacing w:line="259" w:lineRule="auto"/>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Percentage of business processes that are supported by the IT system</w:t>
            </w:r>
          </w:p>
        </w:tc>
        <w:tc>
          <w:tcPr>
            <w:tcW w:w="2337" w:type="dxa"/>
          </w:tcPr>
          <w:p w14:paraId="03850C8D"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223F2922"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0</w:t>
            </w:r>
          </w:p>
        </w:tc>
        <w:tc>
          <w:tcPr>
            <w:tcW w:w="2338" w:type="dxa"/>
          </w:tcPr>
          <w:p w14:paraId="6C19C1C2"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0</w:t>
            </w:r>
          </w:p>
        </w:tc>
      </w:tr>
      <w:tr w:rsidR="00D72D9B" w:rsidRPr="008B1397" w14:paraId="10772FDC" w14:textId="77777777" w:rsidTr="00BD105F">
        <w:trPr>
          <w:trHeight w:val="422"/>
        </w:trPr>
        <w:tc>
          <w:tcPr>
            <w:tcW w:w="2337" w:type="dxa"/>
            <w:vMerge/>
          </w:tcPr>
          <w:p w14:paraId="19E2629F"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1CEE1D92"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75F1192A"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0</w:t>
            </w:r>
          </w:p>
        </w:tc>
        <w:tc>
          <w:tcPr>
            <w:tcW w:w="2338" w:type="dxa"/>
          </w:tcPr>
          <w:p w14:paraId="3D5F6A20"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0</w:t>
            </w:r>
          </w:p>
        </w:tc>
      </w:tr>
      <w:tr w:rsidR="00D72D9B" w:rsidRPr="008B1397" w14:paraId="534627B1" w14:textId="77777777" w:rsidTr="00BD105F">
        <w:trPr>
          <w:trHeight w:val="413"/>
        </w:trPr>
        <w:tc>
          <w:tcPr>
            <w:tcW w:w="2337" w:type="dxa"/>
            <w:vMerge/>
          </w:tcPr>
          <w:p w14:paraId="4773C36B"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3F1CB810"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4BCE0FA2"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0</w:t>
            </w:r>
          </w:p>
        </w:tc>
        <w:tc>
          <w:tcPr>
            <w:tcW w:w="2338" w:type="dxa"/>
          </w:tcPr>
          <w:p w14:paraId="3B3AA12E"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0</w:t>
            </w:r>
          </w:p>
        </w:tc>
      </w:tr>
      <w:tr w:rsidR="00D72D9B" w:rsidRPr="008B1397" w14:paraId="5E176055" w14:textId="77777777" w:rsidTr="00BD105F">
        <w:trPr>
          <w:trHeight w:val="413"/>
        </w:trPr>
        <w:tc>
          <w:tcPr>
            <w:tcW w:w="2337" w:type="dxa"/>
            <w:vMerge/>
          </w:tcPr>
          <w:p w14:paraId="456DA42A"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1A3FCA8F"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1C4A87A0"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50%</w:t>
            </w:r>
          </w:p>
        </w:tc>
        <w:tc>
          <w:tcPr>
            <w:tcW w:w="2338" w:type="dxa"/>
          </w:tcPr>
          <w:p w14:paraId="7241B706"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50%</w:t>
            </w:r>
          </w:p>
        </w:tc>
      </w:tr>
      <w:tr w:rsidR="00D72D9B" w:rsidRPr="008B1397" w14:paraId="482A4369" w14:textId="77777777" w:rsidTr="00BD105F">
        <w:trPr>
          <w:trHeight w:val="422"/>
        </w:trPr>
        <w:tc>
          <w:tcPr>
            <w:tcW w:w="2337" w:type="dxa"/>
            <w:vMerge/>
          </w:tcPr>
          <w:p w14:paraId="41D78029" w14:textId="77777777" w:rsidR="00D72D9B" w:rsidRPr="008B1397" w:rsidRDefault="00D72D9B" w:rsidP="00D72D9B">
            <w:pPr>
              <w:spacing w:line="259" w:lineRule="auto"/>
              <w:jc w:val="both"/>
              <w:rPr>
                <w:rFonts w:ascii="Times New Roman" w:eastAsia="Calibri" w:hAnsi="Times New Roman" w:cs="Times New Roman"/>
                <w:lang w:val="sr-Cyrl-RS"/>
              </w:rPr>
            </w:pPr>
          </w:p>
        </w:tc>
        <w:tc>
          <w:tcPr>
            <w:tcW w:w="2337" w:type="dxa"/>
          </w:tcPr>
          <w:p w14:paraId="035C7239"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0C96B992" w14:textId="77777777" w:rsidR="00D72D9B" w:rsidRPr="008B1397" w:rsidRDefault="00D72D9B" w:rsidP="00D72D9B">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60%</w:t>
            </w:r>
          </w:p>
        </w:tc>
        <w:tc>
          <w:tcPr>
            <w:tcW w:w="2338" w:type="dxa"/>
          </w:tcPr>
          <w:p w14:paraId="0D59C6BF" w14:textId="77777777" w:rsidR="00D72D9B" w:rsidRPr="00FF526A" w:rsidRDefault="00D72D9B" w:rsidP="00D72D9B">
            <w:pPr>
              <w:spacing w:line="259" w:lineRule="auto"/>
              <w:jc w:val="both"/>
              <w:rPr>
                <w:rFonts w:ascii="Times New Roman" w:eastAsia="Calibri" w:hAnsi="Times New Roman" w:cs="Times New Roman"/>
                <w:lang w:val="sr-Cyrl-RS"/>
              </w:rPr>
            </w:pPr>
            <w:r w:rsidRPr="00FF526A">
              <w:rPr>
                <w:rFonts w:ascii="Times New Roman" w:eastAsia="Calibri" w:hAnsi="Times New Roman" w:cs="Times New Roman"/>
                <w:lang w:val="sr-Cyrl-RS"/>
              </w:rPr>
              <w:t>100%</w:t>
            </w:r>
          </w:p>
        </w:tc>
      </w:tr>
    </w:tbl>
    <w:p w14:paraId="1868EB90"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0C21B3AE" w14:textId="77777777" w:rsidR="00D72D9B" w:rsidRPr="008B1397" w:rsidRDefault="005A4847" w:rsidP="00E4060C">
      <w:pPr>
        <w:spacing w:line="259" w:lineRule="auto"/>
        <w:ind w:firstLine="720"/>
        <w:jc w:val="both"/>
        <w:rPr>
          <w:rFonts w:ascii="Times New Roman" w:eastAsia="Calibri" w:hAnsi="Times New Roman" w:cs="Times New Roman"/>
          <w:lang w:val="sr-Cyrl-RS"/>
          <w14:ligatures w14:val="none"/>
        </w:rPr>
      </w:pPr>
      <w:r>
        <w:rPr>
          <w:rFonts w:ascii="Times New Roman" w:eastAsia="Calibri" w:hAnsi="Times New Roman" w:cs="Times New Roman"/>
          <w:lang w:val="sr-Cyrl-RS"/>
          <w14:ligatures w14:val="none"/>
        </w:rPr>
        <w:t>One of the most significant results of the measure is the establishment and development of the MIS information system, which ensured the gradual digitalisation of business processes and improved efficiency of the EU funds management system. The development of the information system was fully financed with funds from the RS budget. By the end of 2025, all planned business processes were included in the information system.</w:t>
      </w:r>
    </w:p>
    <w:p w14:paraId="03F6CED1" w14:textId="77777777" w:rsidR="00D72D9B" w:rsidRPr="008B1397" w:rsidRDefault="00D72D9B" w:rsidP="00E4060C">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Seen as a whole, the measure contributed to a significant strengthening of the institutional, administrative and control capacities of the EU funds management system, and is relevant and will be implemented within the PFMRP 2026-2030.</w:t>
      </w:r>
    </w:p>
    <w:p w14:paraId="2E68C8AC" w14:textId="77777777" w:rsidR="00D72D9B" w:rsidRPr="00467C20" w:rsidRDefault="00E4060C" w:rsidP="00467C20">
      <w:pPr>
        <w:spacing w:line="256" w:lineRule="auto"/>
        <w:rPr>
          <w:rFonts w:ascii="Times New Roman" w:eastAsia="Calibri" w:hAnsi="Times New Roman" w:cs="Times New Roman"/>
          <w:b/>
          <w:u w:val="single"/>
          <w:lang w:val="en-US"/>
          <w14:ligatures w14:val="none"/>
        </w:rPr>
      </w:pPr>
      <w:r w:rsidRPr="002C61A1">
        <w:rPr>
          <w:rFonts w:ascii="Times New Roman" w:eastAsia="Calibri" w:hAnsi="Times New Roman" w:cs="Times New Roman"/>
          <w:b/>
          <w:u w:val="single"/>
          <w:lang w:val="sr-Cyrl-RS"/>
          <w14:ligatures w14:val="none"/>
        </w:rPr>
        <w:t>Measure 3.3: Increasing the efficiency and effectiveness of inspection control</w:t>
      </w:r>
    </w:p>
    <w:tbl>
      <w:tblPr>
        <w:tblStyle w:val="TableGrid4"/>
        <w:tblW w:w="0" w:type="auto"/>
        <w:tblLook w:val="04A0" w:firstRow="1" w:lastRow="0" w:firstColumn="1" w:lastColumn="0" w:noHBand="0" w:noVBand="1"/>
      </w:tblPr>
      <w:tblGrid>
        <w:gridCol w:w="2337"/>
        <w:gridCol w:w="2337"/>
        <w:gridCol w:w="2338"/>
        <w:gridCol w:w="2338"/>
      </w:tblGrid>
      <w:tr w:rsidR="00383B23" w:rsidRPr="008B1397" w14:paraId="68B360BF" w14:textId="77777777" w:rsidTr="00BD105F">
        <w:trPr>
          <w:trHeight w:val="432"/>
        </w:trPr>
        <w:tc>
          <w:tcPr>
            <w:tcW w:w="2337" w:type="dxa"/>
            <w:shd w:val="clear" w:color="auto" w:fill="9CC2E5" w:themeFill="accent1" w:themeFillTint="99"/>
          </w:tcPr>
          <w:p w14:paraId="04E7306D"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b/>
                <w:bCs/>
                <w:lang w:val="sr-Cyrl-RS"/>
              </w:rPr>
              <w:t>Indicator at the measure level</w:t>
            </w:r>
          </w:p>
        </w:tc>
        <w:tc>
          <w:tcPr>
            <w:tcW w:w="2337" w:type="dxa"/>
            <w:shd w:val="clear" w:color="auto" w:fill="9CC2E5" w:themeFill="accent1" w:themeFillTint="99"/>
          </w:tcPr>
          <w:p w14:paraId="34397315"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1B00A9EC"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03838C8B"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b/>
                <w:bCs/>
                <w:lang w:val="sr-Cyrl-RS"/>
              </w:rPr>
              <w:t>Achieved value</w:t>
            </w:r>
          </w:p>
        </w:tc>
      </w:tr>
      <w:tr w:rsidR="00383B23" w:rsidRPr="008B1397" w14:paraId="5672D4FF" w14:textId="77777777" w:rsidTr="00BD105F">
        <w:trPr>
          <w:trHeight w:val="432"/>
        </w:trPr>
        <w:tc>
          <w:tcPr>
            <w:tcW w:w="2337" w:type="dxa"/>
            <w:vMerge w:val="restart"/>
          </w:tcPr>
          <w:p w14:paraId="44937EB1" w14:textId="77777777" w:rsidR="00383B23" w:rsidRPr="00383B23" w:rsidRDefault="00383B23" w:rsidP="00383B23">
            <w:pPr>
              <w:spacing w:line="259" w:lineRule="auto"/>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lastRenderedPageBreak/>
              <w:t>Measure 3.3:</w:t>
            </w:r>
          </w:p>
          <w:p w14:paraId="69701714" w14:textId="77777777" w:rsidR="00383B23" w:rsidRPr="00383B23" w:rsidRDefault="00383B23" w:rsidP="00383B23">
            <w:pPr>
              <w:spacing w:line="259" w:lineRule="auto"/>
              <w:rPr>
                <w:rFonts w:ascii="Times New Roman" w:eastAsia="Calibri" w:hAnsi="Times New Roman" w:cs="Times New Roman"/>
                <w:b/>
                <w:bCs/>
                <w:lang w:val="sr-Cyrl-RS"/>
              </w:rPr>
            </w:pPr>
            <w:r w:rsidRPr="00383B23">
              <w:rPr>
                <w:rFonts w:ascii="Times New Roman" w:eastAsia="Calibri" w:hAnsi="Times New Roman" w:cs="Times New Roman"/>
                <w:b/>
                <w:bCs/>
                <w:lang w:val="sr-Cyrl-RS"/>
              </w:rPr>
              <w:t>Total number of performed inspection controls (initial value 29)</w:t>
            </w:r>
          </w:p>
        </w:tc>
        <w:tc>
          <w:tcPr>
            <w:tcW w:w="2337" w:type="dxa"/>
          </w:tcPr>
          <w:p w14:paraId="0C323EBF"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7E9DEF1D"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50</w:t>
            </w:r>
          </w:p>
        </w:tc>
        <w:tc>
          <w:tcPr>
            <w:tcW w:w="2338" w:type="dxa"/>
          </w:tcPr>
          <w:p w14:paraId="0BEB218D"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67</w:t>
            </w:r>
          </w:p>
        </w:tc>
      </w:tr>
      <w:tr w:rsidR="00383B23" w:rsidRPr="008B1397" w14:paraId="23E50B9B" w14:textId="77777777" w:rsidTr="00BD105F">
        <w:trPr>
          <w:trHeight w:val="432"/>
        </w:trPr>
        <w:tc>
          <w:tcPr>
            <w:tcW w:w="2337" w:type="dxa"/>
            <w:vMerge/>
          </w:tcPr>
          <w:p w14:paraId="0E620C03" w14:textId="77777777" w:rsidR="00383B23" w:rsidRPr="00383B23" w:rsidRDefault="00383B23" w:rsidP="00383B23">
            <w:pPr>
              <w:spacing w:line="259" w:lineRule="auto"/>
              <w:jc w:val="both"/>
              <w:rPr>
                <w:rFonts w:ascii="Times New Roman" w:eastAsia="Calibri" w:hAnsi="Times New Roman" w:cs="Times New Roman"/>
                <w:b/>
                <w:bCs/>
                <w:lang w:val="sr-Cyrl-RS"/>
              </w:rPr>
            </w:pPr>
          </w:p>
        </w:tc>
        <w:tc>
          <w:tcPr>
            <w:tcW w:w="2337" w:type="dxa"/>
          </w:tcPr>
          <w:p w14:paraId="62738C9B"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05E5F506"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52</w:t>
            </w:r>
          </w:p>
        </w:tc>
        <w:tc>
          <w:tcPr>
            <w:tcW w:w="2338" w:type="dxa"/>
          </w:tcPr>
          <w:p w14:paraId="61F58B12"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127</w:t>
            </w:r>
          </w:p>
        </w:tc>
      </w:tr>
      <w:tr w:rsidR="00383B23" w:rsidRPr="008B1397" w14:paraId="02E382AE" w14:textId="77777777" w:rsidTr="00BD105F">
        <w:trPr>
          <w:trHeight w:val="432"/>
        </w:trPr>
        <w:tc>
          <w:tcPr>
            <w:tcW w:w="2337" w:type="dxa"/>
            <w:vMerge/>
          </w:tcPr>
          <w:p w14:paraId="24FAF986" w14:textId="77777777" w:rsidR="00383B23" w:rsidRPr="00383B23" w:rsidRDefault="00383B23" w:rsidP="00383B23">
            <w:pPr>
              <w:spacing w:line="259" w:lineRule="auto"/>
              <w:jc w:val="both"/>
              <w:rPr>
                <w:rFonts w:ascii="Times New Roman" w:eastAsia="Calibri" w:hAnsi="Times New Roman" w:cs="Times New Roman"/>
                <w:b/>
                <w:bCs/>
                <w:lang w:val="sr-Cyrl-RS"/>
              </w:rPr>
            </w:pPr>
          </w:p>
        </w:tc>
        <w:tc>
          <w:tcPr>
            <w:tcW w:w="2337" w:type="dxa"/>
          </w:tcPr>
          <w:p w14:paraId="4B4356B5"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71622D1A"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55</w:t>
            </w:r>
          </w:p>
        </w:tc>
        <w:tc>
          <w:tcPr>
            <w:tcW w:w="2338" w:type="dxa"/>
          </w:tcPr>
          <w:p w14:paraId="5E6925FF"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190</w:t>
            </w:r>
          </w:p>
        </w:tc>
      </w:tr>
      <w:tr w:rsidR="00383B23" w:rsidRPr="008B1397" w14:paraId="5CD475C1" w14:textId="77777777" w:rsidTr="00BD105F">
        <w:trPr>
          <w:trHeight w:val="432"/>
        </w:trPr>
        <w:tc>
          <w:tcPr>
            <w:tcW w:w="2337" w:type="dxa"/>
            <w:vMerge/>
          </w:tcPr>
          <w:p w14:paraId="6D18F4EC" w14:textId="77777777" w:rsidR="00383B23" w:rsidRPr="00383B23" w:rsidRDefault="00383B23" w:rsidP="00383B23">
            <w:pPr>
              <w:spacing w:line="259" w:lineRule="auto"/>
              <w:jc w:val="both"/>
              <w:rPr>
                <w:rFonts w:ascii="Times New Roman" w:eastAsia="Calibri" w:hAnsi="Times New Roman" w:cs="Times New Roman"/>
                <w:b/>
                <w:bCs/>
                <w:lang w:val="sr-Cyrl-RS"/>
              </w:rPr>
            </w:pPr>
          </w:p>
        </w:tc>
        <w:tc>
          <w:tcPr>
            <w:tcW w:w="2337" w:type="dxa"/>
          </w:tcPr>
          <w:p w14:paraId="7178E5EA"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46192D3B"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80</w:t>
            </w:r>
          </w:p>
        </w:tc>
        <w:tc>
          <w:tcPr>
            <w:tcW w:w="2338" w:type="dxa"/>
          </w:tcPr>
          <w:p w14:paraId="4EE90793"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218</w:t>
            </w:r>
          </w:p>
        </w:tc>
      </w:tr>
      <w:tr w:rsidR="00383B23" w:rsidRPr="008B1397" w14:paraId="0860E386" w14:textId="77777777" w:rsidTr="00BD105F">
        <w:trPr>
          <w:trHeight w:val="432"/>
        </w:trPr>
        <w:tc>
          <w:tcPr>
            <w:tcW w:w="2337" w:type="dxa"/>
            <w:vMerge/>
          </w:tcPr>
          <w:p w14:paraId="5DB667C5" w14:textId="77777777" w:rsidR="00383B23" w:rsidRPr="00383B23" w:rsidRDefault="00383B23" w:rsidP="00383B23">
            <w:pPr>
              <w:spacing w:line="259" w:lineRule="auto"/>
              <w:jc w:val="both"/>
              <w:rPr>
                <w:rFonts w:ascii="Times New Roman" w:eastAsia="Calibri" w:hAnsi="Times New Roman" w:cs="Times New Roman"/>
                <w:b/>
                <w:bCs/>
                <w:lang w:val="sr-Cyrl-RS"/>
              </w:rPr>
            </w:pPr>
          </w:p>
        </w:tc>
        <w:tc>
          <w:tcPr>
            <w:tcW w:w="2337" w:type="dxa"/>
          </w:tcPr>
          <w:p w14:paraId="39B7D7AB"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5CD99290"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85</w:t>
            </w:r>
          </w:p>
        </w:tc>
        <w:tc>
          <w:tcPr>
            <w:tcW w:w="2338" w:type="dxa"/>
          </w:tcPr>
          <w:p w14:paraId="21D8772E"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188</w:t>
            </w:r>
          </w:p>
        </w:tc>
      </w:tr>
      <w:tr w:rsidR="00383B23" w:rsidRPr="008B1397" w14:paraId="707A499A" w14:textId="77777777" w:rsidTr="00BD105F">
        <w:trPr>
          <w:trHeight w:val="432"/>
        </w:trPr>
        <w:tc>
          <w:tcPr>
            <w:tcW w:w="2337" w:type="dxa"/>
            <w:vMerge w:val="restart"/>
          </w:tcPr>
          <w:p w14:paraId="08054DEC" w14:textId="77777777" w:rsidR="00383B23" w:rsidRPr="00383B23" w:rsidRDefault="00383B23" w:rsidP="00383B23">
            <w:pPr>
              <w:spacing w:line="259" w:lineRule="auto"/>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Measure 3.3:</w:t>
            </w:r>
          </w:p>
          <w:p w14:paraId="4E8AF9BA" w14:textId="77777777" w:rsidR="00383B23" w:rsidRPr="00383B23" w:rsidRDefault="00383B23" w:rsidP="00383B23">
            <w:pPr>
              <w:spacing w:line="259" w:lineRule="auto"/>
              <w:rPr>
                <w:rFonts w:ascii="Times New Roman" w:eastAsia="Calibri" w:hAnsi="Times New Roman" w:cs="Times New Roman"/>
                <w:b/>
                <w:bCs/>
                <w:lang w:val="sr-Cyrl-RS"/>
              </w:rPr>
            </w:pPr>
            <w:r w:rsidRPr="00383B23">
              <w:rPr>
                <w:rFonts w:ascii="Times New Roman" w:eastAsia="Calibri" w:hAnsi="Times New Roman" w:cs="Times New Roman"/>
                <w:b/>
                <w:bCs/>
                <w:lang w:val="sr-Cyrl-RS"/>
              </w:rPr>
              <w:t>Percentage of planned controls in relation to the number of received petitions, reports and requests for control (initial value 12%)</w:t>
            </w:r>
          </w:p>
        </w:tc>
        <w:tc>
          <w:tcPr>
            <w:tcW w:w="2337" w:type="dxa"/>
          </w:tcPr>
          <w:p w14:paraId="449B27BE"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0F506F54"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15%</w:t>
            </w:r>
          </w:p>
        </w:tc>
        <w:tc>
          <w:tcPr>
            <w:tcW w:w="2338" w:type="dxa"/>
          </w:tcPr>
          <w:p w14:paraId="1BCBB20C"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27%</w:t>
            </w:r>
          </w:p>
        </w:tc>
      </w:tr>
      <w:tr w:rsidR="00383B23" w:rsidRPr="008B1397" w14:paraId="6A9948EE" w14:textId="77777777" w:rsidTr="00BD105F">
        <w:trPr>
          <w:trHeight w:val="432"/>
        </w:trPr>
        <w:tc>
          <w:tcPr>
            <w:tcW w:w="2337" w:type="dxa"/>
            <w:vMerge/>
          </w:tcPr>
          <w:p w14:paraId="1E669195" w14:textId="77777777" w:rsidR="00383B23" w:rsidRPr="008B1397" w:rsidRDefault="00383B23" w:rsidP="00383B23">
            <w:pPr>
              <w:spacing w:line="259" w:lineRule="auto"/>
              <w:jc w:val="both"/>
              <w:rPr>
                <w:rFonts w:ascii="Times New Roman" w:eastAsia="Calibri" w:hAnsi="Times New Roman" w:cs="Times New Roman"/>
                <w:lang w:val="sr-Cyrl-RS"/>
              </w:rPr>
            </w:pPr>
          </w:p>
        </w:tc>
        <w:tc>
          <w:tcPr>
            <w:tcW w:w="2337" w:type="dxa"/>
          </w:tcPr>
          <w:p w14:paraId="5FEBC5B0"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730BD27E"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17%</w:t>
            </w:r>
          </w:p>
        </w:tc>
        <w:tc>
          <w:tcPr>
            <w:tcW w:w="2338" w:type="dxa"/>
          </w:tcPr>
          <w:p w14:paraId="279718A5"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26%</w:t>
            </w:r>
          </w:p>
        </w:tc>
      </w:tr>
      <w:tr w:rsidR="00383B23" w:rsidRPr="008B1397" w14:paraId="2BB00EB8" w14:textId="77777777" w:rsidTr="00BD105F">
        <w:trPr>
          <w:trHeight w:val="432"/>
        </w:trPr>
        <w:tc>
          <w:tcPr>
            <w:tcW w:w="2337" w:type="dxa"/>
            <w:vMerge/>
          </w:tcPr>
          <w:p w14:paraId="158FCE3F" w14:textId="77777777" w:rsidR="00383B23" w:rsidRPr="008B1397" w:rsidRDefault="00383B23" w:rsidP="00383B23">
            <w:pPr>
              <w:spacing w:line="259" w:lineRule="auto"/>
              <w:jc w:val="both"/>
              <w:rPr>
                <w:rFonts w:ascii="Times New Roman" w:eastAsia="Calibri" w:hAnsi="Times New Roman" w:cs="Times New Roman"/>
                <w:lang w:val="sr-Cyrl-RS"/>
              </w:rPr>
            </w:pPr>
          </w:p>
        </w:tc>
        <w:tc>
          <w:tcPr>
            <w:tcW w:w="2337" w:type="dxa"/>
          </w:tcPr>
          <w:p w14:paraId="48E7FD0F"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06E40ECE"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w:t>
            </w:r>
          </w:p>
        </w:tc>
        <w:tc>
          <w:tcPr>
            <w:tcW w:w="2338" w:type="dxa"/>
          </w:tcPr>
          <w:p w14:paraId="7618ACF4"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30%</w:t>
            </w:r>
          </w:p>
        </w:tc>
      </w:tr>
      <w:tr w:rsidR="00383B23" w:rsidRPr="008B1397" w14:paraId="3D9301A3" w14:textId="77777777" w:rsidTr="00BD105F">
        <w:trPr>
          <w:trHeight w:val="432"/>
        </w:trPr>
        <w:tc>
          <w:tcPr>
            <w:tcW w:w="2337" w:type="dxa"/>
            <w:vMerge/>
          </w:tcPr>
          <w:p w14:paraId="1C3168E9" w14:textId="77777777" w:rsidR="00383B23" w:rsidRPr="008B1397" w:rsidRDefault="00383B23" w:rsidP="00383B23">
            <w:pPr>
              <w:spacing w:line="259" w:lineRule="auto"/>
              <w:jc w:val="both"/>
              <w:rPr>
                <w:rFonts w:ascii="Times New Roman" w:eastAsia="Calibri" w:hAnsi="Times New Roman" w:cs="Times New Roman"/>
                <w:lang w:val="sr-Cyrl-RS"/>
              </w:rPr>
            </w:pPr>
          </w:p>
        </w:tc>
        <w:tc>
          <w:tcPr>
            <w:tcW w:w="2337" w:type="dxa"/>
          </w:tcPr>
          <w:p w14:paraId="2E9271BC"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432210E3"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30%</w:t>
            </w:r>
          </w:p>
        </w:tc>
        <w:tc>
          <w:tcPr>
            <w:tcW w:w="2338" w:type="dxa"/>
          </w:tcPr>
          <w:p w14:paraId="0CEEBB45"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47%</w:t>
            </w:r>
          </w:p>
        </w:tc>
      </w:tr>
      <w:tr w:rsidR="00383B23" w:rsidRPr="008B1397" w14:paraId="404D48A9" w14:textId="77777777" w:rsidTr="00BD105F">
        <w:trPr>
          <w:trHeight w:val="432"/>
        </w:trPr>
        <w:tc>
          <w:tcPr>
            <w:tcW w:w="2337" w:type="dxa"/>
            <w:vMerge/>
          </w:tcPr>
          <w:p w14:paraId="4BB28D33" w14:textId="77777777" w:rsidR="00383B23" w:rsidRPr="008B1397" w:rsidRDefault="00383B23" w:rsidP="00383B23">
            <w:pPr>
              <w:spacing w:line="259" w:lineRule="auto"/>
              <w:jc w:val="both"/>
              <w:rPr>
                <w:rFonts w:ascii="Times New Roman" w:eastAsia="Calibri" w:hAnsi="Times New Roman" w:cs="Times New Roman"/>
                <w:lang w:val="sr-Cyrl-RS"/>
              </w:rPr>
            </w:pPr>
          </w:p>
        </w:tc>
        <w:tc>
          <w:tcPr>
            <w:tcW w:w="2337" w:type="dxa"/>
          </w:tcPr>
          <w:p w14:paraId="1BDFC634"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72C38936"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33%</w:t>
            </w:r>
          </w:p>
        </w:tc>
        <w:tc>
          <w:tcPr>
            <w:tcW w:w="2338" w:type="dxa"/>
          </w:tcPr>
          <w:p w14:paraId="5273D207" w14:textId="77777777" w:rsidR="00383B23" w:rsidRPr="008B1397" w:rsidRDefault="00383B23" w:rsidP="00383B23">
            <w:pPr>
              <w:spacing w:line="259" w:lineRule="auto"/>
              <w:jc w:val="both"/>
              <w:rPr>
                <w:rFonts w:ascii="Times New Roman" w:eastAsia="Calibri" w:hAnsi="Times New Roman" w:cs="Times New Roman"/>
                <w:lang w:val="sr-Cyrl-RS"/>
              </w:rPr>
            </w:pPr>
            <w:r w:rsidRPr="008B1397">
              <w:rPr>
                <w:rFonts w:ascii="Times New Roman" w:eastAsia="Calibri" w:hAnsi="Times New Roman" w:cs="Times New Roman"/>
                <w:lang w:val="sr-Cyrl-RS"/>
              </w:rPr>
              <w:t>57%</w:t>
            </w:r>
          </w:p>
        </w:tc>
      </w:tr>
    </w:tbl>
    <w:p w14:paraId="6FE9475F"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p>
    <w:p w14:paraId="6363E864" w14:textId="77777777" w:rsidR="00D72D9B" w:rsidRPr="008B1397" w:rsidRDefault="00D72D9B" w:rsidP="00D72D9B">
      <w:pPr>
        <w:spacing w:line="259" w:lineRule="auto"/>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Indicators of results at the level of measure 3.3. "Increasing the efficiency and effectiveness of inspection control" refer to the coverage of received applications and the number of conducted inspection controls (surveillance).</w:t>
      </w:r>
    </w:p>
    <w:p w14:paraId="0AD73F4A" w14:textId="77777777" w:rsidR="008423CC" w:rsidRDefault="00D72D9B" w:rsidP="004062BE">
      <w:pPr>
        <w:spacing w:line="259" w:lineRule="auto"/>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observed period, the target values for both indicators were achieved and exceeded in every year, without the expenditure of additional budget funds. An adequate legislative framework was established and the organisational structure of the budget inspection was improved. In order to increase the efficiency and effectiveness of inspection supervision in the coming period, it is necessary to maintain a continuous increase in the percentage of performed inspections based on petitions included in the supervision plan.</w:t>
      </w:r>
    </w:p>
    <w:p w14:paraId="7EA3B021" w14:textId="77777777" w:rsidR="00442236" w:rsidRDefault="00442236" w:rsidP="004062BE">
      <w:pPr>
        <w:spacing w:line="259" w:lineRule="auto"/>
        <w:jc w:val="both"/>
        <w:rPr>
          <w:rFonts w:ascii="Times New Roman" w:eastAsia="Calibri" w:hAnsi="Times New Roman" w:cs="Times New Roman"/>
          <w:lang w:val="en-US"/>
          <w14:ligatures w14:val="none"/>
        </w:rPr>
      </w:pPr>
    </w:p>
    <w:p w14:paraId="68A8CF4E" w14:textId="77777777" w:rsidR="00467C20" w:rsidRDefault="00467C20" w:rsidP="004062BE">
      <w:pPr>
        <w:spacing w:line="259" w:lineRule="auto"/>
        <w:jc w:val="both"/>
        <w:rPr>
          <w:rFonts w:ascii="Times New Roman" w:eastAsia="Calibri" w:hAnsi="Times New Roman" w:cs="Times New Roman"/>
          <w:lang w:val="en-US"/>
          <w14:ligatures w14:val="none"/>
        </w:rPr>
      </w:pPr>
    </w:p>
    <w:p w14:paraId="27D32329" w14:textId="77777777" w:rsidR="00301F00" w:rsidRDefault="00301F00" w:rsidP="004062BE">
      <w:pPr>
        <w:spacing w:line="259" w:lineRule="auto"/>
        <w:jc w:val="both"/>
        <w:rPr>
          <w:rFonts w:ascii="Times New Roman" w:eastAsia="Calibri" w:hAnsi="Times New Roman" w:cs="Times New Roman"/>
          <w:lang w:val="en-US"/>
          <w14:ligatures w14:val="none"/>
        </w:rPr>
      </w:pPr>
    </w:p>
    <w:p w14:paraId="04BCE658" w14:textId="77777777" w:rsidR="00301F00" w:rsidRPr="00467C20" w:rsidRDefault="00301F00" w:rsidP="004062BE">
      <w:pPr>
        <w:spacing w:line="259" w:lineRule="auto"/>
        <w:jc w:val="both"/>
        <w:rPr>
          <w:rFonts w:ascii="Times New Roman" w:eastAsia="Calibri" w:hAnsi="Times New Roman" w:cs="Times New Roman"/>
          <w:lang w:val="en-US"/>
          <w14:ligatures w14:val="none"/>
        </w:rPr>
      </w:pPr>
    </w:p>
    <w:p w14:paraId="5BADF5C5" w14:textId="1E599A1A" w:rsidR="00DE44ED" w:rsidRPr="00301F00" w:rsidRDefault="008423CC" w:rsidP="00301F00">
      <w:pPr>
        <w:pStyle w:val="Heading1"/>
        <w:jc w:val="center"/>
        <w:rPr>
          <w:rFonts w:ascii="Times New Roman" w:eastAsia="Calibri" w:hAnsi="Times New Roman" w:cs="Times New Roman"/>
          <w:color w:val="365F91"/>
          <w:sz w:val="32"/>
          <w:szCs w:val="32"/>
          <w:lang w:val="en-US"/>
        </w:rPr>
      </w:pPr>
      <w:bookmarkStart w:id="10" w:name="_Toc233629227"/>
      <w:r w:rsidRPr="00442236">
        <w:rPr>
          <w:rFonts w:ascii="Times New Roman" w:eastAsia="Calibri" w:hAnsi="Times New Roman" w:cs="Times New Roman"/>
          <w:color w:val="365F91"/>
          <w:sz w:val="32"/>
          <w:szCs w:val="32"/>
          <w:lang w:val="sr-Cyrl-RS"/>
        </w:rPr>
        <w:t>SPECIAL OBJECTIVE IV: ENHANCING THE IMPLEMENTATION OF PUBLIC INTERNAL FINANCIAL CONTROL</w:t>
      </w:r>
      <w:bookmarkEnd w:id="10"/>
    </w:p>
    <w:tbl>
      <w:tblPr>
        <w:tblStyle w:val="TableGrid3"/>
        <w:tblpPr w:leftFromText="181" w:rightFromText="181" w:vertAnchor="text" w:horzAnchor="margin" w:tblpY="1"/>
        <w:tblOverlap w:val="never"/>
        <w:tblW w:w="0" w:type="auto"/>
        <w:tblLook w:val="04A0" w:firstRow="1" w:lastRow="0" w:firstColumn="1" w:lastColumn="0" w:noHBand="0" w:noVBand="1"/>
      </w:tblPr>
      <w:tblGrid>
        <w:gridCol w:w="2337"/>
        <w:gridCol w:w="2337"/>
        <w:gridCol w:w="2338"/>
        <w:gridCol w:w="2338"/>
      </w:tblGrid>
      <w:tr w:rsidR="00DE44ED" w:rsidRPr="008B1397" w14:paraId="16C141D5" w14:textId="77777777" w:rsidTr="005E201C">
        <w:tc>
          <w:tcPr>
            <w:tcW w:w="2337" w:type="dxa"/>
            <w:shd w:val="clear" w:color="auto" w:fill="9CC2E5" w:themeFill="accent1" w:themeFillTint="99"/>
          </w:tcPr>
          <w:p w14:paraId="3BBA655A"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Indicator(s) at the level of the specific objective (outcome indicator)</w:t>
            </w:r>
          </w:p>
        </w:tc>
        <w:tc>
          <w:tcPr>
            <w:tcW w:w="2337" w:type="dxa"/>
            <w:shd w:val="clear" w:color="auto" w:fill="9CC2E5" w:themeFill="accent1" w:themeFillTint="99"/>
          </w:tcPr>
          <w:p w14:paraId="78CEFEEA"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38165351"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4B870B17"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E44ED" w:rsidRPr="008B1397" w14:paraId="55949EFD" w14:textId="77777777" w:rsidTr="005E201C">
        <w:trPr>
          <w:trHeight w:val="431"/>
        </w:trPr>
        <w:tc>
          <w:tcPr>
            <w:tcW w:w="2337" w:type="dxa"/>
            <w:vMerge w:val="restart"/>
          </w:tcPr>
          <w:p w14:paraId="0F073F01" w14:textId="77777777" w:rsidR="00DE44ED" w:rsidRPr="00383B23" w:rsidRDefault="00DE44ED" w:rsidP="005E201C">
            <w:pPr>
              <w:rPr>
                <w:rFonts w:ascii="Times New Roman" w:eastAsia="Calibri" w:hAnsi="Times New Roman" w:cs="Times New Roman"/>
                <w:b/>
                <w:bCs/>
                <w:lang w:val="sr-Cyrl-RS"/>
              </w:rPr>
            </w:pPr>
            <w:r w:rsidRPr="00383B23">
              <w:rPr>
                <w:rFonts w:ascii="Times New Roman" w:eastAsia="Calibri" w:hAnsi="Times New Roman" w:cs="Times New Roman"/>
                <w:b/>
                <w:bCs/>
                <w:lang w:val="sr-Cyrl-RS"/>
              </w:rPr>
              <w:t xml:space="preserve">Identified progress related to PIFC within the EC report on the progress of the </w:t>
            </w:r>
            <w:r w:rsidRPr="00383B23">
              <w:rPr>
                <w:rFonts w:ascii="Times New Roman" w:eastAsia="Calibri" w:hAnsi="Times New Roman" w:cs="Times New Roman"/>
                <w:b/>
                <w:bCs/>
                <w:lang w:val="sr-Cyrl-RS"/>
              </w:rPr>
              <w:lastRenderedPageBreak/>
              <w:t>Republic of Serbia for a specific year</w:t>
            </w:r>
          </w:p>
        </w:tc>
        <w:tc>
          <w:tcPr>
            <w:tcW w:w="2337" w:type="dxa"/>
          </w:tcPr>
          <w:p w14:paraId="2408CCCD"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lastRenderedPageBreak/>
              <w:t>2021</w:t>
            </w:r>
          </w:p>
        </w:tc>
        <w:tc>
          <w:tcPr>
            <w:tcW w:w="2338" w:type="dxa"/>
          </w:tcPr>
          <w:p w14:paraId="00A59A3C"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w:t>
            </w:r>
          </w:p>
        </w:tc>
        <w:tc>
          <w:tcPr>
            <w:tcW w:w="2338" w:type="dxa"/>
          </w:tcPr>
          <w:p w14:paraId="6C1AA764"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 (met)</w:t>
            </w:r>
          </w:p>
        </w:tc>
      </w:tr>
      <w:tr w:rsidR="00DE44ED" w:rsidRPr="008B1397" w14:paraId="6F4B88C5" w14:textId="77777777" w:rsidTr="005E201C">
        <w:trPr>
          <w:trHeight w:val="422"/>
        </w:trPr>
        <w:tc>
          <w:tcPr>
            <w:tcW w:w="2337" w:type="dxa"/>
            <w:vMerge/>
          </w:tcPr>
          <w:p w14:paraId="41A4386F" w14:textId="77777777" w:rsidR="00DE44ED" w:rsidRPr="008B1397" w:rsidRDefault="00DE44ED" w:rsidP="005E201C">
            <w:pPr>
              <w:rPr>
                <w:rFonts w:ascii="Times New Roman" w:eastAsia="Calibri" w:hAnsi="Times New Roman" w:cs="Times New Roman"/>
                <w:lang w:val="sr-Cyrl-RS"/>
              </w:rPr>
            </w:pPr>
          </w:p>
        </w:tc>
        <w:tc>
          <w:tcPr>
            <w:tcW w:w="2337" w:type="dxa"/>
          </w:tcPr>
          <w:p w14:paraId="5415E313"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66B5273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w:t>
            </w:r>
          </w:p>
        </w:tc>
        <w:tc>
          <w:tcPr>
            <w:tcW w:w="2338" w:type="dxa"/>
          </w:tcPr>
          <w:p w14:paraId="4EAD7417"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 (met)</w:t>
            </w:r>
          </w:p>
        </w:tc>
      </w:tr>
      <w:tr w:rsidR="00DE44ED" w:rsidRPr="008B1397" w14:paraId="0A31E517" w14:textId="77777777" w:rsidTr="005E201C">
        <w:trPr>
          <w:trHeight w:val="413"/>
        </w:trPr>
        <w:tc>
          <w:tcPr>
            <w:tcW w:w="2337" w:type="dxa"/>
            <w:vMerge/>
          </w:tcPr>
          <w:p w14:paraId="3FCAD56B" w14:textId="77777777" w:rsidR="00DE44ED" w:rsidRPr="008B1397" w:rsidRDefault="00DE44ED" w:rsidP="005E201C">
            <w:pPr>
              <w:rPr>
                <w:rFonts w:ascii="Times New Roman" w:eastAsia="Calibri" w:hAnsi="Times New Roman" w:cs="Times New Roman"/>
                <w:lang w:val="sr-Cyrl-RS"/>
              </w:rPr>
            </w:pPr>
          </w:p>
        </w:tc>
        <w:tc>
          <w:tcPr>
            <w:tcW w:w="2337" w:type="dxa"/>
          </w:tcPr>
          <w:p w14:paraId="636A3A6B"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7D4FFED2"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w:t>
            </w:r>
          </w:p>
        </w:tc>
        <w:tc>
          <w:tcPr>
            <w:tcW w:w="2338" w:type="dxa"/>
          </w:tcPr>
          <w:p w14:paraId="00EFCA56"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 (met)</w:t>
            </w:r>
          </w:p>
        </w:tc>
      </w:tr>
      <w:tr w:rsidR="00DE44ED" w:rsidRPr="008B1397" w14:paraId="1E1329EF" w14:textId="77777777" w:rsidTr="005E201C">
        <w:trPr>
          <w:trHeight w:val="413"/>
        </w:trPr>
        <w:tc>
          <w:tcPr>
            <w:tcW w:w="2337" w:type="dxa"/>
            <w:vMerge/>
          </w:tcPr>
          <w:p w14:paraId="372E5E67" w14:textId="77777777" w:rsidR="00DE44ED" w:rsidRPr="008B1397" w:rsidRDefault="00DE44ED" w:rsidP="005E201C">
            <w:pPr>
              <w:rPr>
                <w:rFonts w:ascii="Times New Roman" w:eastAsia="Calibri" w:hAnsi="Times New Roman" w:cs="Times New Roman"/>
                <w:lang w:val="sr-Cyrl-RS"/>
              </w:rPr>
            </w:pPr>
          </w:p>
        </w:tc>
        <w:tc>
          <w:tcPr>
            <w:tcW w:w="2337" w:type="dxa"/>
          </w:tcPr>
          <w:p w14:paraId="08E8597E"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54BDFE4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w:t>
            </w:r>
          </w:p>
        </w:tc>
        <w:tc>
          <w:tcPr>
            <w:tcW w:w="2338" w:type="dxa"/>
          </w:tcPr>
          <w:p w14:paraId="17CFE865"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 (met)</w:t>
            </w:r>
          </w:p>
        </w:tc>
      </w:tr>
      <w:tr w:rsidR="00DE44ED" w:rsidRPr="008B1397" w14:paraId="12277F21" w14:textId="77777777" w:rsidTr="005E201C">
        <w:trPr>
          <w:trHeight w:val="422"/>
        </w:trPr>
        <w:tc>
          <w:tcPr>
            <w:tcW w:w="2337" w:type="dxa"/>
            <w:vMerge/>
          </w:tcPr>
          <w:p w14:paraId="603C74FD" w14:textId="77777777" w:rsidR="00DE44ED" w:rsidRPr="008B1397" w:rsidRDefault="00DE44ED" w:rsidP="005E201C">
            <w:pPr>
              <w:rPr>
                <w:rFonts w:ascii="Times New Roman" w:eastAsia="Calibri" w:hAnsi="Times New Roman" w:cs="Times New Roman"/>
                <w:lang w:val="sr-Cyrl-RS"/>
              </w:rPr>
            </w:pPr>
          </w:p>
        </w:tc>
        <w:tc>
          <w:tcPr>
            <w:tcW w:w="2337" w:type="dxa"/>
          </w:tcPr>
          <w:p w14:paraId="0A60EC79"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435C9A46"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good level of preparedness</w:t>
            </w:r>
          </w:p>
        </w:tc>
        <w:tc>
          <w:tcPr>
            <w:tcW w:w="2338" w:type="dxa"/>
          </w:tcPr>
          <w:p w14:paraId="529751BC"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moderate level of preparedness (indicator not met)</w:t>
            </w:r>
          </w:p>
        </w:tc>
      </w:tr>
    </w:tbl>
    <w:p w14:paraId="1044C2B3" w14:textId="77777777" w:rsidR="00DE44ED" w:rsidRPr="008B1397" w:rsidRDefault="00DE44ED" w:rsidP="00DE44ED">
      <w:pPr>
        <w:spacing w:line="259" w:lineRule="auto"/>
        <w:rPr>
          <w:rFonts w:ascii="Calibri" w:eastAsia="Calibri" w:hAnsi="Calibri" w:cs="Times New Roman"/>
          <w:sz w:val="22"/>
          <w:szCs w:val="22"/>
          <w:lang w:val="sr-Cyrl-RS"/>
          <w14:ligatures w14:val="none"/>
        </w:rPr>
      </w:pPr>
    </w:p>
    <w:p w14:paraId="38EDF8DC" w14:textId="77777777" w:rsidR="00DE44ED" w:rsidRPr="00467C20" w:rsidRDefault="00DE44ED" w:rsidP="00DE44ED">
      <w:pPr>
        <w:spacing w:line="259"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When it comes to the indicator at the level of specific objective 4, it is of an external type and descriptive character, and is based on the assessment of the European Commission with the value scale of the General Assessment of Preparedness (value scale: 1) early phase of preparedness; 2) a certain level of preparedness; 3) moderate level of preparedness; 4) good level of preparedness and 5) advanced level of preparedness). Indicators by year have been met except in 2025, when the indicator was not reached.</w:t>
      </w:r>
    </w:p>
    <w:p w14:paraId="1C70F3BB" w14:textId="77777777" w:rsidR="00DE44ED" w:rsidRPr="008B1397" w:rsidRDefault="00DE44ED" w:rsidP="00DE44ED">
      <w:pPr>
        <w:spacing w:line="259"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Measure 4.1: Improvement of the FMC system in public sector institutions</w:t>
      </w:r>
    </w:p>
    <w:tbl>
      <w:tblPr>
        <w:tblStyle w:val="TableGrid3"/>
        <w:tblpPr w:leftFromText="181" w:rightFromText="181" w:vertAnchor="text" w:horzAnchor="margin" w:tblpY="1"/>
        <w:tblOverlap w:val="never"/>
        <w:tblW w:w="0" w:type="auto"/>
        <w:tblLook w:val="04A0" w:firstRow="1" w:lastRow="0" w:firstColumn="1" w:lastColumn="0" w:noHBand="0" w:noVBand="1"/>
      </w:tblPr>
      <w:tblGrid>
        <w:gridCol w:w="2264"/>
        <w:gridCol w:w="2238"/>
        <w:gridCol w:w="2252"/>
        <w:gridCol w:w="2262"/>
      </w:tblGrid>
      <w:tr w:rsidR="00DE44ED" w:rsidRPr="008B1397" w14:paraId="203A5517" w14:textId="77777777" w:rsidTr="005E201C">
        <w:tc>
          <w:tcPr>
            <w:tcW w:w="2264" w:type="dxa"/>
            <w:shd w:val="clear" w:color="auto" w:fill="9CC2E5" w:themeFill="accent1" w:themeFillTint="99"/>
          </w:tcPr>
          <w:p w14:paraId="3442FE50"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measure level</w:t>
            </w:r>
          </w:p>
        </w:tc>
        <w:tc>
          <w:tcPr>
            <w:tcW w:w="2238" w:type="dxa"/>
            <w:shd w:val="clear" w:color="auto" w:fill="9CC2E5" w:themeFill="accent1" w:themeFillTint="99"/>
          </w:tcPr>
          <w:p w14:paraId="09231171"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252" w:type="dxa"/>
            <w:shd w:val="clear" w:color="auto" w:fill="9CC2E5" w:themeFill="accent1" w:themeFillTint="99"/>
          </w:tcPr>
          <w:p w14:paraId="2160CF61"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262" w:type="dxa"/>
            <w:shd w:val="clear" w:color="auto" w:fill="9CC2E5" w:themeFill="accent1" w:themeFillTint="99"/>
          </w:tcPr>
          <w:p w14:paraId="1A007FFA"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E44ED" w:rsidRPr="008B1397" w14:paraId="3192EC87" w14:textId="77777777" w:rsidTr="005E201C">
        <w:trPr>
          <w:trHeight w:val="431"/>
        </w:trPr>
        <w:tc>
          <w:tcPr>
            <w:tcW w:w="2264" w:type="dxa"/>
            <w:vMerge w:val="restart"/>
          </w:tcPr>
          <w:p w14:paraId="78DF20D4" w14:textId="77777777" w:rsidR="00DE44ED" w:rsidRPr="00383B23" w:rsidRDefault="00DE44ED" w:rsidP="005E201C">
            <w:pPr>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Percentage of priority public sector entities that submit a report on the status of the FMC system</w:t>
            </w:r>
          </w:p>
        </w:tc>
        <w:tc>
          <w:tcPr>
            <w:tcW w:w="2238" w:type="dxa"/>
          </w:tcPr>
          <w:p w14:paraId="22FB5E2D"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252" w:type="dxa"/>
          </w:tcPr>
          <w:p w14:paraId="2058B340"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92%</w:t>
            </w:r>
          </w:p>
        </w:tc>
        <w:tc>
          <w:tcPr>
            <w:tcW w:w="2262" w:type="dxa"/>
          </w:tcPr>
          <w:p w14:paraId="05E15BFF"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93,48%</w:t>
            </w:r>
          </w:p>
        </w:tc>
      </w:tr>
      <w:tr w:rsidR="00DE44ED" w:rsidRPr="008B1397" w14:paraId="4B3E6276" w14:textId="77777777" w:rsidTr="005E201C">
        <w:trPr>
          <w:trHeight w:val="422"/>
        </w:trPr>
        <w:tc>
          <w:tcPr>
            <w:tcW w:w="2264" w:type="dxa"/>
            <w:vMerge/>
          </w:tcPr>
          <w:p w14:paraId="6C88B4EE" w14:textId="77777777" w:rsidR="00DE44ED" w:rsidRPr="00383B23" w:rsidRDefault="00DE44ED" w:rsidP="005E201C">
            <w:pPr>
              <w:rPr>
                <w:rFonts w:ascii="Times New Roman" w:eastAsia="Calibri" w:hAnsi="Times New Roman" w:cs="Times New Roman"/>
                <w:b/>
                <w:bCs/>
                <w:lang w:val="sr-Cyrl-RS"/>
              </w:rPr>
            </w:pPr>
          </w:p>
        </w:tc>
        <w:tc>
          <w:tcPr>
            <w:tcW w:w="2238" w:type="dxa"/>
          </w:tcPr>
          <w:p w14:paraId="53921003"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252" w:type="dxa"/>
          </w:tcPr>
          <w:p w14:paraId="257D1F2E"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92%</w:t>
            </w:r>
          </w:p>
        </w:tc>
        <w:tc>
          <w:tcPr>
            <w:tcW w:w="2262" w:type="dxa"/>
          </w:tcPr>
          <w:p w14:paraId="4C21E44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95,83%</w:t>
            </w:r>
          </w:p>
        </w:tc>
      </w:tr>
      <w:tr w:rsidR="00DE44ED" w:rsidRPr="008B1397" w14:paraId="69F7429F" w14:textId="77777777" w:rsidTr="005E201C">
        <w:trPr>
          <w:trHeight w:val="413"/>
        </w:trPr>
        <w:tc>
          <w:tcPr>
            <w:tcW w:w="2264" w:type="dxa"/>
            <w:vMerge/>
          </w:tcPr>
          <w:p w14:paraId="33542255" w14:textId="77777777" w:rsidR="00DE44ED" w:rsidRPr="00383B23" w:rsidRDefault="00DE44ED" w:rsidP="005E201C">
            <w:pPr>
              <w:rPr>
                <w:rFonts w:ascii="Times New Roman" w:eastAsia="Calibri" w:hAnsi="Times New Roman" w:cs="Times New Roman"/>
                <w:b/>
                <w:bCs/>
                <w:lang w:val="sr-Cyrl-RS"/>
              </w:rPr>
            </w:pPr>
          </w:p>
        </w:tc>
        <w:tc>
          <w:tcPr>
            <w:tcW w:w="2238" w:type="dxa"/>
          </w:tcPr>
          <w:p w14:paraId="3DB5EC13"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252" w:type="dxa"/>
          </w:tcPr>
          <w:p w14:paraId="072E5C8A"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93%</w:t>
            </w:r>
          </w:p>
        </w:tc>
        <w:tc>
          <w:tcPr>
            <w:tcW w:w="2262" w:type="dxa"/>
          </w:tcPr>
          <w:p w14:paraId="18A0C020"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96,15%</w:t>
            </w:r>
          </w:p>
        </w:tc>
      </w:tr>
      <w:tr w:rsidR="00DE44ED" w:rsidRPr="008B1397" w14:paraId="520AC0AD" w14:textId="77777777" w:rsidTr="005E201C">
        <w:trPr>
          <w:trHeight w:val="413"/>
        </w:trPr>
        <w:tc>
          <w:tcPr>
            <w:tcW w:w="2264" w:type="dxa"/>
            <w:vMerge/>
          </w:tcPr>
          <w:p w14:paraId="4DC3B40A" w14:textId="77777777" w:rsidR="00DE44ED" w:rsidRPr="00383B23" w:rsidRDefault="00DE44ED" w:rsidP="005E201C">
            <w:pPr>
              <w:rPr>
                <w:rFonts w:ascii="Times New Roman" w:eastAsia="Calibri" w:hAnsi="Times New Roman" w:cs="Times New Roman"/>
                <w:b/>
                <w:bCs/>
                <w:lang w:val="sr-Cyrl-RS"/>
              </w:rPr>
            </w:pPr>
          </w:p>
        </w:tc>
        <w:tc>
          <w:tcPr>
            <w:tcW w:w="2238" w:type="dxa"/>
          </w:tcPr>
          <w:p w14:paraId="67DEBB26"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252" w:type="dxa"/>
          </w:tcPr>
          <w:p w14:paraId="66BE80A3"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94%</w:t>
            </w:r>
          </w:p>
        </w:tc>
        <w:tc>
          <w:tcPr>
            <w:tcW w:w="2262" w:type="dxa"/>
          </w:tcPr>
          <w:p w14:paraId="3559D345"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86,78%</w:t>
            </w:r>
          </w:p>
        </w:tc>
      </w:tr>
      <w:tr w:rsidR="00DE44ED" w:rsidRPr="008B1397" w14:paraId="4586FE01" w14:textId="77777777" w:rsidTr="005E201C">
        <w:trPr>
          <w:trHeight w:val="422"/>
        </w:trPr>
        <w:tc>
          <w:tcPr>
            <w:tcW w:w="2264" w:type="dxa"/>
            <w:vMerge/>
          </w:tcPr>
          <w:p w14:paraId="018E990C" w14:textId="77777777" w:rsidR="00DE44ED" w:rsidRPr="00383B23" w:rsidRDefault="00DE44ED" w:rsidP="005E201C">
            <w:pPr>
              <w:rPr>
                <w:rFonts w:ascii="Times New Roman" w:eastAsia="Calibri" w:hAnsi="Times New Roman" w:cs="Times New Roman"/>
                <w:b/>
                <w:bCs/>
                <w:lang w:val="sr-Cyrl-RS"/>
              </w:rPr>
            </w:pPr>
          </w:p>
        </w:tc>
        <w:tc>
          <w:tcPr>
            <w:tcW w:w="2238" w:type="dxa"/>
          </w:tcPr>
          <w:p w14:paraId="56921FEC"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252" w:type="dxa"/>
          </w:tcPr>
          <w:p w14:paraId="3EDF9446"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95%</w:t>
            </w:r>
          </w:p>
        </w:tc>
        <w:tc>
          <w:tcPr>
            <w:tcW w:w="2262" w:type="dxa"/>
          </w:tcPr>
          <w:p w14:paraId="22482A2E"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89,57%</w:t>
            </w:r>
          </w:p>
        </w:tc>
      </w:tr>
      <w:tr w:rsidR="00DE44ED" w:rsidRPr="008B1397" w14:paraId="6F0020B8" w14:textId="77777777" w:rsidTr="005E201C">
        <w:trPr>
          <w:trHeight w:val="431"/>
        </w:trPr>
        <w:tc>
          <w:tcPr>
            <w:tcW w:w="2264" w:type="dxa"/>
            <w:vMerge w:val="restart"/>
          </w:tcPr>
          <w:p w14:paraId="66CB374A" w14:textId="77777777" w:rsidR="00DE44ED" w:rsidRPr="00383B23" w:rsidRDefault="00DE44ED" w:rsidP="005E201C">
            <w:pPr>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Percentage of priority public sector entities that created the risk register</w:t>
            </w:r>
          </w:p>
        </w:tc>
        <w:tc>
          <w:tcPr>
            <w:tcW w:w="2238" w:type="dxa"/>
          </w:tcPr>
          <w:p w14:paraId="1D15044D"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252" w:type="dxa"/>
          </w:tcPr>
          <w:p w14:paraId="4A52BF76"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65%</w:t>
            </w:r>
          </w:p>
        </w:tc>
        <w:tc>
          <w:tcPr>
            <w:tcW w:w="2262" w:type="dxa"/>
          </w:tcPr>
          <w:p w14:paraId="6387E243"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70,93%</w:t>
            </w:r>
          </w:p>
        </w:tc>
      </w:tr>
      <w:tr w:rsidR="00DE44ED" w:rsidRPr="008B1397" w14:paraId="6201438D" w14:textId="77777777" w:rsidTr="005E201C">
        <w:trPr>
          <w:trHeight w:val="422"/>
        </w:trPr>
        <w:tc>
          <w:tcPr>
            <w:tcW w:w="2264" w:type="dxa"/>
            <w:vMerge/>
          </w:tcPr>
          <w:p w14:paraId="72F420C3" w14:textId="77777777" w:rsidR="00DE44ED" w:rsidRPr="00383B23" w:rsidRDefault="00DE44ED" w:rsidP="005E201C">
            <w:pPr>
              <w:rPr>
                <w:rFonts w:ascii="Times New Roman" w:eastAsia="Calibri" w:hAnsi="Times New Roman" w:cs="Times New Roman"/>
                <w:b/>
                <w:bCs/>
                <w:lang w:val="sr-Cyrl-RS"/>
              </w:rPr>
            </w:pPr>
          </w:p>
        </w:tc>
        <w:tc>
          <w:tcPr>
            <w:tcW w:w="2238" w:type="dxa"/>
          </w:tcPr>
          <w:p w14:paraId="1A99C4AA"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252" w:type="dxa"/>
          </w:tcPr>
          <w:p w14:paraId="181A6FEC"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68%</w:t>
            </w:r>
          </w:p>
        </w:tc>
        <w:tc>
          <w:tcPr>
            <w:tcW w:w="2262" w:type="dxa"/>
          </w:tcPr>
          <w:p w14:paraId="4944731F"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78,26%</w:t>
            </w:r>
          </w:p>
        </w:tc>
      </w:tr>
      <w:tr w:rsidR="00DE44ED" w:rsidRPr="008B1397" w14:paraId="2A1C1042" w14:textId="77777777" w:rsidTr="005E201C">
        <w:trPr>
          <w:trHeight w:val="413"/>
        </w:trPr>
        <w:tc>
          <w:tcPr>
            <w:tcW w:w="2264" w:type="dxa"/>
            <w:vMerge/>
          </w:tcPr>
          <w:p w14:paraId="65896983" w14:textId="77777777" w:rsidR="00DE44ED" w:rsidRPr="00383B23" w:rsidRDefault="00DE44ED" w:rsidP="005E201C">
            <w:pPr>
              <w:rPr>
                <w:rFonts w:ascii="Times New Roman" w:eastAsia="Calibri" w:hAnsi="Times New Roman" w:cs="Times New Roman"/>
                <w:b/>
                <w:bCs/>
                <w:lang w:val="sr-Cyrl-RS"/>
              </w:rPr>
            </w:pPr>
          </w:p>
        </w:tc>
        <w:tc>
          <w:tcPr>
            <w:tcW w:w="2238" w:type="dxa"/>
          </w:tcPr>
          <w:p w14:paraId="63A1B90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252" w:type="dxa"/>
          </w:tcPr>
          <w:p w14:paraId="4E434337"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71%</w:t>
            </w:r>
          </w:p>
        </w:tc>
        <w:tc>
          <w:tcPr>
            <w:tcW w:w="2262" w:type="dxa"/>
          </w:tcPr>
          <w:p w14:paraId="05766562"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79,05%</w:t>
            </w:r>
          </w:p>
        </w:tc>
      </w:tr>
      <w:tr w:rsidR="00DE44ED" w:rsidRPr="008B1397" w14:paraId="4551E74B" w14:textId="77777777" w:rsidTr="005E201C">
        <w:trPr>
          <w:trHeight w:val="413"/>
        </w:trPr>
        <w:tc>
          <w:tcPr>
            <w:tcW w:w="2264" w:type="dxa"/>
            <w:vMerge/>
          </w:tcPr>
          <w:p w14:paraId="11A87B89" w14:textId="77777777" w:rsidR="00DE44ED" w:rsidRPr="00383B23" w:rsidRDefault="00DE44ED" w:rsidP="005E201C">
            <w:pPr>
              <w:rPr>
                <w:rFonts w:ascii="Times New Roman" w:eastAsia="Calibri" w:hAnsi="Times New Roman" w:cs="Times New Roman"/>
                <w:b/>
                <w:bCs/>
                <w:lang w:val="sr-Cyrl-RS"/>
              </w:rPr>
            </w:pPr>
          </w:p>
        </w:tc>
        <w:tc>
          <w:tcPr>
            <w:tcW w:w="2238" w:type="dxa"/>
          </w:tcPr>
          <w:p w14:paraId="0797FC28"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252" w:type="dxa"/>
          </w:tcPr>
          <w:p w14:paraId="6CB145A6"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74%</w:t>
            </w:r>
          </w:p>
        </w:tc>
        <w:tc>
          <w:tcPr>
            <w:tcW w:w="2262" w:type="dxa"/>
          </w:tcPr>
          <w:p w14:paraId="67C9D734"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72,19%</w:t>
            </w:r>
          </w:p>
        </w:tc>
      </w:tr>
      <w:tr w:rsidR="00DE44ED" w:rsidRPr="008B1397" w14:paraId="2022319F" w14:textId="77777777" w:rsidTr="005E201C">
        <w:trPr>
          <w:trHeight w:val="422"/>
        </w:trPr>
        <w:tc>
          <w:tcPr>
            <w:tcW w:w="2264" w:type="dxa"/>
            <w:vMerge/>
          </w:tcPr>
          <w:p w14:paraId="7222F652" w14:textId="77777777" w:rsidR="00DE44ED" w:rsidRPr="00383B23" w:rsidRDefault="00DE44ED" w:rsidP="005E201C">
            <w:pPr>
              <w:rPr>
                <w:rFonts w:ascii="Times New Roman" w:eastAsia="Calibri" w:hAnsi="Times New Roman" w:cs="Times New Roman"/>
                <w:b/>
                <w:bCs/>
                <w:lang w:val="sr-Cyrl-RS"/>
              </w:rPr>
            </w:pPr>
          </w:p>
        </w:tc>
        <w:tc>
          <w:tcPr>
            <w:tcW w:w="2238" w:type="dxa"/>
          </w:tcPr>
          <w:p w14:paraId="42508BF8"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252" w:type="dxa"/>
          </w:tcPr>
          <w:p w14:paraId="27167D64"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80%</w:t>
            </w:r>
          </w:p>
        </w:tc>
        <w:tc>
          <w:tcPr>
            <w:tcW w:w="2262" w:type="dxa"/>
          </w:tcPr>
          <w:p w14:paraId="24D5261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79,45%</w:t>
            </w:r>
          </w:p>
        </w:tc>
      </w:tr>
    </w:tbl>
    <w:p w14:paraId="5AD65343" w14:textId="77777777" w:rsidR="00DE44ED" w:rsidRPr="008B1397" w:rsidRDefault="00DE44ED" w:rsidP="00DE44ED">
      <w:pPr>
        <w:spacing w:line="259" w:lineRule="auto"/>
        <w:jc w:val="both"/>
        <w:rPr>
          <w:rFonts w:ascii="Times New Roman" w:eastAsia="Calibri" w:hAnsi="Times New Roman" w:cs="Times New Roman"/>
          <w:lang w:val="sr-Cyrl-RS"/>
          <w14:ligatures w14:val="none"/>
        </w:rPr>
      </w:pPr>
    </w:p>
    <w:p w14:paraId="6B451B83" w14:textId="77777777" w:rsidR="00DE44ED" w:rsidRDefault="00DE44ED" w:rsidP="00DE44ED">
      <w:pPr>
        <w:spacing w:line="259"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 xml:space="preserve">In the programme period 2021-2022. there were certain indicators (Average rating of the priority group of public sector entities who update the Risk Register, perform risk assessment and review the adequacy of measures at least once a year), Average rating of the priority group of public sector entities who report risks to the management, Average rating of the priority group of public sector entities where managers make decisions in the function of managing identified risks (regarding the reaction to risk: acceptance, avoidance, reduction or sharing of risks), which were changed by the revision of the Programme in 2023. For this reason, we do not have the required achieved values ​​for certain indicators. When we talk about the indicators related to the submission of reports on FKM and the creation of the risk register by priority users, we can say that the indicators have been achieved and have exceeded the target values. We emphasize that for the </w:t>
      </w:r>
      <w:r w:rsidRPr="008B1397">
        <w:rPr>
          <w:rFonts w:ascii="Times New Roman" w:eastAsia="Calibri" w:hAnsi="Times New Roman" w:cs="Times New Roman"/>
          <w:lang w:val="sr-Cyrl-RS"/>
          <w14:ligatures w14:val="none"/>
        </w:rPr>
        <w:lastRenderedPageBreak/>
        <w:t>reporting period of 2024, we have changed the categorization of priority public sector entities (ministries, organisations of mandatory social security - OOSO, economic entities of the Republic of Serbia - PSRS and cities) in accordance with the amendments to the Law on the Management of Business Companies owned by the Republic of Serbia, as well as the adoption of the Decree on determining the list of capital companies and minority capital companies.</w:t>
      </w:r>
    </w:p>
    <w:p w14:paraId="553D5930" w14:textId="77777777" w:rsidR="00DE44ED" w:rsidRPr="007566FC" w:rsidRDefault="00DE44ED" w:rsidP="00DE44ED">
      <w:pPr>
        <w:ind w:firstLine="720"/>
        <w:jc w:val="both"/>
        <w:rPr>
          <w:rFonts w:ascii="Times New Roman" w:hAnsi="Times New Roman" w:cs="Times New Roman"/>
          <w:lang w:val="en-US"/>
        </w:rPr>
      </w:pPr>
      <w:r>
        <w:rPr>
          <w:rFonts w:ascii="Times New Roman" w:hAnsi="Times New Roman" w:cs="Times New Roman"/>
          <w:lang w:val="sr-Cyrl-RS"/>
        </w:rPr>
        <w:t>When it comes to the FMC system in the RS public sector, a growth trend can be observed in most indicators that describe the level of establishment of this system at public sector entities. Thanks to the activities that were carried out in the previous programme period, it is noticeable that the awareness of the importance of establishing a system of internal controls has increased, and this can be seen through a significantly higher number of submitted reports on the state of the FMC. Further progress was noted when it comes to the number of public sector entities with adopted risk management strategies and created risk registers. The best-rated segment of the FMC system represents the adequacy of the organisational structure with defined powers and responsibilities, which represents the most significant foundation of management responsibility within the organisation.</w:t>
      </w:r>
    </w:p>
    <w:p w14:paraId="4ED61032" w14:textId="6E7996D5" w:rsidR="008E2291" w:rsidRPr="008E2291" w:rsidRDefault="00DE44ED" w:rsidP="00301F00">
      <w:pPr>
        <w:spacing w:line="259"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b/>
          <w:lang w:val="sr-Cyrl-RS"/>
          <w14:ligatures w14:val="none"/>
        </w:rPr>
        <w:t>Funding of the measure: The main donor support is provided by the project "Support to the management of public finances" implemented by UNDP, the German development cooperation implemented by GIZ, as well as the EU Exchange 6 Programme and the Partnership Programme for Good Local Self-Government/SDC (Permanent Conference of Cities and Municipalities SKGO) and RELOF 3 - Swiss development cooperation.</w:t>
      </w:r>
    </w:p>
    <w:p w14:paraId="0538216A" w14:textId="77777777" w:rsidR="00DE44ED" w:rsidRPr="00467C20" w:rsidRDefault="00DE44ED" w:rsidP="00DE44ED">
      <w:pPr>
        <w:spacing w:line="259" w:lineRule="auto"/>
        <w:jc w:val="both"/>
        <w:rPr>
          <w:rFonts w:ascii="Times New Roman" w:eastAsia="Calibri" w:hAnsi="Times New Roman" w:cs="Times New Roman"/>
          <w:b/>
          <w:u w:val="single"/>
          <w:lang w:val="en-US"/>
          <w14:ligatures w14:val="none"/>
        </w:rPr>
      </w:pPr>
      <w:r w:rsidRPr="008B1397">
        <w:rPr>
          <w:rFonts w:ascii="Times New Roman" w:eastAsia="Calibri" w:hAnsi="Times New Roman" w:cs="Times New Roman"/>
          <w:b/>
          <w:u w:val="single"/>
          <w:lang w:val="sr-Cyrl-RS"/>
          <w14:ligatures w14:val="none"/>
        </w:rPr>
        <w:t>Measure 4.2. Improved internal audit function in the public sector in accordance with international standards and principles</w:t>
      </w:r>
    </w:p>
    <w:tbl>
      <w:tblPr>
        <w:tblStyle w:val="TableGrid3"/>
        <w:tblW w:w="0" w:type="auto"/>
        <w:tblLook w:val="04A0" w:firstRow="1" w:lastRow="0" w:firstColumn="1" w:lastColumn="0" w:noHBand="0" w:noVBand="1"/>
      </w:tblPr>
      <w:tblGrid>
        <w:gridCol w:w="2279"/>
        <w:gridCol w:w="2232"/>
        <w:gridCol w:w="2247"/>
        <w:gridCol w:w="2258"/>
      </w:tblGrid>
      <w:tr w:rsidR="00DE44ED" w:rsidRPr="008B1397" w14:paraId="7E40BA29" w14:textId="77777777" w:rsidTr="005E201C">
        <w:tc>
          <w:tcPr>
            <w:tcW w:w="2279" w:type="dxa"/>
            <w:shd w:val="clear" w:color="auto" w:fill="9CC2E5" w:themeFill="accent1" w:themeFillTint="99"/>
          </w:tcPr>
          <w:p w14:paraId="55668B6A"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Indicators at the measure level</w:t>
            </w:r>
          </w:p>
        </w:tc>
        <w:tc>
          <w:tcPr>
            <w:tcW w:w="2232" w:type="dxa"/>
            <w:shd w:val="clear" w:color="auto" w:fill="9CC2E5" w:themeFill="accent1" w:themeFillTint="99"/>
          </w:tcPr>
          <w:p w14:paraId="59FF4C48"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247" w:type="dxa"/>
            <w:shd w:val="clear" w:color="auto" w:fill="9CC2E5" w:themeFill="accent1" w:themeFillTint="99"/>
          </w:tcPr>
          <w:p w14:paraId="321E39C7"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258" w:type="dxa"/>
            <w:shd w:val="clear" w:color="auto" w:fill="9CC2E5" w:themeFill="accent1" w:themeFillTint="99"/>
          </w:tcPr>
          <w:p w14:paraId="4C9B560B"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r w:rsidR="00DE44ED" w:rsidRPr="008B1397" w14:paraId="4FE25DE9" w14:textId="77777777" w:rsidTr="005E201C">
        <w:trPr>
          <w:trHeight w:val="431"/>
        </w:trPr>
        <w:tc>
          <w:tcPr>
            <w:tcW w:w="2279" w:type="dxa"/>
            <w:vMerge w:val="restart"/>
          </w:tcPr>
          <w:p w14:paraId="1432B2C1" w14:textId="77777777" w:rsidR="00DE44ED" w:rsidRPr="00383B23" w:rsidRDefault="00DE44ED" w:rsidP="005E201C">
            <w:pPr>
              <w:rPr>
                <w:rFonts w:ascii="Times New Roman" w:eastAsia="Calibri" w:hAnsi="Times New Roman" w:cs="Times New Roman"/>
                <w:b/>
                <w:bCs/>
                <w:lang w:val="sr-Cyrl-RS"/>
              </w:rPr>
            </w:pPr>
            <w:r w:rsidRPr="00383B23">
              <w:rPr>
                <w:rFonts w:ascii="Times New Roman" w:eastAsia="Calibri" w:hAnsi="Times New Roman" w:cs="Times New Roman"/>
                <w:b/>
                <w:bCs/>
                <w:lang w:val="sr-Cyrl-RS"/>
              </w:rPr>
              <w:t>The number of external evaluations of the quality of the work of the internal audit unit within institutions that use public funds with a gradual increase in the number of collegial reviews within the total number of reviews</w:t>
            </w:r>
          </w:p>
        </w:tc>
        <w:tc>
          <w:tcPr>
            <w:tcW w:w="2232" w:type="dxa"/>
          </w:tcPr>
          <w:p w14:paraId="78005354"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247" w:type="dxa"/>
          </w:tcPr>
          <w:p w14:paraId="3F89A6B7"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258" w:type="dxa"/>
          </w:tcPr>
          <w:p w14:paraId="1ECD9539"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61FC261B" w14:textId="77777777" w:rsidTr="005E201C">
        <w:trPr>
          <w:trHeight w:val="422"/>
        </w:trPr>
        <w:tc>
          <w:tcPr>
            <w:tcW w:w="2279" w:type="dxa"/>
            <w:vMerge/>
          </w:tcPr>
          <w:p w14:paraId="3A3981F2" w14:textId="77777777" w:rsidR="00DE44ED" w:rsidRPr="008B1397" w:rsidRDefault="00DE44ED" w:rsidP="005E201C">
            <w:pPr>
              <w:rPr>
                <w:rFonts w:ascii="Times New Roman" w:eastAsia="Calibri" w:hAnsi="Times New Roman" w:cs="Times New Roman"/>
                <w:lang w:val="sr-Cyrl-RS"/>
              </w:rPr>
            </w:pPr>
          </w:p>
        </w:tc>
        <w:tc>
          <w:tcPr>
            <w:tcW w:w="2232" w:type="dxa"/>
          </w:tcPr>
          <w:p w14:paraId="4B3AF3A2"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247" w:type="dxa"/>
          </w:tcPr>
          <w:p w14:paraId="2FA17C13"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258" w:type="dxa"/>
          </w:tcPr>
          <w:p w14:paraId="61219FCB"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03550903" w14:textId="77777777" w:rsidTr="005E201C">
        <w:trPr>
          <w:trHeight w:val="413"/>
        </w:trPr>
        <w:tc>
          <w:tcPr>
            <w:tcW w:w="2279" w:type="dxa"/>
            <w:vMerge/>
          </w:tcPr>
          <w:p w14:paraId="214EC136" w14:textId="77777777" w:rsidR="00DE44ED" w:rsidRPr="008B1397" w:rsidRDefault="00DE44ED" w:rsidP="005E201C">
            <w:pPr>
              <w:rPr>
                <w:rFonts w:ascii="Times New Roman" w:eastAsia="Calibri" w:hAnsi="Times New Roman" w:cs="Times New Roman"/>
                <w:lang w:val="sr-Cyrl-RS"/>
              </w:rPr>
            </w:pPr>
          </w:p>
        </w:tc>
        <w:tc>
          <w:tcPr>
            <w:tcW w:w="2232" w:type="dxa"/>
          </w:tcPr>
          <w:p w14:paraId="6557019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247" w:type="dxa"/>
          </w:tcPr>
          <w:p w14:paraId="55E4066B"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6</w:t>
            </w:r>
          </w:p>
        </w:tc>
        <w:tc>
          <w:tcPr>
            <w:tcW w:w="2258" w:type="dxa"/>
          </w:tcPr>
          <w:p w14:paraId="27D7228B"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6</w:t>
            </w:r>
          </w:p>
        </w:tc>
      </w:tr>
      <w:tr w:rsidR="00DE44ED" w:rsidRPr="008B1397" w14:paraId="1DF7A092" w14:textId="77777777" w:rsidTr="005E201C">
        <w:trPr>
          <w:trHeight w:val="413"/>
        </w:trPr>
        <w:tc>
          <w:tcPr>
            <w:tcW w:w="2279" w:type="dxa"/>
            <w:vMerge/>
          </w:tcPr>
          <w:p w14:paraId="70477BBF" w14:textId="77777777" w:rsidR="00DE44ED" w:rsidRPr="008B1397" w:rsidRDefault="00DE44ED" w:rsidP="005E201C">
            <w:pPr>
              <w:rPr>
                <w:rFonts w:ascii="Times New Roman" w:eastAsia="Calibri" w:hAnsi="Times New Roman" w:cs="Times New Roman"/>
                <w:lang w:val="sr-Cyrl-RS"/>
              </w:rPr>
            </w:pPr>
          </w:p>
        </w:tc>
        <w:tc>
          <w:tcPr>
            <w:tcW w:w="2232" w:type="dxa"/>
          </w:tcPr>
          <w:p w14:paraId="01634F6B"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247" w:type="dxa"/>
          </w:tcPr>
          <w:p w14:paraId="59EA7E2E"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8</w:t>
            </w:r>
          </w:p>
        </w:tc>
        <w:tc>
          <w:tcPr>
            <w:tcW w:w="2258" w:type="dxa"/>
          </w:tcPr>
          <w:p w14:paraId="13F7A167"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8</w:t>
            </w:r>
          </w:p>
        </w:tc>
      </w:tr>
      <w:tr w:rsidR="00DE44ED" w:rsidRPr="008B1397" w14:paraId="5345822A" w14:textId="77777777" w:rsidTr="005E201C">
        <w:trPr>
          <w:trHeight w:val="422"/>
        </w:trPr>
        <w:tc>
          <w:tcPr>
            <w:tcW w:w="2279" w:type="dxa"/>
            <w:vMerge/>
          </w:tcPr>
          <w:p w14:paraId="3FD7C4B3" w14:textId="77777777" w:rsidR="00DE44ED" w:rsidRPr="008B1397" w:rsidRDefault="00DE44ED" w:rsidP="005E201C">
            <w:pPr>
              <w:rPr>
                <w:rFonts w:ascii="Times New Roman" w:eastAsia="Calibri" w:hAnsi="Times New Roman" w:cs="Times New Roman"/>
                <w:lang w:val="sr-Cyrl-RS"/>
              </w:rPr>
            </w:pPr>
          </w:p>
        </w:tc>
        <w:tc>
          <w:tcPr>
            <w:tcW w:w="2232" w:type="dxa"/>
          </w:tcPr>
          <w:p w14:paraId="53A1E1B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247" w:type="dxa"/>
          </w:tcPr>
          <w:p w14:paraId="045C14E7"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12</w:t>
            </w:r>
          </w:p>
        </w:tc>
        <w:tc>
          <w:tcPr>
            <w:tcW w:w="2258" w:type="dxa"/>
          </w:tcPr>
          <w:p w14:paraId="5B9A8DF9"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12</w:t>
            </w:r>
          </w:p>
        </w:tc>
      </w:tr>
    </w:tbl>
    <w:p w14:paraId="2C9F7700" w14:textId="77777777" w:rsidR="00DE44ED" w:rsidRPr="008B1397" w:rsidRDefault="00DE44ED" w:rsidP="00DE44ED">
      <w:pPr>
        <w:spacing w:line="259" w:lineRule="auto"/>
        <w:jc w:val="both"/>
        <w:rPr>
          <w:rFonts w:ascii="Times New Roman" w:eastAsia="Calibri" w:hAnsi="Times New Roman" w:cs="Times New Roman"/>
          <w:lang w:val="sr-Cyrl-RS"/>
          <w14:ligatures w14:val="none"/>
        </w:rPr>
      </w:pPr>
    </w:p>
    <w:p w14:paraId="7CA50A7F" w14:textId="77777777" w:rsidR="00DE44ED" w:rsidRDefault="00DE44ED" w:rsidP="00DE44ED">
      <w:pPr>
        <w:spacing w:line="259"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 xml:space="preserve">In the programme period 2021-2022. there were certain indicators (SIGMA indicator of the adequacy of the operational framework for internal audit, SIGMA indicator of the functioning of the IA), which were changed by the revision of the Programme in 2023. Given that SIGMA changed the methodology when it did the previous assessment, these indicators were no longer monitored and a new indicator was added instead, which refers to the number of external </w:t>
      </w:r>
      <w:r w:rsidRPr="008B1397">
        <w:rPr>
          <w:rFonts w:ascii="Times New Roman" w:eastAsia="Calibri" w:hAnsi="Times New Roman" w:cs="Times New Roman"/>
          <w:lang w:val="sr-Cyrl-RS"/>
          <w14:ligatures w14:val="none"/>
        </w:rPr>
        <w:lastRenderedPageBreak/>
        <w:t>evaluations of the quality of work of the internal audit unit. This indicator is related to Sectoral Budget Support and was achieved in all foreseen years.</w:t>
      </w:r>
    </w:p>
    <w:p w14:paraId="62909F9F" w14:textId="77777777" w:rsidR="00DE44ED" w:rsidRPr="00F17B67" w:rsidRDefault="00DE44ED" w:rsidP="00DE44ED">
      <w:pPr>
        <w:ind w:firstLine="720"/>
        <w:jc w:val="both"/>
        <w:rPr>
          <w:rFonts w:ascii="Times New Roman" w:hAnsi="Times New Roman" w:cs="Times New Roman"/>
          <w:lang w:val="sr-Cyrl-RS"/>
        </w:rPr>
      </w:pPr>
      <w:r w:rsidRPr="00CE36A6">
        <w:rPr>
          <w:rFonts w:ascii="Times New Roman" w:hAnsi="Times New Roman" w:cs="Times New Roman"/>
          <w:lang w:val="sr-Cyrl-RS"/>
        </w:rPr>
        <w:t>Overall, there is a positive trend in the development of the IA function in the previous period according to almost all indicators. The number of employees in IA jobs has increased, as has the number of certified internal auditors. However, despite continuous training, promotion of the importance of IA as well as the preparation of methodological materials in this area, stagnation of the number of internal auditors can be observed in the categories of ministries, OOSO and other direct users of budget funds (hereinafter: DKBS) at the central level, where the main cause is mainly the natural outflow of internal auditors, as well as insufficient influx of new personnel. It was observed that public sector entities managers who have IA are aware of the importance of that function, i.e. its positive effects on the achievement of organisational goals. Positive experiences and concrete demonstration of contribution to IA management represent the best promotion and stimulus for additional improvements of IA in the public sector, especially when it comes to organisations where it is not established or has inadequate capacity.</w:t>
      </w:r>
    </w:p>
    <w:p w14:paraId="37C05FD2" w14:textId="499C5CD8" w:rsidR="008E2291" w:rsidRPr="008E2291" w:rsidRDefault="00DE44ED" w:rsidP="00DE44ED">
      <w:pPr>
        <w:spacing w:line="259" w:lineRule="auto"/>
        <w:rPr>
          <w:rFonts w:ascii="Times New Roman" w:eastAsia="Calibri" w:hAnsi="Times New Roman" w:cs="Times New Roman"/>
          <w:lang w:val="en-US"/>
          <w14:ligatures w14:val="none"/>
        </w:rPr>
      </w:pPr>
      <w:r w:rsidRPr="008B1397">
        <w:rPr>
          <w:rFonts w:ascii="Times New Roman" w:eastAsia="Calibri" w:hAnsi="Times New Roman" w:cs="Times New Roman"/>
          <w:b/>
          <w:lang w:val="sr-Cyrl-RS"/>
          <w14:ligatures w14:val="none"/>
        </w:rPr>
        <w:t>Funding of the measure: The main donor support is provided by the project "Support to the management of public finances" implemented by UNDP and the EU Exchange 6 Programme (SKGO) and RELOF 3 - Swiss development cooperation. The implementation of activity 4.2.5 is continuously implemented with the donor support of the German Development Cooperation implemented by GIZ.</w:t>
      </w:r>
    </w:p>
    <w:p w14:paraId="6A28BA4D" w14:textId="77777777" w:rsidR="00DE44ED" w:rsidRPr="008B1397" w:rsidRDefault="00DE44ED" w:rsidP="00DE44ED">
      <w:pPr>
        <w:spacing w:line="259"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 xml:space="preserve">Measure 4.3: Strengthened monitoring of internal control in the public sector </w:t>
      </w:r>
    </w:p>
    <w:tbl>
      <w:tblPr>
        <w:tblStyle w:val="TableGrid11"/>
        <w:tblpPr w:leftFromText="181" w:rightFromText="181" w:vertAnchor="text" w:horzAnchor="margin" w:tblpY="1"/>
        <w:tblOverlap w:val="never"/>
        <w:tblW w:w="0" w:type="auto"/>
        <w:tblLook w:val="04A0" w:firstRow="1" w:lastRow="0" w:firstColumn="1" w:lastColumn="0" w:noHBand="0" w:noVBand="1"/>
      </w:tblPr>
      <w:tblGrid>
        <w:gridCol w:w="2337"/>
        <w:gridCol w:w="1168"/>
        <w:gridCol w:w="2700"/>
        <w:gridCol w:w="3145"/>
      </w:tblGrid>
      <w:tr w:rsidR="00DE44ED" w:rsidRPr="008B1397" w14:paraId="2019F00D" w14:textId="77777777" w:rsidTr="005E201C">
        <w:tc>
          <w:tcPr>
            <w:tcW w:w="2337" w:type="dxa"/>
            <w:shd w:val="clear" w:color="auto" w:fill="9CC2E5" w:themeFill="accent1" w:themeFillTint="99"/>
          </w:tcPr>
          <w:p w14:paraId="378012F6" w14:textId="77777777" w:rsidR="00DE44ED" w:rsidRPr="00383B23" w:rsidRDefault="00DE44ED" w:rsidP="005E201C">
            <w:pPr>
              <w:jc w:val="center"/>
              <w:rPr>
                <w:rFonts w:ascii="Times New Roman" w:eastAsia="Calibri" w:hAnsi="Times New Roman" w:cs="Times New Roman"/>
                <w:b/>
                <w:bCs/>
                <w:lang w:val="sr-Cyrl-RS"/>
              </w:rPr>
            </w:pPr>
            <w:r w:rsidRPr="00383B23">
              <w:rPr>
                <w:rFonts w:ascii="Times New Roman" w:eastAsia="Calibri" w:hAnsi="Times New Roman" w:cs="Times New Roman"/>
                <w:b/>
                <w:bCs/>
                <w:lang w:val="sr-Cyrl-RS"/>
              </w:rPr>
              <w:t>Indicator at the measure level</w:t>
            </w:r>
          </w:p>
        </w:tc>
        <w:tc>
          <w:tcPr>
            <w:tcW w:w="1168" w:type="dxa"/>
            <w:shd w:val="clear" w:color="auto" w:fill="9CC2E5" w:themeFill="accent1" w:themeFillTint="99"/>
          </w:tcPr>
          <w:p w14:paraId="47642BED" w14:textId="77777777" w:rsidR="00DE44ED" w:rsidRPr="00383B23" w:rsidRDefault="00DE44ED" w:rsidP="005E201C">
            <w:pPr>
              <w:jc w:val="center"/>
              <w:rPr>
                <w:rFonts w:ascii="Times New Roman" w:eastAsia="Calibri" w:hAnsi="Times New Roman" w:cs="Times New Roman"/>
                <w:b/>
                <w:bCs/>
                <w:lang w:val="sr-Cyrl-RS"/>
              </w:rPr>
            </w:pPr>
            <w:r w:rsidRPr="00383B23">
              <w:rPr>
                <w:rFonts w:ascii="Times New Roman" w:eastAsia="Calibri" w:hAnsi="Times New Roman" w:cs="Times New Roman"/>
                <w:b/>
                <w:bCs/>
                <w:lang w:val="sr-Cyrl-RS"/>
              </w:rPr>
              <w:t>Year</w:t>
            </w:r>
          </w:p>
        </w:tc>
        <w:tc>
          <w:tcPr>
            <w:tcW w:w="2700" w:type="dxa"/>
            <w:shd w:val="clear" w:color="auto" w:fill="9CC2E5" w:themeFill="accent1" w:themeFillTint="99"/>
          </w:tcPr>
          <w:p w14:paraId="68F604A7" w14:textId="77777777" w:rsidR="00DE44ED" w:rsidRPr="00383B23" w:rsidRDefault="00DE44ED" w:rsidP="005E201C">
            <w:pPr>
              <w:jc w:val="center"/>
              <w:rPr>
                <w:rFonts w:ascii="Times New Roman" w:eastAsia="Calibri" w:hAnsi="Times New Roman" w:cs="Times New Roman"/>
                <w:b/>
                <w:bCs/>
                <w:lang w:val="sr-Cyrl-RS"/>
              </w:rPr>
            </w:pPr>
            <w:r w:rsidRPr="00383B23">
              <w:rPr>
                <w:rFonts w:ascii="Times New Roman" w:eastAsia="Calibri" w:hAnsi="Times New Roman" w:cs="Times New Roman"/>
                <w:b/>
                <w:bCs/>
                <w:lang w:val="sr-Cyrl-RS"/>
              </w:rPr>
              <w:t>Target value</w:t>
            </w:r>
          </w:p>
        </w:tc>
        <w:tc>
          <w:tcPr>
            <w:tcW w:w="3145" w:type="dxa"/>
            <w:shd w:val="clear" w:color="auto" w:fill="9CC2E5" w:themeFill="accent1" w:themeFillTint="99"/>
          </w:tcPr>
          <w:p w14:paraId="411D678A" w14:textId="77777777" w:rsidR="00DE44ED" w:rsidRPr="00383B23" w:rsidRDefault="00DE44ED" w:rsidP="005E201C">
            <w:pPr>
              <w:jc w:val="center"/>
              <w:rPr>
                <w:rFonts w:ascii="Times New Roman" w:eastAsia="Calibri" w:hAnsi="Times New Roman" w:cs="Times New Roman"/>
                <w:b/>
                <w:bCs/>
                <w:lang w:val="sr-Cyrl-RS"/>
              </w:rPr>
            </w:pPr>
            <w:r w:rsidRPr="00383B23">
              <w:rPr>
                <w:rFonts w:ascii="Times New Roman" w:eastAsia="Calibri" w:hAnsi="Times New Roman" w:cs="Times New Roman"/>
                <w:b/>
                <w:bCs/>
                <w:lang w:val="sr-Cyrl-RS"/>
              </w:rPr>
              <w:t>Achieved value in %</w:t>
            </w:r>
          </w:p>
        </w:tc>
      </w:tr>
      <w:tr w:rsidR="00DE44ED" w:rsidRPr="008B1397" w14:paraId="7A7A902B" w14:textId="77777777" w:rsidTr="005E201C">
        <w:trPr>
          <w:trHeight w:val="431"/>
        </w:trPr>
        <w:tc>
          <w:tcPr>
            <w:tcW w:w="2337" w:type="dxa"/>
            <w:vMerge w:val="restart"/>
          </w:tcPr>
          <w:p w14:paraId="1E1AF12D" w14:textId="77777777" w:rsidR="00DE44ED" w:rsidRPr="00383B23" w:rsidRDefault="00DE44ED" w:rsidP="005E201C">
            <w:pPr>
              <w:rPr>
                <w:rFonts w:ascii="Times New Roman" w:eastAsia="Calibri" w:hAnsi="Times New Roman" w:cs="Times New Roman"/>
                <w:b/>
                <w:bCs/>
                <w:lang w:val="sr-Cyrl-RS"/>
              </w:rPr>
            </w:pPr>
            <w:r w:rsidRPr="00383B23">
              <w:rPr>
                <w:rFonts w:ascii="Times New Roman" w:eastAsia="Calibri" w:hAnsi="Times New Roman" w:cs="Times New Roman"/>
                <w:b/>
                <w:bCs/>
                <w:lang w:val="sr-Cyrl-RS"/>
              </w:rPr>
              <w:t>A functional IT system for IC</w:t>
            </w:r>
          </w:p>
        </w:tc>
        <w:tc>
          <w:tcPr>
            <w:tcW w:w="1168" w:type="dxa"/>
          </w:tcPr>
          <w:p w14:paraId="0AA305A5"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700" w:type="dxa"/>
          </w:tcPr>
          <w:p w14:paraId="2B1C4A8F"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3145" w:type="dxa"/>
          </w:tcPr>
          <w:p w14:paraId="77650B97"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7CE2A609" w14:textId="77777777" w:rsidTr="005E201C">
        <w:trPr>
          <w:trHeight w:val="422"/>
        </w:trPr>
        <w:tc>
          <w:tcPr>
            <w:tcW w:w="2337" w:type="dxa"/>
            <w:vMerge/>
          </w:tcPr>
          <w:p w14:paraId="4AF9CC9D" w14:textId="77777777" w:rsidR="00DE44ED" w:rsidRPr="008B1397" w:rsidRDefault="00DE44ED" w:rsidP="005E201C">
            <w:pPr>
              <w:rPr>
                <w:rFonts w:ascii="Times New Roman" w:eastAsia="Calibri" w:hAnsi="Times New Roman" w:cs="Times New Roman"/>
                <w:lang w:val="sr-Cyrl-RS"/>
              </w:rPr>
            </w:pPr>
          </w:p>
        </w:tc>
        <w:tc>
          <w:tcPr>
            <w:tcW w:w="1168" w:type="dxa"/>
          </w:tcPr>
          <w:p w14:paraId="6C2B7AC6"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700" w:type="dxa"/>
          </w:tcPr>
          <w:p w14:paraId="5B11F2AB"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3145" w:type="dxa"/>
          </w:tcPr>
          <w:p w14:paraId="5A9763F5"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7FEDFB78" w14:textId="77777777" w:rsidTr="005E201C">
        <w:trPr>
          <w:trHeight w:val="413"/>
        </w:trPr>
        <w:tc>
          <w:tcPr>
            <w:tcW w:w="2337" w:type="dxa"/>
            <w:vMerge/>
          </w:tcPr>
          <w:p w14:paraId="1E08A706" w14:textId="77777777" w:rsidR="00DE44ED" w:rsidRPr="008B1397" w:rsidRDefault="00DE44ED" w:rsidP="005E201C">
            <w:pPr>
              <w:rPr>
                <w:rFonts w:ascii="Times New Roman" w:eastAsia="Calibri" w:hAnsi="Times New Roman" w:cs="Times New Roman"/>
                <w:lang w:val="sr-Cyrl-RS"/>
              </w:rPr>
            </w:pPr>
          </w:p>
        </w:tc>
        <w:tc>
          <w:tcPr>
            <w:tcW w:w="1168" w:type="dxa"/>
          </w:tcPr>
          <w:p w14:paraId="4CFC5F7B"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700" w:type="dxa"/>
          </w:tcPr>
          <w:p w14:paraId="08E7C468"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3145" w:type="dxa"/>
          </w:tcPr>
          <w:p w14:paraId="3E6691A3"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7E3D5DE7" w14:textId="77777777" w:rsidTr="005E201C">
        <w:trPr>
          <w:trHeight w:val="413"/>
        </w:trPr>
        <w:tc>
          <w:tcPr>
            <w:tcW w:w="2337" w:type="dxa"/>
            <w:vMerge/>
          </w:tcPr>
          <w:p w14:paraId="67D521F4" w14:textId="77777777" w:rsidR="00DE44ED" w:rsidRPr="008B1397" w:rsidRDefault="00DE44ED" w:rsidP="005E201C">
            <w:pPr>
              <w:rPr>
                <w:rFonts w:ascii="Times New Roman" w:eastAsia="Calibri" w:hAnsi="Times New Roman" w:cs="Times New Roman"/>
                <w:lang w:val="sr-Cyrl-RS"/>
              </w:rPr>
            </w:pPr>
          </w:p>
        </w:tc>
        <w:tc>
          <w:tcPr>
            <w:tcW w:w="1168" w:type="dxa"/>
          </w:tcPr>
          <w:p w14:paraId="7684751D"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700" w:type="dxa"/>
          </w:tcPr>
          <w:p w14:paraId="528DD3D1"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3145" w:type="dxa"/>
          </w:tcPr>
          <w:p w14:paraId="2603E38D"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62BA5030" w14:textId="77777777" w:rsidTr="005E201C">
        <w:trPr>
          <w:trHeight w:val="422"/>
        </w:trPr>
        <w:tc>
          <w:tcPr>
            <w:tcW w:w="2337" w:type="dxa"/>
            <w:vMerge/>
          </w:tcPr>
          <w:p w14:paraId="13486447" w14:textId="77777777" w:rsidR="00DE44ED" w:rsidRPr="008B1397" w:rsidRDefault="00DE44ED" w:rsidP="005E201C">
            <w:pPr>
              <w:rPr>
                <w:rFonts w:ascii="Times New Roman" w:eastAsia="Calibri" w:hAnsi="Times New Roman" w:cs="Times New Roman"/>
                <w:lang w:val="sr-Cyrl-RS"/>
              </w:rPr>
            </w:pPr>
          </w:p>
        </w:tc>
        <w:tc>
          <w:tcPr>
            <w:tcW w:w="1168" w:type="dxa"/>
          </w:tcPr>
          <w:p w14:paraId="5B3BA6EC"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700" w:type="dxa"/>
          </w:tcPr>
          <w:p w14:paraId="1A7F8F3E"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YES</w:t>
            </w:r>
          </w:p>
        </w:tc>
        <w:tc>
          <w:tcPr>
            <w:tcW w:w="3145" w:type="dxa"/>
          </w:tcPr>
          <w:p w14:paraId="2AA6F965" w14:textId="77777777" w:rsidR="00DE44ED" w:rsidRPr="008B1397" w:rsidRDefault="00DE44ED" w:rsidP="005E201C">
            <w:pPr>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bl>
    <w:p w14:paraId="20A319A1" w14:textId="77777777" w:rsidR="00DE44ED" w:rsidRPr="008B1397" w:rsidRDefault="00DE44ED" w:rsidP="00DE44ED">
      <w:pPr>
        <w:spacing w:line="259" w:lineRule="auto"/>
        <w:rPr>
          <w:rFonts w:ascii="Times New Roman" w:eastAsia="Calibri" w:hAnsi="Times New Roman" w:cs="Times New Roman"/>
          <w:b/>
          <w:lang w:val="sr-Cyrl-RS"/>
          <w14:ligatures w14:val="none"/>
        </w:rPr>
      </w:pPr>
    </w:p>
    <w:p w14:paraId="2C1B0750" w14:textId="77777777" w:rsidR="00DE44ED" w:rsidRDefault="00DE44ED" w:rsidP="00DE44ED">
      <w:pPr>
        <w:spacing w:after="120" w:line="240" w:lineRule="auto"/>
        <w:ind w:firstLine="720"/>
        <w:contextualSpacing/>
        <w:jc w:val="both"/>
        <w:rPr>
          <w:rFonts w:ascii="Times New Roman" w:eastAsia="Times New Roman" w:hAnsi="Times New Roman" w:cs="Times New Roman"/>
          <w:lang w:val="en-US" w:eastAsia="en-GB"/>
          <w14:ligatures w14:val="none"/>
        </w:rPr>
      </w:pPr>
      <w:r w:rsidRPr="008B1397">
        <w:rPr>
          <w:rFonts w:ascii="Times New Roman" w:eastAsia="Times New Roman" w:hAnsi="Times New Roman" w:cs="Times New Roman"/>
          <w:lang w:val="sr-Cyrl-RS" w:eastAsia="en-GB"/>
          <w14:ligatures w14:val="none"/>
        </w:rPr>
        <w:t>The indicator of achieved results for this measure is a functional IT system for internal control. The value for the year 2025 has been defined and it is predicted that this system will exist. This indicator was not achieved.</w:t>
      </w:r>
    </w:p>
    <w:p w14:paraId="23F44907" w14:textId="77777777" w:rsidR="00DE44ED" w:rsidRDefault="00DE44ED" w:rsidP="00DE44ED">
      <w:pPr>
        <w:spacing w:after="120" w:line="240" w:lineRule="auto"/>
        <w:ind w:firstLine="720"/>
        <w:contextualSpacing/>
        <w:jc w:val="both"/>
        <w:rPr>
          <w:rFonts w:ascii="Times New Roman" w:eastAsia="Times New Roman" w:hAnsi="Times New Roman" w:cs="Times New Roman"/>
          <w:lang w:val="en-US" w:eastAsia="en-GB"/>
          <w14:ligatures w14:val="none"/>
        </w:rPr>
      </w:pPr>
    </w:p>
    <w:p w14:paraId="6DA25786" w14:textId="77777777" w:rsidR="00DE44ED" w:rsidRDefault="00DE44ED" w:rsidP="00DE44ED">
      <w:pPr>
        <w:spacing w:after="120" w:line="240" w:lineRule="auto"/>
        <w:ind w:firstLine="720"/>
        <w:contextualSpacing/>
        <w:jc w:val="both"/>
        <w:rPr>
          <w:rFonts w:ascii="Times New Roman" w:eastAsia="Times New Roman" w:hAnsi="Times New Roman" w:cs="Times New Roman"/>
          <w:lang w:val="en-US" w:eastAsia="en-GB"/>
          <w14:ligatures w14:val="none"/>
        </w:rPr>
      </w:pPr>
      <w:r w:rsidRPr="00854FD1">
        <w:rPr>
          <w:rFonts w:ascii="Times New Roman" w:hAnsi="Times New Roman" w:cs="Times New Roman"/>
          <w:lang w:val="sr-Cyrl-RS"/>
        </w:rPr>
        <w:t>The PIFC status reporting application is functioning and annual reports are submitted electronically. In the previous period, there was no improvement of the application in terms of new functionalities, but only work was done on maintenance and improvements at the technical level. It was recognised that further development of the application is needed in terms of the development of new modules that would cover the area of ​​FMC and IA.</w:t>
      </w:r>
    </w:p>
    <w:p w14:paraId="0804A28C" w14:textId="77777777" w:rsidR="00DE44ED" w:rsidRPr="007566FC" w:rsidRDefault="00DE44ED" w:rsidP="00DE44ED">
      <w:pPr>
        <w:spacing w:after="120" w:line="240" w:lineRule="auto"/>
        <w:ind w:firstLine="720"/>
        <w:contextualSpacing/>
        <w:jc w:val="both"/>
        <w:rPr>
          <w:rFonts w:ascii="Times New Roman" w:eastAsia="Times New Roman" w:hAnsi="Times New Roman" w:cs="Times New Roman"/>
          <w:lang w:val="en-US" w:eastAsia="en-GB"/>
          <w14:ligatures w14:val="none"/>
        </w:rPr>
      </w:pPr>
    </w:p>
    <w:p w14:paraId="34DC99DF" w14:textId="77777777" w:rsidR="00DE44ED" w:rsidRPr="00467C20" w:rsidRDefault="00DE44ED" w:rsidP="00DE44ED">
      <w:pPr>
        <w:spacing w:line="259" w:lineRule="auto"/>
        <w:rPr>
          <w:rFonts w:ascii="Times New Roman" w:eastAsia="Calibri" w:hAnsi="Times New Roman" w:cs="Times New Roman"/>
          <w:lang w:val="en-US"/>
          <w14:ligatures w14:val="none"/>
        </w:rPr>
      </w:pPr>
      <w:r w:rsidRPr="008B1397">
        <w:rPr>
          <w:rFonts w:ascii="Times New Roman" w:eastAsia="Calibri" w:hAnsi="Times New Roman" w:cs="Times New Roman"/>
          <w:b/>
          <w:lang w:val="sr-Cyrl-RS"/>
          <w14:ligatures w14:val="none"/>
        </w:rPr>
        <w:lastRenderedPageBreak/>
        <w:t>Financing of the measure: The activity is financed from the budget of the Republic of Serbia.</w:t>
      </w:r>
    </w:p>
    <w:p w14:paraId="0E07BEA8" w14:textId="77777777" w:rsidR="00DE44ED" w:rsidRPr="008B1397" w:rsidRDefault="00DE44ED" w:rsidP="00DE44ED">
      <w:pPr>
        <w:spacing w:line="259" w:lineRule="auto"/>
        <w:jc w:val="both"/>
        <w:rPr>
          <w:rFonts w:ascii="Times New Roman" w:eastAsia="Calibri" w:hAnsi="Times New Roman" w:cs="Times New Roman"/>
          <w:b/>
          <w:u w:val="single"/>
          <w:lang w:val="sr-Cyrl-RS"/>
          <w14:ligatures w14:val="none"/>
        </w:rPr>
      </w:pPr>
      <w:r w:rsidRPr="008B1397">
        <w:rPr>
          <w:rFonts w:ascii="Times New Roman" w:eastAsia="Calibri" w:hAnsi="Times New Roman" w:cs="Times New Roman"/>
          <w:b/>
          <w:u w:val="single"/>
          <w:lang w:val="sr-Cyrl-RS"/>
          <w14:ligatures w14:val="none"/>
        </w:rPr>
        <w:t>Measure 4.4: Modernisation of the PIFC training system</w:t>
      </w:r>
    </w:p>
    <w:tbl>
      <w:tblPr>
        <w:tblStyle w:val="TableGrid3"/>
        <w:tblpPr w:leftFromText="181" w:rightFromText="181" w:vertAnchor="text" w:horzAnchor="margin" w:tblpY="364"/>
        <w:tblOverlap w:val="never"/>
        <w:tblW w:w="0" w:type="auto"/>
        <w:tblLook w:val="04A0" w:firstRow="1" w:lastRow="0" w:firstColumn="1" w:lastColumn="0" w:noHBand="0" w:noVBand="1"/>
      </w:tblPr>
      <w:tblGrid>
        <w:gridCol w:w="2337"/>
        <w:gridCol w:w="2337"/>
        <w:gridCol w:w="2338"/>
        <w:gridCol w:w="2338"/>
      </w:tblGrid>
      <w:tr w:rsidR="00DE44ED" w:rsidRPr="008B1397" w14:paraId="61C7DCC9" w14:textId="77777777" w:rsidTr="005E201C">
        <w:tc>
          <w:tcPr>
            <w:tcW w:w="2337" w:type="dxa"/>
            <w:shd w:val="clear" w:color="auto" w:fill="9CC2E5" w:themeFill="accent1" w:themeFillTint="99"/>
          </w:tcPr>
          <w:p w14:paraId="5A29E0D0"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Indicator at the measure level</w:t>
            </w:r>
          </w:p>
        </w:tc>
        <w:tc>
          <w:tcPr>
            <w:tcW w:w="2337" w:type="dxa"/>
            <w:shd w:val="clear" w:color="auto" w:fill="9CC2E5" w:themeFill="accent1" w:themeFillTint="99"/>
          </w:tcPr>
          <w:p w14:paraId="13A264BB"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Year</w:t>
            </w:r>
          </w:p>
        </w:tc>
        <w:tc>
          <w:tcPr>
            <w:tcW w:w="2338" w:type="dxa"/>
            <w:shd w:val="clear" w:color="auto" w:fill="9CC2E5" w:themeFill="accent1" w:themeFillTint="99"/>
          </w:tcPr>
          <w:p w14:paraId="57FF1341"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Target value</w:t>
            </w:r>
          </w:p>
        </w:tc>
        <w:tc>
          <w:tcPr>
            <w:tcW w:w="2338" w:type="dxa"/>
            <w:shd w:val="clear" w:color="auto" w:fill="9CC2E5" w:themeFill="accent1" w:themeFillTint="99"/>
          </w:tcPr>
          <w:p w14:paraId="6F927CBA" w14:textId="77777777" w:rsidR="00DE44ED" w:rsidRPr="008B1397" w:rsidRDefault="00DE44ED" w:rsidP="005E201C">
            <w:pPr>
              <w:jc w:val="center"/>
              <w:rPr>
                <w:rFonts w:ascii="Times New Roman" w:eastAsia="Calibri" w:hAnsi="Times New Roman" w:cs="Times New Roman"/>
                <w:b/>
                <w:bCs/>
                <w:lang w:val="sr-Cyrl-RS"/>
              </w:rPr>
            </w:pPr>
            <w:r w:rsidRPr="008B1397">
              <w:rPr>
                <w:rFonts w:ascii="Times New Roman" w:eastAsia="Calibri" w:hAnsi="Times New Roman" w:cs="Times New Roman"/>
                <w:b/>
                <w:bCs/>
                <w:lang w:val="sr-Cyrl-RS"/>
              </w:rPr>
              <w:t>Achieved value</w:t>
            </w:r>
          </w:p>
        </w:tc>
      </w:tr>
    </w:tbl>
    <w:p w14:paraId="4B6DF68B" w14:textId="77777777" w:rsidR="00DE44ED" w:rsidRPr="008B1397" w:rsidRDefault="00DE44ED" w:rsidP="00DE44ED">
      <w:pPr>
        <w:spacing w:line="259" w:lineRule="auto"/>
        <w:jc w:val="both"/>
        <w:rPr>
          <w:rFonts w:ascii="Times New Roman" w:eastAsia="Calibri" w:hAnsi="Times New Roman" w:cs="Times New Roman"/>
          <w:lang w:val="sr-Cyrl-RS"/>
          <w14:ligatures w14:val="none"/>
        </w:rPr>
      </w:pPr>
    </w:p>
    <w:tbl>
      <w:tblPr>
        <w:tblStyle w:val="TableGrid3"/>
        <w:tblpPr w:leftFromText="181" w:rightFromText="181" w:vertAnchor="text" w:horzAnchor="margin" w:tblpY="364"/>
        <w:tblOverlap w:val="never"/>
        <w:tblW w:w="0" w:type="auto"/>
        <w:tblLook w:val="04A0" w:firstRow="1" w:lastRow="0" w:firstColumn="1" w:lastColumn="0" w:noHBand="0" w:noVBand="1"/>
      </w:tblPr>
      <w:tblGrid>
        <w:gridCol w:w="2337"/>
        <w:gridCol w:w="2337"/>
        <w:gridCol w:w="2338"/>
        <w:gridCol w:w="2338"/>
      </w:tblGrid>
      <w:tr w:rsidR="00DE44ED" w:rsidRPr="008B1397" w14:paraId="0DF8129A" w14:textId="77777777" w:rsidTr="005E201C">
        <w:trPr>
          <w:trHeight w:val="431"/>
        </w:trPr>
        <w:tc>
          <w:tcPr>
            <w:tcW w:w="2337" w:type="dxa"/>
            <w:vMerge w:val="restart"/>
          </w:tcPr>
          <w:p w14:paraId="5497FF12" w14:textId="77777777" w:rsidR="00DE44ED" w:rsidRPr="00383B23" w:rsidRDefault="00DE44ED" w:rsidP="005E201C">
            <w:pPr>
              <w:spacing w:line="259" w:lineRule="auto"/>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The percentage of authorized internal auditors who have collected the prescribed number of points within the framework of continuous professional development</w:t>
            </w:r>
          </w:p>
        </w:tc>
        <w:tc>
          <w:tcPr>
            <w:tcW w:w="2337" w:type="dxa"/>
          </w:tcPr>
          <w:p w14:paraId="662147CD"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25CC83C0"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31E73564"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68A0D6BB" w14:textId="77777777" w:rsidTr="005E201C">
        <w:trPr>
          <w:trHeight w:val="422"/>
        </w:trPr>
        <w:tc>
          <w:tcPr>
            <w:tcW w:w="2337" w:type="dxa"/>
            <w:vMerge/>
          </w:tcPr>
          <w:p w14:paraId="00EE4630" w14:textId="77777777" w:rsidR="00DE44ED" w:rsidRPr="00383B23" w:rsidRDefault="00DE44ED" w:rsidP="005E201C">
            <w:pPr>
              <w:spacing w:line="259" w:lineRule="auto"/>
              <w:jc w:val="both"/>
              <w:rPr>
                <w:rFonts w:ascii="Times New Roman" w:eastAsia="Calibri" w:hAnsi="Times New Roman" w:cs="Times New Roman"/>
                <w:b/>
                <w:bCs/>
                <w:lang w:val="sr-Cyrl-RS"/>
              </w:rPr>
            </w:pPr>
          </w:p>
        </w:tc>
        <w:tc>
          <w:tcPr>
            <w:tcW w:w="2337" w:type="dxa"/>
          </w:tcPr>
          <w:p w14:paraId="5007414E"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41612B13"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47BE3FC2"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4C153EE1" w14:textId="77777777" w:rsidTr="005E201C">
        <w:trPr>
          <w:trHeight w:val="413"/>
        </w:trPr>
        <w:tc>
          <w:tcPr>
            <w:tcW w:w="2337" w:type="dxa"/>
            <w:vMerge/>
          </w:tcPr>
          <w:p w14:paraId="7D5ABB4A" w14:textId="77777777" w:rsidR="00DE44ED" w:rsidRPr="00383B23" w:rsidRDefault="00DE44ED" w:rsidP="005E201C">
            <w:pPr>
              <w:spacing w:line="259" w:lineRule="auto"/>
              <w:jc w:val="both"/>
              <w:rPr>
                <w:rFonts w:ascii="Times New Roman" w:eastAsia="Calibri" w:hAnsi="Times New Roman" w:cs="Times New Roman"/>
                <w:b/>
                <w:bCs/>
                <w:lang w:val="sr-Cyrl-RS"/>
              </w:rPr>
            </w:pPr>
          </w:p>
        </w:tc>
        <w:tc>
          <w:tcPr>
            <w:tcW w:w="2337" w:type="dxa"/>
          </w:tcPr>
          <w:p w14:paraId="1CD013A6"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758E9441"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79DA705B"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2AC2FEDA" w14:textId="77777777" w:rsidTr="005E201C">
        <w:trPr>
          <w:trHeight w:val="413"/>
        </w:trPr>
        <w:tc>
          <w:tcPr>
            <w:tcW w:w="2337" w:type="dxa"/>
            <w:vMerge/>
          </w:tcPr>
          <w:p w14:paraId="661A2643" w14:textId="77777777" w:rsidR="00DE44ED" w:rsidRPr="00383B23" w:rsidRDefault="00DE44ED" w:rsidP="005E201C">
            <w:pPr>
              <w:spacing w:line="259" w:lineRule="auto"/>
              <w:jc w:val="both"/>
              <w:rPr>
                <w:rFonts w:ascii="Times New Roman" w:eastAsia="Calibri" w:hAnsi="Times New Roman" w:cs="Times New Roman"/>
                <w:b/>
                <w:bCs/>
                <w:lang w:val="sr-Cyrl-RS"/>
              </w:rPr>
            </w:pPr>
          </w:p>
        </w:tc>
        <w:tc>
          <w:tcPr>
            <w:tcW w:w="2337" w:type="dxa"/>
          </w:tcPr>
          <w:p w14:paraId="143AC118"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2D0E66A6"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1C84B93C"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21804520" w14:textId="77777777" w:rsidTr="005E201C">
        <w:trPr>
          <w:trHeight w:val="422"/>
        </w:trPr>
        <w:tc>
          <w:tcPr>
            <w:tcW w:w="2337" w:type="dxa"/>
            <w:vMerge/>
          </w:tcPr>
          <w:p w14:paraId="15B7B2B0" w14:textId="77777777" w:rsidR="00DE44ED" w:rsidRPr="00383B23" w:rsidRDefault="00DE44ED" w:rsidP="005E201C">
            <w:pPr>
              <w:spacing w:line="259" w:lineRule="auto"/>
              <w:jc w:val="both"/>
              <w:rPr>
                <w:rFonts w:ascii="Times New Roman" w:eastAsia="Calibri" w:hAnsi="Times New Roman" w:cs="Times New Roman"/>
                <w:b/>
                <w:bCs/>
                <w:lang w:val="sr-Cyrl-RS"/>
              </w:rPr>
            </w:pPr>
          </w:p>
        </w:tc>
        <w:tc>
          <w:tcPr>
            <w:tcW w:w="2337" w:type="dxa"/>
          </w:tcPr>
          <w:p w14:paraId="434EB3F9"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3D5B2D7A"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85%</w:t>
            </w:r>
          </w:p>
        </w:tc>
        <w:tc>
          <w:tcPr>
            <w:tcW w:w="2338" w:type="dxa"/>
          </w:tcPr>
          <w:p w14:paraId="6DEC68E0"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56,70%</w:t>
            </w:r>
          </w:p>
        </w:tc>
      </w:tr>
      <w:tr w:rsidR="00DE44ED" w:rsidRPr="008B1397" w14:paraId="71C3E84C" w14:textId="77777777" w:rsidTr="005E201C">
        <w:trPr>
          <w:trHeight w:val="431"/>
        </w:trPr>
        <w:tc>
          <w:tcPr>
            <w:tcW w:w="2337" w:type="dxa"/>
            <w:vMerge w:val="restart"/>
          </w:tcPr>
          <w:p w14:paraId="50E897E4" w14:textId="77777777" w:rsidR="00DE44ED" w:rsidRPr="00383B23" w:rsidRDefault="00DE44ED" w:rsidP="005E201C">
            <w:pPr>
              <w:spacing w:line="259" w:lineRule="auto"/>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Percentage of certified internal auditors in priority public sector entities</w:t>
            </w:r>
          </w:p>
        </w:tc>
        <w:tc>
          <w:tcPr>
            <w:tcW w:w="2337" w:type="dxa"/>
          </w:tcPr>
          <w:p w14:paraId="0617F9AC"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60D1E7EA"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6FBAF131"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6F125A62" w14:textId="77777777" w:rsidTr="005E201C">
        <w:trPr>
          <w:trHeight w:val="422"/>
        </w:trPr>
        <w:tc>
          <w:tcPr>
            <w:tcW w:w="2337" w:type="dxa"/>
            <w:vMerge/>
          </w:tcPr>
          <w:p w14:paraId="03B3A36C"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1D912ACC"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65238F4D"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203D69D9"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245239D0" w14:textId="77777777" w:rsidTr="005E201C">
        <w:trPr>
          <w:trHeight w:val="413"/>
        </w:trPr>
        <w:tc>
          <w:tcPr>
            <w:tcW w:w="2337" w:type="dxa"/>
            <w:vMerge/>
          </w:tcPr>
          <w:p w14:paraId="2E22566B"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765A013D"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75EE6E1A"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5702DFD8"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1977733A" w14:textId="77777777" w:rsidTr="005E201C">
        <w:trPr>
          <w:trHeight w:val="413"/>
        </w:trPr>
        <w:tc>
          <w:tcPr>
            <w:tcW w:w="2337" w:type="dxa"/>
            <w:vMerge/>
          </w:tcPr>
          <w:p w14:paraId="018099F6"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3D9F2B17"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1E44D817"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5222BB47"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7FF57EBF" w14:textId="77777777" w:rsidTr="005E201C">
        <w:trPr>
          <w:trHeight w:val="422"/>
        </w:trPr>
        <w:tc>
          <w:tcPr>
            <w:tcW w:w="2337" w:type="dxa"/>
            <w:vMerge/>
          </w:tcPr>
          <w:p w14:paraId="168C4925"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1EDED873"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66227C9B"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85%</w:t>
            </w:r>
          </w:p>
        </w:tc>
        <w:tc>
          <w:tcPr>
            <w:tcW w:w="2338" w:type="dxa"/>
          </w:tcPr>
          <w:p w14:paraId="5413356D"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82,08%</w:t>
            </w:r>
          </w:p>
        </w:tc>
      </w:tr>
    </w:tbl>
    <w:tbl>
      <w:tblPr>
        <w:tblStyle w:val="TableGrid3"/>
        <w:tblpPr w:leftFromText="181" w:rightFromText="181" w:vertAnchor="text" w:horzAnchor="margin" w:tblpY="2"/>
        <w:tblOverlap w:val="never"/>
        <w:tblW w:w="0" w:type="auto"/>
        <w:tblLook w:val="04A0" w:firstRow="1" w:lastRow="0" w:firstColumn="1" w:lastColumn="0" w:noHBand="0" w:noVBand="1"/>
      </w:tblPr>
      <w:tblGrid>
        <w:gridCol w:w="2337"/>
        <w:gridCol w:w="2337"/>
        <w:gridCol w:w="2338"/>
        <w:gridCol w:w="2338"/>
      </w:tblGrid>
      <w:tr w:rsidR="00DE44ED" w:rsidRPr="008B1397" w14:paraId="75DF8819" w14:textId="77777777" w:rsidTr="005E201C">
        <w:trPr>
          <w:trHeight w:val="431"/>
        </w:trPr>
        <w:tc>
          <w:tcPr>
            <w:tcW w:w="2337" w:type="dxa"/>
            <w:vMerge w:val="restart"/>
          </w:tcPr>
          <w:p w14:paraId="080C51A9" w14:textId="77777777" w:rsidR="00DE44ED" w:rsidRPr="00383B23" w:rsidRDefault="00DE44ED" w:rsidP="005E201C">
            <w:pPr>
              <w:spacing w:line="259" w:lineRule="auto"/>
              <w:jc w:val="both"/>
              <w:rPr>
                <w:rFonts w:ascii="Times New Roman" w:eastAsia="Calibri" w:hAnsi="Times New Roman" w:cs="Times New Roman"/>
                <w:b/>
                <w:bCs/>
                <w:lang w:val="sr-Cyrl-RS"/>
              </w:rPr>
            </w:pPr>
            <w:r w:rsidRPr="00383B23">
              <w:rPr>
                <w:rFonts w:ascii="Times New Roman" w:eastAsia="Calibri" w:hAnsi="Times New Roman" w:cs="Times New Roman"/>
                <w:b/>
                <w:bCs/>
                <w:lang w:val="sr-Cyrl-RS"/>
              </w:rPr>
              <w:t>Number of e-learning trainings</w:t>
            </w:r>
          </w:p>
        </w:tc>
        <w:tc>
          <w:tcPr>
            <w:tcW w:w="2337" w:type="dxa"/>
          </w:tcPr>
          <w:p w14:paraId="5BA58600"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2021</w:t>
            </w:r>
          </w:p>
        </w:tc>
        <w:tc>
          <w:tcPr>
            <w:tcW w:w="2338" w:type="dxa"/>
          </w:tcPr>
          <w:p w14:paraId="7812A462"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7E394380"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4E8E30F7" w14:textId="77777777" w:rsidTr="005E201C">
        <w:trPr>
          <w:trHeight w:val="422"/>
        </w:trPr>
        <w:tc>
          <w:tcPr>
            <w:tcW w:w="2337" w:type="dxa"/>
            <w:vMerge/>
          </w:tcPr>
          <w:p w14:paraId="1B751800"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762687A5"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2022</w:t>
            </w:r>
          </w:p>
        </w:tc>
        <w:tc>
          <w:tcPr>
            <w:tcW w:w="2338" w:type="dxa"/>
          </w:tcPr>
          <w:p w14:paraId="3F2EC85E"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c>
          <w:tcPr>
            <w:tcW w:w="2338" w:type="dxa"/>
          </w:tcPr>
          <w:p w14:paraId="00C988B5"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w:t>
            </w:r>
          </w:p>
        </w:tc>
      </w:tr>
      <w:tr w:rsidR="00DE44ED" w:rsidRPr="008B1397" w14:paraId="01843F79" w14:textId="77777777" w:rsidTr="005E201C">
        <w:trPr>
          <w:trHeight w:val="413"/>
        </w:trPr>
        <w:tc>
          <w:tcPr>
            <w:tcW w:w="2337" w:type="dxa"/>
            <w:vMerge/>
          </w:tcPr>
          <w:p w14:paraId="3FF949D3"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5991FDA4"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2023</w:t>
            </w:r>
          </w:p>
        </w:tc>
        <w:tc>
          <w:tcPr>
            <w:tcW w:w="2338" w:type="dxa"/>
          </w:tcPr>
          <w:p w14:paraId="50BC5C30"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4</w:t>
            </w:r>
          </w:p>
        </w:tc>
        <w:tc>
          <w:tcPr>
            <w:tcW w:w="2338" w:type="dxa"/>
          </w:tcPr>
          <w:p w14:paraId="65296E95"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4</w:t>
            </w:r>
          </w:p>
        </w:tc>
      </w:tr>
      <w:tr w:rsidR="00DE44ED" w:rsidRPr="008B1397" w14:paraId="6C5A9588" w14:textId="77777777" w:rsidTr="005E201C">
        <w:trPr>
          <w:trHeight w:val="413"/>
        </w:trPr>
        <w:tc>
          <w:tcPr>
            <w:tcW w:w="2337" w:type="dxa"/>
            <w:vMerge/>
          </w:tcPr>
          <w:p w14:paraId="4983A34E"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5A1CB077"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2024</w:t>
            </w:r>
          </w:p>
        </w:tc>
        <w:tc>
          <w:tcPr>
            <w:tcW w:w="2338" w:type="dxa"/>
          </w:tcPr>
          <w:p w14:paraId="19AAB553"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5</w:t>
            </w:r>
          </w:p>
        </w:tc>
        <w:tc>
          <w:tcPr>
            <w:tcW w:w="2338" w:type="dxa"/>
          </w:tcPr>
          <w:p w14:paraId="44FB00CD"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5</w:t>
            </w:r>
          </w:p>
        </w:tc>
      </w:tr>
      <w:tr w:rsidR="00DE44ED" w:rsidRPr="008B1397" w14:paraId="1F81B640" w14:textId="77777777" w:rsidTr="005E201C">
        <w:trPr>
          <w:trHeight w:val="422"/>
        </w:trPr>
        <w:tc>
          <w:tcPr>
            <w:tcW w:w="2337" w:type="dxa"/>
            <w:vMerge/>
          </w:tcPr>
          <w:p w14:paraId="6A27732C" w14:textId="77777777" w:rsidR="00DE44ED" w:rsidRPr="008B1397" w:rsidRDefault="00DE44ED" w:rsidP="005E201C">
            <w:pPr>
              <w:spacing w:line="259" w:lineRule="auto"/>
              <w:jc w:val="both"/>
              <w:rPr>
                <w:rFonts w:ascii="Times New Roman" w:eastAsia="Calibri" w:hAnsi="Times New Roman" w:cs="Times New Roman"/>
                <w:lang w:val="sr-Cyrl-RS"/>
              </w:rPr>
            </w:pPr>
          </w:p>
        </w:tc>
        <w:tc>
          <w:tcPr>
            <w:tcW w:w="2337" w:type="dxa"/>
          </w:tcPr>
          <w:p w14:paraId="067A4710"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2025</w:t>
            </w:r>
          </w:p>
        </w:tc>
        <w:tc>
          <w:tcPr>
            <w:tcW w:w="2338" w:type="dxa"/>
          </w:tcPr>
          <w:p w14:paraId="1C04EFC1"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6</w:t>
            </w:r>
          </w:p>
        </w:tc>
        <w:tc>
          <w:tcPr>
            <w:tcW w:w="2338" w:type="dxa"/>
          </w:tcPr>
          <w:p w14:paraId="046E88C6" w14:textId="77777777" w:rsidR="00DE44ED" w:rsidRPr="008B1397" w:rsidRDefault="00DE44ED" w:rsidP="005E201C">
            <w:pPr>
              <w:spacing w:line="259" w:lineRule="auto"/>
              <w:jc w:val="center"/>
              <w:rPr>
                <w:rFonts w:ascii="Times New Roman" w:eastAsia="Calibri" w:hAnsi="Times New Roman" w:cs="Times New Roman"/>
                <w:lang w:val="sr-Cyrl-RS"/>
              </w:rPr>
            </w:pPr>
            <w:r w:rsidRPr="008B1397">
              <w:rPr>
                <w:rFonts w:ascii="Times New Roman" w:eastAsia="Calibri" w:hAnsi="Times New Roman" w:cs="Times New Roman"/>
                <w:lang w:val="sr-Cyrl-RS"/>
              </w:rPr>
              <w:t>6</w:t>
            </w:r>
          </w:p>
        </w:tc>
      </w:tr>
    </w:tbl>
    <w:p w14:paraId="4E397011" w14:textId="77777777" w:rsidR="00DE44ED" w:rsidRPr="0060040E" w:rsidRDefault="00DE44ED" w:rsidP="00DE44ED">
      <w:pPr>
        <w:spacing w:line="259" w:lineRule="auto"/>
        <w:jc w:val="both"/>
        <w:rPr>
          <w:rFonts w:ascii="Times New Roman" w:eastAsia="Calibri" w:hAnsi="Times New Roman" w:cs="Times New Roman"/>
          <w:lang w:val="sr-Cyrl-RS"/>
          <w14:ligatures w14:val="none"/>
        </w:rPr>
      </w:pPr>
    </w:p>
    <w:p w14:paraId="0C8D2C92" w14:textId="77777777" w:rsidR="00DE44ED" w:rsidRDefault="00DE44ED" w:rsidP="00DE44ED">
      <w:pPr>
        <w:spacing w:line="259"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In the programme period 2021-2022. there was an indicator (Number of training participants in the field of internal controls organized by NAJU), which was changed by the revision of the Programme in 2023. By revising the programme, the indicator related to the number of training participants organized by NAJU was changed to the number of e-learning trainings. The indicators related to the percentage of authorized internal auditors who have collected the prescribed number of points within continuous professional development and the percentage of certified internal auditors in priority public sector entities did not reach the target value.</w:t>
      </w:r>
    </w:p>
    <w:p w14:paraId="1EF3A233" w14:textId="77777777" w:rsidR="00DE44ED" w:rsidRPr="007566FC" w:rsidRDefault="00DE44ED" w:rsidP="00DE44ED">
      <w:pPr>
        <w:ind w:firstLine="720"/>
        <w:jc w:val="both"/>
        <w:rPr>
          <w:rFonts w:ascii="Times New Roman" w:hAnsi="Times New Roman" w:cs="Times New Roman"/>
          <w:lang w:val="en-US"/>
        </w:rPr>
      </w:pPr>
      <w:r w:rsidRPr="00854FD1">
        <w:rPr>
          <w:rFonts w:ascii="Times New Roman" w:hAnsi="Times New Roman" w:cs="Times New Roman"/>
          <w:lang w:val="sr-Cyrl-RS"/>
        </w:rPr>
        <w:t xml:space="preserve">Basic training for FMC was modernized and improved during 2023. The evaluations of the participants showed that the new way of working and the modernisation of the training had a positive effect on the evaluation of the participants, and the implementation of this training </w:t>
      </w:r>
      <w:r w:rsidRPr="00854FD1">
        <w:rPr>
          <w:rFonts w:ascii="Times New Roman" w:hAnsi="Times New Roman" w:cs="Times New Roman"/>
          <w:lang w:val="sr-Cyrl-RS"/>
        </w:rPr>
        <w:lastRenderedPageBreak/>
        <w:t>continued in 2024 with continuous improvements. Video trainings for FMC and IA, intended for managers, coordinators for FMC and internal auditors, have been uploaded to the NAJU platform. In addition to this, a video training session related to IT audit has also been posted. This allowed a large number of participants to become familiar with these topics and apply what they learned in their organisations. Continuously organized trainings for FMC and IA conducted by the Central Unit for Harmonisation (hereinafter: CJH), which have achieved the strengthening of employees' awareness of the importance of the system of internal controls and the function of IA in organisations. A certain number of trainings were organized with the support of projects with the aim of continuous professional development of IA.</w:t>
      </w:r>
    </w:p>
    <w:p w14:paraId="03A24B1C" w14:textId="77777777" w:rsidR="00DE44ED" w:rsidRPr="008B1397" w:rsidRDefault="00DE44ED" w:rsidP="00DE44ED">
      <w:pPr>
        <w:spacing w:line="259"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b/>
          <w:lang w:val="sr-Cyrl-RS"/>
          <w14:ligatures w14:val="none"/>
        </w:rPr>
        <w:t>Funding of the measure: The main donor support is provided by the project "Support to the management of public finances" implemented by UNDP. The implementation of activity 4.4.4 is continuously implemented with the donor support of the German Development Cooperation implemented by GIZ.</w:t>
      </w:r>
    </w:p>
    <w:p w14:paraId="042816B7" w14:textId="77777777" w:rsidR="00F17B67" w:rsidRDefault="00F17B67" w:rsidP="0067689A">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p w14:paraId="10FC1E09" w14:textId="77777777" w:rsidR="00914C26" w:rsidRDefault="00914C26"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3318F18C"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5EF75D20"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52BC8996"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25F72E17"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16AFDFBB"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7426C553"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0E6CEA6E"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036A3962" w14:textId="77777777" w:rsid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1D2819A7" w14:textId="77777777" w:rsidR="00264F2E" w:rsidRPr="00264F2E" w:rsidRDefault="00264F2E" w:rsidP="0067689A">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266CE639" w14:textId="77777777" w:rsidR="0067689A" w:rsidRPr="008548AE" w:rsidRDefault="000B6CC3" w:rsidP="008548AE">
      <w:pPr>
        <w:pStyle w:val="Heading1"/>
        <w:jc w:val="center"/>
        <w:rPr>
          <w:rFonts w:ascii="Times New Roman" w:eastAsia="Calibri" w:hAnsi="Times New Roman" w:cs="Times New Roman"/>
          <w:sz w:val="32"/>
          <w:szCs w:val="32"/>
          <w:lang w:val="sr-Cyrl-RS"/>
        </w:rPr>
      </w:pPr>
      <w:bookmarkStart w:id="11" w:name="_Toc233629228"/>
      <w:r w:rsidRPr="008548AE">
        <w:rPr>
          <w:rFonts w:ascii="Times New Roman" w:eastAsia="Calibri" w:hAnsi="Times New Roman" w:cs="Times New Roman"/>
          <w:sz w:val="32"/>
          <w:szCs w:val="32"/>
          <w:lang w:val="sr-Cyrl-RS"/>
        </w:rPr>
        <w:t>SPECIAL OBJECTIVE V - IMPROVED PUBLIC SECTOR ACCOUNTING BY APPLICATION OF INTERNATIONAL PUBLIC SECTOR ACCOUNTING STANDARDS (IPSAS)</w:t>
      </w:r>
      <w:bookmarkEnd w:id="11"/>
    </w:p>
    <w:p w14:paraId="3AC8E848" w14:textId="77777777" w:rsidR="00914C26" w:rsidRDefault="00914C26" w:rsidP="0067689A">
      <w:pPr>
        <w:spacing w:line="256" w:lineRule="auto"/>
        <w:jc w:val="both"/>
        <w:rPr>
          <w:rFonts w:ascii="Times New Roman" w:eastAsia="Calibri" w:hAnsi="Times New Roman" w:cs="Times New Roman"/>
          <w:lang w:val="sr-Cyrl-RS"/>
          <w14:ligatures w14:val="none"/>
        </w:rPr>
      </w:pPr>
    </w:p>
    <w:tbl>
      <w:tblPr>
        <w:tblStyle w:val="TableGrid"/>
        <w:tblW w:w="0" w:type="auto"/>
        <w:tblInd w:w="0" w:type="dxa"/>
        <w:tblLook w:val="04A0" w:firstRow="1" w:lastRow="0" w:firstColumn="1" w:lastColumn="0" w:noHBand="0" w:noVBand="1"/>
      </w:tblPr>
      <w:tblGrid>
        <w:gridCol w:w="2337"/>
        <w:gridCol w:w="2337"/>
        <w:gridCol w:w="2338"/>
        <w:gridCol w:w="2338"/>
      </w:tblGrid>
      <w:tr w:rsidR="00564316" w:rsidRPr="008B1397" w14:paraId="03F18270" w14:textId="77777777" w:rsidTr="00DE30AD">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883E840" w14:textId="77777777" w:rsidR="00564316" w:rsidRPr="008B1397" w:rsidRDefault="00564316" w:rsidP="00DE30AD">
            <w:pPr>
              <w:spacing w:after="160" w:line="256" w:lineRule="auto"/>
              <w:rPr>
                <w:rFonts w:ascii="Times New Roman" w:hAnsi="Times New Roman"/>
                <w:b/>
                <w:bCs/>
                <w:lang w:val="sr-Cyrl-RS"/>
              </w:rPr>
            </w:pPr>
            <w:r w:rsidRPr="008B1397">
              <w:rPr>
                <w:rFonts w:ascii="Times New Roman" w:hAnsi="Times New Roman"/>
                <w:b/>
                <w:bCs/>
                <w:lang w:val="sr-Cyrl-RS"/>
              </w:rPr>
              <w:t>Indicator at the level of a specific objective</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771ADC7" w14:textId="77777777" w:rsidR="00564316" w:rsidRPr="008B1397" w:rsidRDefault="00564316" w:rsidP="00DE30AD">
            <w:pPr>
              <w:spacing w:after="160" w:line="256" w:lineRule="auto"/>
              <w:rPr>
                <w:rFonts w:ascii="Times New Roman" w:hAnsi="Times New Roman"/>
                <w:b/>
                <w:bCs/>
                <w:lang w:val="sr-Cyrl-RS"/>
              </w:rPr>
            </w:pPr>
            <w:r w:rsidRPr="008B1397">
              <w:rPr>
                <w:rFonts w:ascii="Times New Roman" w:hAnsi="Times New Roman"/>
                <w:b/>
                <w:bCs/>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F246C8F" w14:textId="77777777" w:rsidR="00564316" w:rsidRPr="008B1397" w:rsidRDefault="00564316" w:rsidP="00DE30AD">
            <w:pPr>
              <w:spacing w:after="160" w:line="256" w:lineRule="auto"/>
              <w:rPr>
                <w:rFonts w:ascii="Times New Roman" w:hAnsi="Times New Roman"/>
                <w:b/>
                <w:bCs/>
                <w:lang w:val="sr-Cyrl-RS"/>
              </w:rPr>
            </w:pPr>
            <w:r w:rsidRPr="008B1397">
              <w:rPr>
                <w:rFonts w:ascii="Times New Roman" w:hAnsi="Times New Roman"/>
                <w:b/>
                <w:bCs/>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3656572" w14:textId="77777777" w:rsidR="00564316" w:rsidRPr="008B1397" w:rsidRDefault="00564316" w:rsidP="00DE30AD">
            <w:pPr>
              <w:spacing w:after="160" w:line="256" w:lineRule="auto"/>
              <w:rPr>
                <w:rFonts w:ascii="Times New Roman" w:hAnsi="Times New Roman"/>
                <w:b/>
                <w:bCs/>
                <w:lang w:val="sr-Cyrl-RS"/>
              </w:rPr>
            </w:pPr>
            <w:r w:rsidRPr="008B1397">
              <w:rPr>
                <w:rFonts w:ascii="Times New Roman" w:hAnsi="Times New Roman"/>
                <w:b/>
                <w:bCs/>
                <w:lang w:val="sr-Cyrl-RS"/>
              </w:rPr>
              <w:t>Achieved value</w:t>
            </w:r>
          </w:p>
        </w:tc>
      </w:tr>
      <w:tr w:rsidR="00564316" w:rsidRPr="008B1397" w14:paraId="1422C120" w14:textId="77777777" w:rsidTr="00DE30AD">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6325A2C1" w14:textId="77777777" w:rsidR="00564316" w:rsidRDefault="00564316" w:rsidP="00DE30AD">
            <w:pPr>
              <w:spacing w:after="160" w:line="256" w:lineRule="auto"/>
              <w:rPr>
                <w:rFonts w:ascii="Times New Roman" w:hAnsi="Times New Roman"/>
                <w:b/>
                <w:bCs/>
                <w:lang w:val="sr-Cyrl-RS"/>
              </w:rPr>
            </w:pPr>
          </w:p>
          <w:p w14:paraId="35E1BC6D" w14:textId="77777777" w:rsidR="00564316" w:rsidRPr="0060040E" w:rsidRDefault="00564316" w:rsidP="00DE30AD">
            <w:pPr>
              <w:spacing w:after="160" w:line="256" w:lineRule="auto"/>
              <w:rPr>
                <w:rFonts w:ascii="Times New Roman" w:hAnsi="Times New Roman"/>
                <w:b/>
                <w:bCs/>
                <w:lang w:val="sr-Cyrl-RS"/>
              </w:rPr>
            </w:pPr>
            <w:r w:rsidRPr="00F067F3">
              <w:rPr>
                <w:rFonts w:ascii="Times New Roman" w:hAnsi="Times New Roman"/>
                <w:b/>
                <w:bCs/>
                <w:lang w:val="sr-Cyrl-RS"/>
              </w:rPr>
              <w:t xml:space="preserve">Financial report prepared and presented to the Ministry of Finance of the Republic of Serbia in accordance with </w:t>
            </w:r>
            <w:r w:rsidRPr="00F067F3">
              <w:rPr>
                <w:rFonts w:ascii="Times New Roman" w:hAnsi="Times New Roman"/>
                <w:b/>
                <w:bCs/>
                <w:lang w:val="sr-Cyrl-RS"/>
              </w:rPr>
              <w:lastRenderedPageBreak/>
              <w:t>IPSAS requirements for cash basis</w:t>
            </w:r>
          </w:p>
        </w:tc>
        <w:tc>
          <w:tcPr>
            <w:tcW w:w="2337" w:type="dxa"/>
            <w:tcBorders>
              <w:top w:val="single" w:sz="4" w:space="0" w:color="auto"/>
              <w:left w:val="single" w:sz="4" w:space="0" w:color="auto"/>
              <w:bottom w:val="single" w:sz="4" w:space="0" w:color="auto"/>
              <w:right w:val="single" w:sz="4" w:space="0" w:color="auto"/>
            </w:tcBorders>
            <w:hideMark/>
          </w:tcPr>
          <w:p w14:paraId="3006742C"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lastRenderedPageBreak/>
              <w:t>2021</w:t>
            </w:r>
          </w:p>
        </w:tc>
        <w:tc>
          <w:tcPr>
            <w:tcW w:w="2338" w:type="dxa"/>
            <w:tcBorders>
              <w:top w:val="single" w:sz="4" w:space="0" w:color="auto"/>
              <w:left w:val="single" w:sz="4" w:space="0" w:color="auto"/>
              <w:bottom w:val="single" w:sz="4" w:space="0" w:color="auto"/>
              <w:right w:val="single" w:sz="4" w:space="0" w:color="auto"/>
            </w:tcBorders>
            <w:hideMark/>
          </w:tcPr>
          <w:p w14:paraId="02A375E8" w14:textId="77777777" w:rsidR="00564316" w:rsidRPr="008B1397" w:rsidRDefault="00564316" w:rsidP="00DE30AD">
            <w:pPr>
              <w:spacing w:after="160" w:line="256" w:lineRule="auto"/>
              <w:rPr>
                <w:rFonts w:ascii="Times New Roman" w:hAnsi="Times New Roman"/>
                <w:lang w:val="sr-Cyrl-RS"/>
              </w:rPr>
            </w:pPr>
            <w:r>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53EF086B" w14:textId="77777777" w:rsidR="00564316" w:rsidRPr="008B1397" w:rsidRDefault="00564316" w:rsidP="00DE30AD">
            <w:pPr>
              <w:spacing w:after="160" w:line="256" w:lineRule="auto"/>
              <w:rPr>
                <w:rFonts w:ascii="Times New Roman" w:hAnsi="Times New Roman"/>
                <w:lang w:val="sr-Cyrl-RS"/>
              </w:rPr>
            </w:pPr>
            <w:r>
              <w:rPr>
                <w:rFonts w:ascii="Times New Roman" w:hAnsi="Times New Roman"/>
                <w:lang w:val="sr-Cyrl-RS"/>
              </w:rPr>
              <w:t>-</w:t>
            </w:r>
          </w:p>
        </w:tc>
      </w:tr>
      <w:tr w:rsidR="00564316" w:rsidRPr="008B1397" w14:paraId="4BE42541" w14:textId="77777777" w:rsidTr="00DE30AD">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57A159" w14:textId="77777777" w:rsidR="00564316" w:rsidRPr="008B1397" w:rsidRDefault="00564316" w:rsidP="00DE30AD">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0D59A12"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1D8443A3"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7623864D"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w:t>
            </w:r>
          </w:p>
        </w:tc>
      </w:tr>
      <w:tr w:rsidR="00564316" w:rsidRPr="008B1397" w14:paraId="759227B6" w14:textId="77777777" w:rsidTr="00DE30AD">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618CA" w14:textId="77777777" w:rsidR="00564316" w:rsidRPr="008B1397" w:rsidRDefault="00564316" w:rsidP="00DE30AD">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6FA1BF9E"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2B41001E"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77AE5224"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w:t>
            </w:r>
          </w:p>
        </w:tc>
      </w:tr>
      <w:tr w:rsidR="00564316" w:rsidRPr="008B1397" w14:paraId="7F02AC58" w14:textId="77777777" w:rsidTr="00DE30AD">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0A5C0B" w14:textId="77777777" w:rsidR="00564316" w:rsidRPr="008B1397" w:rsidRDefault="00564316" w:rsidP="00DE30AD">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3F79CD44"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3EC4772F" w14:textId="77777777" w:rsidR="00564316" w:rsidRPr="008B1397" w:rsidRDefault="00564316" w:rsidP="00DE30AD">
            <w:pPr>
              <w:spacing w:after="160" w:line="256" w:lineRule="auto"/>
              <w:rPr>
                <w:rFonts w:ascii="Times New Roman" w:hAnsi="Times New Roman"/>
                <w:lang w:val="sr-Cyrl-RS"/>
              </w:rPr>
            </w:pPr>
            <w:r>
              <w:rPr>
                <w:rFonts w:ascii="Times New Roman" w:hAnsi="Times New Roman"/>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121D0983" w14:textId="77777777" w:rsidR="00564316" w:rsidRPr="008B1397" w:rsidRDefault="00564316" w:rsidP="00DE30AD">
            <w:pPr>
              <w:spacing w:after="160" w:line="256" w:lineRule="auto"/>
              <w:rPr>
                <w:rFonts w:ascii="Times New Roman" w:hAnsi="Times New Roman"/>
                <w:lang w:val="sr-Cyrl-RS"/>
              </w:rPr>
            </w:pPr>
            <w:r>
              <w:rPr>
                <w:rFonts w:ascii="Times New Roman" w:hAnsi="Times New Roman"/>
                <w:lang w:val="sr-Cyrl-RS"/>
              </w:rPr>
              <w:t>0</w:t>
            </w:r>
          </w:p>
        </w:tc>
      </w:tr>
      <w:tr w:rsidR="00564316" w:rsidRPr="008B1397" w14:paraId="6C877851" w14:textId="77777777" w:rsidTr="00DE30AD">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AB04B" w14:textId="77777777" w:rsidR="00564316" w:rsidRPr="008B1397" w:rsidRDefault="00564316" w:rsidP="00DE30AD">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D69FEB1" w14:textId="77777777" w:rsidR="00564316" w:rsidRPr="008B1397" w:rsidRDefault="00564316" w:rsidP="00DE30AD">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465CB726" w14:textId="77777777" w:rsidR="00564316" w:rsidRPr="008B1397" w:rsidRDefault="00564316" w:rsidP="00DE30AD">
            <w:pPr>
              <w:spacing w:after="160" w:line="256" w:lineRule="auto"/>
              <w:rPr>
                <w:rFonts w:ascii="Times New Roman" w:hAnsi="Times New Roman"/>
                <w:lang w:val="sr-Cyrl-RS"/>
              </w:rPr>
            </w:pPr>
            <w:r>
              <w:rPr>
                <w:rFonts w:ascii="Times New Roman" w:hAnsi="Times New Roman"/>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6DEB0764" w14:textId="77777777" w:rsidR="00564316" w:rsidRPr="008B1397" w:rsidRDefault="00564316" w:rsidP="00DE30AD">
            <w:pPr>
              <w:spacing w:after="160" w:line="256" w:lineRule="auto"/>
              <w:rPr>
                <w:rFonts w:ascii="Times New Roman" w:hAnsi="Times New Roman"/>
                <w:lang w:val="sr-Cyrl-RS"/>
              </w:rPr>
            </w:pPr>
            <w:r>
              <w:rPr>
                <w:rFonts w:ascii="Times New Roman" w:hAnsi="Times New Roman"/>
                <w:lang w:val="sr-Cyrl-RS"/>
              </w:rPr>
              <w:t>0</w:t>
            </w:r>
          </w:p>
        </w:tc>
      </w:tr>
    </w:tbl>
    <w:p w14:paraId="241FB855" w14:textId="77777777" w:rsidR="00564316" w:rsidRPr="00FF526A" w:rsidRDefault="00564316" w:rsidP="0067689A">
      <w:pPr>
        <w:spacing w:line="256" w:lineRule="auto"/>
        <w:jc w:val="both"/>
        <w:rPr>
          <w:rFonts w:ascii="Times New Roman" w:eastAsia="Calibri" w:hAnsi="Times New Roman" w:cs="Times New Roman"/>
          <w:lang w:val="sr-Cyrl-RS"/>
          <w14:ligatures w14:val="none"/>
        </w:rPr>
      </w:pPr>
    </w:p>
    <w:p w14:paraId="6FEF66EC" w14:textId="77777777" w:rsidR="0067689A" w:rsidRPr="008E2291" w:rsidRDefault="0067689A" w:rsidP="00914C26">
      <w:pPr>
        <w:spacing w:line="256"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Although the indicator at the level of the specific objective "Financial report prepared and presented to the Ministry of Finance of the Republic of Serbia in accordance with the requirements of IPSAS for the cash basis" was not achieved in 2025, significant progress was achieved through the adoption of the Regulation on the Application of International Accounting Standards for the Public Sector and two accompanying regulations, which created normative prerequisites for the application of IPSAS for the cash basis to financial statements for 2025 and it is certain that the goal will be achieved in 2026.</w:t>
      </w:r>
    </w:p>
    <w:p w14:paraId="4E4C67F7" w14:textId="77777777" w:rsidR="0067689A" w:rsidRPr="008E2291" w:rsidRDefault="0067689A" w:rsidP="000B6CC3">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643D4EDD" w14:textId="77777777" w:rsidR="00641172" w:rsidRPr="00467C20" w:rsidRDefault="00641172" w:rsidP="00467C20">
      <w:pPr>
        <w:spacing w:line="259" w:lineRule="auto"/>
        <w:jc w:val="both"/>
        <w:rPr>
          <w:rFonts w:ascii="Times New Roman" w:eastAsia="Calibri" w:hAnsi="Times New Roman" w:cs="Times New Roman"/>
          <w:b/>
          <w:u w:val="single"/>
          <w:lang w:val="sr-Cyrl-RS"/>
          <w14:ligatures w14:val="none"/>
        </w:rPr>
      </w:pPr>
      <w:r w:rsidRPr="00467C20">
        <w:rPr>
          <w:rFonts w:ascii="Times New Roman" w:eastAsia="Calibri" w:hAnsi="Times New Roman" w:cs="Times New Roman"/>
          <w:b/>
          <w:u w:val="single"/>
          <w:lang w:val="sr-Cyrl-RS"/>
          <w14:ligatures w14:val="none"/>
        </w:rPr>
        <w:t>Measure 5.1: Analysis of the current situation in public sector accounting and development and implementation of the Public Sector Accounting Improvement Plan</w:t>
      </w:r>
    </w:p>
    <w:tbl>
      <w:tblPr>
        <w:tblStyle w:val="TableGrid"/>
        <w:tblpPr w:leftFromText="180" w:rightFromText="180" w:vertAnchor="page" w:horzAnchor="margin" w:tblpY="11371"/>
        <w:tblW w:w="0" w:type="auto"/>
        <w:tblInd w:w="0" w:type="dxa"/>
        <w:tblLook w:val="04A0" w:firstRow="1" w:lastRow="0" w:firstColumn="1" w:lastColumn="0" w:noHBand="0" w:noVBand="1"/>
      </w:tblPr>
      <w:tblGrid>
        <w:gridCol w:w="2337"/>
        <w:gridCol w:w="2337"/>
        <w:gridCol w:w="2338"/>
        <w:gridCol w:w="2338"/>
      </w:tblGrid>
      <w:tr w:rsidR="00264F2E" w:rsidRPr="008B1397" w14:paraId="522D504F" w14:textId="77777777" w:rsidTr="008E2291">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F074FDA" w14:textId="77777777" w:rsidR="00264F2E" w:rsidRPr="008B1397" w:rsidRDefault="00264F2E" w:rsidP="008E2291">
            <w:pPr>
              <w:spacing w:after="160" w:line="256" w:lineRule="auto"/>
              <w:rPr>
                <w:rFonts w:ascii="Times New Roman" w:hAnsi="Times New Roman"/>
                <w:b/>
                <w:bCs/>
                <w:lang w:val="sr-Cyrl-RS"/>
              </w:rPr>
            </w:pPr>
            <w:r w:rsidRPr="008B1397">
              <w:rPr>
                <w:rFonts w:ascii="Times New Roman" w:hAnsi="Times New Roman"/>
                <w:b/>
                <w:bCs/>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68F1052" w14:textId="77777777" w:rsidR="00264F2E" w:rsidRPr="008B1397" w:rsidRDefault="00264F2E" w:rsidP="008E2291">
            <w:pPr>
              <w:spacing w:after="160" w:line="256" w:lineRule="auto"/>
              <w:rPr>
                <w:rFonts w:ascii="Times New Roman" w:hAnsi="Times New Roman"/>
                <w:b/>
                <w:bCs/>
                <w:lang w:val="sr-Cyrl-RS"/>
              </w:rPr>
            </w:pPr>
            <w:r w:rsidRPr="008B1397">
              <w:rPr>
                <w:rFonts w:ascii="Times New Roman" w:hAnsi="Times New Roman"/>
                <w:b/>
                <w:bCs/>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972077B" w14:textId="77777777" w:rsidR="00264F2E" w:rsidRPr="008B1397" w:rsidRDefault="00264F2E" w:rsidP="008E2291">
            <w:pPr>
              <w:spacing w:after="160" w:line="256" w:lineRule="auto"/>
              <w:rPr>
                <w:rFonts w:ascii="Times New Roman" w:hAnsi="Times New Roman"/>
                <w:b/>
                <w:bCs/>
                <w:lang w:val="sr-Cyrl-RS"/>
              </w:rPr>
            </w:pPr>
            <w:r w:rsidRPr="008B1397">
              <w:rPr>
                <w:rFonts w:ascii="Times New Roman" w:hAnsi="Times New Roman"/>
                <w:b/>
                <w:bCs/>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695F6E3" w14:textId="77777777" w:rsidR="00264F2E" w:rsidRPr="008B1397" w:rsidRDefault="00264F2E" w:rsidP="008E2291">
            <w:pPr>
              <w:spacing w:after="160" w:line="256" w:lineRule="auto"/>
              <w:rPr>
                <w:rFonts w:ascii="Times New Roman" w:hAnsi="Times New Roman"/>
                <w:b/>
                <w:bCs/>
                <w:lang w:val="sr-Cyrl-RS"/>
              </w:rPr>
            </w:pPr>
            <w:r w:rsidRPr="008B1397">
              <w:rPr>
                <w:rFonts w:ascii="Times New Roman" w:hAnsi="Times New Roman"/>
                <w:b/>
                <w:bCs/>
                <w:lang w:val="sr-Cyrl-RS"/>
              </w:rPr>
              <w:t>Achieved value</w:t>
            </w:r>
          </w:p>
        </w:tc>
      </w:tr>
      <w:tr w:rsidR="00264F2E" w:rsidRPr="008B1397" w14:paraId="7731D93B" w14:textId="77777777" w:rsidTr="008E2291">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2F6ECB7B" w14:textId="77777777" w:rsidR="00264F2E" w:rsidRPr="0060040E" w:rsidRDefault="00264F2E" w:rsidP="008E2291">
            <w:pPr>
              <w:spacing w:after="160" w:line="256" w:lineRule="auto"/>
              <w:rPr>
                <w:rFonts w:ascii="Times New Roman" w:hAnsi="Times New Roman"/>
                <w:b/>
                <w:bCs/>
                <w:lang w:val="sr-Cyrl-RS"/>
              </w:rPr>
            </w:pPr>
            <w:r w:rsidRPr="0060040E">
              <w:rPr>
                <w:rFonts w:ascii="Times New Roman" w:hAnsi="Times New Roman"/>
                <w:b/>
                <w:bCs/>
                <w:lang w:val="sr-Cyrl-RS"/>
              </w:rPr>
              <w:t>The plan for the improvement of accounting in the public sector was adopted</w:t>
            </w:r>
          </w:p>
        </w:tc>
        <w:tc>
          <w:tcPr>
            <w:tcW w:w="2337" w:type="dxa"/>
            <w:tcBorders>
              <w:top w:val="single" w:sz="4" w:space="0" w:color="auto"/>
              <w:left w:val="single" w:sz="4" w:space="0" w:color="auto"/>
              <w:bottom w:val="single" w:sz="4" w:space="0" w:color="auto"/>
              <w:right w:val="single" w:sz="4" w:space="0" w:color="auto"/>
            </w:tcBorders>
            <w:hideMark/>
          </w:tcPr>
          <w:p w14:paraId="4880ECEC"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150DFF44"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0</w:t>
            </w:r>
          </w:p>
        </w:tc>
        <w:tc>
          <w:tcPr>
            <w:tcW w:w="2338" w:type="dxa"/>
            <w:tcBorders>
              <w:top w:val="single" w:sz="4" w:space="0" w:color="auto"/>
              <w:left w:val="single" w:sz="4" w:space="0" w:color="auto"/>
              <w:bottom w:val="single" w:sz="4" w:space="0" w:color="auto"/>
              <w:right w:val="single" w:sz="4" w:space="0" w:color="auto"/>
            </w:tcBorders>
            <w:hideMark/>
          </w:tcPr>
          <w:p w14:paraId="55068BE6"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1</w:t>
            </w:r>
          </w:p>
        </w:tc>
      </w:tr>
      <w:tr w:rsidR="00264F2E" w:rsidRPr="008B1397" w14:paraId="7452A535" w14:textId="77777777" w:rsidTr="008E2291">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67B51A" w14:textId="77777777" w:rsidR="00264F2E" w:rsidRPr="008B1397" w:rsidRDefault="00264F2E" w:rsidP="008E2291">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B9B8C45"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19612D80" w14:textId="77777777" w:rsidR="00264F2E" w:rsidRPr="0055236D" w:rsidRDefault="00264F2E" w:rsidP="008E2291">
            <w:pPr>
              <w:spacing w:after="160" w:line="256" w:lineRule="auto"/>
              <w:rPr>
                <w:rFonts w:ascii="Times New Roman" w:hAnsi="Times New Roman"/>
              </w:rPr>
            </w:pPr>
            <w:r>
              <w:rPr>
                <w:rFonts w:ascii="Times New Roman" w:hAnsi="Times New Roman"/>
              </w:rPr>
              <w:t>1</w:t>
            </w:r>
          </w:p>
        </w:tc>
        <w:tc>
          <w:tcPr>
            <w:tcW w:w="2338" w:type="dxa"/>
            <w:tcBorders>
              <w:top w:val="single" w:sz="4" w:space="0" w:color="auto"/>
              <w:left w:val="single" w:sz="4" w:space="0" w:color="auto"/>
              <w:bottom w:val="single" w:sz="4" w:space="0" w:color="auto"/>
              <w:right w:val="single" w:sz="4" w:space="0" w:color="auto"/>
            </w:tcBorders>
            <w:hideMark/>
          </w:tcPr>
          <w:p w14:paraId="401B59D9" w14:textId="77777777" w:rsidR="00264F2E" w:rsidRPr="0055236D" w:rsidRDefault="00264F2E" w:rsidP="008E2291">
            <w:pPr>
              <w:spacing w:after="160" w:line="256" w:lineRule="auto"/>
              <w:rPr>
                <w:rFonts w:ascii="Times New Roman" w:hAnsi="Times New Roman"/>
              </w:rPr>
            </w:pPr>
            <w:r>
              <w:rPr>
                <w:rFonts w:ascii="Times New Roman" w:hAnsi="Times New Roman"/>
              </w:rPr>
              <w:t>1</w:t>
            </w:r>
          </w:p>
        </w:tc>
      </w:tr>
      <w:tr w:rsidR="00264F2E" w:rsidRPr="008B1397" w14:paraId="02FA7A81" w14:textId="77777777" w:rsidTr="008E2291">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8D81E" w14:textId="77777777" w:rsidR="00264F2E" w:rsidRPr="008B1397" w:rsidRDefault="00264F2E" w:rsidP="008E2291">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FA7C618"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626786B2"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38A73DCC"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w:t>
            </w:r>
          </w:p>
        </w:tc>
      </w:tr>
      <w:tr w:rsidR="00264F2E" w:rsidRPr="008B1397" w14:paraId="7E58C82B" w14:textId="77777777" w:rsidTr="008E2291">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A4D9A" w14:textId="77777777" w:rsidR="00264F2E" w:rsidRPr="008B1397" w:rsidRDefault="00264F2E" w:rsidP="008E2291">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DBFE343"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457E7BC6"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205F2D47"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w:t>
            </w:r>
          </w:p>
        </w:tc>
      </w:tr>
      <w:tr w:rsidR="00264F2E" w:rsidRPr="008B1397" w14:paraId="0589803F" w14:textId="77777777" w:rsidTr="008E2291">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040F7C" w14:textId="77777777" w:rsidR="00264F2E" w:rsidRPr="008B1397" w:rsidRDefault="00264F2E" w:rsidP="008E2291">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9D2D73F"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38986580"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497AC2A1" w14:textId="77777777" w:rsidR="00264F2E" w:rsidRPr="008B1397" w:rsidRDefault="00264F2E" w:rsidP="008E2291">
            <w:pPr>
              <w:spacing w:after="160" w:line="256" w:lineRule="auto"/>
              <w:rPr>
                <w:rFonts w:ascii="Times New Roman" w:hAnsi="Times New Roman"/>
                <w:lang w:val="sr-Cyrl-RS"/>
              </w:rPr>
            </w:pPr>
            <w:r w:rsidRPr="008B1397">
              <w:rPr>
                <w:rFonts w:ascii="Times New Roman" w:hAnsi="Times New Roman"/>
                <w:lang w:val="sr-Cyrl-RS"/>
              </w:rPr>
              <w:t>-</w:t>
            </w:r>
          </w:p>
        </w:tc>
      </w:tr>
    </w:tbl>
    <w:p w14:paraId="070997A1" w14:textId="77777777" w:rsidR="00BF7376" w:rsidRDefault="00BF7376" w:rsidP="0055236D">
      <w:pPr>
        <w:spacing w:line="256" w:lineRule="auto"/>
        <w:jc w:val="both"/>
        <w:rPr>
          <w:rFonts w:ascii="Times New Roman" w:eastAsia="Calibri" w:hAnsi="Times New Roman" w:cs="Times New Roman"/>
          <w:lang w:val="en-US"/>
          <w14:ligatures w14:val="none"/>
        </w:rPr>
      </w:pPr>
    </w:p>
    <w:p w14:paraId="160AAB72" w14:textId="77777777" w:rsidR="004E5A33" w:rsidRPr="008B1397" w:rsidRDefault="00641172" w:rsidP="008E2291">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indicator at the level of the measure has been fulfilled in the sense that the draft of the Plan for the improvement of accounting in the public sector has been prepared, which more precisely defined the method of implementation and the deadlines of the activities from the action plan. Also, a Commission for Monitoring the Application of International Accounting Standards in the Public Sector (hereinafter: IAS-JS) was formed, a translation of IAS for the cash basis was provided by the Association of Accountants and Auditors of Serbia (a member of IFAC - International Federation of Accountants) and training was held in order to familiarize with the advantages of the accounting system and reporting according to IPSAS.</w:t>
      </w:r>
    </w:p>
    <w:p w14:paraId="325FF17B" w14:textId="77777777" w:rsidR="00641172" w:rsidRPr="008B1397" w:rsidRDefault="00641172" w:rsidP="004E5A33">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To achieve this measure, funds from the budget in the amount of 24,441,699.00 dinars were used for the remuneration of the president and members of the Commission, which ensured the continuous and professionally supervised application of MRS-JS, as well as direct donor funds in the amount of 1,121,000.00 dinars for the preparation of the Plan for improved accounting in the JS.</w:t>
      </w:r>
    </w:p>
    <w:p w14:paraId="25BFD6F3" w14:textId="77777777" w:rsidR="00641172" w:rsidRPr="00267B1B" w:rsidRDefault="00267B1B" w:rsidP="00267B1B">
      <w:pPr>
        <w:spacing w:line="256" w:lineRule="auto"/>
        <w:ind w:firstLine="720"/>
        <w:jc w:val="both"/>
        <w:rPr>
          <w:rFonts w:ascii="Times New Roman" w:eastAsia="Calibri" w:hAnsi="Times New Roman" w:cs="Times New Roman"/>
          <w:lang w:val="sr-Cyrl-RS"/>
          <w14:ligatures w14:val="none"/>
        </w:rPr>
      </w:pPr>
      <w:r w:rsidRPr="00267B1B">
        <w:rPr>
          <w:rFonts w:ascii="Times New Roman" w:eastAsia="Calibri" w:hAnsi="Times New Roman" w:cs="Times New Roman"/>
          <w:lang w:val="sr-Cyrl-RS"/>
          <w14:ligatures w14:val="none"/>
        </w:rPr>
        <w:t xml:space="preserve">This measure established the key preconditions for further accounting reform in the public sector: the Accounting Improvement Plan, the Commission for Monitoring the Implementation of IAS-JS and the translation of IAS-JS for the cash basis. Although the activities of this measure </w:t>
      </w:r>
      <w:r w:rsidRPr="00267B1B">
        <w:rPr>
          <w:rFonts w:ascii="Times New Roman" w:eastAsia="Calibri" w:hAnsi="Times New Roman" w:cs="Times New Roman"/>
          <w:lang w:val="sr-Cyrl-RS"/>
          <w14:ligatures w14:val="none"/>
        </w:rPr>
        <w:lastRenderedPageBreak/>
        <w:t>will not continue in the same form in the next programme cycle, the established elements of the system represent the basis for the application of MRS-JS and further improvements of budget accounting within the PFMRP 2026-2030.</w:t>
      </w:r>
    </w:p>
    <w:p w14:paraId="4BA5E4E5" w14:textId="77777777" w:rsidR="00BF7376" w:rsidRDefault="00BF7376" w:rsidP="00467C20">
      <w:pPr>
        <w:spacing w:line="259" w:lineRule="auto"/>
        <w:jc w:val="both"/>
        <w:rPr>
          <w:rFonts w:ascii="Times New Roman" w:eastAsia="Calibri" w:hAnsi="Times New Roman" w:cs="Times New Roman"/>
          <w:b/>
          <w:u w:val="single"/>
          <w:lang w:val="en-US"/>
          <w14:ligatures w14:val="none"/>
        </w:rPr>
      </w:pPr>
    </w:p>
    <w:p w14:paraId="364AFD02" w14:textId="77777777" w:rsidR="00BF7376" w:rsidRDefault="00641172" w:rsidP="00264F2E">
      <w:pPr>
        <w:spacing w:line="259" w:lineRule="auto"/>
        <w:jc w:val="both"/>
        <w:rPr>
          <w:rFonts w:ascii="Times New Roman" w:eastAsia="Calibri" w:hAnsi="Times New Roman" w:cs="Times New Roman"/>
          <w:b/>
          <w:u w:val="single"/>
          <w:lang w:val="en-US"/>
          <w14:ligatures w14:val="none"/>
        </w:rPr>
      </w:pPr>
      <w:r w:rsidRPr="00467C20">
        <w:rPr>
          <w:rFonts w:ascii="Times New Roman" w:eastAsia="Calibri" w:hAnsi="Times New Roman" w:cs="Times New Roman"/>
          <w:b/>
          <w:u w:val="single"/>
          <w:lang w:val="sr-Cyrl-RS"/>
          <w14:ligatures w14:val="none"/>
        </w:rPr>
        <w:t>Measure 5.2: Improving the professional competence of accountants in the public sector by conducting adequate training</w:t>
      </w:r>
    </w:p>
    <w:tbl>
      <w:tblPr>
        <w:tblStyle w:val="TableGrid"/>
        <w:tblpPr w:leftFromText="180" w:rightFromText="180" w:vertAnchor="page" w:horzAnchor="margin" w:tblpY="8641"/>
        <w:tblW w:w="0" w:type="auto"/>
        <w:tblInd w:w="0" w:type="dxa"/>
        <w:tblLook w:val="04A0" w:firstRow="1" w:lastRow="0" w:firstColumn="1" w:lastColumn="0" w:noHBand="0" w:noVBand="1"/>
      </w:tblPr>
      <w:tblGrid>
        <w:gridCol w:w="2337"/>
        <w:gridCol w:w="2337"/>
        <w:gridCol w:w="2338"/>
        <w:gridCol w:w="2338"/>
      </w:tblGrid>
      <w:tr w:rsidR="00264F2E" w:rsidRPr="008B1397" w14:paraId="4D47B4B8" w14:textId="77777777" w:rsidTr="008E2291">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5D90B11" w14:textId="77777777" w:rsidR="00264F2E" w:rsidRPr="008B1397" w:rsidRDefault="00264F2E" w:rsidP="008E2291">
            <w:pPr>
              <w:spacing w:after="160" w:line="256" w:lineRule="auto"/>
              <w:jc w:val="both"/>
              <w:rPr>
                <w:rFonts w:ascii="Times New Roman" w:hAnsi="Times New Roman"/>
                <w:b/>
                <w:bCs/>
                <w:lang w:val="sr-Cyrl-RS"/>
              </w:rPr>
            </w:pPr>
            <w:r w:rsidRPr="008B1397">
              <w:rPr>
                <w:rFonts w:ascii="Times New Roman" w:hAnsi="Times New Roman"/>
                <w:b/>
                <w:bCs/>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28A871C" w14:textId="77777777" w:rsidR="00264F2E" w:rsidRPr="008B1397" w:rsidRDefault="00264F2E" w:rsidP="008E2291">
            <w:pPr>
              <w:spacing w:after="160" w:line="256" w:lineRule="auto"/>
              <w:jc w:val="both"/>
              <w:rPr>
                <w:rFonts w:ascii="Times New Roman" w:hAnsi="Times New Roman"/>
                <w:b/>
                <w:bCs/>
                <w:lang w:val="sr-Cyrl-RS"/>
              </w:rPr>
            </w:pPr>
            <w:r w:rsidRPr="008B1397">
              <w:rPr>
                <w:rFonts w:ascii="Times New Roman" w:hAnsi="Times New Roman"/>
                <w:b/>
                <w:bCs/>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76E016F" w14:textId="77777777" w:rsidR="00264F2E" w:rsidRPr="008B1397" w:rsidRDefault="00264F2E" w:rsidP="008E2291">
            <w:pPr>
              <w:spacing w:after="160" w:line="256" w:lineRule="auto"/>
              <w:jc w:val="both"/>
              <w:rPr>
                <w:rFonts w:ascii="Times New Roman" w:hAnsi="Times New Roman"/>
                <w:b/>
                <w:bCs/>
                <w:lang w:val="sr-Cyrl-RS"/>
              </w:rPr>
            </w:pPr>
            <w:r w:rsidRPr="008B1397">
              <w:rPr>
                <w:rFonts w:ascii="Times New Roman" w:hAnsi="Times New Roman"/>
                <w:b/>
                <w:bCs/>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239C503" w14:textId="77777777" w:rsidR="00264F2E" w:rsidRPr="008B1397" w:rsidRDefault="00264F2E" w:rsidP="008E2291">
            <w:pPr>
              <w:spacing w:after="160" w:line="256" w:lineRule="auto"/>
              <w:jc w:val="both"/>
              <w:rPr>
                <w:rFonts w:ascii="Times New Roman" w:hAnsi="Times New Roman"/>
                <w:b/>
                <w:bCs/>
                <w:lang w:val="sr-Cyrl-RS"/>
              </w:rPr>
            </w:pPr>
            <w:r w:rsidRPr="008B1397">
              <w:rPr>
                <w:rFonts w:ascii="Times New Roman" w:hAnsi="Times New Roman"/>
                <w:b/>
                <w:bCs/>
                <w:lang w:val="sr-Cyrl-RS"/>
              </w:rPr>
              <w:t>Achieved value</w:t>
            </w:r>
          </w:p>
        </w:tc>
      </w:tr>
      <w:tr w:rsidR="00264F2E" w:rsidRPr="008B1397" w14:paraId="69EF73DF" w14:textId="77777777" w:rsidTr="008E2291">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52ECCC43" w14:textId="77777777" w:rsidR="00264F2E" w:rsidRPr="0060040E" w:rsidRDefault="00264F2E" w:rsidP="008E2291">
            <w:pPr>
              <w:spacing w:after="160" w:line="256" w:lineRule="auto"/>
              <w:rPr>
                <w:rFonts w:ascii="Times New Roman" w:hAnsi="Times New Roman"/>
                <w:b/>
                <w:bCs/>
                <w:lang w:val="sr-Cyrl-RS"/>
              </w:rPr>
            </w:pPr>
            <w:r w:rsidRPr="0060040E">
              <w:rPr>
                <w:rFonts w:ascii="Times New Roman" w:hAnsi="Times New Roman"/>
                <w:b/>
                <w:bCs/>
                <w:lang w:val="sr-Cyrl-RS"/>
              </w:rPr>
              <w:t>The share of employed accountants in the public sector who have undergone the "Improvement of Accounting in the Public Sector" training</w:t>
            </w:r>
          </w:p>
        </w:tc>
        <w:tc>
          <w:tcPr>
            <w:tcW w:w="2337" w:type="dxa"/>
            <w:tcBorders>
              <w:top w:val="single" w:sz="4" w:space="0" w:color="auto"/>
              <w:left w:val="single" w:sz="4" w:space="0" w:color="auto"/>
              <w:bottom w:val="single" w:sz="4" w:space="0" w:color="auto"/>
              <w:right w:val="single" w:sz="4" w:space="0" w:color="auto"/>
            </w:tcBorders>
            <w:hideMark/>
          </w:tcPr>
          <w:p w14:paraId="616502E0"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7B2C31B9"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80%</w:t>
            </w:r>
          </w:p>
        </w:tc>
        <w:tc>
          <w:tcPr>
            <w:tcW w:w="2338" w:type="dxa"/>
            <w:tcBorders>
              <w:top w:val="single" w:sz="4" w:space="0" w:color="auto"/>
              <w:left w:val="single" w:sz="4" w:space="0" w:color="auto"/>
              <w:bottom w:val="single" w:sz="4" w:space="0" w:color="auto"/>
              <w:right w:val="single" w:sz="4" w:space="0" w:color="auto"/>
            </w:tcBorders>
            <w:hideMark/>
          </w:tcPr>
          <w:p w14:paraId="697C8B0D"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80%</w:t>
            </w:r>
          </w:p>
        </w:tc>
      </w:tr>
      <w:tr w:rsidR="00264F2E" w:rsidRPr="008B1397" w14:paraId="3E2B44FC" w14:textId="77777777" w:rsidTr="008E2291">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3D1F69" w14:textId="77777777" w:rsidR="00264F2E" w:rsidRPr="008B1397" w:rsidRDefault="00264F2E" w:rsidP="008E2291">
            <w:pPr>
              <w:spacing w:after="160" w:line="256" w:lineRule="auto"/>
              <w:jc w:val="both"/>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1DEABA1E"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50F2C280"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100%</w:t>
            </w:r>
          </w:p>
        </w:tc>
        <w:tc>
          <w:tcPr>
            <w:tcW w:w="2338" w:type="dxa"/>
            <w:tcBorders>
              <w:top w:val="single" w:sz="4" w:space="0" w:color="auto"/>
              <w:left w:val="single" w:sz="4" w:space="0" w:color="auto"/>
              <w:bottom w:val="single" w:sz="4" w:space="0" w:color="auto"/>
              <w:right w:val="single" w:sz="4" w:space="0" w:color="auto"/>
            </w:tcBorders>
            <w:hideMark/>
          </w:tcPr>
          <w:p w14:paraId="0C1C8BC9"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100%</w:t>
            </w:r>
          </w:p>
        </w:tc>
      </w:tr>
      <w:tr w:rsidR="00264F2E" w:rsidRPr="008B1397" w14:paraId="23EEE613" w14:textId="77777777" w:rsidTr="008E2291">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23C69" w14:textId="77777777" w:rsidR="00264F2E" w:rsidRPr="008B1397" w:rsidRDefault="00264F2E" w:rsidP="008E2291">
            <w:pPr>
              <w:spacing w:after="160" w:line="256" w:lineRule="auto"/>
              <w:jc w:val="both"/>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9D438D8"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5D95B938"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53EF71D5"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w:t>
            </w:r>
          </w:p>
        </w:tc>
      </w:tr>
      <w:tr w:rsidR="00264F2E" w:rsidRPr="008B1397" w14:paraId="0FC3D501" w14:textId="77777777" w:rsidTr="008E2291">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D3DBF" w14:textId="77777777" w:rsidR="00264F2E" w:rsidRPr="008B1397" w:rsidRDefault="00264F2E" w:rsidP="008E2291">
            <w:pPr>
              <w:spacing w:after="160" w:line="256" w:lineRule="auto"/>
              <w:jc w:val="both"/>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4368FDE"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6C3A1C6D"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0C616747"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w:t>
            </w:r>
          </w:p>
        </w:tc>
      </w:tr>
      <w:tr w:rsidR="00264F2E" w:rsidRPr="008B1397" w14:paraId="7C04D17E" w14:textId="77777777" w:rsidTr="008E2291">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CF4268" w14:textId="77777777" w:rsidR="00264F2E" w:rsidRPr="008B1397" w:rsidRDefault="00264F2E" w:rsidP="008E2291">
            <w:pPr>
              <w:spacing w:after="160" w:line="256" w:lineRule="auto"/>
              <w:jc w:val="both"/>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38336EB7"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282B41A4"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1E81FE48" w14:textId="77777777" w:rsidR="00264F2E" w:rsidRPr="008B1397" w:rsidRDefault="00264F2E" w:rsidP="008E2291">
            <w:pPr>
              <w:spacing w:after="160" w:line="256" w:lineRule="auto"/>
              <w:jc w:val="both"/>
              <w:rPr>
                <w:rFonts w:ascii="Times New Roman" w:hAnsi="Times New Roman"/>
                <w:lang w:val="sr-Cyrl-RS"/>
              </w:rPr>
            </w:pPr>
            <w:r w:rsidRPr="008B1397">
              <w:rPr>
                <w:rFonts w:ascii="Times New Roman" w:hAnsi="Times New Roman"/>
                <w:lang w:val="sr-Cyrl-RS"/>
              </w:rPr>
              <w:t>-</w:t>
            </w:r>
          </w:p>
        </w:tc>
      </w:tr>
    </w:tbl>
    <w:p w14:paraId="5FE5B799" w14:textId="77777777" w:rsidR="00264F2E" w:rsidRPr="00264F2E" w:rsidRDefault="00264F2E" w:rsidP="00264F2E">
      <w:pPr>
        <w:spacing w:line="259" w:lineRule="auto"/>
        <w:jc w:val="both"/>
        <w:rPr>
          <w:rFonts w:ascii="Times New Roman" w:eastAsia="Calibri" w:hAnsi="Times New Roman" w:cs="Times New Roman"/>
          <w:b/>
          <w:u w:val="single"/>
          <w:lang w:val="en-US"/>
          <w14:ligatures w14:val="none"/>
        </w:rPr>
      </w:pPr>
    </w:p>
    <w:p w14:paraId="0AC146EC" w14:textId="77777777" w:rsidR="00641172" w:rsidRPr="008B1397" w:rsidRDefault="00564316" w:rsidP="00BF7376">
      <w:pPr>
        <w:spacing w:line="256" w:lineRule="auto"/>
        <w:ind w:firstLine="720"/>
        <w:jc w:val="both"/>
        <w:rPr>
          <w:rFonts w:ascii="Times New Roman" w:eastAsia="Calibri" w:hAnsi="Times New Roman" w:cs="Times New Roman"/>
          <w:lang w:val="sr-Cyrl-RS"/>
          <w14:ligatures w14:val="none"/>
        </w:rPr>
      </w:pPr>
      <w:r>
        <w:rPr>
          <w:rFonts w:ascii="Times New Roman" w:eastAsia="Calibri" w:hAnsi="Times New Roman" w:cs="Times New Roman"/>
          <w:lang w:val="sr-Cyrl-RS"/>
          <w14:ligatures w14:val="none"/>
        </w:rPr>
        <w:t>All employees in finance jobs in the public sector, who were covered by this measure in training for the improvement of accounting in the public sector, have successfully completed the training. The decision of the Commission for monitoring the application of IAS-JS adopted the Professional Training Programme for keeping business books, compiling and presenting financial reports in accordance with the International Accounting Standard for the public sector on a cash basis. This Programme no longer envisages a one-time implementation of trainings, as provided for by the measure, but rather continuously. After the adoption of the Programme, the training of trainers began and in the next cycle of the PFMRP, the continuation of the training is planned.</w:t>
      </w:r>
    </w:p>
    <w:p w14:paraId="33CA7326" w14:textId="77777777" w:rsidR="00914C26" w:rsidRPr="00BF7376" w:rsidRDefault="00641172" w:rsidP="00BF7376">
      <w:pPr>
        <w:spacing w:line="256"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The Commission's decision abandoned the activities related to the certification of accountants in the public sector because the application of IAS-JS itself is not conditioned by the possession of a certificate for the application of IAS-JS. These activities have been replaced by training provided by the Professional Training Programme for keeping business books, compiling and presenting financial reports in accordance with the International Accounting Standard for the Public Sector on a cash basis.</w:t>
      </w:r>
    </w:p>
    <w:p w14:paraId="78B0411B" w14:textId="77777777" w:rsidR="00641172" w:rsidRPr="00467C20" w:rsidRDefault="00641172" w:rsidP="00467C20">
      <w:pPr>
        <w:spacing w:line="259" w:lineRule="auto"/>
        <w:jc w:val="both"/>
        <w:rPr>
          <w:rFonts w:ascii="Times New Roman" w:eastAsia="Calibri" w:hAnsi="Times New Roman" w:cs="Times New Roman"/>
          <w:b/>
          <w:u w:val="single"/>
          <w:lang w:val="sr-Cyrl-RS"/>
          <w14:ligatures w14:val="none"/>
        </w:rPr>
      </w:pPr>
      <w:r w:rsidRPr="00467C20">
        <w:rPr>
          <w:rFonts w:ascii="Times New Roman" w:eastAsia="Calibri" w:hAnsi="Times New Roman" w:cs="Times New Roman"/>
          <w:b/>
          <w:u w:val="single"/>
          <w:lang w:val="sr-Cyrl-RS"/>
          <w14:ligatures w14:val="none"/>
        </w:rPr>
        <w:t>Measure 5.3: Improving the scope of accounting data through the application of international accounting standards for the public sector</w:t>
      </w:r>
    </w:p>
    <w:tbl>
      <w:tblPr>
        <w:tblStyle w:val="TableGrid"/>
        <w:tblW w:w="0" w:type="auto"/>
        <w:tblInd w:w="0" w:type="dxa"/>
        <w:tblLook w:val="04A0" w:firstRow="1" w:lastRow="0" w:firstColumn="1" w:lastColumn="0" w:noHBand="0" w:noVBand="1"/>
      </w:tblPr>
      <w:tblGrid>
        <w:gridCol w:w="2337"/>
        <w:gridCol w:w="2337"/>
        <w:gridCol w:w="2338"/>
        <w:gridCol w:w="2338"/>
      </w:tblGrid>
      <w:tr w:rsidR="00641172" w:rsidRPr="008B1397" w14:paraId="78F67BA6" w14:textId="77777777" w:rsidTr="004E5A33">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CBEB3E1" w14:textId="77777777" w:rsidR="00641172" w:rsidRPr="008B1397" w:rsidRDefault="00641172" w:rsidP="00641172">
            <w:pPr>
              <w:spacing w:after="160" w:line="256" w:lineRule="auto"/>
              <w:rPr>
                <w:rFonts w:ascii="Times New Roman" w:hAnsi="Times New Roman"/>
                <w:b/>
                <w:bCs/>
                <w:lang w:val="sr-Cyrl-RS"/>
              </w:rPr>
            </w:pPr>
            <w:r w:rsidRPr="008B1397">
              <w:rPr>
                <w:rFonts w:ascii="Times New Roman" w:hAnsi="Times New Roman"/>
                <w:b/>
                <w:bCs/>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B077702" w14:textId="77777777" w:rsidR="00641172" w:rsidRPr="008B1397" w:rsidRDefault="00641172" w:rsidP="00641172">
            <w:pPr>
              <w:spacing w:after="160" w:line="256" w:lineRule="auto"/>
              <w:rPr>
                <w:rFonts w:ascii="Times New Roman" w:hAnsi="Times New Roman"/>
                <w:b/>
                <w:bCs/>
                <w:lang w:val="sr-Cyrl-RS"/>
              </w:rPr>
            </w:pPr>
            <w:r w:rsidRPr="008B1397">
              <w:rPr>
                <w:rFonts w:ascii="Times New Roman" w:hAnsi="Times New Roman"/>
                <w:b/>
                <w:bCs/>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86D7160" w14:textId="77777777" w:rsidR="00641172" w:rsidRPr="008B1397" w:rsidRDefault="00641172" w:rsidP="00641172">
            <w:pPr>
              <w:spacing w:after="160" w:line="256" w:lineRule="auto"/>
              <w:rPr>
                <w:rFonts w:ascii="Times New Roman" w:hAnsi="Times New Roman"/>
                <w:b/>
                <w:bCs/>
                <w:lang w:val="sr-Cyrl-RS"/>
              </w:rPr>
            </w:pPr>
            <w:r w:rsidRPr="008B1397">
              <w:rPr>
                <w:rFonts w:ascii="Times New Roman" w:hAnsi="Times New Roman"/>
                <w:b/>
                <w:bCs/>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9A34E10" w14:textId="77777777" w:rsidR="00641172" w:rsidRPr="008B1397" w:rsidRDefault="00641172" w:rsidP="00641172">
            <w:pPr>
              <w:spacing w:after="160" w:line="256" w:lineRule="auto"/>
              <w:rPr>
                <w:rFonts w:ascii="Times New Roman" w:hAnsi="Times New Roman"/>
                <w:b/>
                <w:bCs/>
                <w:lang w:val="sr-Cyrl-RS"/>
              </w:rPr>
            </w:pPr>
            <w:r w:rsidRPr="008B1397">
              <w:rPr>
                <w:rFonts w:ascii="Times New Roman" w:hAnsi="Times New Roman"/>
                <w:b/>
                <w:bCs/>
                <w:lang w:val="sr-Cyrl-RS"/>
              </w:rPr>
              <w:t>Achieved value</w:t>
            </w:r>
          </w:p>
        </w:tc>
      </w:tr>
      <w:tr w:rsidR="00641172" w:rsidRPr="008B1397" w14:paraId="6EBCC447"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22F28638" w14:textId="77777777" w:rsidR="00641172" w:rsidRPr="0060040E" w:rsidRDefault="00641172" w:rsidP="00641172">
            <w:pPr>
              <w:spacing w:after="160" w:line="256" w:lineRule="auto"/>
              <w:rPr>
                <w:rFonts w:ascii="Times New Roman" w:hAnsi="Times New Roman"/>
                <w:b/>
                <w:bCs/>
                <w:lang w:val="sr-Cyrl-RS"/>
              </w:rPr>
            </w:pPr>
            <w:r w:rsidRPr="0060040E">
              <w:rPr>
                <w:rFonts w:ascii="Times New Roman" w:hAnsi="Times New Roman"/>
                <w:b/>
                <w:bCs/>
                <w:lang w:val="sr-Cyrl-RS"/>
              </w:rPr>
              <w:t xml:space="preserve">Draft Financial Statement prepared in accordance with </w:t>
            </w:r>
            <w:r w:rsidRPr="0060040E">
              <w:rPr>
                <w:rFonts w:ascii="Times New Roman" w:hAnsi="Times New Roman"/>
                <w:b/>
                <w:bCs/>
                <w:lang w:val="sr-Cyrl-RS"/>
              </w:rPr>
              <w:lastRenderedPageBreak/>
              <w:t>IPSAS for the cash basis submitted to the Government of the RS</w:t>
            </w:r>
          </w:p>
        </w:tc>
        <w:tc>
          <w:tcPr>
            <w:tcW w:w="2337" w:type="dxa"/>
            <w:tcBorders>
              <w:top w:val="single" w:sz="4" w:space="0" w:color="auto"/>
              <w:left w:val="single" w:sz="4" w:space="0" w:color="auto"/>
              <w:bottom w:val="single" w:sz="4" w:space="0" w:color="auto"/>
              <w:right w:val="single" w:sz="4" w:space="0" w:color="auto"/>
            </w:tcBorders>
            <w:hideMark/>
          </w:tcPr>
          <w:p w14:paraId="4D13D002"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lastRenderedPageBreak/>
              <w:t>2021</w:t>
            </w:r>
          </w:p>
        </w:tc>
        <w:tc>
          <w:tcPr>
            <w:tcW w:w="2338" w:type="dxa"/>
            <w:tcBorders>
              <w:top w:val="single" w:sz="4" w:space="0" w:color="auto"/>
              <w:left w:val="single" w:sz="4" w:space="0" w:color="auto"/>
              <w:bottom w:val="single" w:sz="4" w:space="0" w:color="auto"/>
              <w:right w:val="single" w:sz="4" w:space="0" w:color="auto"/>
            </w:tcBorders>
            <w:hideMark/>
          </w:tcPr>
          <w:p w14:paraId="0C1FC960"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3A7D29E3"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w:t>
            </w:r>
          </w:p>
        </w:tc>
      </w:tr>
      <w:tr w:rsidR="00641172" w:rsidRPr="008B1397" w14:paraId="3F1181F2"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2B753"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AFFDBC4"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449EEEA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20357D38"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w:t>
            </w:r>
          </w:p>
        </w:tc>
      </w:tr>
      <w:tr w:rsidR="00641172" w:rsidRPr="008B1397" w14:paraId="39E73AF6"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2E806"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37BF01D"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74B782BE"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w:t>
            </w:r>
          </w:p>
        </w:tc>
        <w:tc>
          <w:tcPr>
            <w:tcW w:w="2338" w:type="dxa"/>
            <w:tcBorders>
              <w:top w:val="single" w:sz="4" w:space="0" w:color="auto"/>
              <w:left w:val="single" w:sz="4" w:space="0" w:color="auto"/>
              <w:bottom w:val="single" w:sz="4" w:space="0" w:color="auto"/>
              <w:right w:val="single" w:sz="4" w:space="0" w:color="auto"/>
            </w:tcBorders>
            <w:hideMark/>
          </w:tcPr>
          <w:p w14:paraId="3F1F96C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w:t>
            </w:r>
          </w:p>
        </w:tc>
      </w:tr>
      <w:tr w:rsidR="00641172" w:rsidRPr="008B1397" w14:paraId="708C1B03"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CDC8D4"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F9E6892"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0B1E971D"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2F97E07E"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0</w:t>
            </w:r>
          </w:p>
        </w:tc>
      </w:tr>
      <w:tr w:rsidR="00641172" w:rsidRPr="008B1397" w14:paraId="58755A82"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528BE"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D28D52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0286ABCA" w14:textId="77777777" w:rsidR="00641172" w:rsidRPr="008B1397" w:rsidRDefault="008F1478" w:rsidP="00641172">
            <w:pPr>
              <w:spacing w:after="160" w:line="256" w:lineRule="auto"/>
              <w:rPr>
                <w:rFonts w:ascii="Times New Roman" w:hAnsi="Times New Roman"/>
                <w:lang w:val="sr-Cyrl-RS"/>
              </w:rPr>
            </w:pPr>
            <w:r>
              <w:rPr>
                <w:rFonts w:ascii="Times New Roman" w:hAnsi="Times New Roman"/>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03791DB5" w14:textId="77777777" w:rsidR="00641172" w:rsidRPr="008B1397" w:rsidRDefault="008F1478" w:rsidP="00641172">
            <w:pPr>
              <w:spacing w:after="160" w:line="256" w:lineRule="auto"/>
              <w:rPr>
                <w:rFonts w:ascii="Times New Roman" w:hAnsi="Times New Roman"/>
                <w:lang w:val="sr-Cyrl-RS"/>
              </w:rPr>
            </w:pPr>
            <w:r>
              <w:rPr>
                <w:rFonts w:ascii="Times New Roman" w:hAnsi="Times New Roman"/>
                <w:lang w:val="sr-Cyrl-RS"/>
              </w:rPr>
              <w:t>0</w:t>
            </w:r>
          </w:p>
        </w:tc>
      </w:tr>
    </w:tbl>
    <w:p w14:paraId="291E0F13" w14:textId="77777777" w:rsidR="00641172" w:rsidRPr="008B1397" w:rsidRDefault="00641172" w:rsidP="00641172">
      <w:pPr>
        <w:spacing w:line="256" w:lineRule="auto"/>
        <w:rPr>
          <w:rFonts w:ascii="Times New Roman" w:eastAsia="Calibri" w:hAnsi="Times New Roman" w:cs="Times New Roman"/>
          <w:lang w:val="sr-Cyrl-RS"/>
          <w14:ligatures w14:val="none"/>
        </w:rPr>
      </w:pPr>
    </w:p>
    <w:p w14:paraId="01351F01" w14:textId="77777777" w:rsidR="0057610F" w:rsidRPr="0057610F" w:rsidRDefault="0057610F" w:rsidP="004E5A33">
      <w:pPr>
        <w:spacing w:line="256" w:lineRule="auto"/>
        <w:ind w:firstLine="720"/>
        <w:jc w:val="both"/>
        <w:rPr>
          <w:rFonts w:ascii="Times New Roman" w:eastAsia="Calibri" w:hAnsi="Times New Roman" w:cs="Times New Roman"/>
          <w:lang w:val="sr-Cyrl-RS"/>
          <w14:ligatures w14:val="none"/>
        </w:rPr>
      </w:pPr>
      <w:r w:rsidRPr="0057610F">
        <w:rPr>
          <w:rFonts w:ascii="Times New Roman" w:eastAsia="Calibri" w:hAnsi="Times New Roman" w:cs="Times New Roman"/>
          <w:lang w:val="sr-Cyrl-RS"/>
          <w14:ligatures w14:val="none"/>
        </w:rPr>
        <w:t>The result indicator "Draft financial report prepared in accordance with IPSAS for the cash basis submitted to the Ministry of Finance of the RS" was not achieved in the year in which it had a defined target value, bearing in mind that the implementation of the cash basis standard was postponed starting from the preparation of financial reports for the year 2025.</w:t>
      </w:r>
    </w:p>
    <w:p w14:paraId="6DF30755" w14:textId="77777777" w:rsidR="00641172" w:rsidRPr="008B1397" w:rsidRDefault="00641172" w:rsidP="004E5A33">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The regulation on the application of international accounting standards for the public sector delayed the application of standards on a cash basis, starting with the preparation of financial reports for the year 2025, therefore it was not possible to achieve indicators at the level of the measure.</w:t>
      </w:r>
    </w:p>
    <w:p w14:paraId="1F6D3AE6" w14:textId="77777777" w:rsidR="00641172" w:rsidRPr="008B1397" w:rsidRDefault="00641172" w:rsidP="004E5A33">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order to fully cover the budget users of the budget of the Republic of Serbia and the local government budget in 2025, elementary education institutions and direct and part of the indirect users of the local government budget are included in the budget execution system. Uniform reporting on a cash basis requires all users to be included in the budget execution system, which represents progress in this area, although this activity is not included in this measure. For this reason, the Regulation on the application of international accounting standards for the public sector postponed the application of IAS JS, which affected the postponement of the implementation of this measure in 2025. This resulted in the obligation of financial reporting according to IAS-JS for the cash basis being applied to the financial statements for the year 2025 that are submitted in the year 2026.</w:t>
      </w:r>
    </w:p>
    <w:p w14:paraId="3C7941AD" w14:textId="77777777" w:rsidR="00641172" w:rsidRPr="008B1397" w:rsidRDefault="00641172" w:rsidP="004E5A33">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Although the result indicator at the measure level was not achieved, there was significant progress in the form of the adopted Regulation on the application of international accounting standards for the public sector, as well as 2 regulations adopted in 2025 as part of the amendment of the relevant national regulation, in order to harmonize with IPSAS for the cash basis.</w:t>
      </w:r>
    </w:p>
    <w:p w14:paraId="12D96590" w14:textId="77777777" w:rsidR="00267B1B" w:rsidRPr="00267B1B" w:rsidRDefault="00267B1B" w:rsidP="004E5A33">
      <w:pPr>
        <w:spacing w:line="256" w:lineRule="auto"/>
        <w:ind w:firstLine="720"/>
        <w:jc w:val="both"/>
        <w:rPr>
          <w:rFonts w:ascii="Times New Roman" w:eastAsia="Calibri" w:hAnsi="Times New Roman" w:cs="Times New Roman"/>
          <w:lang w:val="sr-Cyrl-RS"/>
          <w14:ligatures w14:val="none"/>
        </w:rPr>
      </w:pPr>
      <w:r w:rsidRPr="00267B1B">
        <w:rPr>
          <w:rFonts w:ascii="Times New Roman" w:eastAsia="Calibri" w:hAnsi="Times New Roman" w:cs="Times New Roman"/>
          <w:lang w:val="sr-Cyrl-RS"/>
          <w14:ligatures w14:val="none"/>
        </w:rPr>
        <w:t>Bearing in mind the above, the measure remains relevant for the achievement of a specific objective, because activities in the area of ​​regulatory harmonisation, expansion of the scope of users and preparations for financial reporting according to IPSAS for cash basis are a prerequisite for the achievement of the goal in the following period.</w:t>
      </w:r>
    </w:p>
    <w:p w14:paraId="391A0560" w14:textId="77777777" w:rsidR="00641172" w:rsidRDefault="00641172" w:rsidP="006F0BF0">
      <w:pPr>
        <w:spacing w:line="256" w:lineRule="auto"/>
        <w:ind w:firstLine="720"/>
        <w:jc w:val="both"/>
        <w:rPr>
          <w:rFonts w:ascii="Times New Roman" w:eastAsia="Calibri" w:hAnsi="Times New Roman" w:cs="Times New Roman"/>
          <w:lang w:val="en-US"/>
          <w14:ligatures w14:val="none"/>
        </w:rPr>
      </w:pPr>
      <w:r w:rsidRPr="008B1397">
        <w:rPr>
          <w:rFonts w:ascii="Times New Roman" w:eastAsia="Calibri" w:hAnsi="Times New Roman" w:cs="Times New Roman"/>
          <w:lang w:val="sr-Cyrl-RS"/>
          <w14:ligatures w14:val="none"/>
        </w:rPr>
        <w:t>For the implementation of activities within the measure, direct donor funds were used for the preparation of the Rulebook on the accounting policies of users of budget funds and users of funds for OOSO and the Rulebook on the method of preparation and compilation and submission of financial reports of users of budget funds and users of funds for OOSO, and other activities were carried out with the own capacities of the Treasury Administration, without spending additional budget funds.</w:t>
      </w:r>
    </w:p>
    <w:p w14:paraId="364D1954" w14:textId="77777777" w:rsidR="00467C20" w:rsidRDefault="00467C20" w:rsidP="006F0BF0">
      <w:pPr>
        <w:spacing w:line="256" w:lineRule="auto"/>
        <w:ind w:firstLine="720"/>
        <w:jc w:val="both"/>
        <w:rPr>
          <w:rFonts w:ascii="Times New Roman" w:eastAsia="Calibri" w:hAnsi="Times New Roman" w:cs="Times New Roman"/>
          <w:lang w:val="en-US"/>
          <w14:ligatures w14:val="none"/>
        </w:rPr>
      </w:pPr>
    </w:p>
    <w:p w14:paraId="46D1831B" w14:textId="77777777" w:rsidR="00467C20" w:rsidRDefault="00467C20" w:rsidP="006F0BF0">
      <w:pPr>
        <w:spacing w:line="256" w:lineRule="auto"/>
        <w:ind w:firstLine="720"/>
        <w:jc w:val="both"/>
        <w:rPr>
          <w:rFonts w:ascii="Times New Roman" w:eastAsia="Calibri" w:hAnsi="Times New Roman" w:cs="Times New Roman"/>
          <w:lang w:val="en-US"/>
          <w14:ligatures w14:val="none"/>
        </w:rPr>
      </w:pPr>
    </w:p>
    <w:p w14:paraId="6E9F899C" w14:textId="77777777" w:rsidR="00467C20" w:rsidRDefault="00467C20" w:rsidP="006F0BF0">
      <w:pPr>
        <w:spacing w:line="256" w:lineRule="auto"/>
        <w:ind w:firstLine="720"/>
        <w:jc w:val="both"/>
        <w:rPr>
          <w:rFonts w:ascii="Times New Roman" w:eastAsia="Calibri" w:hAnsi="Times New Roman" w:cs="Times New Roman"/>
          <w:lang w:val="en-US"/>
          <w14:ligatures w14:val="none"/>
        </w:rPr>
      </w:pPr>
    </w:p>
    <w:p w14:paraId="796F079A" w14:textId="77777777" w:rsidR="00467C20" w:rsidRDefault="00467C20" w:rsidP="006F0BF0">
      <w:pPr>
        <w:spacing w:line="256" w:lineRule="auto"/>
        <w:ind w:firstLine="720"/>
        <w:jc w:val="both"/>
        <w:rPr>
          <w:rFonts w:ascii="Times New Roman" w:eastAsia="Calibri" w:hAnsi="Times New Roman" w:cs="Times New Roman"/>
          <w:lang w:val="en-US"/>
          <w14:ligatures w14:val="none"/>
        </w:rPr>
      </w:pPr>
    </w:p>
    <w:p w14:paraId="3383885F" w14:textId="77777777" w:rsidR="00467C20" w:rsidRDefault="00467C20" w:rsidP="006F0BF0">
      <w:pPr>
        <w:spacing w:line="256" w:lineRule="auto"/>
        <w:ind w:firstLine="720"/>
        <w:jc w:val="both"/>
        <w:rPr>
          <w:rFonts w:ascii="Times New Roman" w:eastAsia="Calibri" w:hAnsi="Times New Roman" w:cs="Times New Roman"/>
          <w:lang w:val="en-US"/>
          <w14:ligatures w14:val="none"/>
        </w:rPr>
      </w:pPr>
    </w:p>
    <w:p w14:paraId="58136DDE"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7C6AB0D1"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240E3398"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4FDE16D3"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161E76DE"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29C2F0CD"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369CAD42"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33AF8D13"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70C3F268"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28377E30"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73F0BB65"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7552083A"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671280B2" w14:textId="77777777" w:rsidR="00264F2E" w:rsidRDefault="00264F2E" w:rsidP="006F0BF0">
      <w:pPr>
        <w:spacing w:line="256" w:lineRule="auto"/>
        <w:ind w:firstLine="720"/>
        <w:jc w:val="both"/>
        <w:rPr>
          <w:rFonts w:ascii="Times New Roman" w:eastAsia="Calibri" w:hAnsi="Times New Roman" w:cs="Times New Roman"/>
          <w:lang w:val="en-US"/>
          <w14:ligatures w14:val="none"/>
        </w:rPr>
      </w:pPr>
    </w:p>
    <w:p w14:paraId="4BE00E98" w14:textId="77777777" w:rsidR="00264F2E" w:rsidRPr="00467C20" w:rsidRDefault="00264F2E" w:rsidP="006F0BF0">
      <w:pPr>
        <w:spacing w:line="256" w:lineRule="auto"/>
        <w:ind w:firstLine="720"/>
        <w:jc w:val="both"/>
        <w:rPr>
          <w:rFonts w:ascii="Times New Roman" w:eastAsia="Calibri" w:hAnsi="Times New Roman" w:cs="Times New Roman"/>
          <w:lang w:val="en-US"/>
          <w14:ligatures w14:val="none"/>
        </w:rPr>
      </w:pPr>
    </w:p>
    <w:p w14:paraId="6D9CC691" w14:textId="77777777" w:rsidR="000B6CC3" w:rsidRPr="008548AE" w:rsidRDefault="0067689A" w:rsidP="008548AE">
      <w:pPr>
        <w:pStyle w:val="Heading1"/>
        <w:jc w:val="center"/>
        <w:rPr>
          <w:rFonts w:ascii="Times New Roman" w:eastAsia="Calibri" w:hAnsi="Times New Roman" w:cs="Times New Roman"/>
          <w:sz w:val="32"/>
          <w:szCs w:val="32"/>
          <w:lang w:val="sr-Cyrl-RS"/>
        </w:rPr>
      </w:pPr>
      <w:bookmarkStart w:id="12" w:name="_Toc233629229"/>
      <w:r w:rsidRPr="008548AE">
        <w:rPr>
          <w:rFonts w:ascii="Times New Roman" w:eastAsia="Calibri" w:hAnsi="Times New Roman" w:cs="Times New Roman"/>
          <w:sz w:val="32"/>
          <w:szCs w:val="32"/>
          <w:lang w:val="sr-Cyrl-RS"/>
        </w:rPr>
        <w:t>SPECIAL OBJECTIVE VI - STRENGTHENING EXTERNAL OVERSIGHT OF PUBLIC FINANCES</w:t>
      </w:r>
      <w:bookmarkEnd w:id="12"/>
    </w:p>
    <w:p w14:paraId="327A915A" w14:textId="77777777" w:rsidR="00932853" w:rsidRDefault="00932853" w:rsidP="00B11F83">
      <w:pPr>
        <w:autoSpaceDE w:val="0"/>
        <w:autoSpaceDN w:val="0"/>
        <w:adjustRightInd w:val="0"/>
        <w:spacing w:after="0" w:line="240" w:lineRule="auto"/>
        <w:jc w:val="center"/>
        <w:rPr>
          <w:rFonts w:ascii="Times New Roman" w:eastAsia="Calibri" w:hAnsi="Times New Roman" w:cs="Times New Roman"/>
          <w:b/>
          <w:bCs/>
          <w:color w:val="365F91"/>
          <w:szCs w:val="22"/>
          <w:lang w:val="sr-Cyrl-R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96"/>
        <w:gridCol w:w="537"/>
        <w:gridCol w:w="1330"/>
        <w:gridCol w:w="1584"/>
      </w:tblGrid>
      <w:tr w:rsidR="00932853" w:rsidRPr="00932853" w14:paraId="5010500D" w14:textId="77777777" w:rsidTr="00932853">
        <w:trPr>
          <w:tblHeader/>
        </w:trPr>
        <w:tc>
          <w:tcPr>
            <w:tcW w:w="0" w:type="auto"/>
            <w:shd w:val="clear" w:color="auto" w:fill="9CC2E5" w:themeFill="accent1" w:themeFillTint="99"/>
            <w:vAlign w:val="center"/>
            <w:hideMark/>
          </w:tcPr>
          <w:p w14:paraId="2326FA18" w14:textId="77777777" w:rsidR="00932853" w:rsidRPr="00932853" w:rsidRDefault="00932853" w:rsidP="00932853">
            <w:pPr>
              <w:spacing w:after="0" w:line="240" w:lineRule="auto"/>
              <w:jc w:val="center"/>
              <w:rPr>
                <w:rFonts w:ascii="Times New Roman" w:eastAsia="Times New Roman" w:hAnsi="Times New Roman" w:cs="Times New Roman"/>
                <w:b/>
                <w:bCs/>
                <w:lang w:val="sr-Cyrl-RS" w:eastAsia="en-GB"/>
                <w14:ligatures w14:val="none"/>
              </w:rPr>
            </w:pPr>
            <w:r w:rsidRPr="00932853">
              <w:rPr>
                <w:rFonts w:ascii="Times New Roman" w:eastAsia="Times New Roman" w:hAnsi="Times New Roman" w:cs="Times New Roman"/>
                <w:b/>
                <w:bCs/>
                <w:lang w:val="sr-Cyrl-RS" w:eastAsia="en-GB"/>
                <w14:ligatures w14:val="none"/>
              </w:rPr>
              <w:t>Indicator at the level of a specific objective</w:t>
            </w:r>
          </w:p>
        </w:tc>
        <w:tc>
          <w:tcPr>
            <w:tcW w:w="0" w:type="auto"/>
            <w:shd w:val="clear" w:color="auto" w:fill="9CC2E5" w:themeFill="accent1" w:themeFillTint="99"/>
            <w:vAlign w:val="center"/>
            <w:hideMark/>
          </w:tcPr>
          <w:p w14:paraId="295540BD" w14:textId="77777777" w:rsidR="00932853" w:rsidRPr="00932853" w:rsidRDefault="00932853" w:rsidP="00932853">
            <w:pPr>
              <w:spacing w:after="0" w:line="240" w:lineRule="auto"/>
              <w:jc w:val="right"/>
              <w:rPr>
                <w:rFonts w:ascii="Times New Roman" w:eastAsia="Times New Roman" w:hAnsi="Times New Roman" w:cs="Times New Roman"/>
                <w:b/>
                <w:bCs/>
                <w:lang w:val="sr-Cyrl-RS" w:eastAsia="en-GB"/>
                <w14:ligatures w14:val="none"/>
              </w:rPr>
            </w:pPr>
            <w:r w:rsidRPr="00932853">
              <w:rPr>
                <w:rFonts w:ascii="Times New Roman" w:eastAsia="Times New Roman" w:hAnsi="Times New Roman" w:cs="Times New Roman"/>
                <w:b/>
                <w:bCs/>
                <w:lang w:val="sr-Cyrl-RS" w:eastAsia="en-GB"/>
                <w14:ligatures w14:val="none"/>
              </w:rPr>
              <w:t>Year</w:t>
            </w:r>
          </w:p>
        </w:tc>
        <w:tc>
          <w:tcPr>
            <w:tcW w:w="0" w:type="auto"/>
            <w:shd w:val="clear" w:color="auto" w:fill="9CC2E5" w:themeFill="accent1" w:themeFillTint="99"/>
            <w:vAlign w:val="center"/>
            <w:hideMark/>
          </w:tcPr>
          <w:p w14:paraId="46A15A37" w14:textId="77777777" w:rsidR="00932853" w:rsidRPr="00932853" w:rsidRDefault="00932853" w:rsidP="00932853">
            <w:pPr>
              <w:spacing w:after="0" w:line="240" w:lineRule="auto"/>
              <w:jc w:val="right"/>
              <w:rPr>
                <w:rFonts w:ascii="Times New Roman" w:eastAsia="Times New Roman" w:hAnsi="Times New Roman" w:cs="Times New Roman"/>
                <w:b/>
                <w:bCs/>
                <w:lang w:val="sr-Cyrl-RS" w:eastAsia="en-GB"/>
                <w14:ligatures w14:val="none"/>
              </w:rPr>
            </w:pPr>
            <w:r w:rsidRPr="00932853">
              <w:rPr>
                <w:rFonts w:ascii="Times New Roman" w:eastAsia="Times New Roman" w:hAnsi="Times New Roman" w:cs="Times New Roman"/>
                <w:b/>
                <w:bCs/>
                <w:lang w:val="sr-Cyrl-RS" w:eastAsia="en-GB"/>
                <w14:ligatures w14:val="none"/>
              </w:rPr>
              <w:t>Target value</w:t>
            </w:r>
          </w:p>
        </w:tc>
        <w:tc>
          <w:tcPr>
            <w:tcW w:w="0" w:type="auto"/>
            <w:shd w:val="clear" w:color="auto" w:fill="9CC2E5" w:themeFill="accent1" w:themeFillTint="99"/>
            <w:vAlign w:val="center"/>
            <w:hideMark/>
          </w:tcPr>
          <w:p w14:paraId="370EDBBA" w14:textId="77777777" w:rsidR="00932853" w:rsidRPr="00932853" w:rsidRDefault="00932853" w:rsidP="00932853">
            <w:pPr>
              <w:spacing w:after="0" w:line="240" w:lineRule="auto"/>
              <w:jc w:val="right"/>
              <w:rPr>
                <w:rFonts w:ascii="Times New Roman" w:eastAsia="Times New Roman" w:hAnsi="Times New Roman" w:cs="Times New Roman"/>
                <w:b/>
                <w:bCs/>
                <w:lang w:val="sr-Cyrl-RS" w:eastAsia="en-GB"/>
                <w14:ligatures w14:val="none"/>
              </w:rPr>
            </w:pPr>
            <w:r w:rsidRPr="00932853">
              <w:rPr>
                <w:rFonts w:ascii="Times New Roman" w:eastAsia="Times New Roman" w:hAnsi="Times New Roman" w:cs="Times New Roman"/>
                <w:b/>
                <w:bCs/>
                <w:lang w:val="sr-Cyrl-RS" w:eastAsia="en-GB"/>
                <w14:ligatures w14:val="none"/>
              </w:rPr>
              <w:t>Achieved value</w:t>
            </w:r>
          </w:p>
        </w:tc>
      </w:tr>
      <w:tr w:rsidR="0060040E" w:rsidRPr="00932853" w14:paraId="2AB8C2AC" w14:textId="77777777" w:rsidTr="00932853">
        <w:tc>
          <w:tcPr>
            <w:tcW w:w="0" w:type="auto"/>
            <w:vMerge w:val="restart"/>
            <w:vAlign w:val="center"/>
            <w:hideMark/>
          </w:tcPr>
          <w:p w14:paraId="1CDBE8A1" w14:textId="77777777" w:rsidR="0060040E" w:rsidRPr="0060040E" w:rsidRDefault="0060040E" w:rsidP="00932853">
            <w:pPr>
              <w:spacing w:after="0" w:line="240" w:lineRule="auto"/>
              <w:rPr>
                <w:rFonts w:ascii="Times New Roman" w:eastAsia="Times New Roman" w:hAnsi="Times New Roman" w:cs="Times New Roman"/>
                <w:b/>
                <w:bCs/>
                <w:lang w:val="sr-Cyrl-RS" w:eastAsia="en-GB"/>
                <w14:ligatures w14:val="none"/>
              </w:rPr>
            </w:pPr>
            <w:r w:rsidRPr="0060040E">
              <w:rPr>
                <w:rFonts w:ascii="Times New Roman" w:eastAsia="Times New Roman" w:hAnsi="Times New Roman" w:cs="Times New Roman"/>
                <w:b/>
                <w:bCs/>
                <w:lang w:val="sr-Cyrl-RS" w:eastAsia="en-GB"/>
                <w14:ligatures w14:val="none"/>
              </w:rPr>
              <w:t>Number of reviewed audit reports</w:t>
            </w:r>
          </w:p>
        </w:tc>
        <w:tc>
          <w:tcPr>
            <w:tcW w:w="0" w:type="auto"/>
            <w:vAlign w:val="center"/>
            <w:hideMark/>
          </w:tcPr>
          <w:p w14:paraId="3B781D2A"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2021</w:t>
            </w:r>
          </w:p>
        </w:tc>
        <w:tc>
          <w:tcPr>
            <w:tcW w:w="0" w:type="auto"/>
            <w:vAlign w:val="center"/>
            <w:hideMark/>
          </w:tcPr>
          <w:p w14:paraId="0A03A256"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205</w:t>
            </w:r>
          </w:p>
        </w:tc>
        <w:tc>
          <w:tcPr>
            <w:tcW w:w="0" w:type="auto"/>
            <w:vAlign w:val="center"/>
            <w:hideMark/>
          </w:tcPr>
          <w:p w14:paraId="48777B0F" w14:textId="77777777" w:rsidR="0060040E" w:rsidRPr="00FF526A" w:rsidRDefault="00BD0CBE" w:rsidP="00932853">
            <w:pPr>
              <w:spacing w:after="0" w:line="240" w:lineRule="auto"/>
              <w:jc w:val="right"/>
              <w:rPr>
                <w:rFonts w:ascii="Times New Roman" w:eastAsia="Times New Roman" w:hAnsi="Times New Roman" w:cs="Times New Roman"/>
                <w:lang w:val="en-US" w:eastAsia="en-GB"/>
                <w14:ligatures w14:val="none"/>
              </w:rPr>
            </w:pPr>
            <w:r w:rsidRPr="00FF526A">
              <w:rPr>
                <w:rFonts w:ascii="Times New Roman" w:eastAsia="Times New Roman" w:hAnsi="Times New Roman" w:cs="Times New Roman"/>
                <w:lang w:val="en-US" w:eastAsia="en-GB"/>
                <w14:ligatures w14:val="none"/>
              </w:rPr>
              <w:t>205</w:t>
            </w:r>
          </w:p>
        </w:tc>
      </w:tr>
      <w:tr w:rsidR="0060040E" w:rsidRPr="00932853" w14:paraId="53DA1F87" w14:textId="77777777" w:rsidTr="00932853">
        <w:tc>
          <w:tcPr>
            <w:tcW w:w="0" w:type="auto"/>
            <w:vMerge/>
            <w:vAlign w:val="center"/>
            <w:hideMark/>
          </w:tcPr>
          <w:p w14:paraId="0D10FA42"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p>
        </w:tc>
        <w:tc>
          <w:tcPr>
            <w:tcW w:w="0" w:type="auto"/>
            <w:vAlign w:val="center"/>
            <w:hideMark/>
          </w:tcPr>
          <w:p w14:paraId="5F5D6B2D"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2022</w:t>
            </w:r>
          </w:p>
        </w:tc>
        <w:tc>
          <w:tcPr>
            <w:tcW w:w="0" w:type="auto"/>
            <w:vAlign w:val="center"/>
            <w:hideMark/>
          </w:tcPr>
          <w:p w14:paraId="1DE575D7"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215</w:t>
            </w:r>
          </w:p>
        </w:tc>
        <w:tc>
          <w:tcPr>
            <w:tcW w:w="0" w:type="auto"/>
            <w:vAlign w:val="center"/>
            <w:hideMark/>
          </w:tcPr>
          <w:p w14:paraId="06E68071"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145</w:t>
            </w:r>
          </w:p>
        </w:tc>
      </w:tr>
      <w:tr w:rsidR="0060040E" w:rsidRPr="00932853" w14:paraId="0CB7059F" w14:textId="77777777" w:rsidTr="00932853">
        <w:tc>
          <w:tcPr>
            <w:tcW w:w="0" w:type="auto"/>
            <w:vMerge/>
            <w:vAlign w:val="center"/>
            <w:hideMark/>
          </w:tcPr>
          <w:p w14:paraId="71F86BE3"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p>
        </w:tc>
        <w:tc>
          <w:tcPr>
            <w:tcW w:w="0" w:type="auto"/>
            <w:vAlign w:val="center"/>
            <w:hideMark/>
          </w:tcPr>
          <w:p w14:paraId="624FC83E"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2023</w:t>
            </w:r>
          </w:p>
        </w:tc>
        <w:tc>
          <w:tcPr>
            <w:tcW w:w="0" w:type="auto"/>
            <w:vAlign w:val="center"/>
            <w:hideMark/>
          </w:tcPr>
          <w:p w14:paraId="29C1D834"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225</w:t>
            </w:r>
          </w:p>
        </w:tc>
        <w:tc>
          <w:tcPr>
            <w:tcW w:w="0" w:type="auto"/>
            <w:vAlign w:val="center"/>
            <w:hideMark/>
          </w:tcPr>
          <w:p w14:paraId="0C900907"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251</w:t>
            </w:r>
          </w:p>
        </w:tc>
      </w:tr>
      <w:tr w:rsidR="0060040E" w:rsidRPr="00932853" w14:paraId="7C135DE2" w14:textId="77777777" w:rsidTr="00932853">
        <w:tc>
          <w:tcPr>
            <w:tcW w:w="0" w:type="auto"/>
            <w:vMerge/>
            <w:vAlign w:val="center"/>
            <w:hideMark/>
          </w:tcPr>
          <w:p w14:paraId="645F6174"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p>
        </w:tc>
        <w:tc>
          <w:tcPr>
            <w:tcW w:w="0" w:type="auto"/>
            <w:vAlign w:val="center"/>
            <w:hideMark/>
          </w:tcPr>
          <w:p w14:paraId="3A2A7DED"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2024</w:t>
            </w:r>
          </w:p>
        </w:tc>
        <w:tc>
          <w:tcPr>
            <w:tcW w:w="0" w:type="auto"/>
            <w:vAlign w:val="center"/>
            <w:hideMark/>
          </w:tcPr>
          <w:p w14:paraId="0B2DBE53"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235</w:t>
            </w:r>
          </w:p>
        </w:tc>
        <w:tc>
          <w:tcPr>
            <w:tcW w:w="0" w:type="auto"/>
            <w:vAlign w:val="center"/>
            <w:hideMark/>
          </w:tcPr>
          <w:p w14:paraId="74EB25BB"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0</w:t>
            </w:r>
          </w:p>
        </w:tc>
      </w:tr>
      <w:tr w:rsidR="0060040E" w:rsidRPr="00932853" w14:paraId="2598DFE1" w14:textId="77777777" w:rsidTr="00932853">
        <w:tc>
          <w:tcPr>
            <w:tcW w:w="0" w:type="auto"/>
            <w:vMerge/>
            <w:vAlign w:val="center"/>
            <w:hideMark/>
          </w:tcPr>
          <w:p w14:paraId="0E05971F"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p>
        </w:tc>
        <w:tc>
          <w:tcPr>
            <w:tcW w:w="0" w:type="auto"/>
            <w:vAlign w:val="center"/>
            <w:hideMark/>
          </w:tcPr>
          <w:p w14:paraId="07834905"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2025</w:t>
            </w:r>
          </w:p>
        </w:tc>
        <w:tc>
          <w:tcPr>
            <w:tcW w:w="0" w:type="auto"/>
            <w:vAlign w:val="center"/>
            <w:hideMark/>
          </w:tcPr>
          <w:p w14:paraId="5295069A"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245</w:t>
            </w:r>
          </w:p>
        </w:tc>
        <w:tc>
          <w:tcPr>
            <w:tcW w:w="0" w:type="auto"/>
            <w:vAlign w:val="center"/>
            <w:hideMark/>
          </w:tcPr>
          <w:p w14:paraId="3A2B2E38" w14:textId="77777777" w:rsidR="0060040E" w:rsidRPr="00932853" w:rsidRDefault="0060040E" w:rsidP="00932853">
            <w:pPr>
              <w:spacing w:after="0" w:line="240" w:lineRule="auto"/>
              <w:jc w:val="right"/>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5</w:t>
            </w:r>
          </w:p>
        </w:tc>
      </w:tr>
    </w:tbl>
    <w:p w14:paraId="74D183CA" w14:textId="77777777" w:rsidR="00932853" w:rsidRPr="00932853" w:rsidRDefault="00932853" w:rsidP="0093285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 xml:space="preserve">The outcome indicator at the level of Special Objective VI refers to the number of reviewed audit reports. In the reporting period, the indicator was not achieved in all years of the implementation of the Programme. The target value was achieved in 2023, when 251 audit reports were considered, while in 2022, 2024 and 2025 the target values ​​were not reached. In 2025, the achieved value was 5, compared to the target value of 245, and the reason for the deviation was </w:t>
      </w:r>
      <w:r w:rsidRPr="00932853">
        <w:rPr>
          <w:rFonts w:ascii="Times New Roman" w:eastAsia="Times New Roman" w:hAnsi="Times New Roman" w:cs="Times New Roman"/>
          <w:lang w:val="sr-Cyrl-RS" w:eastAsia="en-GB"/>
          <w14:ligatures w14:val="none"/>
        </w:rPr>
        <w:lastRenderedPageBreak/>
        <w:t>the lack of support for holding sessions outside the seat of the National Assembly where audit reports are considered.</w:t>
      </w:r>
    </w:p>
    <w:p w14:paraId="24B9E069" w14:textId="77777777" w:rsidR="006F0BF0" w:rsidRDefault="00932853" w:rsidP="001E68B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932853">
        <w:rPr>
          <w:rFonts w:ascii="Times New Roman" w:eastAsia="Times New Roman" w:hAnsi="Times New Roman" w:cs="Times New Roman"/>
          <w:lang w:val="sr-Cyrl-RS" w:eastAsia="en-GB"/>
          <w14:ligatures w14:val="none"/>
        </w:rPr>
        <w:t>Although the outcome indicator was not achieved in all years of the implementation of the Programme, the activities within Special Objective VI contributed to the strengthening of external oversight of public finances through the improvement of the scope, quality and impact of external audits, regular review of annual reports on the work of the SAI, consideration of recommendations for changes to the law in the presence of the SAI and the Ministry of Finance, as well as by improving the transparency of the budget process through public hearings.</w:t>
      </w:r>
    </w:p>
    <w:p w14:paraId="09E2D1B9" w14:textId="77777777" w:rsidR="00932853" w:rsidRPr="00467C20" w:rsidRDefault="00932853" w:rsidP="00467C20">
      <w:pPr>
        <w:spacing w:line="259" w:lineRule="auto"/>
        <w:jc w:val="both"/>
        <w:rPr>
          <w:rFonts w:ascii="Times New Roman" w:eastAsia="Calibri" w:hAnsi="Times New Roman" w:cs="Times New Roman"/>
          <w:b/>
          <w:u w:val="single"/>
          <w:lang w:val="sr-Cyrl-RS"/>
          <w14:ligatures w14:val="none"/>
        </w:rPr>
      </w:pPr>
      <w:r w:rsidRPr="00467C20">
        <w:rPr>
          <w:rFonts w:ascii="Times New Roman" w:eastAsia="Calibri" w:hAnsi="Times New Roman" w:cs="Times New Roman"/>
          <w:b/>
          <w:u w:val="single"/>
          <w:lang w:val="sr-Cyrl-RS"/>
          <w14:ligatures w14:val="none"/>
        </w:rPr>
        <w:t>Measure 6.1: Improving the scope, quality and impact of external audits in accordance with the Strategic Plan of the State Audit Institution (DRI)</w:t>
      </w:r>
    </w:p>
    <w:p w14:paraId="5D9454D0" w14:textId="77777777" w:rsidR="0067689A" w:rsidRPr="008B1397" w:rsidRDefault="0067689A" w:rsidP="005A050E">
      <w:pPr>
        <w:autoSpaceDE w:val="0"/>
        <w:autoSpaceDN w:val="0"/>
        <w:adjustRightInd w:val="0"/>
        <w:spacing w:after="0" w:line="240" w:lineRule="auto"/>
        <w:rPr>
          <w:rFonts w:ascii="Times New Roman" w:eastAsia="Calibri" w:hAnsi="Times New Roman" w:cs="Times New Roman"/>
          <w:b/>
          <w:bCs/>
          <w:color w:val="365F91"/>
          <w:szCs w:val="22"/>
          <w:lang w:val="sr-Cyrl-RS"/>
          <w14:ligatures w14:val="none"/>
        </w:rPr>
      </w:pPr>
    </w:p>
    <w:tbl>
      <w:tblPr>
        <w:tblStyle w:val="TableGrid"/>
        <w:tblW w:w="0" w:type="auto"/>
        <w:tblInd w:w="0" w:type="dxa"/>
        <w:tblLook w:val="04A0" w:firstRow="1" w:lastRow="0" w:firstColumn="1" w:lastColumn="0" w:noHBand="0" w:noVBand="1"/>
      </w:tblPr>
      <w:tblGrid>
        <w:gridCol w:w="2337"/>
        <w:gridCol w:w="2337"/>
        <w:gridCol w:w="2338"/>
        <w:gridCol w:w="2338"/>
      </w:tblGrid>
      <w:tr w:rsidR="00641172" w:rsidRPr="008B1397" w14:paraId="2A354762" w14:textId="77777777">
        <w:tc>
          <w:tcPr>
            <w:tcW w:w="9350" w:type="dxa"/>
            <w:gridSpan w:val="4"/>
            <w:tcBorders>
              <w:top w:val="single" w:sz="4" w:space="0" w:color="auto"/>
              <w:left w:val="single" w:sz="4" w:space="0" w:color="auto"/>
              <w:bottom w:val="single" w:sz="4" w:space="0" w:color="auto"/>
              <w:right w:val="single" w:sz="4" w:space="0" w:color="auto"/>
            </w:tcBorders>
            <w:vAlign w:val="center"/>
            <w:hideMark/>
          </w:tcPr>
          <w:p w14:paraId="1E8688A8" w14:textId="77777777" w:rsidR="00641172" w:rsidRPr="008B1397" w:rsidRDefault="00641172" w:rsidP="00641172">
            <w:pPr>
              <w:spacing w:after="160" w:line="256" w:lineRule="auto"/>
              <w:rPr>
                <w:rFonts w:ascii="Times New Roman" w:hAnsi="Times New Roman"/>
                <w:b/>
                <w:i/>
                <w:lang w:val="sr-Cyrl-RS"/>
              </w:rPr>
            </w:pPr>
          </w:p>
        </w:tc>
      </w:tr>
      <w:tr w:rsidR="00641172" w:rsidRPr="008B1397" w14:paraId="1E5081B5" w14:textId="77777777" w:rsidTr="00141C0E">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90056D6" w14:textId="77777777" w:rsidR="00641172" w:rsidRPr="008B1397" w:rsidRDefault="00641172" w:rsidP="00641172">
            <w:pPr>
              <w:spacing w:after="160" w:line="256" w:lineRule="auto"/>
              <w:rPr>
                <w:rFonts w:ascii="Times New Roman" w:hAnsi="Times New Roman"/>
                <w:b/>
                <w:lang w:val="sr-Cyrl-RS"/>
              </w:rPr>
            </w:pPr>
            <w:r w:rsidRPr="008B1397">
              <w:rPr>
                <w:rFonts w:ascii="Times New Roman" w:hAnsi="Times New Roman"/>
                <w:b/>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D104095" w14:textId="77777777" w:rsidR="00641172" w:rsidRPr="008B1397" w:rsidRDefault="00641172" w:rsidP="00641172">
            <w:pPr>
              <w:spacing w:after="160" w:line="256" w:lineRule="auto"/>
              <w:rPr>
                <w:rFonts w:ascii="Times New Roman" w:hAnsi="Times New Roman"/>
                <w:b/>
                <w:lang w:val="sr-Cyrl-RS"/>
              </w:rPr>
            </w:pPr>
            <w:r w:rsidRPr="008B1397">
              <w:rPr>
                <w:rFonts w:ascii="Times New Roman" w:hAnsi="Times New Roman"/>
                <w:b/>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38A8318" w14:textId="77777777" w:rsidR="00641172" w:rsidRPr="008B1397" w:rsidRDefault="00641172" w:rsidP="00641172">
            <w:pPr>
              <w:spacing w:after="160" w:line="256" w:lineRule="auto"/>
              <w:rPr>
                <w:rFonts w:ascii="Times New Roman" w:hAnsi="Times New Roman"/>
                <w:b/>
                <w:lang w:val="sr-Cyrl-RS"/>
              </w:rPr>
            </w:pPr>
            <w:r w:rsidRPr="008B1397">
              <w:rPr>
                <w:rFonts w:ascii="Times New Roman" w:hAnsi="Times New Roman"/>
                <w:b/>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3D4305F" w14:textId="77777777" w:rsidR="00641172" w:rsidRPr="008B1397" w:rsidRDefault="00641172" w:rsidP="00641172">
            <w:pPr>
              <w:spacing w:after="160" w:line="256" w:lineRule="auto"/>
              <w:rPr>
                <w:rFonts w:ascii="Times New Roman" w:hAnsi="Times New Roman"/>
                <w:b/>
                <w:lang w:val="sr-Cyrl-RS"/>
              </w:rPr>
            </w:pPr>
            <w:r w:rsidRPr="008B1397">
              <w:rPr>
                <w:rFonts w:ascii="Times New Roman" w:hAnsi="Times New Roman"/>
                <w:b/>
                <w:lang w:val="sr-Cyrl-RS"/>
              </w:rPr>
              <w:t>Achieved value</w:t>
            </w:r>
          </w:p>
        </w:tc>
      </w:tr>
      <w:tr w:rsidR="00641172" w:rsidRPr="008B1397" w14:paraId="32FA3A34"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118CC463" w14:textId="77777777" w:rsidR="00641172" w:rsidRPr="0060040E" w:rsidRDefault="00641172" w:rsidP="00641172">
            <w:pPr>
              <w:spacing w:after="160" w:line="256" w:lineRule="auto"/>
              <w:rPr>
                <w:rFonts w:ascii="Times New Roman" w:hAnsi="Times New Roman"/>
                <w:b/>
                <w:bCs/>
                <w:lang w:val="sr-Cyrl-RS"/>
              </w:rPr>
            </w:pPr>
            <w:r w:rsidRPr="0060040E">
              <w:rPr>
                <w:rFonts w:ascii="Times New Roman" w:hAnsi="Times New Roman"/>
                <w:b/>
                <w:bCs/>
                <w:lang w:val="sr-Cyrl-RS"/>
              </w:rPr>
              <w:t>Audit report number</w:t>
            </w:r>
          </w:p>
        </w:tc>
        <w:tc>
          <w:tcPr>
            <w:tcW w:w="2337" w:type="dxa"/>
            <w:tcBorders>
              <w:top w:val="single" w:sz="4" w:space="0" w:color="auto"/>
              <w:left w:val="single" w:sz="4" w:space="0" w:color="auto"/>
              <w:bottom w:val="single" w:sz="4" w:space="0" w:color="auto"/>
              <w:right w:val="single" w:sz="4" w:space="0" w:color="auto"/>
            </w:tcBorders>
            <w:hideMark/>
          </w:tcPr>
          <w:p w14:paraId="6056D65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7E68BEC8"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260</w:t>
            </w:r>
          </w:p>
        </w:tc>
        <w:tc>
          <w:tcPr>
            <w:tcW w:w="2338" w:type="dxa"/>
            <w:tcBorders>
              <w:top w:val="single" w:sz="4" w:space="0" w:color="auto"/>
              <w:left w:val="single" w:sz="4" w:space="0" w:color="auto"/>
              <w:bottom w:val="single" w:sz="4" w:space="0" w:color="auto"/>
              <w:right w:val="single" w:sz="4" w:space="0" w:color="auto"/>
            </w:tcBorders>
            <w:hideMark/>
          </w:tcPr>
          <w:p w14:paraId="136C0B4D"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271</w:t>
            </w:r>
          </w:p>
        </w:tc>
      </w:tr>
      <w:tr w:rsidR="00641172" w:rsidRPr="008B1397" w14:paraId="20988847"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79D54"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77B8173"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2821DBC4"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270</w:t>
            </w:r>
          </w:p>
        </w:tc>
        <w:tc>
          <w:tcPr>
            <w:tcW w:w="2338" w:type="dxa"/>
            <w:tcBorders>
              <w:top w:val="single" w:sz="4" w:space="0" w:color="auto"/>
              <w:left w:val="single" w:sz="4" w:space="0" w:color="auto"/>
              <w:bottom w:val="single" w:sz="4" w:space="0" w:color="auto"/>
              <w:right w:val="single" w:sz="4" w:space="0" w:color="auto"/>
            </w:tcBorders>
            <w:hideMark/>
          </w:tcPr>
          <w:p w14:paraId="35F8B084"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284</w:t>
            </w:r>
          </w:p>
        </w:tc>
      </w:tr>
      <w:tr w:rsidR="00641172" w:rsidRPr="008B1397" w14:paraId="4DEAD0D2"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0DAD8"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19C85C26"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3683E2D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280</w:t>
            </w:r>
          </w:p>
        </w:tc>
        <w:tc>
          <w:tcPr>
            <w:tcW w:w="2338" w:type="dxa"/>
            <w:tcBorders>
              <w:top w:val="single" w:sz="4" w:space="0" w:color="auto"/>
              <w:left w:val="single" w:sz="4" w:space="0" w:color="auto"/>
              <w:bottom w:val="single" w:sz="4" w:space="0" w:color="auto"/>
              <w:right w:val="single" w:sz="4" w:space="0" w:color="auto"/>
            </w:tcBorders>
            <w:hideMark/>
          </w:tcPr>
          <w:p w14:paraId="7CA12A90"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306</w:t>
            </w:r>
          </w:p>
        </w:tc>
      </w:tr>
      <w:tr w:rsidR="00641172" w:rsidRPr="008B1397" w14:paraId="4F4A77B0"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59E187"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72DDEB2"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45C526A9"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290</w:t>
            </w:r>
          </w:p>
        </w:tc>
        <w:tc>
          <w:tcPr>
            <w:tcW w:w="2338" w:type="dxa"/>
            <w:tcBorders>
              <w:top w:val="single" w:sz="4" w:space="0" w:color="auto"/>
              <w:left w:val="single" w:sz="4" w:space="0" w:color="auto"/>
              <w:bottom w:val="single" w:sz="4" w:space="0" w:color="auto"/>
              <w:right w:val="single" w:sz="4" w:space="0" w:color="auto"/>
            </w:tcBorders>
            <w:hideMark/>
          </w:tcPr>
          <w:p w14:paraId="3768ECA0"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339</w:t>
            </w:r>
          </w:p>
        </w:tc>
      </w:tr>
      <w:tr w:rsidR="00641172" w:rsidRPr="008B1397" w14:paraId="64D85CE0"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E724D"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ED3EC3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331A81CE"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300</w:t>
            </w:r>
          </w:p>
        </w:tc>
        <w:tc>
          <w:tcPr>
            <w:tcW w:w="2338" w:type="dxa"/>
            <w:tcBorders>
              <w:top w:val="single" w:sz="4" w:space="0" w:color="auto"/>
              <w:left w:val="single" w:sz="4" w:space="0" w:color="auto"/>
              <w:bottom w:val="single" w:sz="4" w:space="0" w:color="auto"/>
              <w:right w:val="single" w:sz="4" w:space="0" w:color="auto"/>
            </w:tcBorders>
            <w:hideMark/>
          </w:tcPr>
          <w:p w14:paraId="1AF284A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360</w:t>
            </w:r>
          </w:p>
        </w:tc>
      </w:tr>
      <w:tr w:rsidR="00641172" w:rsidRPr="008B1397" w14:paraId="629AD314"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5B6FE586" w14:textId="77777777" w:rsidR="00641172" w:rsidRPr="0060040E" w:rsidRDefault="00641172" w:rsidP="00641172">
            <w:pPr>
              <w:spacing w:after="160" w:line="256" w:lineRule="auto"/>
              <w:rPr>
                <w:rFonts w:ascii="Times New Roman" w:hAnsi="Times New Roman"/>
                <w:b/>
                <w:bCs/>
                <w:lang w:val="sr-Cyrl-RS"/>
              </w:rPr>
            </w:pPr>
            <w:r w:rsidRPr="0060040E">
              <w:rPr>
                <w:rFonts w:ascii="Times New Roman" w:hAnsi="Times New Roman"/>
                <w:b/>
                <w:bCs/>
                <w:lang w:val="sr-Cyrl-RS"/>
              </w:rPr>
              <w:t>Number of employees</w:t>
            </w:r>
          </w:p>
        </w:tc>
        <w:tc>
          <w:tcPr>
            <w:tcW w:w="2337" w:type="dxa"/>
            <w:tcBorders>
              <w:top w:val="single" w:sz="4" w:space="0" w:color="auto"/>
              <w:left w:val="single" w:sz="4" w:space="0" w:color="auto"/>
              <w:bottom w:val="single" w:sz="4" w:space="0" w:color="auto"/>
              <w:right w:val="single" w:sz="4" w:space="0" w:color="auto"/>
            </w:tcBorders>
            <w:hideMark/>
          </w:tcPr>
          <w:p w14:paraId="6EC531F3"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1E1A232D"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360</w:t>
            </w:r>
          </w:p>
        </w:tc>
        <w:tc>
          <w:tcPr>
            <w:tcW w:w="2338" w:type="dxa"/>
            <w:tcBorders>
              <w:top w:val="single" w:sz="4" w:space="0" w:color="auto"/>
              <w:left w:val="single" w:sz="4" w:space="0" w:color="auto"/>
              <w:bottom w:val="single" w:sz="4" w:space="0" w:color="auto"/>
              <w:right w:val="single" w:sz="4" w:space="0" w:color="auto"/>
            </w:tcBorders>
            <w:hideMark/>
          </w:tcPr>
          <w:p w14:paraId="6BC43E67"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331</w:t>
            </w:r>
          </w:p>
        </w:tc>
      </w:tr>
      <w:tr w:rsidR="00641172" w:rsidRPr="008B1397" w14:paraId="71622FF1"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08233"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0AFD9D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2545A603"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374</w:t>
            </w:r>
          </w:p>
        </w:tc>
        <w:tc>
          <w:tcPr>
            <w:tcW w:w="2338" w:type="dxa"/>
            <w:tcBorders>
              <w:top w:val="single" w:sz="4" w:space="0" w:color="auto"/>
              <w:left w:val="single" w:sz="4" w:space="0" w:color="auto"/>
              <w:bottom w:val="single" w:sz="4" w:space="0" w:color="auto"/>
              <w:right w:val="single" w:sz="4" w:space="0" w:color="auto"/>
            </w:tcBorders>
            <w:hideMark/>
          </w:tcPr>
          <w:p w14:paraId="7BFE99E0"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329</w:t>
            </w:r>
          </w:p>
        </w:tc>
      </w:tr>
      <w:tr w:rsidR="00641172" w:rsidRPr="008B1397" w14:paraId="13615788"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D61D45"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72DCF7C"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137DA5B6"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388</w:t>
            </w:r>
          </w:p>
        </w:tc>
        <w:tc>
          <w:tcPr>
            <w:tcW w:w="2338" w:type="dxa"/>
            <w:tcBorders>
              <w:top w:val="single" w:sz="4" w:space="0" w:color="auto"/>
              <w:left w:val="single" w:sz="4" w:space="0" w:color="auto"/>
              <w:bottom w:val="single" w:sz="4" w:space="0" w:color="auto"/>
              <w:right w:val="single" w:sz="4" w:space="0" w:color="auto"/>
            </w:tcBorders>
            <w:hideMark/>
          </w:tcPr>
          <w:p w14:paraId="564AEC8A"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320</w:t>
            </w:r>
          </w:p>
        </w:tc>
      </w:tr>
      <w:tr w:rsidR="00641172" w:rsidRPr="008B1397" w14:paraId="78D2F51A"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7B761"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DF2B5D7"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4336DC63"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402</w:t>
            </w:r>
          </w:p>
        </w:tc>
        <w:tc>
          <w:tcPr>
            <w:tcW w:w="2338" w:type="dxa"/>
            <w:tcBorders>
              <w:top w:val="single" w:sz="4" w:space="0" w:color="auto"/>
              <w:left w:val="single" w:sz="4" w:space="0" w:color="auto"/>
              <w:bottom w:val="single" w:sz="4" w:space="0" w:color="auto"/>
              <w:right w:val="single" w:sz="4" w:space="0" w:color="auto"/>
            </w:tcBorders>
            <w:hideMark/>
          </w:tcPr>
          <w:p w14:paraId="2AB18F4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334</w:t>
            </w:r>
          </w:p>
        </w:tc>
      </w:tr>
      <w:tr w:rsidR="00641172" w:rsidRPr="008B1397" w14:paraId="7BD7E5F8"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11E3E0"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95FE4E9"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4EDDA4FF"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416</w:t>
            </w:r>
          </w:p>
        </w:tc>
        <w:tc>
          <w:tcPr>
            <w:tcW w:w="2338" w:type="dxa"/>
            <w:tcBorders>
              <w:top w:val="single" w:sz="4" w:space="0" w:color="auto"/>
              <w:left w:val="single" w:sz="4" w:space="0" w:color="auto"/>
              <w:bottom w:val="single" w:sz="4" w:space="0" w:color="auto"/>
              <w:right w:val="single" w:sz="4" w:space="0" w:color="auto"/>
            </w:tcBorders>
            <w:hideMark/>
          </w:tcPr>
          <w:p w14:paraId="280FA920"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330</w:t>
            </w:r>
          </w:p>
        </w:tc>
      </w:tr>
      <w:tr w:rsidR="00641172" w:rsidRPr="008B1397" w14:paraId="48B7D1C1"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249E67E3" w14:textId="77777777" w:rsidR="00641172" w:rsidRPr="0060040E" w:rsidRDefault="00641172" w:rsidP="00641172">
            <w:pPr>
              <w:spacing w:after="160" w:line="256" w:lineRule="auto"/>
              <w:rPr>
                <w:rFonts w:ascii="Times New Roman" w:hAnsi="Times New Roman"/>
                <w:b/>
                <w:bCs/>
                <w:lang w:val="sr-Cyrl-RS"/>
              </w:rPr>
            </w:pPr>
            <w:r w:rsidRPr="0060040E">
              <w:rPr>
                <w:rFonts w:ascii="Times New Roman" w:hAnsi="Times New Roman"/>
                <w:b/>
                <w:bCs/>
                <w:lang w:val="sr-Cyrl-RS"/>
              </w:rPr>
              <w:t xml:space="preserve">The number of the following areas covered by business feasibility audits: social protection, general public services, defense, public order and security, economic affairs, environmental protection, housing and community affairs, health, recreation, sports, </w:t>
            </w:r>
            <w:r w:rsidRPr="0060040E">
              <w:rPr>
                <w:rFonts w:ascii="Times New Roman" w:hAnsi="Times New Roman"/>
                <w:b/>
                <w:bCs/>
                <w:lang w:val="sr-Cyrl-RS"/>
              </w:rPr>
              <w:lastRenderedPageBreak/>
              <w:t>culture and religion, education.</w:t>
            </w:r>
          </w:p>
        </w:tc>
        <w:tc>
          <w:tcPr>
            <w:tcW w:w="2337" w:type="dxa"/>
            <w:tcBorders>
              <w:top w:val="single" w:sz="4" w:space="0" w:color="auto"/>
              <w:left w:val="single" w:sz="4" w:space="0" w:color="auto"/>
              <w:bottom w:val="single" w:sz="4" w:space="0" w:color="auto"/>
              <w:right w:val="single" w:sz="4" w:space="0" w:color="auto"/>
            </w:tcBorders>
            <w:hideMark/>
          </w:tcPr>
          <w:p w14:paraId="6C042EA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lastRenderedPageBreak/>
              <w:t>2021</w:t>
            </w:r>
          </w:p>
        </w:tc>
        <w:tc>
          <w:tcPr>
            <w:tcW w:w="2338" w:type="dxa"/>
            <w:tcBorders>
              <w:top w:val="single" w:sz="4" w:space="0" w:color="auto"/>
              <w:left w:val="single" w:sz="4" w:space="0" w:color="auto"/>
              <w:bottom w:val="single" w:sz="4" w:space="0" w:color="auto"/>
              <w:right w:val="single" w:sz="4" w:space="0" w:color="auto"/>
            </w:tcBorders>
            <w:hideMark/>
          </w:tcPr>
          <w:p w14:paraId="777DB50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7</w:t>
            </w:r>
          </w:p>
        </w:tc>
        <w:tc>
          <w:tcPr>
            <w:tcW w:w="2338" w:type="dxa"/>
            <w:tcBorders>
              <w:top w:val="single" w:sz="4" w:space="0" w:color="auto"/>
              <w:left w:val="single" w:sz="4" w:space="0" w:color="auto"/>
              <w:bottom w:val="single" w:sz="4" w:space="0" w:color="auto"/>
              <w:right w:val="single" w:sz="4" w:space="0" w:color="auto"/>
            </w:tcBorders>
            <w:hideMark/>
          </w:tcPr>
          <w:p w14:paraId="2C97703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7</w:t>
            </w:r>
          </w:p>
        </w:tc>
      </w:tr>
      <w:tr w:rsidR="00641172" w:rsidRPr="008B1397" w14:paraId="4614E1AB"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6BDAB"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6AD719D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590658D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8</w:t>
            </w:r>
          </w:p>
        </w:tc>
        <w:tc>
          <w:tcPr>
            <w:tcW w:w="2338" w:type="dxa"/>
            <w:tcBorders>
              <w:top w:val="single" w:sz="4" w:space="0" w:color="auto"/>
              <w:left w:val="single" w:sz="4" w:space="0" w:color="auto"/>
              <w:bottom w:val="single" w:sz="4" w:space="0" w:color="auto"/>
              <w:right w:val="single" w:sz="4" w:space="0" w:color="auto"/>
            </w:tcBorders>
            <w:hideMark/>
          </w:tcPr>
          <w:p w14:paraId="638A275C"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10</w:t>
            </w:r>
          </w:p>
        </w:tc>
      </w:tr>
      <w:tr w:rsidR="00641172" w:rsidRPr="008B1397" w14:paraId="7A1AADBE"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223085"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CAC1828"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7127BF6C"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8</w:t>
            </w:r>
          </w:p>
        </w:tc>
        <w:tc>
          <w:tcPr>
            <w:tcW w:w="2338" w:type="dxa"/>
            <w:tcBorders>
              <w:top w:val="single" w:sz="4" w:space="0" w:color="auto"/>
              <w:left w:val="single" w:sz="4" w:space="0" w:color="auto"/>
              <w:bottom w:val="single" w:sz="4" w:space="0" w:color="auto"/>
              <w:right w:val="single" w:sz="4" w:space="0" w:color="auto"/>
            </w:tcBorders>
            <w:hideMark/>
          </w:tcPr>
          <w:p w14:paraId="1CE78D0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8</w:t>
            </w:r>
          </w:p>
        </w:tc>
      </w:tr>
      <w:tr w:rsidR="00641172" w:rsidRPr="008B1397" w14:paraId="190A9744"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84E8D"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43A733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11636997"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9</w:t>
            </w:r>
          </w:p>
        </w:tc>
        <w:tc>
          <w:tcPr>
            <w:tcW w:w="2338" w:type="dxa"/>
            <w:tcBorders>
              <w:top w:val="single" w:sz="4" w:space="0" w:color="auto"/>
              <w:left w:val="single" w:sz="4" w:space="0" w:color="auto"/>
              <w:bottom w:val="single" w:sz="4" w:space="0" w:color="auto"/>
              <w:right w:val="single" w:sz="4" w:space="0" w:color="auto"/>
            </w:tcBorders>
            <w:hideMark/>
          </w:tcPr>
          <w:p w14:paraId="2DD68073"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9</w:t>
            </w:r>
          </w:p>
        </w:tc>
      </w:tr>
      <w:tr w:rsidR="00641172" w:rsidRPr="008B1397" w14:paraId="5A364BB8"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59DD3A"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088C587"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1A0E7C26"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9</w:t>
            </w:r>
          </w:p>
        </w:tc>
        <w:tc>
          <w:tcPr>
            <w:tcW w:w="2338" w:type="dxa"/>
            <w:tcBorders>
              <w:top w:val="single" w:sz="4" w:space="0" w:color="auto"/>
              <w:left w:val="single" w:sz="4" w:space="0" w:color="auto"/>
              <w:bottom w:val="single" w:sz="4" w:space="0" w:color="auto"/>
              <w:right w:val="single" w:sz="4" w:space="0" w:color="auto"/>
            </w:tcBorders>
            <w:hideMark/>
          </w:tcPr>
          <w:p w14:paraId="38BD88CF"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9</w:t>
            </w:r>
          </w:p>
        </w:tc>
      </w:tr>
      <w:tr w:rsidR="00641172" w:rsidRPr="008B1397" w14:paraId="2880651F"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7003C42F" w14:textId="77777777" w:rsidR="00641172" w:rsidRPr="0060040E" w:rsidRDefault="00641172" w:rsidP="00641172">
            <w:pPr>
              <w:spacing w:after="160" w:line="256" w:lineRule="auto"/>
              <w:rPr>
                <w:rFonts w:ascii="Times New Roman" w:hAnsi="Times New Roman"/>
                <w:b/>
                <w:bCs/>
                <w:lang w:val="sr-Cyrl-RS"/>
              </w:rPr>
            </w:pPr>
            <w:r w:rsidRPr="0060040E">
              <w:rPr>
                <w:rFonts w:ascii="Times New Roman" w:hAnsi="Times New Roman"/>
                <w:b/>
                <w:bCs/>
                <w:lang w:val="sr-Cyrl-RS"/>
              </w:rPr>
              <w:t>Number of reviews for quality control and quality assurance</w:t>
            </w:r>
          </w:p>
        </w:tc>
        <w:tc>
          <w:tcPr>
            <w:tcW w:w="2337" w:type="dxa"/>
            <w:tcBorders>
              <w:top w:val="single" w:sz="4" w:space="0" w:color="auto"/>
              <w:left w:val="single" w:sz="4" w:space="0" w:color="auto"/>
              <w:bottom w:val="single" w:sz="4" w:space="0" w:color="auto"/>
              <w:right w:val="single" w:sz="4" w:space="0" w:color="auto"/>
            </w:tcBorders>
            <w:hideMark/>
          </w:tcPr>
          <w:p w14:paraId="5B8A1FF5"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5CF8CE99"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24</w:t>
            </w:r>
          </w:p>
        </w:tc>
        <w:tc>
          <w:tcPr>
            <w:tcW w:w="2338" w:type="dxa"/>
            <w:tcBorders>
              <w:top w:val="single" w:sz="4" w:space="0" w:color="auto"/>
              <w:left w:val="single" w:sz="4" w:space="0" w:color="auto"/>
              <w:bottom w:val="single" w:sz="4" w:space="0" w:color="auto"/>
              <w:right w:val="single" w:sz="4" w:space="0" w:color="auto"/>
            </w:tcBorders>
            <w:hideMark/>
          </w:tcPr>
          <w:p w14:paraId="501AA03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29</w:t>
            </w:r>
          </w:p>
        </w:tc>
      </w:tr>
      <w:tr w:rsidR="00641172" w:rsidRPr="008B1397" w14:paraId="416FED82"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430A0"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BBA4635"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34246886"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28</w:t>
            </w:r>
          </w:p>
        </w:tc>
        <w:tc>
          <w:tcPr>
            <w:tcW w:w="2338" w:type="dxa"/>
            <w:tcBorders>
              <w:top w:val="single" w:sz="4" w:space="0" w:color="auto"/>
              <w:left w:val="single" w:sz="4" w:space="0" w:color="auto"/>
              <w:bottom w:val="single" w:sz="4" w:space="0" w:color="auto"/>
              <w:right w:val="single" w:sz="4" w:space="0" w:color="auto"/>
            </w:tcBorders>
            <w:hideMark/>
          </w:tcPr>
          <w:p w14:paraId="73CAAD86"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29</w:t>
            </w:r>
          </w:p>
        </w:tc>
      </w:tr>
      <w:tr w:rsidR="00641172" w:rsidRPr="008B1397" w14:paraId="36185B38"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76991"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1799DB9C"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048AB3EF"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28</w:t>
            </w:r>
          </w:p>
        </w:tc>
        <w:tc>
          <w:tcPr>
            <w:tcW w:w="2338" w:type="dxa"/>
            <w:tcBorders>
              <w:top w:val="single" w:sz="4" w:space="0" w:color="auto"/>
              <w:left w:val="single" w:sz="4" w:space="0" w:color="auto"/>
              <w:bottom w:val="single" w:sz="4" w:space="0" w:color="auto"/>
              <w:right w:val="single" w:sz="4" w:space="0" w:color="auto"/>
            </w:tcBorders>
            <w:hideMark/>
          </w:tcPr>
          <w:p w14:paraId="58259D82"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32</w:t>
            </w:r>
          </w:p>
        </w:tc>
      </w:tr>
      <w:tr w:rsidR="00641172" w:rsidRPr="008B1397" w14:paraId="5865580A"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7048C3"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1A43D60"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44D3723A"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36</w:t>
            </w:r>
          </w:p>
        </w:tc>
        <w:tc>
          <w:tcPr>
            <w:tcW w:w="2338" w:type="dxa"/>
            <w:tcBorders>
              <w:top w:val="single" w:sz="4" w:space="0" w:color="auto"/>
              <w:left w:val="single" w:sz="4" w:space="0" w:color="auto"/>
              <w:bottom w:val="single" w:sz="4" w:space="0" w:color="auto"/>
              <w:right w:val="single" w:sz="4" w:space="0" w:color="auto"/>
            </w:tcBorders>
            <w:hideMark/>
          </w:tcPr>
          <w:p w14:paraId="7ED1F9B4"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36</w:t>
            </w:r>
          </w:p>
        </w:tc>
      </w:tr>
      <w:tr w:rsidR="00641172" w:rsidRPr="008B1397" w14:paraId="60D2DB7E"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F55F8"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2C1D8DE"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11A9AB52"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40</w:t>
            </w:r>
          </w:p>
        </w:tc>
        <w:tc>
          <w:tcPr>
            <w:tcW w:w="2338" w:type="dxa"/>
            <w:tcBorders>
              <w:top w:val="single" w:sz="4" w:space="0" w:color="auto"/>
              <w:left w:val="single" w:sz="4" w:space="0" w:color="auto"/>
              <w:bottom w:val="single" w:sz="4" w:space="0" w:color="auto"/>
              <w:right w:val="single" w:sz="4" w:space="0" w:color="auto"/>
            </w:tcBorders>
            <w:hideMark/>
          </w:tcPr>
          <w:p w14:paraId="351E2735"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37</w:t>
            </w:r>
          </w:p>
        </w:tc>
      </w:tr>
      <w:tr w:rsidR="00641172" w:rsidRPr="008B1397" w14:paraId="63E4A16F"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143B564E" w14:textId="77777777" w:rsidR="00641172" w:rsidRPr="0060040E" w:rsidRDefault="00641172" w:rsidP="00641172">
            <w:pPr>
              <w:spacing w:after="160" w:line="256" w:lineRule="auto"/>
              <w:rPr>
                <w:rFonts w:ascii="Times New Roman" w:hAnsi="Times New Roman"/>
                <w:b/>
                <w:bCs/>
                <w:lang w:val="sr-Cyrl-RS"/>
              </w:rPr>
            </w:pPr>
            <w:r w:rsidRPr="0060040E">
              <w:rPr>
                <w:rFonts w:ascii="Times New Roman" w:hAnsi="Times New Roman"/>
                <w:b/>
                <w:bCs/>
                <w:lang w:val="sr-Cyrl-RS"/>
              </w:rPr>
              <w:t>The share of business audits (regularity and expediency) in the annual audit programme of SAI</w:t>
            </w:r>
          </w:p>
        </w:tc>
        <w:tc>
          <w:tcPr>
            <w:tcW w:w="2337" w:type="dxa"/>
            <w:tcBorders>
              <w:top w:val="single" w:sz="4" w:space="0" w:color="auto"/>
              <w:left w:val="single" w:sz="4" w:space="0" w:color="auto"/>
              <w:bottom w:val="single" w:sz="4" w:space="0" w:color="auto"/>
              <w:right w:val="single" w:sz="4" w:space="0" w:color="auto"/>
            </w:tcBorders>
            <w:hideMark/>
          </w:tcPr>
          <w:p w14:paraId="436AA688"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6D839216"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43%</w:t>
            </w:r>
          </w:p>
        </w:tc>
        <w:tc>
          <w:tcPr>
            <w:tcW w:w="2338" w:type="dxa"/>
            <w:tcBorders>
              <w:top w:val="single" w:sz="4" w:space="0" w:color="auto"/>
              <w:left w:val="single" w:sz="4" w:space="0" w:color="auto"/>
              <w:bottom w:val="single" w:sz="4" w:space="0" w:color="auto"/>
              <w:right w:val="single" w:sz="4" w:space="0" w:color="auto"/>
            </w:tcBorders>
            <w:hideMark/>
          </w:tcPr>
          <w:p w14:paraId="6B88384C"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54%</w:t>
            </w:r>
          </w:p>
        </w:tc>
      </w:tr>
      <w:tr w:rsidR="00641172" w:rsidRPr="008B1397" w14:paraId="436F6CDE"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219D5"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3275D98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6E27892D"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46%</w:t>
            </w:r>
          </w:p>
        </w:tc>
        <w:tc>
          <w:tcPr>
            <w:tcW w:w="2338" w:type="dxa"/>
            <w:tcBorders>
              <w:top w:val="single" w:sz="4" w:space="0" w:color="auto"/>
              <w:left w:val="single" w:sz="4" w:space="0" w:color="auto"/>
              <w:bottom w:val="single" w:sz="4" w:space="0" w:color="auto"/>
              <w:right w:val="single" w:sz="4" w:space="0" w:color="auto"/>
            </w:tcBorders>
            <w:hideMark/>
          </w:tcPr>
          <w:p w14:paraId="7DC681D3"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63%</w:t>
            </w:r>
          </w:p>
        </w:tc>
      </w:tr>
      <w:tr w:rsidR="00641172" w:rsidRPr="008B1397" w14:paraId="6B1D04D4"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06C2C"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1F32A090"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74468036"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46%</w:t>
            </w:r>
          </w:p>
        </w:tc>
        <w:tc>
          <w:tcPr>
            <w:tcW w:w="2338" w:type="dxa"/>
            <w:tcBorders>
              <w:top w:val="single" w:sz="4" w:space="0" w:color="auto"/>
              <w:left w:val="single" w:sz="4" w:space="0" w:color="auto"/>
              <w:bottom w:val="single" w:sz="4" w:space="0" w:color="auto"/>
              <w:right w:val="single" w:sz="4" w:space="0" w:color="auto"/>
            </w:tcBorders>
            <w:hideMark/>
          </w:tcPr>
          <w:p w14:paraId="4FB197E5"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70,83%</w:t>
            </w:r>
          </w:p>
        </w:tc>
      </w:tr>
      <w:tr w:rsidR="00641172" w:rsidRPr="008B1397" w14:paraId="794CDC4F"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F34A5"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0A3930E"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3E4D5641"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52%</w:t>
            </w:r>
          </w:p>
        </w:tc>
        <w:tc>
          <w:tcPr>
            <w:tcW w:w="2338" w:type="dxa"/>
            <w:tcBorders>
              <w:top w:val="single" w:sz="4" w:space="0" w:color="auto"/>
              <w:left w:val="single" w:sz="4" w:space="0" w:color="auto"/>
              <w:bottom w:val="single" w:sz="4" w:space="0" w:color="auto"/>
              <w:right w:val="single" w:sz="4" w:space="0" w:color="auto"/>
            </w:tcBorders>
            <w:hideMark/>
          </w:tcPr>
          <w:p w14:paraId="37F2D11B"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80%</w:t>
            </w:r>
          </w:p>
        </w:tc>
      </w:tr>
      <w:tr w:rsidR="00641172" w:rsidRPr="008B1397" w14:paraId="65D4E7D1"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CCB4C" w14:textId="77777777" w:rsidR="00641172" w:rsidRPr="008B1397" w:rsidRDefault="00641172" w:rsidP="00641172">
            <w:pPr>
              <w:spacing w:after="160" w:line="256" w:lineRule="auto"/>
              <w:rPr>
                <w:rFonts w:ascii="Times New Roman" w:hAnsi="Times New Roman"/>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3FFDB2E"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498852DF"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55%</w:t>
            </w:r>
          </w:p>
        </w:tc>
        <w:tc>
          <w:tcPr>
            <w:tcW w:w="2338" w:type="dxa"/>
            <w:tcBorders>
              <w:top w:val="single" w:sz="4" w:space="0" w:color="auto"/>
              <w:left w:val="single" w:sz="4" w:space="0" w:color="auto"/>
              <w:bottom w:val="single" w:sz="4" w:space="0" w:color="auto"/>
              <w:right w:val="single" w:sz="4" w:space="0" w:color="auto"/>
            </w:tcBorders>
            <w:hideMark/>
          </w:tcPr>
          <w:p w14:paraId="0DE002B7" w14:textId="77777777" w:rsidR="00641172" w:rsidRPr="008B1397" w:rsidRDefault="00641172" w:rsidP="00641172">
            <w:pPr>
              <w:spacing w:after="160" w:line="256" w:lineRule="auto"/>
              <w:rPr>
                <w:rFonts w:ascii="Times New Roman" w:hAnsi="Times New Roman"/>
                <w:lang w:val="sr-Cyrl-RS"/>
              </w:rPr>
            </w:pPr>
            <w:r w:rsidRPr="008B1397">
              <w:rPr>
                <w:rFonts w:ascii="Times New Roman" w:hAnsi="Times New Roman"/>
                <w:lang w:val="sr-Cyrl-RS"/>
              </w:rPr>
              <w:t>81%</w:t>
            </w:r>
          </w:p>
        </w:tc>
      </w:tr>
    </w:tbl>
    <w:p w14:paraId="33CE25C0" w14:textId="77777777" w:rsidR="00641172" w:rsidRPr="008B1397" w:rsidRDefault="00641172" w:rsidP="00641172">
      <w:pPr>
        <w:spacing w:line="256" w:lineRule="auto"/>
        <w:rPr>
          <w:rFonts w:ascii="Times New Roman" w:eastAsia="Calibri" w:hAnsi="Times New Roman" w:cs="Times New Roman"/>
          <w:lang w:val="sr-Cyrl-RS"/>
          <w14:ligatures w14:val="none"/>
        </w:rPr>
      </w:pPr>
    </w:p>
    <w:p w14:paraId="068B1503" w14:textId="77777777" w:rsidR="00641172" w:rsidRPr="008B1397"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Of the five output indicators at the level of measure 6.1, four were fulfilled in the reporting period, while the values were not fulfilled for one indicator. The planned activities within the measure were carried out within the stipulated deadlines and within the SAI's own capacities, without spending additional budget funds.</w:t>
      </w:r>
    </w:p>
    <w:p w14:paraId="20B1DAE6" w14:textId="77777777" w:rsidR="00641172" w:rsidRPr="00EA273D"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particular, for the result indicator related to the number of audit reports, the target values ​​were exceeded for each reporting year. For the result indicator related to the number of employees, the target values ​​were not achieved in any reporting year. For the indicator "The number of the following areas covered by business feasibility audits: social protection, general public services, defense, public order and security, economic affairs, environmental protection, housing and community affairs, health, recreation, sports, culture and religion, education" the target values ​​were achieved. When it comes to the indicator "Number of inspections for quality control and quality assurance", the target values ​​were achieved in four reporting years, while in one year the target value was not met, due to the lack of personnel capacities. Finally, for the indicator related to the share of business audit (regularity and expediency) in the annual SAI Audit Programme, the target values ​​were exceeded for each reporting year.</w:t>
      </w:r>
    </w:p>
    <w:p w14:paraId="622775FB" w14:textId="77777777" w:rsidR="00641172" w:rsidRPr="008B1397" w:rsidRDefault="001E4D83"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bCs/>
          <w:lang w:val="sr-Cyrl-RS"/>
          <w14:ligatures w14:val="none"/>
        </w:rPr>
        <w:t xml:space="preserve">The State Audit Institution, in accordance with the Strategic Plan, in the period 2021-2025. made efforts to further improve the way of working in order to increase the number of audits of business expediency and the inclusion of public funds by auditing in accordance with the Audit Programme. For subjects from the Audit Programme, the State Audit Institution conducts audits of financial statements, audits of business regularity, as well as a combined audit of financial statements and business regularity, a combined audit of business regularity and expediency, and a review of business regularity of corrective measures based on reports on audits conducted in previous years. In addition to the efforts made to expand the scope of public funds through auditing, significant attention was devoted to improving quality control and assurance in the </w:t>
      </w:r>
      <w:r w:rsidRPr="008B1397">
        <w:rPr>
          <w:rFonts w:ascii="Times New Roman" w:eastAsia="Calibri" w:hAnsi="Times New Roman" w:cs="Times New Roman"/>
          <w:bCs/>
          <w:lang w:val="sr-Cyrl-RS"/>
          <w14:ligatures w14:val="none"/>
        </w:rPr>
        <w:lastRenderedPageBreak/>
        <w:t>quality of audits, as well as improving methodological acts and guidelines for auditing financial statements, auditing regularity of operations, auditing the expediency of operations, as well as combined and specialized audits, such as IT audits and real-time audits. The development of audit management software, Audit Management System - AMS, enabled the digitalisation of the audit procedure, in accordance with the Institution's methodological acts.</w:t>
      </w:r>
    </w:p>
    <w:p w14:paraId="1EE60284" w14:textId="77777777" w:rsidR="00641172" w:rsidRPr="008B1397"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Work Reports, the SAI presents the effects achieved by the actions of audit subjects based on the Institution's recommendations, as well as the effects of audits of business expediency. The most significant effects in terms of amounts are the recording of assets and liabilities, other balance sheet positions and reconciliation of records, as well as financial effects in the form of savings, increased income and benefits for citizens. The effects of expediency audits are multiple and, in addition to financial effects, they also include effects related to the improvement of the strategic framework for the implementation of public policies, increasing the efficiency of the work of public authority holders and other effects that will have an impact on the quality of public services and the lives of citizens in the long term.</w:t>
      </w:r>
    </w:p>
    <w:p w14:paraId="78FB3DBE" w14:textId="77777777" w:rsidR="00641172" w:rsidRPr="008B1397"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Continuity is ensured in the consideration of the Report on the work of the SAI, which the Committee for Finances, the Republic Budget and the Control of Spending of Public Funds regularly considers at its meetings. The Board, on the occasion of considering the Report on the work of the SAI, determines the Proposal of the conclusion which it submits to the National Assembly for consideration and adoption. Reports on the work of SAI, in the period 2021-2025, were the subject of discussion at the plenary sessions of the National Assembly of the Republic of Serbia. After the discussion, the National Assembly adopts the Report on the work of the SAI and makes a conclusion regarding the consideration of the Report on the work of the SAI. Proceeding from the recommendations of the SAI contained in the Work Report, the National Assembly recommends the Government to take measures within its competence in order to remove the identified irregularities at the public sector entities in the areas of financial reporting, regularity and expediency of operations, and to propose, i.e. adopt the necessary regulations and other acts that are specifically indicated in the reports.</w:t>
      </w:r>
    </w:p>
    <w:p w14:paraId="597CA047" w14:textId="77777777" w:rsidR="00641172" w:rsidRPr="008B1397" w:rsidRDefault="0012585C"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bCs/>
          <w:lang w:val="sr-Cyrl-RS"/>
          <w14:ligatures w14:val="none"/>
        </w:rPr>
        <w:t>The State Audit Institution presented Reports on the Audit of the Final Account of the Budget of the Republic of Serbia at the meetings of the Committee for Finance, the Republic Budget and the Control of Spending of Public Funds within the framework of public hearings, during the period 2021-2025.</w:t>
      </w:r>
    </w:p>
    <w:p w14:paraId="1D1DA02F" w14:textId="77777777" w:rsidR="00641172" w:rsidRPr="008B1397"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period 2021-2025, in addition to the sessions at the seat of the National Assembly, the Board/Subcommittee and SAI also held nine sessions outside the seat.</w:t>
      </w:r>
    </w:p>
    <w:p w14:paraId="1496DD21" w14:textId="77777777" w:rsidR="00641172" w:rsidRPr="008B1397"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Continuity was also maintained in the maintenance of the high scores that SAI achieved with external international evaluators.</w:t>
      </w:r>
    </w:p>
    <w:p w14:paraId="7AADFB59" w14:textId="77777777" w:rsidR="00641172" w:rsidRPr="008B1397"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 xml:space="preserve">Progress in the field of external audit was confirmed by SIGMA, which can be seen on the basis of the highest marks of external audit in the Report on SIGMA's assessment of the principles of public administration of the Republic of Serbia for the year 2024. In the aforementioned report, external audit is the area with the highest achieved points in Serbia, namely 91/100. The achieved </w:t>
      </w:r>
      <w:r w:rsidRPr="008B1397">
        <w:rPr>
          <w:rFonts w:ascii="Times New Roman" w:eastAsia="Calibri" w:hAnsi="Times New Roman" w:cs="Times New Roman"/>
          <w:lang w:val="sr-Cyrl-RS"/>
          <w14:ligatures w14:val="none"/>
        </w:rPr>
        <w:lastRenderedPageBreak/>
        <w:t>number once again puts the SAI in the leading position in the region, considering that the value of this indicator for other rated Supreme Audit Institutions (SAIs) ranges from 73 to 82.</w:t>
      </w:r>
    </w:p>
    <w:p w14:paraId="7F9086A8" w14:textId="77777777" w:rsidR="00641172" w:rsidRPr="00EA273D" w:rsidRDefault="00641172" w:rsidP="00141C0E">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In the Public Expenditure and Financial Accountability Assessment Report (PEFA) for 2025, the SAI was rated A in three dimensions (audit scope and standards, response to external audit reports, SAI independence), while a B grade was obtained for submitting audit reports to the legislature. External audit was assessed as one of the areas that represent the greatest strengths/advantages of the public financial management system in the country.</w:t>
      </w:r>
    </w:p>
    <w:p w14:paraId="668AC8A6" w14:textId="77777777" w:rsidR="00914C26" w:rsidRPr="00C53416" w:rsidRDefault="00641172" w:rsidP="00C53416">
      <w:pPr>
        <w:spacing w:line="256" w:lineRule="auto"/>
        <w:ind w:firstLine="720"/>
        <w:jc w:val="both"/>
        <w:rPr>
          <w:rFonts w:ascii="Times New Roman" w:eastAsia="Calibri" w:hAnsi="Times New Roman" w:cs="Times New Roman"/>
          <w:lang w:val="en-US"/>
          <w14:ligatures w14:val="none"/>
        </w:rPr>
      </w:pPr>
      <w:r w:rsidRPr="00EA273D">
        <w:rPr>
          <w:rFonts w:ascii="Times New Roman" w:eastAsia="Calibri" w:hAnsi="Times New Roman" w:cs="Times New Roman"/>
          <w:lang w:val="sr-Cyrl-RS"/>
          <w14:ligatures w14:val="none"/>
        </w:rPr>
        <w:t>The results of the latest international research on the openness of the budget showed that the work of the SAI is one of the most significant positive factors that contribute to the openness and supervision of the institutions' budget. Scores for Serbia are above the world average in the category of budget control - 56, and the relatively good result in this category was decisively influenced by the comprehensiveness of SAI audits - 83 out of a possible 100 points, which on the rating scale is evaluated with the highest rating "adequate".</w:t>
      </w:r>
    </w:p>
    <w:p w14:paraId="75407E9D" w14:textId="77777777" w:rsidR="00641172" w:rsidRPr="008B1397" w:rsidRDefault="00641172" w:rsidP="0067689A">
      <w:pPr>
        <w:spacing w:line="256" w:lineRule="auto"/>
        <w:jc w:val="both"/>
        <w:rPr>
          <w:rFonts w:ascii="Times New Roman" w:eastAsia="Calibri" w:hAnsi="Times New Roman" w:cs="Times New Roman"/>
          <w:lang w:val="sr-Cyrl-RS"/>
          <w14:ligatures w14:val="none"/>
        </w:rPr>
      </w:pPr>
      <w:r w:rsidRPr="008B1397">
        <w:rPr>
          <w:rFonts w:ascii="Times New Roman" w:eastAsia="Calibri" w:hAnsi="Times New Roman" w:cs="Times New Roman"/>
          <w:b/>
          <w:bCs/>
          <w:lang w:val="sr-Cyrl-RS"/>
          <w14:ligatures w14:val="none"/>
        </w:rPr>
        <w:t>Recommendations</w:t>
      </w:r>
    </w:p>
    <w:p w14:paraId="464645F8" w14:textId="77777777" w:rsidR="0060040E" w:rsidRDefault="00641172" w:rsidP="006F0BF0">
      <w:pPr>
        <w:spacing w:line="256" w:lineRule="auto"/>
        <w:ind w:firstLine="720"/>
        <w:jc w:val="both"/>
        <w:rPr>
          <w:rFonts w:ascii="Times New Roman" w:eastAsia="Calibri" w:hAnsi="Times New Roman" w:cs="Times New Roman"/>
          <w:lang w:val="sr-Cyrl-RS"/>
          <w14:ligatures w14:val="none"/>
        </w:rPr>
      </w:pPr>
      <w:r w:rsidRPr="008B1397">
        <w:rPr>
          <w:rFonts w:ascii="Times New Roman" w:eastAsia="Calibri" w:hAnsi="Times New Roman" w:cs="Times New Roman"/>
          <w:lang w:val="sr-Cyrl-RS"/>
          <w14:ligatures w14:val="none"/>
        </w:rPr>
        <w:t>It is necessary to continue strengthening the personnel capacities of the SAI, in order to overcome the basic challenges that the SAI encountered during the implementation of activities within measure 6.1 and to contribute to the strengthening of external oversight of public finances.</w:t>
      </w:r>
    </w:p>
    <w:p w14:paraId="10F71B88" w14:textId="77777777" w:rsidR="001E68BB" w:rsidRDefault="001E68BB" w:rsidP="006F0BF0">
      <w:pPr>
        <w:spacing w:line="256" w:lineRule="auto"/>
        <w:ind w:firstLine="720"/>
        <w:jc w:val="both"/>
        <w:rPr>
          <w:rFonts w:ascii="Times New Roman" w:eastAsia="Calibri" w:hAnsi="Times New Roman" w:cs="Times New Roman"/>
          <w:lang w:val="en-US"/>
          <w14:ligatures w14:val="none"/>
        </w:rPr>
      </w:pPr>
    </w:p>
    <w:p w14:paraId="72E7DB1D" w14:textId="77777777" w:rsidR="00C53416" w:rsidRDefault="00C53416" w:rsidP="006F0BF0">
      <w:pPr>
        <w:spacing w:line="256" w:lineRule="auto"/>
        <w:ind w:firstLine="720"/>
        <w:jc w:val="both"/>
        <w:rPr>
          <w:rFonts w:ascii="Times New Roman" w:eastAsia="Calibri" w:hAnsi="Times New Roman" w:cs="Times New Roman"/>
          <w:lang w:val="en-US"/>
          <w14:ligatures w14:val="none"/>
        </w:rPr>
      </w:pPr>
    </w:p>
    <w:p w14:paraId="43CDD5E8" w14:textId="77777777" w:rsidR="00467C20" w:rsidRPr="00467C20" w:rsidRDefault="00467C20" w:rsidP="006F0BF0">
      <w:pPr>
        <w:spacing w:line="256" w:lineRule="auto"/>
        <w:ind w:firstLine="720"/>
        <w:jc w:val="both"/>
        <w:rPr>
          <w:rFonts w:ascii="Times New Roman" w:eastAsia="Calibri" w:hAnsi="Times New Roman" w:cs="Times New Roman"/>
          <w:lang w:val="en-US"/>
          <w14:ligatures w14:val="none"/>
        </w:rPr>
      </w:pPr>
    </w:p>
    <w:p w14:paraId="4A93EE30" w14:textId="77777777" w:rsidR="005A050E" w:rsidRPr="00467C20" w:rsidRDefault="005A050E" w:rsidP="00467C20">
      <w:pPr>
        <w:spacing w:line="259" w:lineRule="auto"/>
        <w:jc w:val="both"/>
        <w:rPr>
          <w:rFonts w:ascii="Times New Roman" w:eastAsia="Calibri" w:hAnsi="Times New Roman" w:cs="Times New Roman"/>
          <w:b/>
          <w:u w:val="single"/>
          <w:lang w:val="sr-Cyrl-RS"/>
          <w14:ligatures w14:val="none"/>
        </w:rPr>
      </w:pPr>
      <w:bookmarkStart w:id="13" w:name="_Toc73613711"/>
      <w:r w:rsidRPr="00467C20">
        <w:rPr>
          <w:rFonts w:ascii="Times New Roman" w:eastAsia="Calibri" w:hAnsi="Times New Roman" w:cs="Times New Roman"/>
          <w:b/>
          <w:u w:val="single"/>
          <w:lang w:val="sr-Cyrl-RS"/>
          <w14:ligatures w14:val="none"/>
        </w:rPr>
        <w:t>Measure 6.2: Ensuring efficient parliamentary oversight of public finances</w:t>
      </w:r>
      <w:bookmarkEnd w:id="13"/>
    </w:p>
    <w:tbl>
      <w:tblPr>
        <w:tblStyle w:val="TableGrid"/>
        <w:tblW w:w="0" w:type="auto"/>
        <w:tblInd w:w="0" w:type="dxa"/>
        <w:tblLook w:val="04A0" w:firstRow="1" w:lastRow="0" w:firstColumn="1" w:lastColumn="0" w:noHBand="0" w:noVBand="1"/>
      </w:tblPr>
      <w:tblGrid>
        <w:gridCol w:w="2337"/>
        <w:gridCol w:w="2337"/>
        <w:gridCol w:w="2338"/>
        <w:gridCol w:w="2338"/>
      </w:tblGrid>
      <w:tr w:rsidR="005A050E" w:rsidRPr="008B1397" w14:paraId="7384D7D8" w14:textId="77777777" w:rsidTr="00141C0E">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825772A" w14:textId="77777777" w:rsidR="005A050E" w:rsidRPr="008B1397" w:rsidRDefault="005A050E" w:rsidP="005A050E">
            <w:pPr>
              <w:spacing w:after="160" w:line="256" w:lineRule="auto"/>
              <w:jc w:val="both"/>
              <w:rPr>
                <w:rFonts w:ascii="Times New Roman" w:hAnsi="Times New Roman"/>
                <w:b/>
                <w:sz w:val="24"/>
                <w:szCs w:val="24"/>
                <w:lang w:val="sr-Cyrl-RS"/>
              </w:rPr>
            </w:pPr>
            <w:r w:rsidRPr="008B1397">
              <w:rPr>
                <w:rFonts w:ascii="Times New Roman" w:hAnsi="Times New Roman"/>
                <w:b/>
                <w:sz w:val="24"/>
                <w:szCs w:val="24"/>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05943ED" w14:textId="77777777" w:rsidR="005A050E" w:rsidRPr="008B1397" w:rsidRDefault="005A050E" w:rsidP="005A050E">
            <w:pPr>
              <w:spacing w:after="160" w:line="256" w:lineRule="auto"/>
              <w:jc w:val="both"/>
              <w:rPr>
                <w:rFonts w:ascii="Times New Roman" w:hAnsi="Times New Roman"/>
                <w:b/>
                <w:sz w:val="24"/>
                <w:szCs w:val="24"/>
                <w:lang w:val="sr-Cyrl-RS"/>
              </w:rPr>
            </w:pPr>
            <w:r w:rsidRPr="008B1397">
              <w:rPr>
                <w:rFonts w:ascii="Times New Roman" w:hAnsi="Times New Roman"/>
                <w:b/>
                <w:sz w:val="24"/>
                <w:szCs w:val="24"/>
                <w:lang w:val="sr-Cyrl-RS"/>
              </w:rPr>
              <w:t>Year</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B8FA162" w14:textId="77777777" w:rsidR="005A050E" w:rsidRPr="008B1397" w:rsidRDefault="005A050E" w:rsidP="005A050E">
            <w:pPr>
              <w:spacing w:after="160" w:line="256" w:lineRule="auto"/>
              <w:jc w:val="both"/>
              <w:rPr>
                <w:rFonts w:ascii="Times New Roman" w:hAnsi="Times New Roman"/>
                <w:b/>
                <w:sz w:val="24"/>
                <w:szCs w:val="24"/>
                <w:lang w:val="sr-Cyrl-RS"/>
              </w:rPr>
            </w:pPr>
            <w:r w:rsidRPr="008B1397">
              <w:rPr>
                <w:rFonts w:ascii="Times New Roman" w:hAnsi="Times New Roman"/>
                <w:b/>
                <w:sz w:val="24"/>
                <w:szCs w:val="24"/>
                <w:lang w:val="sr-Cyrl-RS"/>
              </w:rPr>
              <w:t>Target value</w:t>
            </w:r>
          </w:p>
        </w:tc>
        <w:tc>
          <w:tcPr>
            <w:tcW w:w="233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02EEE9E" w14:textId="77777777" w:rsidR="005A050E" w:rsidRPr="008B1397" w:rsidRDefault="005A050E" w:rsidP="005A050E">
            <w:pPr>
              <w:spacing w:after="160" w:line="256" w:lineRule="auto"/>
              <w:jc w:val="both"/>
              <w:rPr>
                <w:rFonts w:ascii="Times New Roman" w:hAnsi="Times New Roman"/>
                <w:b/>
                <w:sz w:val="24"/>
                <w:szCs w:val="24"/>
                <w:lang w:val="sr-Cyrl-RS"/>
              </w:rPr>
            </w:pPr>
            <w:r w:rsidRPr="008B1397">
              <w:rPr>
                <w:rFonts w:ascii="Times New Roman" w:hAnsi="Times New Roman"/>
                <w:b/>
                <w:sz w:val="24"/>
                <w:szCs w:val="24"/>
                <w:lang w:val="sr-Cyrl-RS"/>
              </w:rPr>
              <w:t>Achieved value</w:t>
            </w:r>
          </w:p>
        </w:tc>
      </w:tr>
      <w:tr w:rsidR="005A050E" w:rsidRPr="008B1397" w14:paraId="4B709D7F"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tcPr>
          <w:p w14:paraId="4A597F5E" w14:textId="77777777" w:rsidR="005A050E" w:rsidRPr="0060040E" w:rsidRDefault="005A050E" w:rsidP="0060040E">
            <w:pPr>
              <w:spacing w:after="160" w:line="256" w:lineRule="auto"/>
              <w:rPr>
                <w:rFonts w:ascii="Times New Roman" w:hAnsi="Times New Roman"/>
                <w:b/>
                <w:sz w:val="24"/>
                <w:szCs w:val="24"/>
                <w:lang w:val="sr-Cyrl-RS"/>
              </w:rPr>
            </w:pPr>
            <w:r w:rsidRPr="0060040E">
              <w:rPr>
                <w:rFonts w:ascii="Times New Roman" w:hAnsi="Times New Roman"/>
                <w:b/>
                <w:sz w:val="24"/>
                <w:szCs w:val="24"/>
                <w:lang w:val="sr-Cyrl-RS"/>
              </w:rPr>
              <w:t>Consideration of the annual report on the work of the SAI with the adoption of the proposed conclusion</w:t>
            </w:r>
          </w:p>
          <w:p w14:paraId="66780366" w14:textId="77777777" w:rsidR="005A050E" w:rsidRPr="0060040E" w:rsidRDefault="005A050E" w:rsidP="0060040E">
            <w:pPr>
              <w:spacing w:after="160" w:line="256" w:lineRule="auto"/>
              <w:rPr>
                <w:rFonts w:ascii="Times New Roman" w:hAnsi="Times New Roman"/>
                <w:b/>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527607C"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2021</w:t>
            </w:r>
          </w:p>
        </w:tc>
        <w:tc>
          <w:tcPr>
            <w:tcW w:w="2338" w:type="dxa"/>
            <w:tcBorders>
              <w:top w:val="single" w:sz="4" w:space="0" w:color="auto"/>
              <w:left w:val="single" w:sz="4" w:space="0" w:color="auto"/>
              <w:bottom w:val="single" w:sz="4" w:space="0" w:color="auto"/>
              <w:right w:val="single" w:sz="4" w:space="0" w:color="auto"/>
            </w:tcBorders>
            <w:hideMark/>
          </w:tcPr>
          <w:p w14:paraId="72AD3542"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79E1185D"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49AF86B2"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6F8C3" w14:textId="77777777" w:rsidR="005A050E" w:rsidRPr="0060040E" w:rsidRDefault="005A050E" w:rsidP="0060040E">
            <w:pPr>
              <w:spacing w:after="160" w:line="256" w:lineRule="auto"/>
              <w:rPr>
                <w:rFonts w:ascii="Times New Roman" w:hAnsi="Times New Roman"/>
                <w:b/>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359232B2"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44AFB90C"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245AC7CB"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7892E21C"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F2D3C" w14:textId="77777777" w:rsidR="005A050E" w:rsidRPr="0060040E" w:rsidRDefault="005A050E" w:rsidP="0060040E">
            <w:pPr>
              <w:spacing w:after="160" w:line="256" w:lineRule="auto"/>
              <w:rPr>
                <w:rFonts w:ascii="Times New Roman" w:hAnsi="Times New Roman"/>
                <w:b/>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40073714"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6FD8E3D6"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6EA98652"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6D76EA1E"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942C9" w14:textId="77777777" w:rsidR="005A050E" w:rsidRPr="0060040E" w:rsidRDefault="005A050E" w:rsidP="0060040E">
            <w:pPr>
              <w:spacing w:after="160" w:line="256" w:lineRule="auto"/>
              <w:rPr>
                <w:rFonts w:ascii="Times New Roman" w:hAnsi="Times New Roman"/>
                <w:b/>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3683E12D"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7C62521C"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62F50969"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712E8B66"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06D19" w14:textId="77777777" w:rsidR="005A050E" w:rsidRPr="0060040E" w:rsidRDefault="005A050E" w:rsidP="0060040E">
            <w:pPr>
              <w:spacing w:after="160" w:line="256" w:lineRule="auto"/>
              <w:rPr>
                <w:rFonts w:ascii="Times New Roman" w:hAnsi="Times New Roman"/>
                <w:b/>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96616A5"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3C7FAB7B"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08E26AF9"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2FB0DBB7" w14:textId="77777777">
        <w:tc>
          <w:tcPr>
            <w:tcW w:w="2337" w:type="dxa"/>
            <w:tcBorders>
              <w:top w:val="single" w:sz="4" w:space="0" w:color="auto"/>
              <w:left w:val="single" w:sz="4" w:space="0" w:color="auto"/>
              <w:bottom w:val="single" w:sz="4" w:space="0" w:color="auto"/>
              <w:right w:val="single" w:sz="4" w:space="0" w:color="auto"/>
            </w:tcBorders>
            <w:hideMark/>
          </w:tcPr>
          <w:p w14:paraId="21A6CA0F" w14:textId="77777777" w:rsidR="005A050E" w:rsidRPr="0060040E" w:rsidRDefault="005A050E" w:rsidP="0060040E">
            <w:pPr>
              <w:spacing w:after="160" w:line="256" w:lineRule="auto"/>
              <w:rPr>
                <w:rFonts w:ascii="Times New Roman" w:hAnsi="Times New Roman"/>
                <w:b/>
                <w:sz w:val="24"/>
                <w:szCs w:val="24"/>
                <w:lang w:val="sr-Cyrl-RS"/>
              </w:rPr>
            </w:pPr>
            <w:r w:rsidRPr="0060040E">
              <w:rPr>
                <w:rFonts w:ascii="Times New Roman" w:hAnsi="Times New Roman"/>
                <w:b/>
                <w:sz w:val="24"/>
                <w:szCs w:val="24"/>
                <w:lang w:val="sr-Cyrl-RS"/>
              </w:rPr>
              <w:t>Indicator at the measure level</w:t>
            </w:r>
          </w:p>
        </w:tc>
        <w:tc>
          <w:tcPr>
            <w:tcW w:w="2337" w:type="dxa"/>
            <w:tcBorders>
              <w:top w:val="single" w:sz="4" w:space="0" w:color="auto"/>
              <w:left w:val="single" w:sz="4" w:space="0" w:color="auto"/>
              <w:bottom w:val="single" w:sz="4" w:space="0" w:color="auto"/>
              <w:right w:val="single" w:sz="4" w:space="0" w:color="auto"/>
            </w:tcBorders>
            <w:hideMark/>
          </w:tcPr>
          <w:p w14:paraId="16A25A9F"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Year</w:t>
            </w:r>
          </w:p>
        </w:tc>
        <w:tc>
          <w:tcPr>
            <w:tcW w:w="2338" w:type="dxa"/>
            <w:tcBorders>
              <w:top w:val="single" w:sz="4" w:space="0" w:color="auto"/>
              <w:left w:val="single" w:sz="4" w:space="0" w:color="auto"/>
              <w:bottom w:val="single" w:sz="4" w:space="0" w:color="auto"/>
              <w:right w:val="single" w:sz="4" w:space="0" w:color="auto"/>
            </w:tcBorders>
            <w:hideMark/>
          </w:tcPr>
          <w:p w14:paraId="6D7B4FF0"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Target value</w:t>
            </w:r>
          </w:p>
        </w:tc>
        <w:tc>
          <w:tcPr>
            <w:tcW w:w="2338" w:type="dxa"/>
            <w:tcBorders>
              <w:top w:val="single" w:sz="4" w:space="0" w:color="auto"/>
              <w:left w:val="single" w:sz="4" w:space="0" w:color="auto"/>
              <w:bottom w:val="single" w:sz="4" w:space="0" w:color="auto"/>
              <w:right w:val="single" w:sz="4" w:space="0" w:color="auto"/>
            </w:tcBorders>
            <w:hideMark/>
          </w:tcPr>
          <w:p w14:paraId="2EB6A3A6"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Achieved value</w:t>
            </w:r>
          </w:p>
        </w:tc>
      </w:tr>
      <w:tr w:rsidR="005A050E" w:rsidRPr="008B1397" w14:paraId="5F29A104" w14:textId="77777777">
        <w:trPr>
          <w:trHeight w:val="431"/>
        </w:trPr>
        <w:tc>
          <w:tcPr>
            <w:tcW w:w="2337" w:type="dxa"/>
            <w:vMerge w:val="restart"/>
            <w:tcBorders>
              <w:top w:val="single" w:sz="4" w:space="0" w:color="auto"/>
              <w:left w:val="single" w:sz="4" w:space="0" w:color="auto"/>
              <w:bottom w:val="single" w:sz="4" w:space="0" w:color="auto"/>
              <w:right w:val="single" w:sz="4" w:space="0" w:color="auto"/>
            </w:tcBorders>
            <w:hideMark/>
          </w:tcPr>
          <w:p w14:paraId="2EE9CF1A" w14:textId="77777777" w:rsidR="005A050E" w:rsidRPr="0060040E" w:rsidRDefault="005A050E" w:rsidP="0060040E">
            <w:pPr>
              <w:spacing w:after="160" w:line="256" w:lineRule="auto"/>
              <w:rPr>
                <w:rFonts w:ascii="Times New Roman" w:hAnsi="Times New Roman"/>
                <w:b/>
                <w:sz w:val="24"/>
                <w:szCs w:val="24"/>
                <w:lang w:val="sr-Cyrl-RS"/>
              </w:rPr>
            </w:pPr>
            <w:r w:rsidRPr="0060040E">
              <w:rPr>
                <w:rFonts w:ascii="Times New Roman" w:hAnsi="Times New Roman"/>
                <w:b/>
                <w:sz w:val="24"/>
                <w:szCs w:val="24"/>
                <w:lang w:val="sr-Cyrl-RS"/>
              </w:rPr>
              <w:t xml:space="preserve">Holding a session/meeting of the Committee for reviewing </w:t>
            </w:r>
            <w:r w:rsidRPr="0060040E">
              <w:rPr>
                <w:rFonts w:ascii="Times New Roman" w:hAnsi="Times New Roman"/>
                <w:b/>
                <w:sz w:val="24"/>
                <w:szCs w:val="24"/>
                <w:lang w:val="sr-Cyrl-RS"/>
              </w:rPr>
              <w:lastRenderedPageBreak/>
              <w:t>recommendations for changes to the law in the presence of the SAI and the Ministry of Finance</w:t>
            </w:r>
          </w:p>
        </w:tc>
        <w:tc>
          <w:tcPr>
            <w:tcW w:w="2337" w:type="dxa"/>
            <w:tcBorders>
              <w:top w:val="single" w:sz="4" w:space="0" w:color="auto"/>
              <w:left w:val="single" w:sz="4" w:space="0" w:color="auto"/>
              <w:bottom w:val="single" w:sz="4" w:space="0" w:color="auto"/>
              <w:right w:val="single" w:sz="4" w:space="0" w:color="auto"/>
            </w:tcBorders>
            <w:hideMark/>
          </w:tcPr>
          <w:p w14:paraId="5ABAE732"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lastRenderedPageBreak/>
              <w:t>2021</w:t>
            </w:r>
          </w:p>
        </w:tc>
        <w:tc>
          <w:tcPr>
            <w:tcW w:w="2338" w:type="dxa"/>
            <w:tcBorders>
              <w:top w:val="single" w:sz="4" w:space="0" w:color="auto"/>
              <w:left w:val="single" w:sz="4" w:space="0" w:color="auto"/>
              <w:bottom w:val="single" w:sz="4" w:space="0" w:color="auto"/>
              <w:right w:val="single" w:sz="4" w:space="0" w:color="auto"/>
            </w:tcBorders>
            <w:hideMark/>
          </w:tcPr>
          <w:p w14:paraId="4F443F55"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083E7560"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36B6F942"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2F8AF" w14:textId="77777777" w:rsidR="005A050E" w:rsidRPr="008B1397" w:rsidRDefault="005A050E" w:rsidP="005A050E">
            <w:pPr>
              <w:spacing w:after="160" w:line="256" w:lineRule="auto"/>
              <w:jc w:val="both"/>
              <w:rPr>
                <w:rFonts w:ascii="Times New Roman" w:hAnsi="Times New Roman"/>
                <w:bCs/>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01DB3070"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2022</w:t>
            </w:r>
          </w:p>
        </w:tc>
        <w:tc>
          <w:tcPr>
            <w:tcW w:w="2338" w:type="dxa"/>
            <w:tcBorders>
              <w:top w:val="single" w:sz="4" w:space="0" w:color="auto"/>
              <w:left w:val="single" w:sz="4" w:space="0" w:color="auto"/>
              <w:bottom w:val="single" w:sz="4" w:space="0" w:color="auto"/>
              <w:right w:val="single" w:sz="4" w:space="0" w:color="auto"/>
            </w:tcBorders>
            <w:hideMark/>
          </w:tcPr>
          <w:p w14:paraId="50DDEA84"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6C7A9BC6"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3390918F"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853C69" w14:textId="77777777" w:rsidR="005A050E" w:rsidRPr="008B1397" w:rsidRDefault="005A050E" w:rsidP="005A050E">
            <w:pPr>
              <w:spacing w:after="160" w:line="256" w:lineRule="auto"/>
              <w:jc w:val="both"/>
              <w:rPr>
                <w:rFonts w:ascii="Times New Roman" w:hAnsi="Times New Roman"/>
                <w:bCs/>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266B3D0C"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2023</w:t>
            </w:r>
          </w:p>
        </w:tc>
        <w:tc>
          <w:tcPr>
            <w:tcW w:w="2338" w:type="dxa"/>
            <w:tcBorders>
              <w:top w:val="single" w:sz="4" w:space="0" w:color="auto"/>
              <w:left w:val="single" w:sz="4" w:space="0" w:color="auto"/>
              <w:bottom w:val="single" w:sz="4" w:space="0" w:color="auto"/>
              <w:right w:val="single" w:sz="4" w:space="0" w:color="auto"/>
            </w:tcBorders>
            <w:hideMark/>
          </w:tcPr>
          <w:p w14:paraId="7B11B1F9"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70E59BA2"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629930D1" w14:textId="777777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2CF098" w14:textId="77777777" w:rsidR="005A050E" w:rsidRPr="008B1397" w:rsidRDefault="005A050E" w:rsidP="005A050E">
            <w:pPr>
              <w:spacing w:after="160" w:line="256" w:lineRule="auto"/>
              <w:jc w:val="both"/>
              <w:rPr>
                <w:rFonts w:ascii="Times New Roman" w:hAnsi="Times New Roman"/>
                <w:bCs/>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7316C24B"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2024</w:t>
            </w:r>
          </w:p>
        </w:tc>
        <w:tc>
          <w:tcPr>
            <w:tcW w:w="2338" w:type="dxa"/>
            <w:tcBorders>
              <w:top w:val="single" w:sz="4" w:space="0" w:color="auto"/>
              <w:left w:val="single" w:sz="4" w:space="0" w:color="auto"/>
              <w:bottom w:val="single" w:sz="4" w:space="0" w:color="auto"/>
              <w:right w:val="single" w:sz="4" w:space="0" w:color="auto"/>
            </w:tcBorders>
            <w:hideMark/>
          </w:tcPr>
          <w:p w14:paraId="4B28B799"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74184843"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r w:rsidR="005A050E" w:rsidRPr="008B1397" w14:paraId="4A97D0D7" w14:textId="77777777">
        <w:trPr>
          <w:trHeight w:val="4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2B325" w14:textId="77777777" w:rsidR="005A050E" w:rsidRPr="008B1397" w:rsidRDefault="005A050E" w:rsidP="005A050E">
            <w:pPr>
              <w:spacing w:after="160" w:line="256" w:lineRule="auto"/>
              <w:jc w:val="both"/>
              <w:rPr>
                <w:rFonts w:ascii="Times New Roman" w:hAnsi="Times New Roman"/>
                <w:bCs/>
                <w:sz w:val="24"/>
                <w:szCs w:val="24"/>
                <w:lang w:val="sr-Cyrl-RS"/>
              </w:rPr>
            </w:pPr>
          </w:p>
        </w:tc>
        <w:tc>
          <w:tcPr>
            <w:tcW w:w="2337" w:type="dxa"/>
            <w:tcBorders>
              <w:top w:val="single" w:sz="4" w:space="0" w:color="auto"/>
              <w:left w:val="single" w:sz="4" w:space="0" w:color="auto"/>
              <w:bottom w:val="single" w:sz="4" w:space="0" w:color="auto"/>
              <w:right w:val="single" w:sz="4" w:space="0" w:color="auto"/>
            </w:tcBorders>
            <w:hideMark/>
          </w:tcPr>
          <w:p w14:paraId="5ECF5786"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2025</w:t>
            </w:r>
          </w:p>
        </w:tc>
        <w:tc>
          <w:tcPr>
            <w:tcW w:w="2338" w:type="dxa"/>
            <w:tcBorders>
              <w:top w:val="single" w:sz="4" w:space="0" w:color="auto"/>
              <w:left w:val="single" w:sz="4" w:space="0" w:color="auto"/>
              <w:bottom w:val="single" w:sz="4" w:space="0" w:color="auto"/>
              <w:right w:val="single" w:sz="4" w:space="0" w:color="auto"/>
            </w:tcBorders>
            <w:hideMark/>
          </w:tcPr>
          <w:p w14:paraId="535D9BA7"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c>
          <w:tcPr>
            <w:tcW w:w="2338" w:type="dxa"/>
            <w:tcBorders>
              <w:top w:val="single" w:sz="4" w:space="0" w:color="auto"/>
              <w:left w:val="single" w:sz="4" w:space="0" w:color="auto"/>
              <w:bottom w:val="single" w:sz="4" w:space="0" w:color="auto"/>
              <w:right w:val="single" w:sz="4" w:space="0" w:color="auto"/>
            </w:tcBorders>
            <w:hideMark/>
          </w:tcPr>
          <w:p w14:paraId="492925B1" w14:textId="77777777" w:rsidR="005A050E" w:rsidRPr="008B1397" w:rsidRDefault="005A050E" w:rsidP="005A050E">
            <w:pPr>
              <w:spacing w:after="160" w:line="256" w:lineRule="auto"/>
              <w:jc w:val="both"/>
              <w:rPr>
                <w:rFonts w:ascii="Times New Roman" w:hAnsi="Times New Roman"/>
                <w:bCs/>
                <w:sz w:val="24"/>
                <w:szCs w:val="24"/>
                <w:lang w:val="sr-Cyrl-RS"/>
              </w:rPr>
            </w:pPr>
            <w:r w:rsidRPr="008B1397">
              <w:rPr>
                <w:rFonts w:ascii="Times New Roman" w:hAnsi="Times New Roman"/>
                <w:bCs/>
                <w:sz w:val="24"/>
                <w:szCs w:val="24"/>
                <w:lang w:val="sr-Cyrl-RS"/>
              </w:rPr>
              <w:t>1</w:t>
            </w:r>
          </w:p>
        </w:tc>
      </w:tr>
    </w:tbl>
    <w:p w14:paraId="3D33A445" w14:textId="77777777" w:rsidR="005A050E" w:rsidRPr="008B1397" w:rsidRDefault="005A050E" w:rsidP="005A050E">
      <w:pPr>
        <w:spacing w:line="256" w:lineRule="auto"/>
        <w:jc w:val="both"/>
        <w:rPr>
          <w:rFonts w:ascii="Times New Roman" w:eastAsia="Calibri" w:hAnsi="Times New Roman" w:cs="Times New Roman"/>
          <w:bCs/>
          <w:lang w:val="sr-Cyrl-RS"/>
          <w14:ligatures w14:val="none"/>
        </w:rPr>
      </w:pPr>
    </w:p>
    <w:p w14:paraId="0131AE95" w14:textId="77777777" w:rsidR="00141C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Measure indicator 6.2. - Consideration of the annual report on the work of the SAI with the adoption of the proposed conclusion was achieved in full accordance with the target value in each year of the reporting period. In all the years of the implementation of the Programme, the Board, fulfilling its legal obligations, considered the annual report on the work of the State Audit Institution, paying special attention to the recommendations that the State Audit Institution emphasized in order to eliminate the observed irregularities.</w:t>
      </w:r>
    </w:p>
    <w:p w14:paraId="6A03307D" w14:textId="77777777" w:rsidR="00141C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Based on the recommendations of the State Audit Institution contained in the work reports, the Board submitted to the National Assembly proposed conclusions for adoption, by which the National Assembly recommended the Government to take measures within its jurisdiction to ensure the implementation of the recommendations of the State Audit Institution, first of all by proposing to the National Assembly to enact appropriate laws, i.e. by making amendments and additions to the by-laws that it adopts independently, as well as regulations under the jurisdiction of the ministries that are specifically indicated in the Report.</w:t>
      </w:r>
    </w:p>
    <w:p w14:paraId="17682B9E" w14:textId="77777777" w:rsidR="00141C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Proceeding from the findings of the State Audit Institution that the majority of the audited public sector entities did not have an internal control system in place, which ensures business operations in accordance with the regulations, the National Assembly recommended in its conclusions that it is necessary for the Government, in accordance with the responsibility for the execution of the law, to ensure the consistent implementation of the Law on the Budget System in the part that refers to the obligation to establish an adequate FMC system and the introduction of IA at the public sector entities. The Board monitored the implementation of the conclusion of the National Assembly, the execution of which is the responsibility of the Government, and through the Consolidated Annual Report on the State of the PIFC prepared by the Ministry of Finance.</w:t>
      </w:r>
    </w:p>
    <w:p w14:paraId="125E032D" w14:textId="77777777" w:rsidR="00141C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The measure indicator was achieved with own capacities and donor funds. In situations where the annual report on the work of the SAI is considered as an agenda item at the Board session held as a session outside the seat of the National Assembly, the implementation of this measure indicator is carried out both with own capacities and with donor funds. Such sessions outside the seat of the National Assembly were held in the period from 2021 to 2023 and were financed from donor funds for the duration of the project for which they were conducted. In the period from 2024 to 2025, the activity of holding sessions outside the seat of the National Assembly was not carried out, but the annual reports of the SAI were considered at the meetings of the Committee in the National Assembly, in their own capacities without using additional funds from the RS budget.</w:t>
      </w:r>
    </w:p>
    <w:p w14:paraId="3BAC805B" w14:textId="77777777" w:rsidR="005A05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 xml:space="preserve">At sessions outside the seat of the National Assembly, during which the Subcommittee holds its sessions, reports on the audit of the consolidated financial statements of the final account of the budget of the city or local self-government in which the session is held are considered. In </w:t>
      </w:r>
      <w:r w:rsidRPr="008B1397">
        <w:rPr>
          <w:rFonts w:ascii="Times New Roman" w:eastAsia="Calibri" w:hAnsi="Times New Roman" w:cs="Times New Roman"/>
          <w:bCs/>
          <w:lang w:val="sr-Cyrl-RS"/>
          <w14:ligatures w14:val="none"/>
        </w:rPr>
        <w:lastRenderedPageBreak/>
        <w:t>addition, reports on the audit of financial statements and the regularity of operations for individual economic entities and other users of public funds of those local governments are considered at such meetings. These sessions, in addition to representatives of the State Audit Institution and representatives of the Ministry of Finance, are also attended by representatives of municipal and city authorities, who, in a direct conversation, are given the opportunity to express their opinion and state the irregularities found, and also to consult on measures to eliminate them. Other special, sectoral reports prepared by the State Audit Institution and, in accordance with the law, are submitted to the National Assembly are considered at the sessions outside the headquarters.</w:t>
      </w:r>
    </w:p>
    <w:p w14:paraId="63C506F0" w14:textId="77777777" w:rsidR="00141C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Measure indicator 6.2. - The holding of the session/meeting of the Committee for the review of recommendations for amendments to the law in the presence of the SAI and the Ministry of Finance was fully achieved in accordance with the target value in each year of the reporting period.</w:t>
      </w:r>
    </w:p>
    <w:p w14:paraId="18A803E6" w14:textId="77777777" w:rsidR="00141C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Based on the recommendations for changes to the law that the State Audit Institution indicates in its work reports, which the Institution defines and submits to the National Assembly and the Government in separate submissions, the Committee for Finance, the Republic Budget and Control of the Spending of Public Funds held sessions where recommendations for changes to the law were discussed in the presence of representatives of the Institution and representatives of the Ministry of Finance. On that occasion, the representatives of the State Audit Institution report to the Board on the findings established by conducting audits, among other things, for example, that the audit established a certain number of irregularities in terms of unreliable accounting records, non-use of auxiliary books, poor functioning of internal control, inventory of assets and public procurement, etc. It was established that in this way, through direct dialogue, the largest number of problems can be solved, that is, that this type of discussion results in the accurate identification of critical problems and acting on the largest number of recommendations. The measure indicator was achieved with own capacities and donor funds.</w:t>
      </w:r>
    </w:p>
    <w:p w14:paraId="00AA58D0" w14:textId="77777777" w:rsidR="005A05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In situations where SAI's recommendations for changes to laws and other regulations are considered as an agenda item at the Board session held as a session outside the seat of the National Assembly, the implementation of this measure indicator is carried out both with own capacities and with donor funds. Such sessions outside the seat of the National Assembly were held in the period from 2021 to 2023 and were financed from donor funds for the duration of the project for which they were conducted. In the period from 2024 to 2025, the activity of holding sessions outside the seat of the National Assembly was not carried out, but recommendations of the SAI for changes to laws and other regulations were considered at the sessions of the Committee in the National Assembly, in their own capacity without using additional funds from the RS budget.</w:t>
      </w:r>
    </w:p>
    <w:p w14:paraId="221DD744" w14:textId="77777777" w:rsidR="005A05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 xml:space="preserve">Since the implementation of the indicators of the measures gave excellent results, especially bearing in mind that the external evaluations of the measures and activities by the PEFA assessment and SIGMA defined the highest values, the Board will continue with the implementation of efficient parliamentary oversight of public finances by monitoring the implementation of the measures specified in the conclusion of the National Assembly on the occasion of the adoption of the Report on the work of the SAI and the execution of which relates to the preparation of new regulations and by-laws or to the amendments to the valid regulations </w:t>
      </w:r>
      <w:r w:rsidRPr="008B1397">
        <w:rPr>
          <w:rFonts w:ascii="Times New Roman" w:eastAsia="Calibri" w:hAnsi="Times New Roman" w:cs="Times New Roman"/>
          <w:bCs/>
          <w:lang w:val="sr-Cyrl-RS"/>
          <w14:ligatures w14:val="none"/>
        </w:rPr>
        <w:lastRenderedPageBreak/>
        <w:t>specified in the SAI's annual report, it will continue with by reviewing all individual, sectoral reports of SAI in order to achieve a more complete insight into the regularity of financial reporting, regularity of operations and expediency of actions of public sector entities, with the effects and efficiency of the implementation of recommended measures, will continue with the practice of holding meetings of the Committee and Subcommittees in and outside the seat of the National Assembly at which reports on the audit of financial reporting, regularity of operations and expediency of the work of municipalities and cities will be considered, with the presence of representatives of SAI and representatives of local authorities, will also continue with the practice of holding sessions/meetings of the Committee for Review of Recommendations for Law Amendments in the presence of representatives of the SAI and representatives of the Ministry of Finance, because from the point of view of effectiveness and relevance, all measures and activities proved to be adequate.</w:t>
      </w:r>
    </w:p>
    <w:p w14:paraId="6DD80BEA" w14:textId="77777777" w:rsidR="005A050E" w:rsidRPr="008B1397" w:rsidRDefault="005A050E" w:rsidP="00141C0E">
      <w:pPr>
        <w:spacing w:line="256" w:lineRule="auto"/>
        <w:ind w:firstLine="720"/>
        <w:jc w:val="both"/>
        <w:rPr>
          <w:rFonts w:ascii="Times New Roman" w:eastAsia="Calibri" w:hAnsi="Times New Roman" w:cs="Times New Roman"/>
          <w:bCs/>
          <w:lang w:val="sr-Cyrl-RS"/>
          <w14:ligatures w14:val="none"/>
        </w:rPr>
      </w:pPr>
      <w:r w:rsidRPr="008B1397">
        <w:rPr>
          <w:rFonts w:ascii="Times New Roman" w:eastAsia="Calibri" w:hAnsi="Times New Roman" w:cs="Times New Roman"/>
          <w:bCs/>
          <w:lang w:val="sr-Cyrl-RS"/>
          <w14:ligatures w14:val="none"/>
        </w:rPr>
        <w:t>In addition to the presented effects of the implementation of the indicators of the measures, a special effect is the increase in transparency and the increase in the participation of the interested public and civil society organisations. In order to enable greater participation of the public, civil society organisations and other stakeholders, and respecting the recommendations of the PEFA assessment, the Committee included in the Action Plan for the implementation of the PFMRP 2021-2025 the activity of organizing a public hearing on the occasion of the presentation of the Bill on the Budget and the Bill on the Final Account of the Budget, and in each year of the reporting period, carried out the said activity. In addition to the representatives of the Ministry of Finance who present the solutions contained in the aforementioned draft laws, the public hearing is attended by MPs as well as representatives of the SAI, the Fiscal Council, the National Bank of Serbia and representatives of numerous civil society organisations. The board will also continue with this practice of holding such public hearings, considering that all the participants of the public hearing agreed that in this way problems are better understood and that through participation in such a dialogue, better solutions are achieved.</w:t>
      </w:r>
    </w:p>
    <w:p w14:paraId="144E0EE7" w14:textId="77777777" w:rsidR="002C0C9E" w:rsidRDefault="005A050E" w:rsidP="00591B08">
      <w:pPr>
        <w:spacing w:line="256" w:lineRule="auto"/>
        <w:ind w:firstLine="720"/>
        <w:jc w:val="both"/>
        <w:rPr>
          <w:rFonts w:ascii="Times New Roman" w:eastAsia="Calibri" w:hAnsi="Times New Roman" w:cs="Times New Roman"/>
          <w:bCs/>
          <w:lang w:val="en-US"/>
          <w14:ligatures w14:val="none"/>
        </w:rPr>
      </w:pPr>
      <w:r w:rsidRPr="008B1397">
        <w:rPr>
          <w:rFonts w:ascii="Times New Roman" w:eastAsia="Calibri" w:hAnsi="Times New Roman" w:cs="Times New Roman"/>
          <w:bCs/>
          <w:lang w:val="sr-Cyrl-RS"/>
          <w14:ligatures w14:val="none"/>
        </w:rPr>
        <w:t>Based on the recommendations of external evaluators and with the aim of further strengthening the supervisory function, the Committee will in the coming period start holding joint sessions with other competent parliamentary committees, the focus of which will be the consideration of reports on expediency audits. Such joint sessions of several parliamentary committees would be held in the presence of representatives of the SAI as well as representatives of other relevant bodies, organisations and institutions, which would result in a proposal for a joint conclusion of the competent committees, which would be sent to the National Assembly for consideration and adoption.</w:t>
      </w:r>
    </w:p>
    <w:p w14:paraId="119E6B98"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05925820"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5A4B760D"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1BFCB3EE"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488F77D2"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42F47C45"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385039C2"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78C4A762"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2B5647A0"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280683B1"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1CF6EA7B"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478E279B"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3392449E"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0D5F3D0A"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19B561BB"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5E730625" w14:textId="77777777" w:rsidR="00A65273" w:rsidRDefault="00A65273" w:rsidP="00591B08">
      <w:pPr>
        <w:spacing w:line="256" w:lineRule="auto"/>
        <w:ind w:firstLine="720"/>
        <w:jc w:val="both"/>
        <w:rPr>
          <w:rFonts w:ascii="Times New Roman" w:eastAsia="Calibri" w:hAnsi="Times New Roman" w:cs="Times New Roman"/>
          <w:bCs/>
          <w:lang w:val="en-US"/>
          <w14:ligatures w14:val="none"/>
        </w:rPr>
      </w:pPr>
    </w:p>
    <w:p w14:paraId="7DBF90A8" w14:textId="77777777" w:rsidR="00467C20" w:rsidRDefault="00467C20" w:rsidP="00591B08">
      <w:pPr>
        <w:spacing w:line="256" w:lineRule="auto"/>
        <w:ind w:firstLine="720"/>
        <w:jc w:val="both"/>
        <w:rPr>
          <w:rFonts w:ascii="Times New Roman" w:eastAsia="Calibri" w:hAnsi="Times New Roman" w:cs="Times New Roman"/>
          <w:bCs/>
          <w:lang w:val="en-US"/>
          <w14:ligatures w14:val="none"/>
        </w:rPr>
      </w:pPr>
    </w:p>
    <w:p w14:paraId="391D675B" w14:textId="77777777" w:rsidR="00467C20" w:rsidRPr="00467C20" w:rsidRDefault="00467C20" w:rsidP="00591B08">
      <w:pPr>
        <w:spacing w:line="256" w:lineRule="auto"/>
        <w:ind w:firstLine="720"/>
        <w:jc w:val="both"/>
        <w:rPr>
          <w:rFonts w:ascii="Times New Roman" w:eastAsia="Calibri" w:hAnsi="Times New Roman" w:cs="Times New Roman"/>
          <w:bCs/>
          <w:lang w:val="en-US"/>
          <w14:ligatures w14:val="none"/>
        </w:rPr>
      </w:pPr>
    </w:p>
    <w:p w14:paraId="3812DE4F" w14:textId="77777777" w:rsidR="00BA1A73" w:rsidRPr="00591B08" w:rsidRDefault="002C0C9E" w:rsidP="00591B08">
      <w:pPr>
        <w:pStyle w:val="Heading1"/>
        <w:jc w:val="center"/>
        <w:rPr>
          <w:rFonts w:ascii="Times New Roman" w:eastAsia="Calibri" w:hAnsi="Times New Roman" w:cs="Times New Roman"/>
          <w:sz w:val="32"/>
          <w:szCs w:val="32"/>
          <w:lang w:val="en-US"/>
        </w:rPr>
      </w:pPr>
      <w:bookmarkStart w:id="14" w:name="_Toc233629230"/>
      <w:r w:rsidRPr="008548AE">
        <w:rPr>
          <w:rFonts w:ascii="Times New Roman" w:eastAsia="Calibri" w:hAnsi="Times New Roman" w:cs="Times New Roman"/>
          <w:sz w:val="32"/>
          <w:szCs w:val="32"/>
          <w:lang w:val="sr-Cyrl-RS"/>
        </w:rPr>
        <w:t>OVERVIEW OF PLANNED AND USED FINANCIAL RESOURCES</w:t>
      </w:r>
      <w:bookmarkEnd w:id="14"/>
    </w:p>
    <w:p w14:paraId="46E744C8" w14:textId="77777777" w:rsidR="002C0C9E" w:rsidRPr="002C0C9E" w:rsidRDefault="002C0C9E" w:rsidP="002C0C9E">
      <w:pPr>
        <w:pStyle w:val="isselectedend"/>
        <w:ind w:firstLine="720"/>
        <w:jc w:val="both"/>
        <w:rPr>
          <w:lang w:val="sr-Cyrl-RS"/>
        </w:rPr>
      </w:pPr>
      <w:r w:rsidRPr="002C0C9E">
        <w:rPr>
          <w:lang w:val="sr-Cyrl-RS"/>
        </w:rPr>
        <w:t>In accordance with the Regulation on the methodology of drafting public policy documents, the final report also contains an overview of the planned and used financial resources for the implementation of the PFMRP 2021-2025. Financial data are presented on the basis of information provided by the institutions responsible for the implementation of measures and activities, as well as on the basis of available data on budget and donor funding in the period 2021-2025.</w:t>
      </w:r>
    </w:p>
    <w:p w14:paraId="31467C75" w14:textId="77777777" w:rsidR="002C0C9E" w:rsidRPr="00DC5C84" w:rsidRDefault="002C0C9E" w:rsidP="002C0C9E">
      <w:pPr>
        <w:pStyle w:val="isselectedend"/>
        <w:ind w:firstLine="720"/>
        <w:jc w:val="both"/>
        <w:rPr>
          <w:lang w:val="sr-Cyrl-RS"/>
        </w:rPr>
      </w:pPr>
      <w:r w:rsidRPr="002C0C9E">
        <w:rPr>
          <w:lang w:val="sr-Cyrl-RS"/>
        </w:rPr>
        <w:t>The total planned funds for the implementation of the activities included in the financial review amounted to 9,198,125,283 dinars, while the recorded funds spent amounted to 4,515,813,699 dinars. Of the total planned funds, 6,866,611,400 dinars related to budget funds, and 2,331,513,883 dinars to donor funds. Of the total recorded funds spent, 4,385,745,991 dinars related to budget funds, and 130,067,708 dinars to donor funds. The reason for the existence of a significant difference between planned and executed funds can be found in the fact that donors generally do not provide information on payments made, so these missing data can lead to the wrong conclusion that the implementation is much less than planned, which is not the case.</w:t>
      </w:r>
    </w:p>
    <w:p w14:paraId="78215923" w14:textId="77777777" w:rsidR="002C0C9E" w:rsidRPr="002C0C9E" w:rsidRDefault="002C0C9E" w:rsidP="002C0C9E">
      <w:pPr>
        <w:pStyle w:val="isselectedend"/>
        <w:ind w:firstLine="720"/>
        <w:jc w:val="both"/>
        <w:rPr>
          <w:lang w:val="sr-Cyrl-RS"/>
        </w:rPr>
      </w:pPr>
      <w:r w:rsidRPr="002C0C9E">
        <w:rPr>
          <w:lang w:val="sr-Cyrl-RS"/>
        </w:rPr>
        <w:t xml:space="preserve">The presented data show that the largest part of the recorded expenditure was achieved from budget funds, while the implementation of donor funds was shown in accordance with the data that were available to the institutions responsible for implementing the activities. Bearing in mind that for certain activities, data on the value of donor support were not fully available, that is, that certain donors did not submit financial data in a structure that allows for precise reporting by PFMRP activities, the financial review should be viewed as a presentation of the available and </w:t>
      </w:r>
      <w:r w:rsidRPr="002C0C9E">
        <w:rPr>
          <w:lang w:val="sr-Cyrl-RS"/>
        </w:rPr>
        <w:lastRenderedPageBreak/>
        <w:t>submitted data, and not as the full value of the overall technical and expert support provided during the implementation of the Programme.</w:t>
      </w:r>
    </w:p>
    <w:p w14:paraId="32657C3E" w14:textId="77777777" w:rsidR="002C0C9E" w:rsidRPr="002C0C9E" w:rsidRDefault="002C0C9E" w:rsidP="002C0C9E">
      <w:pPr>
        <w:pStyle w:val="isselectedend"/>
        <w:ind w:firstLine="720"/>
        <w:jc w:val="both"/>
        <w:rPr>
          <w:lang w:val="sr-Cyrl-RS"/>
        </w:rPr>
      </w:pPr>
      <w:r w:rsidRPr="002C0C9E">
        <w:rPr>
          <w:lang w:val="sr-Cyrl-RS"/>
        </w:rPr>
        <w:t>A significant number of activities were carried out through the regular competences and existing administrative capacities of the institutions, without specifically stated additional costs. That is why certain activities in the table have a value of zero, even though they were implemented in substantive terms. In those cases, the financial outturn was not specifically stated, because the activities were carried out within the regular work of the institutions, through existing budget appropriations, or with technical and expert support that was not financially stated by individual activities.</w:t>
      </w:r>
    </w:p>
    <w:p w14:paraId="7A5C18FB" w14:textId="77777777" w:rsidR="002C0C9E" w:rsidRPr="002C0C9E" w:rsidRDefault="002C0C9E" w:rsidP="002C0C9E">
      <w:pPr>
        <w:pStyle w:val="isselectedend"/>
        <w:ind w:firstLine="720"/>
        <w:jc w:val="both"/>
        <w:rPr>
          <w:lang w:val="sr-Cyrl-RS"/>
        </w:rPr>
      </w:pPr>
      <w:r w:rsidRPr="002C0C9E">
        <w:rPr>
          <w:lang w:val="sr-Cyrl-RS"/>
        </w:rPr>
        <w:t>The largest volume of recorded spent funds refers to measures that included the development and improvement of information systems, modernisation of business processes and strengthening of institutional capacities, especially in the areas of tax administration, management of capital projects, customs system, management of European Union funds, budget inspection and accounting in the public sector. For some of the activities, the funds used were less than planned due to delays in project implementation, postponement of certain activities, changes in the dynamics of implementation, or the fact that the activities were transferred to the next programme cycle.</w:t>
      </w:r>
    </w:p>
    <w:p w14:paraId="3A3759CF" w14:textId="77777777" w:rsidR="008E3674" w:rsidRPr="002C0C9E" w:rsidRDefault="002C0C9E" w:rsidP="002C0C9E">
      <w:pPr>
        <w:pStyle w:val="NormalWeb"/>
        <w:ind w:firstLine="720"/>
        <w:jc w:val="both"/>
        <w:rPr>
          <w:lang w:val="en-US"/>
        </w:rPr>
        <w:sectPr w:rsidR="008E3674" w:rsidRPr="002C0C9E" w:rsidSect="00543F74">
          <w:headerReference w:type="even" r:id="rId17"/>
          <w:footerReference w:type="default" r:id="rId18"/>
          <w:headerReference w:type="first" r:id="rId19"/>
          <w:pgSz w:w="12240" w:h="15840"/>
          <w:pgMar w:top="1440" w:right="1440" w:bottom="1440" w:left="1440" w:header="720" w:footer="720" w:gutter="0"/>
          <w:cols w:space="720"/>
          <w:docGrid w:linePitch="360"/>
        </w:sectPr>
      </w:pPr>
      <w:r w:rsidRPr="002C0C9E">
        <w:rPr>
          <w:lang w:val="sr-Cyrl-RS"/>
        </w:rPr>
        <w:t>The financial review confirms that the implementation of the PFMRP 2021-2025 depended to a significant extent on the combination of budget funds, donor and project support, as well as the regular capacities of institutions. This indicates the need to continue with more realistic planning of financial needs by measures and activities in the next programme cycle, especially for complex IT and reform projects, as well as to improve the monitoring of actually spent funds, including donor support.</w:t>
      </w:r>
    </w:p>
    <w:p w14:paraId="787D2127" w14:textId="77777777" w:rsidR="002C0C9E" w:rsidRPr="002C0C9E" w:rsidRDefault="002C0C9E" w:rsidP="002C0C9E">
      <w:pPr>
        <w:autoSpaceDE w:val="0"/>
        <w:autoSpaceDN w:val="0"/>
        <w:adjustRightInd w:val="0"/>
        <w:spacing w:after="0" w:line="240" w:lineRule="auto"/>
        <w:rPr>
          <w:rFonts w:ascii="Times New Roman" w:eastAsia="Calibri" w:hAnsi="Times New Roman" w:cs="Times New Roman"/>
          <w:b/>
          <w:bCs/>
          <w:color w:val="365F91"/>
          <w:szCs w:val="22"/>
          <w:lang w:val="en-US"/>
          <w14:ligatures w14:val="none"/>
        </w:rPr>
      </w:pPr>
    </w:p>
    <w:p w14:paraId="736DD5E4" w14:textId="77777777" w:rsidR="008E3674" w:rsidRPr="008E3674" w:rsidRDefault="008E3674" w:rsidP="008E3674">
      <w:pPr>
        <w:autoSpaceDE w:val="0"/>
        <w:autoSpaceDN w:val="0"/>
        <w:adjustRightInd w:val="0"/>
        <w:spacing w:after="0" w:line="240" w:lineRule="auto"/>
        <w:jc w:val="center"/>
        <w:rPr>
          <w:rFonts w:ascii="Times New Roman" w:eastAsia="Calibri" w:hAnsi="Times New Roman" w:cs="Times New Roman"/>
          <w:b/>
          <w:bCs/>
          <w:color w:val="365F91"/>
          <w:szCs w:val="22"/>
          <w:lang w:val="en-US"/>
          <w14:ligatures w14:val="none"/>
        </w:rPr>
      </w:pPr>
    </w:p>
    <w:tbl>
      <w:tblPr>
        <w:tblStyle w:val="TableGrid5"/>
        <w:tblW w:w="0" w:type="auto"/>
        <w:tblLook w:val="04A0" w:firstRow="1" w:lastRow="0" w:firstColumn="1" w:lastColumn="0" w:noHBand="0" w:noVBand="1"/>
      </w:tblPr>
      <w:tblGrid>
        <w:gridCol w:w="1986"/>
        <w:gridCol w:w="1828"/>
        <w:gridCol w:w="1826"/>
        <w:gridCol w:w="1829"/>
        <w:gridCol w:w="1826"/>
        <w:gridCol w:w="1829"/>
        <w:gridCol w:w="1826"/>
      </w:tblGrid>
      <w:tr w:rsidR="008E3674" w:rsidRPr="008E3674" w14:paraId="1E6BDC84" w14:textId="77777777" w:rsidTr="00BD105F">
        <w:tc>
          <w:tcPr>
            <w:tcW w:w="12950" w:type="dxa"/>
            <w:gridSpan w:val="7"/>
          </w:tcPr>
          <w:p w14:paraId="57B38E6D" w14:textId="77777777" w:rsidR="008E3674" w:rsidRPr="008E3674" w:rsidRDefault="008E3674" w:rsidP="008E3674">
            <w:pPr>
              <w:jc w:val="center"/>
              <w:rPr>
                <w:rFonts w:ascii="Times New Roman" w:hAnsi="Times New Roman"/>
                <w:b/>
                <w:bCs/>
                <w:lang w:val="sr-Cyrl-RS"/>
              </w:rPr>
            </w:pPr>
            <w:r w:rsidRPr="008E3674">
              <w:rPr>
                <w:rFonts w:ascii="Times New Roman" w:hAnsi="Times New Roman"/>
                <w:b/>
                <w:bCs/>
                <w:lang w:val="sr-Cyrl-RS"/>
              </w:rPr>
              <w:t>Tabular representation of financial resources used for the implementation of the 2021-2025 PFMRP</w:t>
            </w:r>
          </w:p>
        </w:tc>
      </w:tr>
      <w:tr w:rsidR="008E3674" w:rsidRPr="008E3674" w14:paraId="747DA822" w14:textId="77777777" w:rsidTr="00BD105F">
        <w:tc>
          <w:tcPr>
            <w:tcW w:w="12950" w:type="dxa"/>
            <w:gridSpan w:val="7"/>
            <w:shd w:val="clear" w:color="auto" w:fill="1F3864" w:themeFill="accent5" w:themeFillShade="80"/>
          </w:tcPr>
          <w:p w14:paraId="2AF78387" w14:textId="77777777" w:rsidR="008E3674" w:rsidRPr="008E3674" w:rsidRDefault="008E3674" w:rsidP="008E3674">
            <w:pPr>
              <w:rPr>
                <w:rFonts w:ascii="Times New Roman" w:hAnsi="Times New Roman"/>
                <w:b/>
                <w:bCs/>
                <w:lang w:val="sr-Cyrl-RS"/>
              </w:rPr>
            </w:pPr>
            <w:r w:rsidRPr="008E3674">
              <w:rPr>
                <w:rFonts w:ascii="Times New Roman" w:hAnsi="Times New Roman"/>
                <w:b/>
                <w:bCs/>
                <w:lang w:val="sr-Cyrl-RS"/>
              </w:rPr>
              <w:t>Specific Objective 1: Improved capacities for budget planning and public investment management</w:t>
            </w:r>
          </w:p>
        </w:tc>
      </w:tr>
      <w:tr w:rsidR="008E3674" w:rsidRPr="008E3674" w14:paraId="69487CE0" w14:textId="77777777" w:rsidTr="00BD105F">
        <w:trPr>
          <w:trHeight w:val="170"/>
        </w:trPr>
        <w:tc>
          <w:tcPr>
            <w:tcW w:w="1986" w:type="dxa"/>
            <w:vMerge w:val="restart"/>
            <w:shd w:val="clear" w:color="auto" w:fill="8EAADB" w:themeFill="accent5" w:themeFillTint="99"/>
          </w:tcPr>
          <w:p w14:paraId="13A8153E" w14:textId="77777777" w:rsidR="008E3674" w:rsidRPr="008E3674" w:rsidRDefault="008E3674" w:rsidP="008E3674">
            <w:pPr>
              <w:rPr>
                <w:rFonts w:ascii="Times New Roman" w:hAnsi="Times New Roman"/>
                <w:lang w:val="sr-Cyrl-RS"/>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3243ACC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Planned and spent funds according to funding sources for the period 2021-2025 (RSD)</w:t>
            </w:r>
          </w:p>
        </w:tc>
      </w:tr>
      <w:tr w:rsidR="008E3674" w:rsidRPr="008E3674" w14:paraId="1787ABAC" w14:textId="77777777" w:rsidTr="00BD105F">
        <w:trPr>
          <w:trHeight w:val="170"/>
        </w:trPr>
        <w:tc>
          <w:tcPr>
            <w:tcW w:w="1986" w:type="dxa"/>
            <w:vMerge/>
            <w:shd w:val="clear" w:color="auto" w:fill="8EAADB" w:themeFill="accent5" w:themeFillTint="99"/>
          </w:tcPr>
          <w:p w14:paraId="1CEB7FC2" w14:textId="77777777" w:rsidR="008E3674" w:rsidRPr="008E3674" w:rsidRDefault="008E3674" w:rsidP="008E3674">
            <w:pPr>
              <w:rPr>
                <w:rFonts w:ascii="Times New Roman" w:hAnsi="Times New Roman"/>
                <w:lang w:val="sr-Cyrl-RS"/>
              </w:rPr>
            </w:pPr>
          </w:p>
        </w:tc>
        <w:tc>
          <w:tcPr>
            <w:tcW w:w="3654" w:type="dxa"/>
            <w:gridSpan w:val="2"/>
            <w:shd w:val="clear" w:color="auto" w:fill="D9E2F3" w:themeFill="accent5" w:themeFillTint="33"/>
          </w:tcPr>
          <w:p w14:paraId="1190FBE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Budget funds</w:t>
            </w:r>
          </w:p>
        </w:tc>
        <w:tc>
          <w:tcPr>
            <w:tcW w:w="3655" w:type="dxa"/>
            <w:gridSpan w:val="2"/>
            <w:shd w:val="clear" w:color="auto" w:fill="D9E2F3" w:themeFill="accent5" w:themeFillTint="33"/>
          </w:tcPr>
          <w:p w14:paraId="021CE99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Donor funds</w:t>
            </w:r>
          </w:p>
        </w:tc>
        <w:tc>
          <w:tcPr>
            <w:tcW w:w="3655" w:type="dxa"/>
            <w:gridSpan w:val="2"/>
            <w:shd w:val="clear" w:color="auto" w:fill="D9E2F3" w:themeFill="accent5" w:themeFillTint="33"/>
          </w:tcPr>
          <w:p w14:paraId="2A3A3EC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In total</w:t>
            </w:r>
          </w:p>
        </w:tc>
      </w:tr>
      <w:tr w:rsidR="008E3674" w:rsidRPr="008E3674" w14:paraId="38945747" w14:textId="77777777" w:rsidTr="00BD105F">
        <w:trPr>
          <w:trHeight w:val="170"/>
        </w:trPr>
        <w:tc>
          <w:tcPr>
            <w:tcW w:w="1986" w:type="dxa"/>
            <w:vMerge/>
            <w:shd w:val="clear" w:color="auto" w:fill="8EAADB" w:themeFill="accent5" w:themeFillTint="99"/>
          </w:tcPr>
          <w:p w14:paraId="4AD19942" w14:textId="77777777" w:rsidR="008E3674" w:rsidRPr="008E3674" w:rsidRDefault="008E3674" w:rsidP="008E3674">
            <w:pPr>
              <w:rPr>
                <w:rFonts w:ascii="Times New Roman" w:hAnsi="Times New Roman"/>
                <w:lang w:val="sr-Cyrl-RS"/>
              </w:rPr>
            </w:pPr>
          </w:p>
        </w:tc>
        <w:tc>
          <w:tcPr>
            <w:tcW w:w="1828" w:type="dxa"/>
            <w:shd w:val="clear" w:color="auto" w:fill="E7E6E6" w:themeFill="background2"/>
          </w:tcPr>
          <w:p w14:paraId="65F1668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Planned</w:t>
            </w:r>
          </w:p>
        </w:tc>
        <w:tc>
          <w:tcPr>
            <w:tcW w:w="1826" w:type="dxa"/>
          </w:tcPr>
          <w:p w14:paraId="78F6EB9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Spent</w:t>
            </w:r>
          </w:p>
        </w:tc>
        <w:tc>
          <w:tcPr>
            <w:tcW w:w="1829" w:type="dxa"/>
            <w:shd w:val="clear" w:color="auto" w:fill="E7E6E6" w:themeFill="background2"/>
          </w:tcPr>
          <w:p w14:paraId="33B8A93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Planned</w:t>
            </w:r>
          </w:p>
        </w:tc>
        <w:tc>
          <w:tcPr>
            <w:tcW w:w="1826" w:type="dxa"/>
          </w:tcPr>
          <w:p w14:paraId="4E40870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Spent</w:t>
            </w:r>
          </w:p>
        </w:tc>
        <w:tc>
          <w:tcPr>
            <w:tcW w:w="1829" w:type="dxa"/>
            <w:shd w:val="clear" w:color="auto" w:fill="E7E6E6" w:themeFill="background2"/>
          </w:tcPr>
          <w:p w14:paraId="1C88446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Planned</w:t>
            </w:r>
          </w:p>
        </w:tc>
        <w:tc>
          <w:tcPr>
            <w:tcW w:w="1826" w:type="dxa"/>
          </w:tcPr>
          <w:p w14:paraId="32B3D8E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Spent</w:t>
            </w:r>
          </w:p>
        </w:tc>
      </w:tr>
      <w:tr w:rsidR="008E3674" w:rsidRPr="008E3674" w14:paraId="5BFC86ED" w14:textId="77777777" w:rsidTr="00BD105F">
        <w:tc>
          <w:tcPr>
            <w:tcW w:w="1986" w:type="dxa"/>
            <w:shd w:val="clear" w:color="auto" w:fill="FBE4D5" w:themeFill="accent2" w:themeFillTint="33"/>
          </w:tcPr>
          <w:p w14:paraId="2DE51E5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1.1 - Improved capacities for budget planning and public investment management</w:t>
            </w:r>
          </w:p>
        </w:tc>
        <w:tc>
          <w:tcPr>
            <w:tcW w:w="1828" w:type="dxa"/>
            <w:shd w:val="clear" w:color="auto" w:fill="FBE4D5" w:themeFill="accent2" w:themeFillTint="33"/>
          </w:tcPr>
          <w:p w14:paraId="49C946B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450.000</w:t>
            </w:r>
          </w:p>
        </w:tc>
        <w:tc>
          <w:tcPr>
            <w:tcW w:w="1826" w:type="dxa"/>
            <w:shd w:val="clear" w:color="auto" w:fill="FBE4D5" w:themeFill="accent2" w:themeFillTint="33"/>
          </w:tcPr>
          <w:p w14:paraId="49A9EDC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1713162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2.160.000</w:t>
            </w:r>
          </w:p>
        </w:tc>
        <w:tc>
          <w:tcPr>
            <w:tcW w:w="1826" w:type="dxa"/>
            <w:shd w:val="clear" w:color="auto" w:fill="FBE4D5" w:themeFill="accent2" w:themeFillTint="33"/>
          </w:tcPr>
          <w:p w14:paraId="5246890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770297D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2.610.000</w:t>
            </w:r>
          </w:p>
        </w:tc>
        <w:tc>
          <w:tcPr>
            <w:tcW w:w="1826" w:type="dxa"/>
            <w:shd w:val="clear" w:color="auto" w:fill="FBE4D5" w:themeFill="accent2" w:themeFillTint="33"/>
          </w:tcPr>
          <w:p w14:paraId="39891BC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77BC5C86" w14:textId="77777777" w:rsidTr="00BD105F">
        <w:tc>
          <w:tcPr>
            <w:tcW w:w="1986" w:type="dxa"/>
          </w:tcPr>
          <w:p w14:paraId="01D10AD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1.1.1 - Analysis of the implementation of the programme budget and the use of performance indicators</w:t>
            </w:r>
          </w:p>
        </w:tc>
        <w:tc>
          <w:tcPr>
            <w:tcW w:w="1828" w:type="dxa"/>
            <w:shd w:val="clear" w:color="auto" w:fill="D9D9D9" w:themeFill="background1" w:themeFillShade="D9"/>
          </w:tcPr>
          <w:p w14:paraId="4B98A9C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AB6E7F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5ED5B4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4DD2776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E3B530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64ED1E9D"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7148306" w14:textId="77777777" w:rsidTr="00BD105F">
        <w:tc>
          <w:tcPr>
            <w:tcW w:w="1986" w:type="dxa"/>
          </w:tcPr>
          <w:p w14:paraId="10368BA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1.1.2 - Analysis of the uniform structure of the programme budget of local self-government units</w:t>
            </w:r>
          </w:p>
        </w:tc>
        <w:tc>
          <w:tcPr>
            <w:tcW w:w="1828" w:type="dxa"/>
            <w:shd w:val="clear" w:color="auto" w:fill="D9D9D9" w:themeFill="background1" w:themeFillShade="D9"/>
          </w:tcPr>
          <w:p w14:paraId="17991D3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803087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767D71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45B3EA8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239B82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1B599777"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29A68C0" w14:textId="77777777" w:rsidTr="00BD105F">
        <w:tc>
          <w:tcPr>
            <w:tcW w:w="1986" w:type="dxa"/>
          </w:tcPr>
          <w:p w14:paraId="48F3725E"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1.1.3 - Determination of the programme structure for mandatory social insurance organisations and their beneficiaries</w:t>
            </w:r>
          </w:p>
        </w:tc>
        <w:tc>
          <w:tcPr>
            <w:tcW w:w="1828" w:type="dxa"/>
            <w:shd w:val="clear" w:color="auto" w:fill="D9D9D9" w:themeFill="background1" w:themeFillShade="D9"/>
          </w:tcPr>
          <w:p w14:paraId="3E775D4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4428AE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7D730B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65746E7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EBE957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3079901D"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67CC3F2" w14:textId="77777777" w:rsidTr="00BD105F">
        <w:tc>
          <w:tcPr>
            <w:tcW w:w="1986" w:type="dxa"/>
          </w:tcPr>
          <w:p w14:paraId="38B15AC7"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1.1.4 – Workshops and training for all users </w:t>
            </w:r>
            <w:r w:rsidRPr="008E3674">
              <w:rPr>
                <w:rFonts w:ascii="Times New Roman" w:hAnsi="Times New Roman"/>
                <w:b/>
                <w:bCs/>
                <w:sz w:val="20"/>
                <w:szCs w:val="20"/>
                <w:lang w:val="sr-Cyrl-RS"/>
              </w:rPr>
              <w:lastRenderedPageBreak/>
              <w:t>at all levels of government</w:t>
            </w:r>
          </w:p>
        </w:tc>
        <w:tc>
          <w:tcPr>
            <w:tcW w:w="1828" w:type="dxa"/>
            <w:shd w:val="clear" w:color="auto" w:fill="D9D9D9" w:themeFill="background1" w:themeFillShade="D9"/>
          </w:tcPr>
          <w:p w14:paraId="06F453A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450.000</w:t>
            </w:r>
          </w:p>
        </w:tc>
        <w:tc>
          <w:tcPr>
            <w:tcW w:w="1826" w:type="dxa"/>
          </w:tcPr>
          <w:p w14:paraId="6639A22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C0DA6E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2C7C5E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4FF0EC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450.000</w:t>
            </w:r>
          </w:p>
        </w:tc>
        <w:tc>
          <w:tcPr>
            <w:tcW w:w="1826" w:type="dxa"/>
          </w:tcPr>
          <w:p w14:paraId="47E77B94"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60D1C40E" w14:textId="77777777" w:rsidTr="00BD105F">
        <w:tc>
          <w:tcPr>
            <w:tcW w:w="1986" w:type="dxa"/>
          </w:tcPr>
          <w:p w14:paraId="4B75D2F6"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1.1.5 - Study visit regarding the improvement of the performance report</w:t>
            </w:r>
          </w:p>
        </w:tc>
        <w:tc>
          <w:tcPr>
            <w:tcW w:w="1828" w:type="dxa"/>
            <w:shd w:val="clear" w:color="auto" w:fill="D9D9D9" w:themeFill="background1" w:themeFillShade="D9"/>
          </w:tcPr>
          <w:p w14:paraId="022AFC1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616A8B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6E537FE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360.000</w:t>
            </w:r>
          </w:p>
        </w:tc>
        <w:tc>
          <w:tcPr>
            <w:tcW w:w="1826" w:type="dxa"/>
          </w:tcPr>
          <w:p w14:paraId="145F72DA"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CC5E14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360.000</w:t>
            </w:r>
          </w:p>
        </w:tc>
        <w:tc>
          <w:tcPr>
            <w:tcW w:w="1826" w:type="dxa"/>
          </w:tcPr>
          <w:p w14:paraId="3E5F15BD"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63C2C58D" w14:textId="77777777" w:rsidTr="00BD105F">
        <w:tc>
          <w:tcPr>
            <w:tcW w:w="1986" w:type="dxa"/>
            <w:vMerge w:val="restart"/>
            <w:shd w:val="clear" w:color="auto" w:fill="8EAADB" w:themeFill="accent5" w:themeFillTint="99"/>
          </w:tcPr>
          <w:p w14:paraId="6A5B4977"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4B1E4826"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4B27E766" w14:textId="77777777" w:rsidTr="00BD105F">
        <w:tc>
          <w:tcPr>
            <w:tcW w:w="1986" w:type="dxa"/>
            <w:vMerge/>
            <w:shd w:val="clear" w:color="auto" w:fill="8EAADB" w:themeFill="accent5" w:themeFillTint="99"/>
          </w:tcPr>
          <w:p w14:paraId="422193B4" w14:textId="77777777" w:rsidR="008E3674" w:rsidRPr="008E3674" w:rsidRDefault="008E3674" w:rsidP="008E3674">
            <w:pPr>
              <w:rPr>
                <w:rFonts w:ascii="Times New Roman" w:hAnsi="Times New Roman"/>
              </w:rPr>
            </w:pPr>
          </w:p>
        </w:tc>
        <w:tc>
          <w:tcPr>
            <w:tcW w:w="3654" w:type="dxa"/>
            <w:gridSpan w:val="2"/>
            <w:shd w:val="clear" w:color="auto" w:fill="B4C6E7" w:themeFill="accent5" w:themeFillTint="66"/>
          </w:tcPr>
          <w:p w14:paraId="1D2C464C"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B4C6E7" w:themeFill="accent5" w:themeFillTint="66"/>
          </w:tcPr>
          <w:p w14:paraId="46918649"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B4C6E7" w:themeFill="accent5" w:themeFillTint="66"/>
          </w:tcPr>
          <w:p w14:paraId="57D96C98"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2F2E01B3" w14:textId="77777777" w:rsidTr="00BD105F">
        <w:tc>
          <w:tcPr>
            <w:tcW w:w="1986" w:type="dxa"/>
            <w:vMerge/>
            <w:shd w:val="clear" w:color="auto" w:fill="8EAADB" w:themeFill="accent5" w:themeFillTint="99"/>
          </w:tcPr>
          <w:p w14:paraId="54E50846" w14:textId="77777777" w:rsidR="008E3674" w:rsidRPr="008E3674" w:rsidRDefault="008E3674" w:rsidP="008E3674">
            <w:pPr>
              <w:rPr>
                <w:rFonts w:ascii="Times New Roman" w:hAnsi="Times New Roman"/>
              </w:rPr>
            </w:pPr>
          </w:p>
        </w:tc>
        <w:tc>
          <w:tcPr>
            <w:tcW w:w="1828" w:type="dxa"/>
            <w:shd w:val="clear" w:color="auto" w:fill="E7E6E6" w:themeFill="background2"/>
          </w:tcPr>
          <w:p w14:paraId="717B458F"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212880E1"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E7E6E6" w:themeFill="background2"/>
          </w:tcPr>
          <w:p w14:paraId="29E4EA0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4DF270B9"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E7E6E6" w:themeFill="background2"/>
          </w:tcPr>
          <w:p w14:paraId="68DB37CE"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CF8C86E"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6A4007D6" w14:textId="77777777" w:rsidTr="00BD105F">
        <w:tc>
          <w:tcPr>
            <w:tcW w:w="1986" w:type="dxa"/>
            <w:shd w:val="clear" w:color="auto" w:fill="FBE4D5" w:themeFill="accent2" w:themeFillTint="33"/>
          </w:tcPr>
          <w:p w14:paraId="1303EC6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1.2 - Improvement of capacities regarding the preparation and obligations of EU member states during the budget preparation process</w:t>
            </w:r>
          </w:p>
        </w:tc>
        <w:tc>
          <w:tcPr>
            <w:tcW w:w="1828" w:type="dxa"/>
            <w:shd w:val="clear" w:color="auto" w:fill="FBE4D5" w:themeFill="accent2" w:themeFillTint="33"/>
          </w:tcPr>
          <w:p w14:paraId="1891AE2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27D2A32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56C9BD3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3.480.000</w:t>
            </w:r>
          </w:p>
        </w:tc>
        <w:tc>
          <w:tcPr>
            <w:tcW w:w="1826" w:type="dxa"/>
            <w:shd w:val="clear" w:color="auto" w:fill="FBE4D5" w:themeFill="accent2" w:themeFillTint="33"/>
          </w:tcPr>
          <w:p w14:paraId="146E0EE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5D3F694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3.480.000</w:t>
            </w:r>
          </w:p>
        </w:tc>
        <w:tc>
          <w:tcPr>
            <w:tcW w:w="1826" w:type="dxa"/>
            <w:shd w:val="clear" w:color="auto" w:fill="FBE4D5" w:themeFill="accent2" w:themeFillTint="33"/>
          </w:tcPr>
          <w:p w14:paraId="64B7623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7EBB4966" w14:textId="77777777" w:rsidTr="00BD105F">
        <w:tc>
          <w:tcPr>
            <w:tcW w:w="1986" w:type="dxa"/>
          </w:tcPr>
          <w:p w14:paraId="3579827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1.2.1 - Analysis of the budget preparation process of EU member states and the obligations of the Republic of Serbia during budget preparation</w:t>
            </w:r>
          </w:p>
        </w:tc>
        <w:tc>
          <w:tcPr>
            <w:tcW w:w="1828" w:type="dxa"/>
            <w:shd w:val="clear" w:color="auto" w:fill="D9D9D9" w:themeFill="background1" w:themeFillShade="D9"/>
          </w:tcPr>
          <w:p w14:paraId="11900F3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EA56D7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B65C4C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5A39D50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7ADB71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5E55055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26C331B8" w14:textId="77777777" w:rsidTr="00BD105F">
        <w:tc>
          <w:tcPr>
            <w:tcW w:w="1986" w:type="dxa"/>
          </w:tcPr>
          <w:p w14:paraId="71FBC9F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1.2.2 – Training of employees in the Ministry of Finance and direct budget users</w:t>
            </w:r>
          </w:p>
        </w:tc>
        <w:tc>
          <w:tcPr>
            <w:tcW w:w="1828" w:type="dxa"/>
            <w:shd w:val="clear" w:color="auto" w:fill="D9D9D9" w:themeFill="background1" w:themeFillShade="D9"/>
          </w:tcPr>
          <w:p w14:paraId="6380B32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B6664B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233AAF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1.800.000</w:t>
            </w:r>
          </w:p>
        </w:tc>
        <w:tc>
          <w:tcPr>
            <w:tcW w:w="1826" w:type="dxa"/>
          </w:tcPr>
          <w:p w14:paraId="133356D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397796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1.800.000</w:t>
            </w:r>
          </w:p>
        </w:tc>
        <w:tc>
          <w:tcPr>
            <w:tcW w:w="1826" w:type="dxa"/>
          </w:tcPr>
          <w:p w14:paraId="5518781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4AC74571" w14:textId="77777777" w:rsidTr="00BD105F">
        <w:tc>
          <w:tcPr>
            <w:tcW w:w="1986" w:type="dxa"/>
          </w:tcPr>
          <w:p w14:paraId="295717E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1.2.3 - Study visit</w:t>
            </w:r>
          </w:p>
        </w:tc>
        <w:tc>
          <w:tcPr>
            <w:tcW w:w="1828" w:type="dxa"/>
            <w:shd w:val="clear" w:color="auto" w:fill="D9D9D9" w:themeFill="background1" w:themeFillShade="D9"/>
          </w:tcPr>
          <w:p w14:paraId="0D3C5A9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F6B7D9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9BDC89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1.080.000</w:t>
            </w:r>
          </w:p>
        </w:tc>
        <w:tc>
          <w:tcPr>
            <w:tcW w:w="1826" w:type="dxa"/>
          </w:tcPr>
          <w:p w14:paraId="40C4642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943013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1.080.000</w:t>
            </w:r>
          </w:p>
        </w:tc>
        <w:tc>
          <w:tcPr>
            <w:tcW w:w="1826" w:type="dxa"/>
          </w:tcPr>
          <w:p w14:paraId="2A9254A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669D42D8" w14:textId="77777777" w:rsidTr="00BD105F">
        <w:tc>
          <w:tcPr>
            <w:tcW w:w="1986" w:type="dxa"/>
            <w:vMerge w:val="restart"/>
            <w:shd w:val="clear" w:color="auto" w:fill="8EAADB" w:themeFill="accent5" w:themeFillTint="99"/>
          </w:tcPr>
          <w:p w14:paraId="59BFDCA9"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30812CB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3A2E6744" w14:textId="77777777" w:rsidTr="00BD105F">
        <w:tc>
          <w:tcPr>
            <w:tcW w:w="1986" w:type="dxa"/>
            <w:vMerge/>
            <w:shd w:val="clear" w:color="auto" w:fill="8EAADB" w:themeFill="accent5" w:themeFillTint="99"/>
          </w:tcPr>
          <w:p w14:paraId="3A1A348E"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1A5F0E7E"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4BBBC89F"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7E0C5539"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3E20A94F" w14:textId="77777777" w:rsidTr="00BD105F">
        <w:tc>
          <w:tcPr>
            <w:tcW w:w="1986" w:type="dxa"/>
            <w:vMerge/>
            <w:shd w:val="clear" w:color="auto" w:fill="8EAADB" w:themeFill="accent5" w:themeFillTint="99"/>
          </w:tcPr>
          <w:p w14:paraId="213C6369"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24BE867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C395C78"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F9D4E3E"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0CF9AE1"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47759B68"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05D7AD51"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56043940" w14:textId="77777777" w:rsidTr="00BD105F">
        <w:tc>
          <w:tcPr>
            <w:tcW w:w="1986" w:type="dxa"/>
            <w:shd w:val="clear" w:color="auto" w:fill="FBE4D5" w:themeFill="accent2" w:themeFillTint="33"/>
          </w:tcPr>
          <w:p w14:paraId="060C0DF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lastRenderedPageBreak/>
              <w:t>Measure 1.3 - Improvement of medium-term planning</w:t>
            </w:r>
          </w:p>
        </w:tc>
        <w:tc>
          <w:tcPr>
            <w:tcW w:w="1828" w:type="dxa"/>
            <w:shd w:val="clear" w:color="auto" w:fill="FBE4D5" w:themeFill="accent2" w:themeFillTint="33"/>
          </w:tcPr>
          <w:p w14:paraId="1780CDD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4366914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50DFD2D1" w14:textId="77777777" w:rsidR="004C7B27" w:rsidRPr="00FC5BB7" w:rsidRDefault="004C7B27" w:rsidP="004C7B27">
            <w:pPr>
              <w:jc w:val="center"/>
              <w:rPr>
                <w:rFonts w:ascii="Times New Roman" w:hAnsi="Times New Roman"/>
                <w:lang w:val="sr-Cyrl-RS"/>
              </w:rPr>
            </w:pPr>
            <w:r w:rsidRPr="00FC5BB7">
              <w:rPr>
                <w:rFonts w:ascii="Times New Roman" w:hAnsi="Times New Roman"/>
                <w:lang w:val="sr-Cyrl-RS"/>
              </w:rPr>
              <w:t>6.312.283</w:t>
            </w:r>
          </w:p>
          <w:p w14:paraId="35A77218" w14:textId="77777777" w:rsidR="008E3674" w:rsidRPr="00FC5BB7" w:rsidRDefault="008E3674" w:rsidP="008E3674">
            <w:pPr>
              <w:jc w:val="center"/>
              <w:rPr>
                <w:rFonts w:ascii="Times New Roman" w:hAnsi="Times New Roman"/>
                <w:lang w:val="sr-Cyrl-RS"/>
              </w:rPr>
            </w:pPr>
          </w:p>
        </w:tc>
        <w:tc>
          <w:tcPr>
            <w:tcW w:w="1826" w:type="dxa"/>
            <w:shd w:val="clear" w:color="auto" w:fill="FBE4D5" w:themeFill="accent2" w:themeFillTint="33"/>
          </w:tcPr>
          <w:p w14:paraId="73D0D836" w14:textId="77777777" w:rsidR="004C7B27" w:rsidRPr="00FC5BB7" w:rsidRDefault="004C7B27" w:rsidP="004C7B27">
            <w:pPr>
              <w:jc w:val="center"/>
              <w:rPr>
                <w:rFonts w:ascii="Times New Roman" w:hAnsi="Times New Roman"/>
                <w:lang w:val="sr-Cyrl-RS"/>
              </w:rPr>
            </w:pPr>
            <w:r w:rsidRPr="00FC5BB7">
              <w:rPr>
                <w:rFonts w:ascii="Times New Roman" w:hAnsi="Times New Roman"/>
                <w:lang w:val="sr-Cyrl-RS"/>
              </w:rPr>
              <w:t>6.312.283</w:t>
            </w:r>
          </w:p>
          <w:p w14:paraId="2E037320" w14:textId="77777777" w:rsidR="008E3674" w:rsidRPr="00FC5BB7" w:rsidRDefault="008E3674" w:rsidP="008E3674">
            <w:pPr>
              <w:jc w:val="center"/>
              <w:rPr>
                <w:rFonts w:ascii="Times New Roman" w:hAnsi="Times New Roman"/>
                <w:lang w:val="sr-Cyrl-RS"/>
              </w:rPr>
            </w:pPr>
          </w:p>
        </w:tc>
        <w:tc>
          <w:tcPr>
            <w:tcW w:w="1829" w:type="dxa"/>
            <w:shd w:val="clear" w:color="auto" w:fill="FBE4D5" w:themeFill="accent2" w:themeFillTint="33"/>
          </w:tcPr>
          <w:p w14:paraId="55644E7E" w14:textId="77777777" w:rsidR="004C7B27" w:rsidRPr="00FC5BB7" w:rsidRDefault="004C7B27" w:rsidP="004C7B27">
            <w:pPr>
              <w:jc w:val="center"/>
              <w:rPr>
                <w:rFonts w:ascii="Times New Roman" w:hAnsi="Times New Roman"/>
                <w:lang w:val="sr-Cyrl-RS"/>
              </w:rPr>
            </w:pPr>
            <w:r w:rsidRPr="00FC5BB7">
              <w:rPr>
                <w:rFonts w:ascii="Times New Roman" w:hAnsi="Times New Roman"/>
                <w:lang w:val="sr-Cyrl-RS"/>
              </w:rPr>
              <w:t>6.312.283</w:t>
            </w:r>
          </w:p>
          <w:p w14:paraId="042416A3" w14:textId="77777777" w:rsidR="008E3674" w:rsidRPr="00FC5BB7" w:rsidRDefault="008E3674" w:rsidP="008E3674">
            <w:pPr>
              <w:jc w:val="center"/>
              <w:rPr>
                <w:rFonts w:ascii="Times New Roman" w:hAnsi="Times New Roman"/>
              </w:rPr>
            </w:pPr>
          </w:p>
        </w:tc>
        <w:tc>
          <w:tcPr>
            <w:tcW w:w="1826" w:type="dxa"/>
            <w:shd w:val="clear" w:color="auto" w:fill="FBE4D5" w:themeFill="accent2" w:themeFillTint="33"/>
          </w:tcPr>
          <w:p w14:paraId="77851D0A" w14:textId="77777777" w:rsidR="004C7B27" w:rsidRPr="00FC5BB7" w:rsidRDefault="004C7B27" w:rsidP="004C7B27">
            <w:pPr>
              <w:jc w:val="center"/>
              <w:rPr>
                <w:rFonts w:ascii="Times New Roman" w:hAnsi="Times New Roman"/>
                <w:lang w:val="sr-Cyrl-RS"/>
              </w:rPr>
            </w:pPr>
            <w:r w:rsidRPr="00FC5BB7">
              <w:rPr>
                <w:rFonts w:ascii="Times New Roman" w:hAnsi="Times New Roman"/>
                <w:lang w:val="sr-Cyrl-RS"/>
              </w:rPr>
              <w:t>6.312.283</w:t>
            </w:r>
          </w:p>
          <w:p w14:paraId="48B800D1" w14:textId="77777777" w:rsidR="008E3674" w:rsidRPr="00FC5BB7" w:rsidRDefault="008E3674" w:rsidP="008E3674">
            <w:pPr>
              <w:jc w:val="center"/>
              <w:rPr>
                <w:rFonts w:ascii="Times New Roman" w:hAnsi="Times New Roman"/>
              </w:rPr>
            </w:pPr>
          </w:p>
        </w:tc>
      </w:tr>
      <w:tr w:rsidR="008E3674" w:rsidRPr="008E3674" w14:paraId="04FC6130" w14:textId="77777777" w:rsidTr="00BD105F">
        <w:tc>
          <w:tcPr>
            <w:tcW w:w="1986" w:type="dxa"/>
          </w:tcPr>
          <w:p w14:paraId="7B153898"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1.3.1 - Mentoring support for the development of medium-term plans by persons subject to medium-term planning at the national level</w:t>
            </w:r>
          </w:p>
        </w:tc>
        <w:tc>
          <w:tcPr>
            <w:tcW w:w="1828" w:type="dxa"/>
            <w:shd w:val="clear" w:color="auto" w:fill="D9D9D9" w:themeFill="background1" w:themeFillShade="D9"/>
          </w:tcPr>
          <w:p w14:paraId="7829121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AA79B0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6AF23413" w14:textId="77777777" w:rsidR="00FC5BB7" w:rsidRPr="00FC5BB7" w:rsidRDefault="00FC5BB7" w:rsidP="00FC5BB7">
            <w:pPr>
              <w:jc w:val="center"/>
              <w:rPr>
                <w:rFonts w:ascii="Times New Roman" w:hAnsi="Times New Roman"/>
                <w:lang w:val="sr-Cyrl-RS"/>
              </w:rPr>
            </w:pPr>
            <w:r w:rsidRPr="00FC5BB7">
              <w:rPr>
                <w:rFonts w:ascii="Times New Roman" w:hAnsi="Times New Roman"/>
                <w:lang w:val="sr-Cyrl-RS"/>
              </w:rPr>
              <w:t>6.312.283</w:t>
            </w:r>
          </w:p>
          <w:p w14:paraId="68C4BE60" w14:textId="77777777" w:rsidR="008E3674" w:rsidRPr="00FC5BB7" w:rsidRDefault="008E3674" w:rsidP="008E3674">
            <w:pPr>
              <w:jc w:val="center"/>
              <w:rPr>
                <w:rFonts w:ascii="Times New Roman" w:hAnsi="Times New Roman"/>
                <w:lang w:val="sr-Cyrl-RS"/>
              </w:rPr>
            </w:pPr>
          </w:p>
        </w:tc>
        <w:tc>
          <w:tcPr>
            <w:tcW w:w="1826" w:type="dxa"/>
          </w:tcPr>
          <w:p w14:paraId="5EC86448" w14:textId="77777777" w:rsidR="00FC5BB7" w:rsidRPr="00FC5BB7" w:rsidRDefault="00FC5BB7" w:rsidP="00FC5BB7">
            <w:pPr>
              <w:jc w:val="center"/>
              <w:rPr>
                <w:rFonts w:ascii="Times New Roman" w:hAnsi="Times New Roman"/>
                <w:lang w:val="sr-Cyrl-RS"/>
              </w:rPr>
            </w:pPr>
            <w:r w:rsidRPr="00FC5BB7">
              <w:rPr>
                <w:rFonts w:ascii="Times New Roman" w:hAnsi="Times New Roman"/>
                <w:lang w:val="sr-Cyrl-RS"/>
              </w:rPr>
              <w:t>6.312.283</w:t>
            </w:r>
          </w:p>
          <w:p w14:paraId="48BBFE37" w14:textId="77777777" w:rsidR="008E3674" w:rsidRPr="00FC5BB7" w:rsidRDefault="008E3674" w:rsidP="008E3674">
            <w:pPr>
              <w:jc w:val="center"/>
              <w:rPr>
                <w:rFonts w:ascii="Times New Roman" w:hAnsi="Times New Roman"/>
                <w:lang w:val="sr-Cyrl-RS"/>
              </w:rPr>
            </w:pPr>
          </w:p>
        </w:tc>
        <w:tc>
          <w:tcPr>
            <w:tcW w:w="1829" w:type="dxa"/>
            <w:shd w:val="clear" w:color="auto" w:fill="D9D9D9" w:themeFill="background1" w:themeFillShade="D9"/>
          </w:tcPr>
          <w:p w14:paraId="6F145892" w14:textId="77777777" w:rsidR="00FC5BB7" w:rsidRPr="00FC5BB7" w:rsidRDefault="00FC5BB7" w:rsidP="00FC5BB7">
            <w:pPr>
              <w:jc w:val="center"/>
              <w:rPr>
                <w:rFonts w:ascii="Times New Roman" w:hAnsi="Times New Roman"/>
                <w:lang w:val="sr-Cyrl-RS"/>
              </w:rPr>
            </w:pPr>
            <w:r w:rsidRPr="00FC5BB7">
              <w:rPr>
                <w:rFonts w:ascii="Times New Roman" w:hAnsi="Times New Roman"/>
                <w:lang w:val="sr-Cyrl-RS"/>
              </w:rPr>
              <w:t>6.312.283</w:t>
            </w:r>
          </w:p>
          <w:p w14:paraId="7A96DC03" w14:textId="77777777" w:rsidR="008E3674" w:rsidRPr="00FC5BB7" w:rsidRDefault="008E3674" w:rsidP="008E3674">
            <w:pPr>
              <w:jc w:val="center"/>
              <w:rPr>
                <w:rFonts w:ascii="Times New Roman" w:hAnsi="Times New Roman"/>
              </w:rPr>
            </w:pPr>
          </w:p>
        </w:tc>
        <w:tc>
          <w:tcPr>
            <w:tcW w:w="1826" w:type="dxa"/>
          </w:tcPr>
          <w:p w14:paraId="08834C6A" w14:textId="77777777" w:rsidR="00FC5BB7" w:rsidRPr="00FC5BB7" w:rsidRDefault="00FC5BB7" w:rsidP="00FC5BB7">
            <w:pPr>
              <w:jc w:val="center"/>
              <w:rPr>
                <w:rFonts w:ascii="Times New Roman" w:hAnsi="Times New Roman"/>
                <w:lang w:val="sr-Cyrl-RS"/>
              </w:rPr>
            </w:pPr>
            <w:r w:rsidRPr="00FC5BB7">
              <w:rPr>
                <w:rFonts w:ascii="Times New Roman" w:hAnsi="Times New Roman"/>
                <w:lang w:val="sr-Cyrl-RS"/>
              </w:rPr>
              <w:t>6.312.283</w:t>
            </w:r>
          </w:p>
          <w:p w14:paraId="30173296" w14:textId="77777777" w:rsidR="008E3674" w:rsidRPr="00FC5BB7" w:rsidRDefault="008E3674" w:rsidP="008E3674">
            <w:pPr>
              <w:jc w:val="center"/>
              <w:rPr>
                <w:rFonts w:ascii="Times New Roman" w:hAnsi="Times New Roman"/>
              </w:rPr>
            </w:pPr>
          </w:p>
        </w:tc>
      </w:tr>
      <w:tr w:rsidR="008E3674" w:rsidRPr="008E3674" w14:paraId="4155EEC7" w14:textId="77777777" w:rsidTr="00BD105F">
        <w:tc>
          <w:tcPr>
            <w:tcW w:w="1986" w:type="dxa"/>
          </w:tcPr>
          <w:p w14:paraId="612926D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1.3.2 - Analysis of the degree of compliance of medium-term plans with public policy documents in the relevant planning area</w:t>
            </w:r>
          </w:p>
        </w:tc>
        <w:tc>
          <w:tcPr>
            <w:tcW w:w="1828" w:type="dxa"/>
            <w:shd w:val="clear" w:color="auto" w:fill="D9D9D9" w:themeFill="background1" w:themeFillShade="D9"/>
          </w:tcPr>
          <w:p w14:paraId="02C4972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AE73C6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404628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745C21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A33EAC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4C1FEB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5FC2B3A3" w14:textId="77777777" w:rsidTr="00BD105F">
        <w:tc>
          <w:tcPr>
            <w:tcW w:w="1986" w:type="dxa"/>
            <w:vMerge w:val="restart"/>
            <w:shd w:val="clear" w:color="auto" w:fill="8EAADB" w:themeFill="accent5" w:themeFillTint="99"/>
          </w:tcPr>
          <w:p w14:paraId="18B60D88"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1B31C79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76959636" w14:textId="77777777" w:rsidTr="00BD105F">
        <w:tc>
          <w:tcPr>
            <w:tcW w:w="1986" w:type="dxa"/>
            <w:vMerge/>
            <w:shd w:val="clear" w:color="auto" w:fill="8EAADB" w:themeFill="accent5" w:themeFillTint="99"/>
          </w:tcPr>
          <w:p w14:paraId="4B724E81"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7B3A7FFB"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0E4CA737"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2DB7932B"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1C9CBACB" w14:textId="77777777" w:rsidTr="00BD105F">
        <w:tc>
          <w:tcPr>
            <w:tcW w:w="1986" w:type="dxa"/>
            <w:vMerge/>
            <w:shd w:val="clear" w:color="auto" w:fill="8EAADB" w:themeFill="accent5" w:themeFillTint="99"/>
          </w:tcPr>
          <w:p w14:paraId="63B07B4B"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0476D8D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E68AB55"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081BACF"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BE89CB9"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65D1330E"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25A095BA"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44A339FB" w14:textId="77777777" w:rsidTr="00BD105F">
        <w:tc>
          <w:tcPr>
            <w:tcW w:w="1986" w:type="dxa"/>
            <w:shd w:val="clear" w:color="auto" w:fill="FBE4D5" w:themeFill="accent2" w:themeFillTint="33"/>
          </w:tcPr>
          <w:p w14:paraId="43B6B66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1.4 - Improving the environment for efficient management of capital projects</w:t>
            </w:r>
          </w:p>
        </w:tc>
        <w:tc>
          <w:tcPr>
            <w:tcW w:w="1828" w:type="dxa"/>
            <w:shd w:val="clear" w:color="auto" w:fill="FBE4D5" w:themeFill="accent2" w:themeFillTint="33"/>
          </w:tcPr>
          <w:p w14:paraId="5380007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336.700.000</w:t>
            </w:r>
          </w:p>
        </w:tc>
        <w:tc>
          <w:tcPr>
            <w:tcW w:w="1826" w:type="dxa"/>
            <w:shd w:val="clear" w:color="auto" w:fill="FBE4D5" w:themeFill="accent2" w:themeFillTint="33"/>
          </w:tcPr>
          <w:p w14:paraId="709E5215" w14:textId="77777777" w:rsidR="008E3674" w:rsidRPr="008E3674" w:rsidRDefault="008E3674" w:rsidP="008E3674">
            <w:pPr>
              <w:jc w:val="center"/>
              <w:rPr>
                <w:rFonts w:ascii="Times New Roman" w:hAnsi="Times New Roman"/>
              </w:rPr>
            </w:pPr>
            <w:r w:rsidRPr="008E3674">
              <w:rPr>
                <w:rFonts w:ascii="Times New Roman" w:hAnsi="Times New Roman"/>
              </w:rPr>
              <w:t>446.500.000</w:t>
            </w:r>
          </w:p>
        </w:tc>
        <w:tc>
          <w:tcPr>
            <w:tcW w:w="1829" w:type="dxa"/>
            <w:shd w:val="clear" w:color="auto" w:fill="FBE4D5" w:themeFill="accent2" w:themeFillTint="33"/>
          </w:tcPr>
          <w:p w14:paraId="04BFD7B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1.860.000</w:t>
            </w:r>
          </w:p>
        </w:tc>
        <w:tc>
          <w:tcPr>
            <w:tcW w:w="1826" w:type="dxa"/>
            <w:shd w:val="clear" w:color="auto" w:fill="FBE4D5" w:themeFill="accent2" w:themeFillTint="33"/>
          </w:tcPr>
          <w:p w14:paraId="4EC2F9C5"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28F4CB3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338.560.000</w:t>
            </w:r>
          </w:p>
        </w:tc>
        <w:tc>
          <w:tcPr>
            <w:tcW w:w="1826" w:type="dxa"/>
            <w:shd w:val="clear" w:color="auto" w:fill="FBE4D5" w:themeFill="accent2" w:themeFillTint="33"/>
          </w:tcPr>
          <w:p w14:paraId="5223DB5C" w14:textId="77777777" w:rsidR="008E3674" w:rsidRPr="008E3674" w:rsidRDefault="008E3674" w:rsidP="008E3674">
            <w:pPr>
              <w:jc w:val="center"/>
              <w:rPr>
                <w:rFonts w:ascii="Times New Roman" w:hAnsi="Times New Roman"/>
              </w:rPr>
            </w:pPr>
            <w:r w:rsidRPr="008E3674">
              <w:rPr>
                <w:rFonts w:ascii="Times New Roman" w:hAnsi="Times New Roman"/>
              </w:rPr>
              <w:t>446.500.000</w:t>
            </w:r>
          </w:p>
        </w:tc>
      </w:tr>
      <w:tr w:rsidR="008E3674" w:rsidRPr="008E3674" w14:paraId="2EC15DD0" w14:textId="77777777" w:rsidTr="00BD105F">
        <w:tc>
          <w:tcPr>
            <w:tcW w:w="1986" w:type="dxa"/>
          </w:tcPr>
          <w:p w14:paraId="44F418B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1.4.1 - Changes and additions to the legal framework in accordance with the identified weaknesses of implementation in practice</w:t>
            </w:r>
          </w:p>
        </w:tc>
        <w:tc>
          <w:tcPr>
            <w:tcW w:w="1828" w:type="dxa"/>
            <w:shd w:val="clear" w:color="auto" w:fill="D9D9D9" w:themeFill="background1" w:themeFillShade="D9"/>
          </w:tcPr>
          <w:p w14:paraId="6364153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18ED3C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F5FF36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F099C6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EC1B0B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7A48CF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3F044E16" w14:textId="77777777" w:rsidTr="00BD105F">
        <w:tc>
          <w:tcPr>
            <w:tcW w:w="1986" w:type="dxa"/>
          </w:tcPr>
          <w:p w14:paraId="4B38CC3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lastRenderedPageBreak/>
              <w:t>Activity 1.4.2 - Development of a training programme for relevant participants in the capital project management process</w:t>
            </w:r>
          </w:p>
        </w:tc>
        <w:tc>
          <w:tcPr>
            <w:tcW w:w="1828" w:type="dxa"/>
            <w:shd w:val="clear" w:color="auto" w:fill="D9D9D9" w:themeFill="background1" w:themeFillShade="D9"/>
          </w:tcPr>
          <w:p w14:paraId="5CFFBAD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9AFA7E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2C9A5B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CE7DC1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5F31A1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A3C1BD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28CB08E1" w14:textId="77777777" w:rsidTr="00BD105F">
        <w:tc>
          <w:tcPr>
            <w:tcW w:w="1986" w:type="dxa"/>
          </w:tcPr>
          <w:p w14:paraId="2334731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1.4.3 - Preparation of reports for the public on the status of capital projects that are monitored in accordance with the methodology</w:t>
            </w:r>
          </w:p>
        </w:tc>
        <w:tc>
          <w:tcPr>
            <w:tcW w:w="1828" w:type="dxa"/>
            <w:shd w:val="clear" w:color="auto" w:fill="D9D9D9" w:themeFill="background1" w:themeFillShade="D9"/>
          </w:tcPr>
          <w:p w14:paraId="2E2F1B2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032A2E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1A0670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19DAC6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8EC712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1BD5DF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0830BD47" w14:textId="77777777" w:rsidTr="00BD105F">
        <w:tc>
          <w:tcPr>
            <w:tcW w:w="1986" w:type="dxa"/>
          </w:tcPr>
          <w:p w14:paraId="1020570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1.4.4 - Creation of a manual on the UKP methodology (design, preparation for printing, proofreading, consulting support for content)</w:t>
            </w:r>
          </w:p>
        </w:tc>
        <w:tc>
          <w:tcPr>
            <w:tcW w:w="1828" w:type="dxa"/>
            <w:shd w:val="clear" w:color="auto" w:fill="D9D9D9" w:themeFill="background1" w:themeFillShade="D9"/>
          </w:tcPr>
          <w:p w14:paraId="43B7D00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DB5967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A5ACE0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660.000</w:t>
            </w:r>
          </w:p>
        </w:tc>
        <w:tc>
          <w:tcPr>
            <w:tcW w:w="1826" w:type="dxa"/>
          </w:tcPr>
          <w:p w14:paraId="489E477E"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B29970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660.000</w:t>
            </w:r>
          </w:p>
        </w:tc>
        <w:tc>
          <w:tcPr>
            <w:tcW w:w="1826" w:type="dxa"/>
          </w:tcPr>
          <w:p w14:paraId="05938A63"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4F49260" w14:textId="77777777" w:rsidTr="00BD105F">
        <w:tc>
          <w:tcPr>
            <w:tcW w:w="1986" w:type="dxa"/>
          </w:tcPr>
          <w:p w14:paraId="50DA00F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1.4.5 - Development of an information system for managing capital projects</w:t>
            </w:r>
          </w:p>
        </w:tc>
        <w:tc>
          <w:tcPr>
            <w:tcW w:w="1828" w:type="dxa"/>
            <w:shd w:val="clear" w:color="auto" w:fill="D9D9D9" w:themeFill="background1" w:themeFillShade="D9"/>
          </w:tcPr>
          <w:p w14:paraId="5663079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211.200.000</w:t>
            </w:r>
          </w:p>
        </w:tc>
        <w:tc>
          <w:tcPr>
            <w:tcW w:w="1826" w:type="dxa"/>
          </w:tcPr>
          <w:p w14:paraId="30266D11" w14:textId="77777777" w:rsidR="008E3674" w:rsidRPr="008E3674" w:rsidRDefault="008E3674" w:rsidP="008E3674">
            <w:pPr>
              <w:jc w:val="center"/>
              <w:rPr>
                <w:rFonts w:ascii="Times New Roman" w:hAnsi="Times New Roman"/>
              </w:rPr>
            </w:pPr>
            <w:r w:rsidRPr="008E3674">
              <w:rPr>
                <w:rFonts w:ascii="Times New Roman" w:hAnsi="Times New Roman"/>
              </w:rPr>
              <w:t>114.000.000</w:t>
            </w:r>
          </w:p>
        </w:tc>
        <w:tc>
          <w:tcPr>
            <w:tcW w:w="1829" w:type="dxa"/>
            <w:shd w:val="clear" w:color="auto" w:fill="D9D9D9" w:themeFill="background1" w:themeFillShade="D9"/>
          </w:tcPr>
          <w:p w14:paraId="4D32F6C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731DC5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EDF3B0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211.200.000</w:t>
            </w:r>
          </w:p>
        </w:tc>
        <w:tc>
          <w:tcPr>
            <w:tcW w:w="1826" w:type="dxa"/>
          </w:tcPr>
          <w:p w14:paraId="24E8E060" w14:textId="77777777" w:rsidR="008E3674" w:rsidRPr="008E3674" w:rsidRDefault="008E3674" w:rsidP="008E3674">
            <w:pPr>
              <w:jc w:val="center"/>
              <w:rPr>
                <w:rFonts w:ascii="Times New Roman" w:hAnsi="Times New Roman"/>
              </w:rPr>
            </w:pPr>
            <w:r w:rsidRPr="008E3674">
              <w:rPr>
                <w:rFonts w:ascii="Times New Roman" w:hAnsi="Times New Roman"/>
              </w:rPr>
              <w:t>114.000.000</w:t>
            </w:r>
          </w:p>
        </w:tc>
      </w:tr>
      <w:tr w:rsidR="008E3674" w:rsidRPr="008E3674" w14:paraId="0FE88A28" w14:textId="77777777" w:rsidTr="00BD105F">
        <w:tc>
          <w:tcPr>
            <w:tcW w:w="1986" w:type="dxa"/>
          </w:tcPr>
          <w:p w14:paraId="05A03C0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1.4.6 - Upgrading the information system for managing capital projects</w:t>
            </w:r>
          </w:p>
        </w:tc>
        <w:tc>
          <w:tcPr>
            <w:tcW w:w="1828" w:type="dxa"/>
            <w:shd w:val="clear" w:color="auto" w:fill="D9D9D9" w:themeFill="background1" w:themeFillShade="D9"/>
          </w:tcPr>
          <w:p w14:paraId="6F2A9EA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123.000.000</w:t>
            </w:r>
          </w:p>
        </w:tc>
        <w:tc>
          <w:tcPr>
            <w:tcW w:w="1826" w:type="dxa"/>
          </w:tcPr>
          <w:p w14:paraId="51150731" w14:textId="77777777" w:rsidR="008E3674" w:rsidRPr="008E3674" w:rsidRDefault="008E3674" w:rsidP="008E3674">
            <w:pPr>
              <w:jc w:val="center"/>
              <w:rPr>
                <w:rFonts w:ascii="Times New Roman" w:hAnsi="Times New Roman"/>
              </w:rPr>
            </w:pPr>
            <w:r w:rsidRPr="008E3674">
              <w:rPr>
                <w:rFonts w:ascii="Times New Roman" w:hAnsi="Times New Roman"/>
              </w:rPr>
              <w:t>332.500.000</w:t>
            </w:r>
          </w:p>
        </w:tc>
        <w:tc>
          <w:tcPr>
            <w:tcW w:w="1829" w:type="dxa"/>
            <w:shd w:val="clear" w:color="auto" w:fill="D9D9D9" w:themeFill="background1" w:themeFillShade="D9"/>
          </w:tcPr>
          <w:p w14:paraId="2EC1C85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B2F1D1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97B449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123.000.000</w:t>
            </w:r>
          </w:p>
        </w:tc>
        <w:tc>
          <w:tcPr>
            <w:tcW w:w="1826" w:type="dxa"/>
          </w:tcPr>
          <w:p w14:paraId="4902EA6F" w14:textId="77777777" w:rsidR="008E3674" w:rsidRPr="008E3674" w:rsidRDefault="008E3674" w:rsidP="008E3674">
            <w:pPr>
              <w:jc w:val="center"/>
              <w:rPr>
                <w:rFonts w:ascii="Times New Roman" w:hAnsi="Times New Roman"/>
              </w:rPr>
            </w:pPr>
            <w:r w:rsidRPr="008E3674">
              <w:rPr>
                <w:rFonts w:ascii="Times New Roman" w:hAnsi="Times New Roman"/>
              </w:rPr>
              <w:t>332.500.000</w:t>
            </w:r>
          </w:p>
        </w:tc>
      </w:tr>
      <w:tr w:rsidR="008E3674" w:rsidRPr="008E3674" w14:paraId="46620C5D" w14:textId="77777777" w:rsidTr="00BD105F">
        <w:tc>
          <w:tcPr>
            <w:tcW w:w="1986" w:type="dxa"/>
          </w:tcPr>
          <w:p w14:paraId="6708CE3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1.4.7 - Improving the skills of employees in the field of project management, </w:t>
            </w:r>
            <w:r w:rsidRPr="008E3674">
              <w:rPr>
                <w:rFonts w:ascii="Times New Roman" w:hAnsi="Times New Roman"/>
                <w:b/>
                <w:bCs/>
                <w:sz w:val="20"/>
                <w:szCs w:val="20"/>
                <w:lang w:val="sr-Cyrl-RS"/>
              </w:rPr>
              <w:lastRenderedPageBreak/>
              <w:t>sustainable project management, including the preparation and revision of cost-benefit analysis</w:t>
            </w:r>
          </w:p>
        </w:tc>
        <w:tc>
          <w:tcPr>
            <w:tcW w:w="1828" w:type="dxa"/>
            <w:shd w:val="clear" w:color="auto" w:fill="D9D9D9" w:themeFill="background1" w:themeFillShade="D9"/>
          </w:tcPr>
          <w:p w14:paraId="57DCCC5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0</w:t>
            </w:r>
          </w:p>
        </w:tc>
        <w:tc>
          <w:tcPr>
            <w:tcW w:w="1826" w:type="dxa"/>
          </w:tcPr>
          <w:p w14:paraId="4C98A2D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6ACD00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w:t>
            </w:r>
          </w:p>
        </w:tc>
        <w:tc>
          <w:tcPr>
            <w:tcW w:w="1826" w:type="dxa"/>
          </w:tcPr>
          <w:p w14:paraId="7EB56AEA"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0D3931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w:t>
            </w:r>
          </w:p>
        </w:tc>
        <w:tc>
          <w:tcPr>
            <w:tcW w:w="1826" w:type="dxa"/>
          </w:tcPr>
          <w:p w14:paraId="1FBD90A0"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6FAC0872" w14:textId="77777777" w:rsidTr="00BD105F">
        <w:tc>
          <w:tcPr>
            <w:tcW w:w="1986" w:type="dxa"/>
          </w:tcPr>
          <w:p w14:paraId="3A81152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1.4.8 - Completing the legal framework in terms of including aspects of the impact of capital projects on the environment and climate change</w:t>
            </w:r>
          </w:p>
        </w:tc>
        <w:tc>
          <w:tcPr>
            <w:tcW w:w="1828" w:type="dxa"/>
            <w:shd w:val="clear" w:color="auto" w:fill="D9D9D9" w:themeFill="background1" w:themeFillShade="D9"/>
          </w:tcPr>
          <w:p w14:paraId="0514D94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2.500.000</w:t>
            </w:r>
          </w:p>
        </w:tc>
        <w:tc>
          <w:tcPr>
            <w:tcW w:w="1826" w:type="dxa"/>
          </w:tcPr>
          <w:p w14:paraId="0BDF378E"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D630B1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BAE512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96BCAB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2.500.000</w:t>
            </w:r>
          </w:p>
        </w:tc>
        <w:tc>
          <w:tcPr>
            <w:tcW w:w="1826" w:type="dxa"/>
          </w:tcPr>
          <w:p w14:paraId="174C92E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7934FBFA" w14:textId="77777777" w:rsidTr="00BD105F">
        <w:tc>
          <w:tcPr>
            <w:tcW w:w="1986" w:type="dxa"/>
            <w:vMerge w:val="restart"/>
            <w:shd w:val="clear" w:color="auto" w:fill="8EAADB" w:themeFill="accent5" w:themeFillTint="99"/>
          </w:tcPr>
          <w:p w14:paraId="35CCF287"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1280FB4A"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3E0F114B" w14:textId="77777777" w:rsidTr="00BD105F">
        <w:tc>
          <w:tcPr>
            <w:tcW w:w="1986" w:type="dxa"/>
            <w:vMerge/>
            <w:shd w:val="clear" w:color="auto" w:fill="8EAADB" w:themeFill="accent5" w:themeFillTint="99"/>
          </w:tcPr>
          <w:p w14:paraId="00B3AB92"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07C9BC5C"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614BD15D"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34ABCE1D"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011EDABF" w14:textId="77777777" w:rsidTr="00BD105F">
        <w:tc>
          <w:tcPr>
            <w:tcW w:w="1986" w:type="dxa"/>
            <w:vMerge/>
            <w:shd w:val="clear" w:color="auto" w:fill="8EAADB" w:themeFill="accent5" w:themeFillTint="99"/>
          </w:tcPr>
          <w:p w14:paraId="63172D28"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0B2C393E"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A9CAD9B"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27BCE1F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4364FC0"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029E2C01"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090ADF22"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65FBD2AF" w14:textId="77777777" w:rsidTr="00BD105F">
        <w:tc>
          <w:tcPr>
            <w:tcW w:w="1986" w:type="dxa"/>
            <w:shd w:val="clear" w:color="auto" w:fill="FBE4D5" w:themeFill="accent2" w:themeFillTint="33"/>
          </w:tcPr>
          <w:p w14:paraId="17BA8F1F" w14:textId="77777777" w:rsidR="008E3674" w:rsidRPr="008E3674" w:rsidRDefault="008E3674" w:rsidP="008E3674">
            <w:pPr>
              <w:rPr>
                <w:rFonts w:ascii="Times New Roman" w:hAnsi="Times New Roman"/>
                <w:sz w:val="20"/>
                <w:szCs w:val="20"/>
              </w:rPr>
            </w:pPr>
            <w:r w:rsidRPr="008E3674">
              <w:rPr>
                <w:rFonts w:ascii="Times New Roman" w:hAnsi="Times New Roman"/>
                <w:b/>
                <w:bCs/>
                <w:sz w:val="20"/>
                <w:szCs w:val="20"/>
                <w:lang w:val="sr-Cyrl-RS"/>
              </w:rPr>
              <w:t>Measure 1.5 - Strengthening the system of the Sector for monitoring fiscal risks</w:t>
            </w:r>
          </w:p>
        </w:tc>
        <w:tc>
          <w:tcPr>
            <w:tcW w:w="1828" w:type="dxa"/>
            <w:shd w:val="clear" w:color="auto" w:fill="FBE4D5" w:themeFill="accent2" w:themeFillTint="33"/>
          </w:tcPr>
          <w:p w14:paraId="6B11564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34.000.000</w:t>
            </w:r>
          </w:p>
        </w:tc>
        <w:tc>
          <w:tcPr>
            <w:tcW w:w="1826" w:type="dxa"/>
            <w:shd w:val="clear" w:color="auto" w:fill="FBE4D5" w:themeFill="accent2" w:themeFillTint="33"/>
          </w:tcPr>
          <w:p w14:paraId="1326F0AC"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57EBBDE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73.600.000</w:t>
            </w:r>
          </w:p>
        </w:tc>
        <w:tc>
          <w:tcPr>
            <w:tcW w:w="1826" w:type="dxa"/>
            <w:shd w:val="clear" w:color="auto" w:fill="FBE4D5" w:themeFill="accent2" w:themeFillTint="33"/>
          </w:tcPr>
          <w:p w14:paraId="09E0B1A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0C0BA3F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107.600.000</w:t>
            </w:r>
          </w:p>
        </w:tc>
        <w:tc>
          <w:tcPr>
            <w:tcW w:w="1826" w:type="dxa"/>
            <w:shd w:val="clear" w:color="auto" w:fill="FBE4D5" w:themeFill="accent2" w:themeFillTint="33"/>
          </w:tcPr>
          <w:p w14:paraId="359D1357"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3903B29F" w14:textId="77777777" w:rsidTr="00BD105F">
        <w:tc>
          <w:tcPr>
            <w:tcW w:w="1986" w:type="dxa"/>
          </w:tcPr>
          <w:p w14:paraId="08CE7AD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1.5.1 – Training for employees of the Ministry of Finance</w:t>
            </w:r>
          </w:p>
        </w:tc>
        <w:tc>
          <w:tcPr>
            <w:tcW w:w="1828" w:type="dxa"/>
            <w:shd w:val="clear" w:color="auto" w:fill="D9D9D9" w:themeFill="background1" w:themeFillShade="D9"/>
          </w:tcPr>
          <w:p w14:paraId="744C2A5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901B62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1B4FE8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38.600.000</w:t>
            </w:r>
          </w:p>
        </w:tc>
        <w:tc>
          <w:tcPr>
            <w:tcW w:w="1826" w:type="dxa"/>
          </w:tcPr>
          <w:p w14:paraId="579497FE"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A97D22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38.600.000</w:t>
            </w:r>
          </w:p>
        </w:tc>
        <w:tc>
          <w:tcPr>
            <w:tcW w:w="1826" w:type="dxa"/>
          </w:tcPr>
          <w:p w14:paraId="2D65E4B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E1F09AC" w14:textId="77777777" w:rsidTr="00BD105F">
        <w:tc>
          <w:tcPr>
            <w:tcW w:w="1986" w:type="dxa"/>
          </w:tcPr>
          <w:p w14:paraId="5DE84072"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1.5.2 - Establishing methodologies for the Group to monitor fiscal risks related to public sector operations</w:t>
            </w:r>
          </w:p>
        </w:tc>
        <w:tc>
          <w:tcPr>
            <w:tcW w:w="1828" w:type="dxa"/>
            <w:shd w:val="clear" w:color="auto" w:fill="D9D9D9" w:themeFill="background1" w:themeFillShade="D9"/>
          </w:tcPr>
          <w:p w14:paraId="31FD489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12.000.000</w:t>
            </w:r>
          </w:p>
        </w:tc>
        <w:tc>
          <w:tcPr>
            <w:tcW w:w="1826" w:type="dxa"/>
          </w:tcPr>
          <w:p w14:paraId="5CD6369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0F872F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65ED46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F07647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12.000.000</w:t>
            </w:r>
          </w:p>
        </w:tc>
        <w:tc>
          <w:tcPr>
            <w:tcW w:w="1826" w:type="dxa"/>
          </w:tcPr>
          <w:p w14:paraId="49A6C6A2"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4D20CA8" w14:textId="77777777" w:rsidTr="00BD105F">
        <w:tc>
          <w:tcPr>
            <w:tcW w:w="1986" w:type="dxa"/>
          </w:tcPr>
          <w:p w14:paraId="27C2D6A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1.5.3 - Establishing methodologies for the Fiscal Risk Monitoring Group - </w:t>
            </w:r>
            <w:r w:rsidRPr="008E3674">
              <w:rPr>
                <w:rFonts w:ascii="Times New Roman" w:hAnsi="Times New Roman"/>
                <w:b/>
                <w:bCs/>
                <w:sz w:val="20"/>
                <w:szCs w:val="20"/>
                <w:lang w:val="sr-Cyrl-RS"/>
              </w:rPr>
              <w:lastRenderedPageBreak/>
              <w:t>Natural Disaster Risks and Litigation</w:t>
            </w:r>
          </w:p>
        </w:tc>
        <w:tc>
          <w:tcPr>
            <w:tcW w:w="1828" w:type="dxa"/>
            <w:shd w:val="clear" w:color="auto" w:fill="D9D9D9" w:themeFill="background1" w:themeFillShade="D9"/>
          </w:tcPr>
          <w:p w14:paraId="78B10C2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12.000.000</w:t>
            </w:r>
          </w:p>
        </w:tc>
        <w:tc>
          <w:tcPr>
            <w:tcW w:w="1826" w:type="dxa"/>
          </w:tcPr>
          <w:p w14:paraId="3B2CCF7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4120268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973E80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E98671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12.000.000</w:t>
            </w:r>
          </w:p>
        </w:tc>
        <w:tc>
          <w:tcPr>
            <w:tcW w:w="1826" w:type="dxa"/>
          </w:tcPr>
          <w:p w14:paraId="77B70F47"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02352F9F" w14:textId="77777777" w:rsidTr="00BD105F">
        <w:tc>
          <w:tcPr>
            <w:tcW w:w="1986" w:type="dxa"/>
          </w:tcPr>
          <w:p w14:paraId="493C583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1.5.4 - Improvement and standardisation of fiscal risk reporting</w:t>
            </w:r>
          </w:p>
        </w:tc>
        <w:tc>
          <w:tcPr>
            <w:tcW w:w="1828" w:type="dxa"/>
            <w:shd w:val="clear" w:color="auto" w:fill="D9D9D9" w:themeFill="background1" w:themeFillShade="D9"/>
          </w:tcPr>
          <w:p w14:paraId="2B11A90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10.000.000</w:t>
            </w:r>
          </w:p>
        </w:tc>
        <w:tc>
          <w:tcPr>
            <w:tcW w:w="1826" w:type="dxa"/>
          </w:tcPr>
          <w:p w14:paraId="5F8F147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F11E52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C91495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CB824B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10.000.000</w:t>
            </w:r>
          </w:p>
        </w:tc>
        <w:tc>
          <w:tcPr>
            <w:tcW w:w="1826" w:type="dxa"/>
          </w:tcPr>
          <w:p w14:paraId="2F664A17"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7CA1FB0A" w14:textId="77777777" w:rsidTr="00BD105F">
        <w:tc>
          <w:tcPr>
            <w:tcW w:w="1986" w:type="dxa"/>
          </w:tcPr>
          <w:p w14:paraId="4D70A36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1.5.5 - Improvement of skills for employees in the field of financial analysis, cost-benefit analysis and analysis in the field of risk monitoring of climate-induced natural disasters</w:t>
            </w:r>
          </w:p>
        </w:tc>
        <w:tc>
          <w:tcPr>
            <w:tcW w:w="1828" w:type="dxa"/>
            <w:shd w:val="clear" w:color="auto" w:fill="D9D9D9" w:themeFill="background1" w:themeFillShade="D9"/>
          </w:tcPr>
          <w:p w14:paraId="7538980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72E3D6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63F797F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20.000.000</w:t>
            </w:r>
          </w:p>
        </w:tc>
        <w:tc>
          <w:tcPr>
            <w:tcW w:w="1826" w:type="dxa"/>
          </w:tcPr>
          <w:p w14:paraId="2C8E24B1"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6422701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20.000.000</w:t>
            </w:r>
          </w:p>
        </w:tc>
        <w:tc>
          <w:tcPr>
            <w:tcW w:w="1826" w:type="dxa"/>
          </w:tcPr>
          <w:p w14:paraId="183321BC"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E1E167C" w14:textId="77777777" w:rsidTr="00BD105F">
        <w:tc>
          <w:tcPr>
            <w:tcW w:w="1986" w:type="dxa"/>
          </w:tcPr>
          <w:p w14:paraId="6D28B55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1.5.6 - Getting to know the best international practices related to monitoring and reporting on fiscal risks (through study trips, workshops, etc.)</w:t>
            </w:r>
          </w:p>
        </w:tc>
        <w:tc>
          <w:tcPr>
            <w:tcW w:w="1828" w:type="dxa"/>
            <w:shd w:val="clear" w:color="auto" w:fill="D9D9D9" w:themeFill="background1" w:themeFillShade="D9"/>
          </w:tcPr>
          <w:p w14:paraId="4DC22E5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D778D3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E70CB1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p>
        </w:tc>
        <w:tc>
          <w:tcPr>
            <w:tcW w:w="1826" w:type="dxa"/>
          </w:tcPr>
          <w:p w14:paraId="282B60C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32DB4E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p>
        </w:tc>
        <w:tc>
          <w:tcPr>
            <w:tcW w:w="1826" w:type="dxa"/>
          </w:tcPr>
          <w:p w14:paraId="2B82A5C4"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7F8B90D" w14:textId="77777777" w:rsidTr="00BD105F">
        <w:tc>
          <w:tcPr>
            <w:tcW w:w="12950" w:type="dxa"/>
            <w:gridSpan w:val="7"/>
            <w:shd w:val="clear" w:color="auto" w:fill="1F3864" w:themeFill="accent5" w:themeFillShade="80"/>
          </w:tcPr>
          <w:p w14:paraId="73517B6B" w14:textId="77777777" w:rsidR="008E3674" w:rsidRPr="008E3674" w:rsidRDefault="008E3674" w:rsidP="008E3674">
            <w:pPr>
              <w:rPr>
                <w:rFonts w:ascii="Times New Roman" w:hAnsi="Times New Roman"/>
              </w:rPr>
            </w:pPr>
            <w:r w:rsidRPr="008E3674">
              <w:rPr>
                <w:rFonts w:ascii="Times New Roman" w:hAnsi="Times New Roman"/>
                <w:b/>
                <w:bCs/>
                <w:lang w:val="sr-Cyrl-RS"/>
              </w:rPr>
              <w:t>Specific Objective 2: Effective collection and management of budget funds</w:t>
            </w:r>
          </w:p>
        </w:tc>
      </w:tr>
      <w:tr w:rsidR="008E3674" w:rsidRPr="008E3674" w14:paraId="6460BE9B" w14:textId="77777777" w:rsidTr="00BD105F">
        <w:tc>
          <w:tcPr>
            <w:tcW w:w="1986" w:type="dxa"/>
            <w:vMerge w:val="restart"/>
            <w:shd w:val="clear" w:color="auto" w:fill="8EAADB" w:themeFill="accent5" w:themeFillTint="99"/>
          </w:tcPr>
          <w:p w14:paraId="3BDFE0E5"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16C37B60"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535FA5A3" w14:textId="77777777" w:rsidTr="00BD105F">
        <w:tc>
          <w:tcPr>
            <w:tcW w:w="1986" w:type="dxa"/>
            <w:vMerge/>
            <w:shd w:val="clear" w:color="auto" w:fill="8EAADB" w:themeFill="accent5" w:themeFillTint="99"/>
          </w:tcPr>
          <w:p w14:paraId="6E7D2B01"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52E7B861"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1E993430"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7673CBD5"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710C3278" w14:textId="77777777" w:rsidTr="00BD105F">
        <w:tc>
          <w:tcPr>
            <w:tcW w:w="1986" w:type="dxa"/>
            <w:vMerge/>
            <w:shd w:val="clear" w:color="auto" w:fill="8EAADB" w:themeFill="accent5" w:themeFillTint="99"/>
          </w:tcPr>
          <w:p w14:paraId="1762306A"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2CE80FF3"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DB8B504"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12054F3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70BBE47D"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3397981"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7EF751DB"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3D853E34" w14:textId="77777777" w:rsidTr="00BD105F">
        <w:tc>
          <w:tcPr>
            <w:tcW w:w="1986" w:type="dxa"/>
            <w:shd w:val="clear" w:color="auto" w:fill="FBE4D5" w:themeFill="accent2" w:themeFillTint="33"/>
          </w:tcPr>
          <w:p w14:paraId="7BF925C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2.1 - Effective collection of budget revenues that are the responsibility of the Tax Administration</w:t>
            </w:r>
          </w:p>
        </w:tc>
        <w:tc>
          <w:tcPr>
            <w:tcW w:w="1828" w:type="dxa"/>
            <w:shd w:val="clear" w:color="auto" w:fill="FBE4D5" w:themeFill="accent2" w:themeFillTint="33"/>
          </w:tcPr>
          <w:p w14:paraId="202BD4DC" w14:textId="77777777" w:rsidR="008E3674" w:rsidRPr="008E3674" w:rsidRDefault="008E3674" w:rsidP="008E3674">
            <w:pPr>
              <w:jc w:val="center"/>
              <w:rPr>
                <w:rFonts w:ascii="Times New Roman" w:hAnsi="Times New Roman"/>
              </w:rPr>
            </w:pPr>
            <w:r w:rsidRPr="008E3674">
              <w:rPr>
                <w:rFonts w:ascii="Times New Roman" w:hAnsi="Times New Roman"/>
              </w:rPr>
              <w:t>4.654.470.000</w:t>
            </w:r>
          </w:p>
        </w:tc>
        <w:tc>
          <w:tcPr>
            <w:tcW w:w="1826" w:type="dxa"/>
            <w:shd w:val="clear" w:color="auto" w:fill="FBE4D5" w:themeFill="accent2" w:themeFillTint="33"/>
          </w:tcPr>
          <w:p w14:paraId="4C91B5FE" w14:textId="77777777" w:rsidR="008E3674" w:rsidRPr="008E3674" w:rsidRDefault="008E3674" w:rsidP="008E3674">
            <w:pPr>
              <w:jc w:val="center"/>
              <w:rPr>
                <w:rFonts w:ascii="Times New Roman" w:hAnsi="Times New Roman"/>
              </w:rPr>
            </w:pPr>
            <w:r w:rsidRPr="008E3674">
              <w:rPr>
                <w:rFonts w:ascii="Times New Roman" w:hAnsi="Times New Roman"/>
              </w:rPr>
              <w:t>2.464.333.70</w:t>
            </w:r>
            <w:r w:rsidR="004F2B21">
              <w:rPr>
                <w:rFonts w:ascii="Times New Roman" w:hAnsi="Times New Roman"/>
              </w:rPr>
              <w:t>7</w:t>
            </w:r>
          </w:p>
        </w:tc>
        <w:tc>
          <w:tcPr>
            <w:tcW w:w="1829" w:type="dxa"/>
            <w:shd w:val="clear" w:color="auto" w:fill="FBE4D5" w:themeFill="accent2" w:themeFillTint="33"/>
          </w:tcPr>
          <w:p w14:paraId="0CFFA259" w14:textId="77777777" w:rsidR="008E3674" w:rsidRPr="008E3674" w:rsidRDefault="008E3674" w:rsidP="008E3674">
            <w:pPr>
              <w:jc w:val="center"/>
              <w:rPr>
                <w:rFonts w:ascii="Times New Roman" w:hAnsi="Times New Roman"/>
              </w:rPr>
            </w:pPr>
            <w:r w:rsidRPr="008E3674">
              <w:rPr>
                <w:rFonts w:ascii="Times New Roman" w:hAnsi="Times New Roman"/>
              </w:rPr>
              <w:t>1.042.428.000</w:t>
            </w:r>
          </w:p>
        </w:tc>
        <w:tc>
          <w:tcPr>
            <w:tcW w:w="1826" w:type="dxa"/>
            <w:shd w:val="clear" w:color="auto" w:fill="FBE4D5" w:themeFill="accent2" w:themeFillTint="33"/>
          </w:tcPr>
          <w:p w14:paraId="4603F857" w14:textId="77777777" w:rsidR="008E3674" w:rsidRPr="008E3674" w:rsidRDefault="008E3674" w:rsidP="008E3674">
            <w:pPr>
              <w:jc w:val="center"/>
              <w:rPr>
                <w:rFonts w:ascii="Times New Roman" w:hAnsi="Times New Roman"/>
              </w:rPr>
            </w:pPr>
            <w:r w:rsidRPr="00B24FD5">
              <w:rPr>
                <w:rFonts w:ascii="Times New Roman" w:hAnsi="Times New Roman"/>
              </w:rPr>
              <w:t>40.</w:t>
            </w:r>
            <w:r w:rsidR="00B24FD5" w:rsidRPr="00B24FD5">
              <w:rPr>
                <w:rFonts w:ascii="Times New Roman" w:hAnsi="Times New Roman"/>
              </w:rPr>
              <w:t>4</w:t>
            </w:r>
            <w:r w:rsidRPr="00B24FD5">
              <w:rPr>
                <w:rFonts w:ascii="Times New Roman" w:hAnsi="Times New Roman"/>
              </w:rPr>
              <w:t>32.245</w:t>
            </w:r>
          </w:p>
        </w:tc>
        <w:tc>
          <w:tcPr>
            <w:tcW w:w="1829" w:type="dxa"/>
            <w:shd w:val="clear" w:color="auto" w:fill="FBE4D5" w:themeFill="accent2" w:themeFillTint="33"/>
          </w:tcPr>
          <w:p w14:paraId="215AEA7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5.696.898.000</w:t>
            </w:r>
          </w:p>
        </w:tc>
        <w:tc>
          <w:tcPr>
            <w:tcW w:w="1826" w:type="dxa"/>
            <w:shd w:val="clear" w:color="auto" w:fill="FBE4D5" w:themeFill="accent2" w:themeFillTint="33"/>
          </w:tcPr>
          <w:p w14:paraId="37E09372" w14:textId="77777777" w:rsidR="008E3674" w:rsidRPr="008E3674" w:rsidRDefault="008E3674" w:rsidP="008E3674">
            <w:pPr>
              <w:jc w:val="center"/>
              <w:rPr>
                <w:rFonts w:ascii="Times New Roman" w:hAnsi="Times New Roman"/>
              </w:rPr>
            </w:pPr>
            <w:r w:rsidRPr="008E3674">
              <w:rPr>
                <w:rFonts w:ascii="Times New Roman" w:hAnsi="Times New Roman"/>
              </w:rPr>
              <w:t>2.504.</w:t>
            </w:r>
            <w:r w:rsidR="00B24FD5">
              <w:rPr>
                <w:rFonts w:ascii="Times New Roman" w:hAnsi="Times New Roman"/>
              </w:rPr>
              <w:t>7</w:t>
            </w:r>
            <w:r w:rsidRPr="008E3674">
              <w:rPr>
                <w:rFonts w:ascii="Times New Roman" w:hAnsi="Times New Roman"/>
              </w:rPr>
              <w:t>65.9</w:t>
            </w:r>
            <w:r w:rsidR="004F2B21">
              <w:rPr>
                <w:rFonts w:ascii="Times New Roman" w:hAnsi="Times New Roman"/>
              </w:rPr>
              <w:t>52</w:t>
            </w:r>
          </w:p>
        </w:tc>
      </w:tr>
      <w:tr w:rsidR="008E3674" w:rsidRPr="008E3674" w14:paraId="756A8D91" w14:textId="77777777" w:rsidTr="00BD105F">
        <w:tc>
          <w:tcPr>
            <w:tcW w:w="1986" w:type="dxa"/>
          </w:tcPr>
          <w:p w14:paraId="3BB016C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2.1.1 – Reengineering </w:t>
            </w:r>
            <w:r w:rsidRPr="008E3674">
              <w:rPr>
                <w:rFonts w:ascii="Times New Roman" w:hAnsi="Times New Roman"/>
                <w:b/>
                <w:bCs/>
                <w:sz w:val="20"/>
                <w:szCs w:val="20"/>
                <w:lang w:val="sr-Cyrl-RS"/>
              </w:rPr>
              <w:lastRenderedPageBreak/>
              <w:t>business processes of basic functions</w:t>
            </w:r>
          </w:p>
        </w:tc>
        <w:tc>
          <w:tcPr>
            <w:tcW w:w="1828" w:type="dxa"/>
            <w:shd w:val="clear" w:color="auto" w:fill="D9D9D9" w:themeFill="background1" w:themeFillShade="D9"/>
          </w:tcPr>
          <w:p w14:paraId="6D677C0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245.497.000</w:t>
            </w:r>
          </w:p>
        </w:tc>
        <w:tc>
          <w:tcPr>
            <w:tcW w:w="1826" w:type="dxa"/>
          </w:tcPr>
          <w:p w14:paraId="360D21C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267.448.784</w:t>
            </w:r>
          </w:p>
        </w:tc>
        <w:tc>
          <w:tcPr>
            <w:tcW w:w="1829" w:type="dxa"/>
            <w:shd w:val="clear" w:color="auto" w:fill="D9D9D9" w:themeFill="background1" w:themeFillShade="D9"/>
          </w:tcPr>
          <w:p w14:paraId="30D5D365"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161B861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8F3BCE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245.497.000</w:t>
            </w:r>
          </w:p>
        </w:tc>
        <w:tc>
          <w:tcPr>
            <w:tcW w:w="1826" w:type="dxa"/>
          </w:tcPr>
          <w:p w14:paraId="79A2CB9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267.448.784</w:t>
            </w:r>
          </w:p>
        </w:tc>
      </w:tr>
      <w:tr w:rsidR="008E3674" w:rsidRPr="008E3674" w14:paraId="1EF46566" w14:textId="77777777" w:rsidTr="00BD105F">
        <w:tc>
          <w:tcPr>
            <w:tcW w:w="1986" w:type="dxa"/>
          </w:tcPr>
          <w:p w14:paraId="13C5E8C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2.1.2 - Introduction of a new fiscalization system</w:t>
            </w:r>
          </w:p>
        </w:tc>
        <w:tc>
          <w:tcPr>
            <w:tcW w:w="1828" w:type="dxa"/>
            <w:shd w:val="clear" w:color="auto" w:fill="D9D9D9" w:themeFill="background1" w:themeFillShade="D9"/>
          </w:tcPr>
          <w:p w14:paraId="2A8063A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1.153.152.000</w:t>
            </w:r>
          </w:p>
        </w:tc>
        <w:tc>
          <w:tcPr>
            <w:tcW w:w="1826" w:type="dxa"/>
          </w:tcPr>
          <w:p w14:paraId="1A7ACD9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1.761.495.463</w:t>
            </w:r>
          </w:p>
        </w:tc>
        <w:tc>
          <w:tcPr>
            <w:tcW w:w="1829" w:type="dxa"/>
            <w:shd w:val="clear" w:color="auto" w:fill="D9D9D9" w:themeFill="background1" w:themeFillShade="D9"/>
          </w:tcPr>
          <w:p w14:paraId="742DD2D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CFFBDF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A28218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1.153.152.000</w:t>
            </w:r>
          </w:p>
        </w:tc>
        <w:tc>
          <w:tcPr>
            <w:tcW w:w="1826" w:type="dxa"/>
          </w:tcPr>
          <w:p w14:paraId="109AD54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1.761.495.463</w:t>
            </w:r>
          </w:p>
        </w:tc>
      </w:tr>
      <w:tr w:rsidR="008E3674" w:rsidRPr="008E3674" w14:paraId="0E5D63B4" w14:textId="77777777" w:rsidTr="00BD105F">
        <w:tc>
          <w:tcPr>
            <w:tcW w:w="1986" w:type="dxa"/>
          </w:tcPr>
          <w:p w14:paraId="20E2CFC6"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2.1.3 - Improvement of ICT infrastructure - COTS</w:t>
            </w:r>
          </w:p>
        </w:tc>
        <w:tc>
          <w:tcPr>
            <w:tcW w:w="1828" w:type="dxa"/>
            <w:shd w:val="clear" w:color="auto" w:fill="D9D9D9" w:themeFill="background1" w:themeFillShade="D9"/>
          </w:tcPr>
          <w:p w14:paraId="3849B0F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3.154.271.000</w:t>
            </w:r>
          </w:p>
        </w:tc>
        <w:tc>
          <w:tcPr>
            <w:tcW w:w="1826" w:type="dxa"/>
          </w:tcPr>
          <w:p w14:paraId="7E173CA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274.241.910</w:t>
            </w:r>
          </w:p>
        </w:tc>
        <w:tc>
          <w:tcPr>
            <w:tcW w:w="1829" w:type="dxa"/>
            <w:shd w:val="clear" w:color="auto" w:fill="D9D9D9" w:themeFill="background1" w:themeFillShade="D9"/>
          </w:tcPr>
          <w:p w14:paraId="5C800BEB" w14:textId="77777777" w:rsidR="008E3674" w:rsidRPr="008E3674" w:rsidRDefault="008E3674" w:rsidP="008E3674">
            <w:pPr>
              <w:jc w:val="center"/>
              <w:rPr>
                <w:rFonts w:ascii="Times New Roman" w:hAnsi="Times New Roman"/>
                <w:lang w:val="sr-Cyrl-RS"/>
              </w:rPr>
            </w:pPr>
          </w:p>
        </w:tc>
        <w:tc>
          <w:tcPr>
            <w:tcW w:w="1826" w:type="dxa"/>
          </w:tcPr>
          <w:p w14:paraId="37562A70" w14:textId="77777777" w:rsidR="008E3674" w:rsidRPr="008E3674" w:rsidRDefault="008E3674" w:rsidP="008E3674">
            <w:pPr>
              <w:jc w:val="center"/>
              <w:rPr>
                <w:rFonts w:ascii="Times New Roman" w:hAnsi="Times New Roman"/>
                <w:lang w:val="sr-Cyrl-RS"/>
              </w:rPr>
            </w:pPr>
          </w:p>
        </w:tc>
        <w:tc>
          <w:tcPr>
            <w:tcW w:w="1829" w:type="dxa"/>
            <w:shd w:val="clear" w:color="auto" w:fill="D9D9D9" w:themeFill="background1" w:themeFillShade="D9"/>
          </w:tcPr>
          <w:p w14:paraId="7FA6CC0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3.154.271.000</w:t>
            </w:r>
          </w:p>
        </w:tc>
        <w:tc>
          <w:tcPr>
            <w:tcW w:w="1826" w:type="dxa"/>
          </w:tcPr>
          <w:p w14:paraId="3CEDEB0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274.241.910</w:t>
            </w:r>
          </w:p>
        </w:tc>
      </w:tr>
      <w:tr w:rsidR="008E3674" w:rsidRPr="008E3674" w14:paraId="59F15FFF" w14:textId="77777777" w:rsidTr="00BD105F">
        <w:tc>
          <w:tcPr>
            <w:tcW w:w="1986" w:type="dxa"/>
          </w:tcPr>
          <w:p w14:paraId="2FC697CE" w14:textId="77777777" w:rsidR="008E3674" w:rsidRPr="008E3674" w:rsidRDefault="008E3674" w:rsidP="008E3674">
            <w:pPr>
              <w:rPr>
                <w:rFonts w:ascii="Times New Roman" w:hAnsi="Times New Roman"/>
                <w:sz w:val="20"/>
                <w:szCs w:val="20"/>
                <w:lang w:val="sr-Cyrl-RS"/>
              </w:rPr>
            </w:pPr>
            <w:r w:rsidRPr="00B24FD5">
              <w:rPr>
                <w:rFonts w:ascii="Times New Roman" w:hAnsi="Times New Roman"/>
                <w:b/>
                <w:bCs/>
                <w:sz w:val="20"/>
                <w:szCs w:val="20"/>
                <w:lang w:val="sr-Cyrl-RS"/>
              </w:rPr>
              <w:t>Activity 2.1.4 - Harmonisation of the legislative framework and preparation of technical specifications for the implementation of information exchange systems according to the EU standard (exchange systems in the field of indirect taxation and systems for exchange in the field of direct taxation), as well as fulfilling the recommendations of the Global Forum for the application of international standards on request and automatic exchange</w:t>
            </w:r>
          </w:p>
        </w:tc>
        <w:tc>
          <w:tcPr>
            <w:tcW w:w="1828" w:type="dxa"/>
            <w:shd w:val="clear" w:color="auto" w:fill="D9D9D9" w:themeFill="background1" w:themeFillShade="D9"/>
          </w:tcPr>
          <w:p w14:paraId="70BA822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E1F83C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A0F6E4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540.000.000</w:t>
            </w:r>
          </w:p>
        </w:tc>
        <w:tc>
          <w:tcPr>
            <w:tcW w:w="1826" w:type="dxa"/>
          </w:tcPr>
          <w:p w14:paraId="1D06F689" w14:textId="77777777" w:rsidR="008E3674" w:rsidRPr="008E3674" w:rsidRDefault="008E3674" w:rsidP="008E3674">
            <w:pPr>
              <w:jc w:val="center"/>
              <w:rPr>
                <w:rFonts w:ascii="Times New Roman" w:hAnsi="Times New Roman"/>
              </w:rPr>
            </w:pPr>
            <w:r w:rsidRPr="00B24FD5">
              <w:rPr>
                <w:rFonts w:ascii="Times New Roman" w:hAnsi="Times New Roman"/>
              </w:rPr>
              <w:t>40.432.245</w:t>
            </w:r>
          </w:p>
        </w:tc>
        <w:tc>
          <w:tcPr>
            <w:tcW w:w="1829" w:type="dxa"/>
            <w:shd w:val="clear" w:color="auto" w:fill="D9D9D9" w:themeFill="background1" w:themeFillShade="D9"/>
          </w:tcPr>
          <w:p w14:paraId="2F2C9D98" w14:textId="77777777" w:rsidR="008E3674" w:rsidRPr="008E3674" w:rsidRDefault="008E3674" w:rsidP="008E3674">
            <w:pPr>
              <w:jc w:val="center"/>
              <w:rPr>
                <w:rFonts w:ascii="Times New Roman" w:hAnsi="Times New Roman"/>
              </w:rPr>
            </w:pPr>
            <w:r w:rsidRPr="008E3674">
              <w:rPr>
                <w:rFonts w:ascii="Times New Roman" w:hAnsi="Times New Roman"/>
                <w:lang w:val="sr-Cyrl-RS"/>
              </w:rPr>
              <w:t>540.000.000</w:t>
            </w:r>
          </w:p>
        </w:tc>
        <w:tc>
          <w:tcPr>
            <w:tcW w:w="1826" w:type="dxa"/>
          </w:tcPr>
          <w:p w14:paraId="5DA6900E" w14:textId="77777777" w:rsidR="008E3674" w:rsidRPr="008E3674" w:rsidRDefault="008E3674" w:rsidP="008E3674">
            <w:pPr>
              <w:jc w:val="center"/>
              <w:rPr>
                <w:rFonts w:ascii="Times New Roman" w:hAnsi="Times New Roman"/>
              </w:rPr>
            </w:pPr>
            <w:r w:rsidRPr="008E3674">
              <w:rPr>
                <w:rFonts w:ascii="Times New Roman" w:hAnsi="Times New Roman"/>
              </w:rPr>
              <w:t>40.432.245</w:t>
            </w:r>
          </w:p>
        </w:tc>
      </w:tr>
      <w:tr w:rsidR="008E3674" w:rsidRPr="008E3674" w14:paraId="736F1D08" w14:textId="77777777" w:rsidTr="00BD105F">
        <w:tc>
          <w:tcPr>
            <w:tcW w:w="1986" w:type="dxa"/>
          </w:tcPr>
          <w:p w14:paraId="1BFC9D98"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2.1.5 - Improving the function of human resources </w:t>
            </w:r>
            <w:r w:rsidRPr="008E3674">
              <w:rPr>
                <w:rFonts w:ascii="Times New Roman" w:hAnsi="Times New Roman"/>
                <w:b/>
                <w:bCs/>
                <w:sz w:val="20"/>
                <w:szCs w:val="20"/>
                <w:lang w:val="sr-Cyrl-RS"/>
              </w:rPr>
              <w:lastRenderedPageBreak/>
              <w:t>management through the development of a human resources strategy and the improvement of the existing information system for human resources management</w:t>
            </w:r>
          </w:p>
        </w:tc>
        <w:tc>
          <w:tcPr>
            <w:tcW w:w="1828" w:type="dxa"/>
            <w:shd w:val="clear" w:color="auto" w:fill="D9D9D9" w:themeFill="background1" w:themeFillShade="D9"/>
          </w:tcPr>
          <w:p w14:paraId="45368F88" w14:textId="77777777" w:rsidR="008E3674" w:rsidRPr="008E3674" w:rsidRDefault="008E3674" w:rsidP="008E3674">
            <w:pPr>
              <w:jc w:val="center"/>
              <w:rPr>
                <w:rFonts w:ascii="Times New Roman" w:hAnsi="Times New Roman"/>
              </w:rPr>
            </w:pPr>
            <w:r w:rsidRPr="008E3674">
              <w:rPr>
                <w:rFonts w:ascii="Times New Roman" w:hAnsi="Times New Roman"/>
              </w:rPr>
              <w:lastRenderedPageBreak/>
              <w:t>101.550.000</w:t>
            </w:r>
          </w:p>
        </w:tc>
        <w:tc>
          <w:tcPr>
            <w:tcW w:w="1826" w:type="dxa"/>
          </w:tcPr>
          <w:p w14:paraId="592D40E7" w14:textId="77777777" w:rsidR="008E3674" w:rsidRPr="008E3674" w:rsidRDefault="008E3674" w:rsidP="008E3674">
            <w:pPr>
              <w:jc w:val="center"/>
              <w:rPr>
                <w:rFonts w:ascii="Times New Roman" w:hAnsi="Times New Roman"/>
              </w:rPr>
            </w:pPr>
            <w:r w:rsidRPr="008E3674">
              <w:rPr>
                <w:rFonts w:ascii="Times New Roman" w:hAnsi="Times New Roman"/>
              </w:rPr>
              <w:t>161.147.550</w:t>
            </w:r>
          </w:p>
        </w:tc>
        <w:tc>
          <w:tcPr>
            <w:tcW w:w="1829" w:type="dxa"/>
            <w:shd w:val="clear" w:color="auto" w:fill="D9D9D9" w:themeFill="background1" w:themeFillShade="D9"/>
          </w:tcPr>
          <w:p w14:paraId="381FB85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33F05E1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7575D52" w14:textId="77777777" w:rsidR="008E3674" w:rsidRPr="008E3674" w:rsidRDefault="008E3674" w:rsidP="008E3674">
            <w:pPr>
              <w:jc w:val="center"/>
              <w:rPr>
                <w:rFonts w:ascii="Times New Roman" w:hAnsi="Times New Roman"/>
              </w:rPr>
            </w:pPr>
            <w:r w:rsidRPr="008E3674">
              <w:rPr>
                <w:rFonts w:ascii="Times New Roman" w:hAnsi="Times New Roman"/>
              </w:rPr>
              <w:t>101.550.000</w:t>
            </w:r>
          </w:p>
        </w:tc>
        <w:tc>
          <w:tcPr>
            <w:tcW w:w="1826" w:type="dxa"/>
          </w:tcPr>
          <w:p w14:paraId="5DA3E403" w14:textId="77777777" w:rsidR="008E3674" w:rsidRPr="008E3674" w:rsidRDefault="008E3674" w:rsidP="008E3674">
            <w:pPr>
              <w:jc w:val="center"/>
              <w:rPr>
                <w:rFonts w:ascii="Times New Roman" w:hAnsi="Times New Roman"/>
              </w:rPr>
            </w:pPr>
            <w:r w:rsidRPr="008E3674">
              <w:rPr>
                <w:rFonts w:ascii="Times New Roman" w:hAnsi="Times New Roman"/>
              </w:rPr>
              <w:t>161.147.550</w:t>
            </w:r>
          </w:p>
        </w:tc>
      </w:tr>
      <w:tr w:rsidR="008E3674" w:rsidRPr="008E3674" w14:paraId="12C2FCCD" w14:textId="77777777" w:rsidTr="00BD105F">
        <w:tc>
          <w:tcPr>
            <w:tcW w:w="1986" w:type="dxa"/>
          </w:tcPr>
          <w:p w14:paraId="08B9A2D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2.1.6 - Introduction of the electronic delivery system - analysis of the legal and administrative framework and preparation of procurement documentation</w:t>
            </w:r>
          </w:p>
        </w:tc>
        <w:tc>
          <w:tcPr>
            <w:tcW w:w="1828" w:type="dxa"/>
            <w:shd w:val="clear" w:color="auto" w:fill="D9D9D9" w:themeFill="background1" w:themeFillShade="D9"/>
          </w:tcPr>
          <w:p w14:paraId="54A99B9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9C2457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CEF079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72.000.000</w:t>
            </w:r>
          </w:p>
        </w:tc>
        <w:tc>
          <w:tcPr>
            <w:tcW w:w="1826" w:type="dxa"/>
          </w:tcPr>
          <w:p w14:paraId="7903429C"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D1F463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72.000.000</w:t>
            </w:r>
          </w:p>
        </w:tc>
        <w:tc>
          <w:tcPr>
            <w:tcW w:w="1826" w:type="dxa"/>
          </w:tcPr>
          <w:p w14:paraId="03D4B8D2"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7742077D" w14:textId="77777777" w:rsidTr="00BD105F">
        <w:tc>
          <w:tcPr>
            <w:tcW w:w="1986" w:type="dxa"/>
          </w:tcPr>
          <w:p w14:paraId="5D68F3E7"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2.1.7 - Introduction of the system of electronic dispatch notes - introduction of the IT system</w:t>
            </w:r>
          </w:p>
        </w:tc>
        <w:tc>
          <w:tcPr>
            <w:tcW w:w="1828" w:type="dxa"/>
            <w:shd w:val="clear" w:color="auto" w:fill="D9D9D9" w:themeFill="background1" w:themeFillShade="D9"/>
          </w:tcPr>
          <w:p w14:paraId="1E61BDE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6C04B9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A20006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360.000.000</w:t>
            </w:r>
          </w:p>
        </w:tc>
        <w:tc>
          <w:tcPr>
            <w:tcW w:w="1826" w:type="dxa"/>
          </w:tcPr>
          <w:p w14:paraId="78BC132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6237D80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360.000.000</w:t>
            </w:r>
          </w:p>
        </w:tc>
        <w:tc>
          <w:tcPr>
            <w:tcW w:w="1826" w:type="dxa"/>
          </w:tcPr>
          <w:p w14:paraId="136726A3"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78F428EB" w14:textId="77777777" w:rsidTr="00BD105F">
        <w:tc>
          <w:tcPr>
            <w:tcW w:w="1986" w:type="dxa"/>
          </w:tcPr>
          <w:p w14:paraId="3B26432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2.1.8 - Development of a communication strategy regarding the amendment of the PO VAT form</w:t>
            </w:r>
          </w:p>
        </w:tc>
        <w:tc>
          <w:tcPr>
            <w:tcW w:w="1828" w:type="dxa"/>
            <w:shd w:val="clear" w:color="auto" w:fill="D9D9D9" w:themeFill="background1" w:themeFillShade="D9"/>
          </w:tcPr>
          <w:p w14:paraId="45EB8CB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882C00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B0E453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35.214.000</w:t>
            </w:r>
          </w:p>
        </w:tc>
        <w:tc>
          <w:tcPr>
            <w:tcW w:w="1826" w:type="dxa"/>
          </w:tcPr>
          <w:p w14:paraId="7D82BD2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BA051E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35.214.000</w:t>
            </w:r>
          </w:p>
        </w:tc>
        <w:tc>
          <w:tcPr>
            <w:tcW w:w="1826" w:type="dxa"/>
          </w:tcPr>
          <w:p w14:paraId="7072A36B"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264D2D8" w14:textId="77777777" w:rsidTr="00BD105F">
        <w:tc>
          <w:tcPr>
            <w:tcW w:w="1986" w:type="dxa"/>
          </w:tcPr>
          <w:p w14:paraId="49D2B2A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2.1.9 - Development of a communication strategy for the introduction of the electronic delivery note system</w:t>
            </w:r>
          </w:p>
        </w:tc>
        <w:tc>
          <w:tcPr>
            <w:tcW w:w="1828" w:type="dxa"/>
            <w:shd w:val="clear" w:color="auto" w:fill="D9D9D9" w:themeFill="background1" w:themeFillShade="D9"/>
          </w:tcPr>
          <w:p w14:paraId="331DD26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A1D38F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6E1F587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35.214.000</w:t>
            </w:r>
          </w:p>
        </w:tc>
        <w:tc>
          <w:tcPr>
            <w:tcW w:w="1826" w:type="dxa"/>
          </w:tcPr>
          <w:p w14:paraId="4392777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64FD278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35.214.000</w:t>
            </w:r>
          </w:p>
        </w:tc>
        <w:tc>
          <w:tcPr>
            <w:tcW w:w="1826" w:type="dxa"/>
          </w:tcPr>
          <w:p w14:paraId="5EE355F0"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190668D" w14:textId="77777777" w:rsidTr="00BD105F">
        <w:tc>
          <w:tcPr>
            <w:tcW w:w="1986" w:type="dxa"/>
            <w:vMerge w:val="restart"/>
            <w:shd w:val="clear" w:color="auto" w:fill="8EAADB" w:themeFill="accent5" w:themeFillTint="99"/>
          </w:tcPr>
          <w:p w14:paraId="00F98F93"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0105AB7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887EB44" w14:textId="77777777" w:rsidTr="00BD105F">
        <w:tc>
          <w:tcPr>
            <w:tcW w:w="1986" w:type="dxa"/>
            <w:vMerge/>
            <w:shd w:val="clear" w:color="auto" w:fill="8EAADB" w:themeFill="accent5" w:themeFillTint="99"/>
          </w:tcPr>
          <w:p w14:paraId="2BBAFE89"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3FC387B0"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4B395470"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71691CEF"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419C6996" w14:textId="77777777" w:rsidTr="00BD105F">
        <w:tc>
          <w:tcPr>
            <w:tcW w:w="1986" w:type="dxa"/>
            <w:vMerge/>
            <w:shd w:val="clear" w:color="auto" w:fill="8EAADB" w:themeFill="accent5" w:themeFillTint="99"/>
          </w:tcPr>
          <w:p w14:paraId="41598604"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22771A0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4E2E3876"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5E38F05D"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496A1665"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05EA0F2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7F538183"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7752C14E" w14:textId="77777777" w:rsidTr="00BD105F">
        <w:tc>
          <w:tcPr>
            <w:tcW w:w="1986" w:type="dxa"/>
            <w:shd w:val="clear" w:color="auto" w:fill="FBE4D5" w:themeFill="accent2" w:themeFillTint="33"/>
          </w:tcPr>
          <w:p w14:paraId="288B8805"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2.2 – Modernisation of the work process of the Tobacco Administration</w:t>
            </w:r>
          </w:p>
        </w:tc>
        <w:tc>
          <w:tcPr>
            <w:tcW w:w="1828" w:type="dxa"/>
            <w:shd w:val="clear" w:color="auto" w:fill="FBE4D5" w:themeFill="accent2" w:themeFillTint="33"/>
          </w:tcPr>
          <w:p w14:paraId="0BEDEA3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31.056.000</w:t>
            </w:r>
          </w:p>
        </w:tc>
        <w:tc>
          <w:tcPr>
            <w:tcW w:w="1826" w:type="dxa"/>
            <w:shd w:val="clear" w:color="auto" w:fill="FBE4D5" w:themeFill="accent2" w:themeFillTint="33"/>
          </w:tcPr>
          <w:p w14:paraId="413EA42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30.998.400</w:t>
            </w:r>
          </w:p>
        </w:tc>
        <w:tc>
          <w:tcPr>
            <w:tcW w:w="1829" w:type="dxa"/>
            <w:shd w:val="clear" w:color="auto" w:fill="FBE4D5" w:themeFill="accent2" w:themeFillTint="33"/>
          </w:tcPr>
          <w:p w14:paraId="1B2D6A0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3848746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4EA6EE5C" w14:textId="77777777" w:rsidR="008E3674" w:rsidRPr="008E3674" w:rsidRDefault="008E3674" w:rsidP="008E3674">
            <w:pPr>
              <w:jc w:val="center"/>
              <w:rPr>
                <w:rFonts w:ascii="Times New Roman" w:hAnsi="Times New Roman"/>
              </w:rPr>
            </w:pPr>
            <w:r w:rsidRPr="008E3674">
              <w:rPr>
                <w:rFonts w:ascii="Times New Roman" w:hAnsi="Times New Roman"/>
                <w:lang w:val="sr-Cyrl-RS"/>
              </w:rPr>
              <w:t>31.056.000</w:t>
            </w:r>
          </w:p>
        </w:tc>
        <w:tc>
          <w:tcPr>
            <w:tcW w:w="1826" w:type="dxa"/>
            <w:shd w:val="clear" w:color="auto" w:fill="FBE4D5" w:themeFill="accent2" w:themeFillTint="33"/>
          </w:tcPr>
          <w:p w14:paraId="75130FD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30.998.400</w:t>
            </w:r>
          </w:p>
        </w:tc>
      </w:tr>
      <w:tr w:rsidR="008E3674" w:rsidRPr="008E3674" w14:paraId="77788EA4" w14:textId="77777777" w:rsidTr="00BD105F">
        <w:tc>
          <w:tcPr>
            <w:tcW w:w="1986" w:type="dxa"/>
          </w:tcPr>
          <w:p w14:paraId="3CCEBB42" w14:textId="77777777" w:rsidR="008E3674" w:rsidRPr="0049768D" w:rsidRDefault="008E3674" w:rsidP="008E3674">
            <w:pPr>
              <w:rPr>
                <w:rFonts w:ascii="Times New Roman" w:hAnsi="Times New Roman"/>
                <w:sz w:val="20"/>
                <w:szCs w:val="20"/>
                <w:lang w:val="sr-Cyrl-RS"/>
              </w:rPr>
            </w:pPr>
            <w:r w:rsidRPr="0049768D">
              <w:rPr>
                <w:rFonts w:ascii="Times New Roman" w:hAnsi="Times New Roman"/>
                <w:b/>
                <w:bCs/>
                <w:sz w:val="20"/>
                <w:szCs w:val="20"/>
                <w:lang w:val="sr-Cyrl-RS"/>
              </w:rPr>
              <w:t>Activity 2.2.1 - Establishment of a unified system of registers that will unify all registers and record lists in order to improve the efficiency of the provision of services of the Tobacco Administration</w:t>
            </w:r>
          </w:p>
        </w:tc>
        <w:tc>
          <w:tcPr>
            <w:tcW w:w="1828" w:type="dxa"/>
            <w:shd w:val="clear" w:color="auto" w:fill="D9D9D9" w:themeFill="background1" w:themeFillShade="D9"/>
          </w:tcPr>
          <w:p w14:paraId="61F2986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6.932.000</w:t>
            </w:r>
          </w:p>
        </w:tc>
        <w:tc>
          <w:tcPr>
            <w:tcW w:w="1826" w:type="dxa"/>
          </w:tcPr>
          <w:p w14:paraId="32CEC2C6" w14:textId="77777777" w:rsidR="008E3674" w:rsidRPr="008E3674" w:rsidRDefault="008E3674" w:rsidP="008E3674">
            <w:pPr>
              <w:jc w:val="center"/>
              <w:rPr>
                <w:rFonts w:ascii="Times New Roman" w:hAnsi="Times New Roman"/>
              </w:rPr>
            </w:pPr>
            <w:r w:rsidRPr="008E3674">
              <w:rPr>
                <w:rFonts w:ascii="Times New Roman" w:hAnsi="Times New Roman"/>
              </w:rPr>
              <w:t>6.932.000</w:t>
            </w:r>
          </w:p>
        </w:tc>
        <w:tc>
          <w:tcPr>
            <w:tcW w:w="1829" w:type="dxa"/>
            <w:shd w:val="clear" w:color="auto" w:fill="D9D9D9" w:themeFill="background1" w:themeFillShade="D9"/>
          </w:tcPr>
          <w:p w14:paraId="411307B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21BAC8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AB6A7F6" w14:textId="77777777" w:rsidR="008E3674" w:rsidRPr="008E3674" w:rsidRDefault="008E3674" w:rsidP="008E3674">
            <w:pPr>
              <w:jc w:val="center"/>
              <w:rPr>
                <w:rFonts w:ascii="Times New Roman" w:hAnsi="Times New Roman"/>
              </w:rPr>
            </w:pPr>
            <w:r w:rsidRPr="008E3674">
              <w:rPr>
                <w:rFonts w:ascii="Times New Roman" w:hAnsi="Times New Roman"/>
                <w:lang w:val="sr-Cyrl-RS"/>
              </w:rPr>
              <w:t>6.932.000</w:t>
            </w:r>
          </w:p>
        </w:tc>
        <w:tc>
          <w:tcPr>
            <w:tcW w:w="1826" w:type="dxa"/>
          </w:tcPr>
          <w:p w14:paraId="5C5657F1" w14:textId="77777777" w:rsidR="008E3674" w:rsidRPr="008E3674" w:rsidRDefault="008E3674" w:rsidP="008E3674">
            <w:pPr>
              <w:jc w:val="center"/>
              <w:rPr>
                <w:rFonts w:ascii="Times New Roman" w:hAnsi="Times New Roman"/>
              </w:rPr>
            </w:pPr>
            <w:r w:rsidRPr="008E3674">
              <w:rPr>
                <w:rFonts w:ascii="Times New Roman" w:hAnsi="Times New Roman"/>
              </w:rPr>
              <w:t>6.932.000</w:t>
            </w:r>
          </w:p>
        </w:tc>
      </w:tr>
      <w:tr w:rsidR="008E3674" w:rsidRPr="008E3674" w14:paraId="0B02536E" w14:textId="77777777" w:rsidTr="00BD105F">
        <w:tc>
          <w:tcPr>
            <w:tcW w:w="1986" w:type="dxa"/>
          </w:tcPr>
          <w:p w14:paraId="67051E77" w14:textId="77777777" w:rsidR="008E3674" w:rsidRPr="0049768D" w:rsidRDefault="008E3674" w:rsidP="008E3674">
            <w:pPr>
              <w:rPr>
                <w:rFonts w:ascii="Times New Roman" w:hAnsi="Times New Roman"/>
                <w:sz w:val="20"/>
                <w:szCs w:val="20"/>
                <w:lang w:val="sr-Cyrl-RS"/>
              </w:rPr>
            </w:pPr>
            <w:r w:rsidRPr="0049768D">
              <w:rPr>
                <w:rFonts w:ascii="Times New Roman" w:hAnsi="Times New Roman"/>
                <w:b/>
                <w:bCs/>
                <w:sz w:val="20"/>
                <w:szCs w:val="20"/>
                <w:lang w:val="sr-Cyrl-RS"/>
              </w:rPr>
              <w:t>Activity 2.2.2 - Strengthening the capacity of human resources of the Tobacco Administration and other partner institutions</w:t>
            </w:r>
          </w:p>
        </w:tc>
        <w:tc>
          <w:tcPr>
            <w:tcW w:w="1828" w:type="dxa"/>
            <w:shd w:val="clear" w:color="auto" w:fill="D9D9D9" w:themeFill="background1" w:themeFillShade="D9"/>
          </w:tcPr>
          <w:p w14:paraId="4A6EA2D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1.383.000</w:t>
            </w:r>
          </w:p>
        </w:tc>
        <w:tc>
          <w:tcPr>
            <w:tcW w:w="1826" w:type="dxa"/>
          </w:tcPr>
          <w:p w14:paraId="116A8D6B" w14:textId="77777777" w:rsidR="008E3674" w:rsidRPr="008E3674" w:rsidRDefault="008E3674" w:rsidP="008E3674">
            <w:pPr>
              <w:jc w:val="center"/>
              <w:rPr>
                <w:rFonts w:ascii="Times New Roman" w:hAnsi="Times New Roman"/>
              </w:rPr>
            </w:pPr>
            <w:r w:rsidRPr="008E3674">
              <w:rPr>
                <w:rFonts w:ascii="Times New Roman" w:hAnsi="Times New Roman"/>
              </w:rPr>
              <w:t>1.383.000</w:t>
            </w:r>
          </w:p>
        </w:tc>
        <w:tc>
          <w:tcPr>
            <w:tcW w:w="1829" w:type="dxa"/>
            <w:shd w:val="clear" w:color="auto" w:fill="D9D9D9" w:themeFill="background1" w:themeFillShade="D9"/>
          </w:tcPr>
          <w:p w14:paraId="3FBFFDE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37BDA4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1710C4B" w14:textId="77777777" w:rsidR="008E3674" w:rsidRPr="008E3674" w:rsidRDefault="008E3674" w:rsidP="008E3674">
            <w:pPr>
              <w:jc w:val="center"/>
              <w:rPr>
                <w:rFonts w:ascii="Times New Roman" w:hAnsi="Times New Roman"/>
              </w:rPr>
            </w:pPr>
            <w:r w:rsidRPr="008E3674">
              <w:rPr>
                <w:rFonts w:ascii="Times New Roman" w:hAnsi="Times New Roman"/>
                <w:lang w:val="sr-Cyrl-RS"/>
              </w:rPr>
              <w:t>1.383.000</w:t>
            </w:r>
          </w:p>
        </w:tc>
        <w:tc>
          <w:tcPr>
            <w:tcW w:w="1826" w:type="dxa"/>
          </w:tcPr>
          <w:p w14:paraId="68F14574" w14:textId="77777777" w:rsidR="008E3674" w:rsidRPr="008E3674" w:rsidRDefault="008E3674" w:rsidP="008E3674">
            <w:pPr>
              <w:jc w:val="center"/>
              <w:rPr>
                <w:rFonts w:ascii="Times New Roman" w:hAnsi="Times New Roman"/>
              </w:rPr>
            </w:pPr>
            <w:r w:rsidRPr="008E3674">
              <w:rPr>
                <w:rFonts w:ascii="Times New Roman" w:hAnsi="Times New Roman"/>
              </w:rPr>
              <w:t>1.383.000</w:t>
            </w:r>
          </w:p>
        </w:tc>
      </w:tr>
      <w:tr w:rsidR="008E3674" w:rsidRPr="008E3674" w14:paraId="7F478220" w14:textId="77777777" w:rsidTr="00BD105F">
        <w:tc>
          <w:tcPr>
            <w:tcW w:w="1986" w:type="dxa"/>
          </w:tcPr>
          <w:p w14:paraId="73474B32" w14:textId="77777777" w:rsidR="008E3674" w:rsidRPr="0049768D" w:rsidRDefault="008E3674" w:rsidP="008E3674">
            <w:pPr>
              <w:rPr>
                <w:rFonts w:ascii="Times New Roman" w:hAnsi="Times New Roman"/>
                <w:sz w:val="20"/>
                <w:szCs w:val="20"/>
                <w:lang w:val="sr-Cyrl-RS"/>
              </w:rPr>
            </w:pPr>
            <w:r w:rsidRPr="0049768D">
              <w:rPr>
                <w:rFonts w:ascii="Times New Roman" w:hAnsi="Times New Roman"/>
                <w:b/>
                <w:bCs/>
                <w:sz w:val="20"/>
                <w:szCs w:val="20"/>
                <w:lang w:val="sr-Cyrl-RS"/>
              </w:rPr>
              <w:t>Activity 2.2.3 - Increasing the digital awareness of business entities operating in the market of tobacco and tobacco products</w:t>
            </w:r>
          </w:p>
        </w:tc>
        <w:tc>
          <w:tcPr>
            <w:tcW w:w="1828" w:type="dxa"/>
            <w:shd w:val="clear" w:color="auto" w:fill="D9D9D9" w:themeFill="background1" w:themeFillShade="D9"/>
          </w:tcPr>
          <w:p w14:paraId="111CABC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181.000</w:t>
            </w:r>
          </w:p>
        </w:tc>
        <w:tc>
          <w:tcPr>
            <w:tcW w:w="1826" w:type="dxa"/>
          </w:tcPr>
          <w:p w14:paraId="13F60F3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181.000</w:t>
            </w:r>
          </w:p>
        </w:tc>
        <w:tc>
          <w:tcPr>
            <w:tcW w:w="1829" w:type="dxa"/>
            <w:shd w:val="clear" w:color="auto" w:fill="D9D9D9" w:themeFill="background1" w:themeFillShade="D9"/>
          </w:tcPr>
          <w:p w14:paraId="61B26D5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51ABEC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E1606BA" w14:textId="77777777" w:rsidR="008E3674" w:rsidRPr="008E3674" w:rsidRDefault="008E3674" w:rsidP="008E3674">
            <w:pPr>
              <w:jc w:val="center"/>
              <w:rPr>
                <w:rFonts w:ascii="Times New Roman" w:hAnsi="Times New Roman"/>
              </w:rPr>
            </w:pPr>
            <w:r w:rsidRPr="008E3674">
              <w:rPr>
                <w:rFonts w:ascii="Times New Roman" w:hAnsi="Times New Roman"/>
                <w:lang w:val="sr-Cyrl-RS"/>
              </w:rPr>
              <w:t>181.000</w:t>
            </w:r>
          </w:p>
        </w:tc>
        <w:tc>
          <w:tcPr>
            <w:tcW w:w="1826" w:type="dxa"/>
          </w:tcPr>
          <w:p w14:paraId="6E0CE203" w14:textId="77777777" w:rsidR="008E3674" w:rsidRPr="00732D6F" w:rsidRDefault="008E3674" w:rsidP="008E3674">
            <w:pPr>
              <w:jc w:val="center"/>
              <w:rPr>
                <w:rFonts w:ascii="Times New Roman" w:hAnsi="Times New Roman"/>
                <w:highlight w:val="yellow"/>
                <w:lang w:val="sr-Cyrl-RS"/>
              </w:rPr>
            </w:pPr>
            <w:r w:rsidRPr="00B24FD5">
              <w:rPr>
                <w:rFonts w:ascii="Times New Roman" w:hAnsi="Times New Roman"/>
                <w:lang w:val="sr-Cyrl-RS"/>
              </w:rPr>
              <w:t>181.000</w:t>
            </w:r>
          </w:p>
        </w:tc>
      </w:tr>
      <w:tr w:rsidR="008E3674" w:rsidRPr="008E3674" w14:paraId="38DD85A0" w14:textId="77777777" w:rsidTr="00BD105F">
        <w:tc>
          <w:tcPr>
            <w:tcW w:w="1986" w:type="dxa"/>
          </w:tcPr>
          <w:p w14:paraId="7557FB56" w14:textId="77777777" w:rsidR="008E3674" w:rsidRPr="0049768D" w:rsidRDefault="008E3674" w:rsidP="008E3674">
            <w:pPr>
              <w:rPr>
                <w:rFonts w:ascii="Times New Roman" w:hAnsi="Times New Roman"/>
                <w:sz w:val="20"/>
                <w:szCs w:val="20"/>
                <w:lang w:val="sr-Cyrl-RS"/>
              </w:rPr>
            </w:pPr>
            <w:r w:rsidRPr="0049768D">
              <w:rPr>
                <w:rFonts w:ascii="Times New Roman" w:hAnsi="Times New Roman"/>
                <w:b/>
                <w:bCs/>
                <w:sz w:val="20"/>
                <w:szCs w:val="20"/>
                <w:lang w:val="sr-Cyrl-RS"/>
              </w:rPr>
              <w:t xml:space="preserve">Activity 2.2.4 - Upgrade of the Integrated Information System </w:t>
            </w:r>
            <w:r w:rsidRPr="0049768D">
              <w:rPr>
                <w:rFonts w:ascii="Times New Roman" w:hAnsi="Times New Roman"/>
                <w:b/>
                <w:bCs/>
                <w:sz w:val="20"/>
                <w:szCs w:val="20"/>
                <w:lang w:val="sr-Cyrl-RS"/>
              </w:rPr>
              <w:lastRenderedPageBreak/>
              <w:t>of the Tobacco Administration</w:t>
            </w:r>
          </w:p>
        </w:tc>
        <w:tc>
          <w:tcPr>
            <w:tcW w:w="1828" w:type="dxa"/>
            <w:shd w:val="clear" w:color="auto" w:fill="D9D9D9" w:themeFill="background1" w:themeFillShade="D9"/>
          </w:tcPr>
          <w:p w14:paraId="4B51F9D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22.560.000</w:t>
            </w:r>
          </w:p>
        </w:tc>
        <w:tc>
          <w:tcPr>
            <w:tcW w:w="1826" w:type="dxa"/>
          </w:tcPr>
          <w:p w14:paraId="22EB9B9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22.502.400</w:t>
            </w:r>
          </w:p>
        </w:tc>
        <w:tc>
          <w:tcPr>
            <w:tcW w:w="1829" w:type="dxa"/>
            <w:shd w:val="clear" w:color="auto" w:fill="D9D9D9" w:themeFill="background1" w:themeFillShade="D9"/>
          </w:tcPr>
          <w:p w14:paraId="43BC661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DA64F3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60399AF0" w14:textId="77777777" w:rsidR="008E3674" w:rsidRPr="008E3674" w:rsidRDefault="008E3674" w:rsidP="008E3674">
            <w:pPr>
              <w:jc w:val="center"/>
              <w:rPr>
                <w:rFonts w:ascii="Times New Roman" w:hAnsi="Times New Roman"/>
              </w:rPr>
            </w:pPr>
            <w:r w:rsidRPr="008E3674">
              <w:rPr>
                <w:rFonts w:ascii="Times New Roman" w:hAnsi="Times New Roman"/>
                <w:lang w:val="sr-Cyrl-RS"/>
              </w:rPr>
              <w:t>22.560.000</w:t>
            </w:r>
          </w:p>
        </w:tc>
        <w:tc>
          <w:tcPr>
            <w:tcW w:w="1826" w:type="dxa"/>
          </w:tcPr>
          <w:p w14:paraId="1CF9DE9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22.502.400</w:t>
            </w:r>
          </w:p>
        </w:tc>
      </w:tr>
      <w:tr w:rsidR="008E3674" w:rsidRPr="008E3674" w14:paraId="5949F034" w14:textId="77777777" w:rsidTr="00BD105F">
        <w:tc>
          <w:tcPr>
            <w:tcW w:w="1986" w:type="dxa"/>
            <w:vMerge w:val="restart"/>
            <w:shd w:val="clear" w:color="auto" w:fill="8EAADB" w:themeFill="accent5" w:themeFillTint="99"/>
          </w:tcPr>
          <w:p w14:paraId="255C1023"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57E3CD5B"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161A60B" w14:textId="77777777" w:rsidTr="00BD105F">
        <w:tc>
          <w:tcPr>
            <w:tcW w:w="1986" w:type="dxa"/>
            <w:vMerge/>
            <w:shd w:val="clear" w:color="auto" w:fill="8EAADB" w:themeFill="accent5" w:themeFillTint="99"/>
          </w:tcPr>
          <w:p w14:paraId="0490D40F"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4323FCC5"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56A4E9AE"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0FA5A96E"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7DDC1E92" w14:textId="77777777" w:rsidTr="00BD105F">
        <w:tc>
          <w:tcPr>
            <w:tcW w:w="1986" w:type="dxa"/>
            <w:vMerge/>
            <w:shd w:val="clear" w:color="auto" w:fill="8EAADB" w:themeFill="accent5" w:themeFillTint="99"/>
          </w:tcPr>
          <w:p w14:paraId="7A2BDFF7"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003BFD1F"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86A4171"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3F5D41DA"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77B41A12"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53591AB3"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C62301A"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5D146407" w14:textId="77777777" w:rsidTr="00BD105F">
        <w:tc>
          <w:tcPr>
            <w:tcW w:w="1986" w:type="dxa"/>
            <w:shd w:val="clear" w:color="auto" w:fill="FBE4D5" w:themeFill="accent2" w:themeFillTint="33"/>
          </w:tcPr>
          <w:p w14:paraId="008DD20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2.3 – Strengthening the administrative capacity of the Customs Administration</w:t>
            </w:r>
          </w:p>
        </w:tc>
        <w:tc>
          <w:tcPr>
            <w:tcW w:w="1828" w:type="dxa"/>
            <w:shd w:val="clear" w:color="auto" w:fill="FBE4D5" w:themeFill="accent2" w:themeFillTint="33"/>
          </w:tcPr>
          <w:p w14:paraId="5BBF54A5" w14:textId="77777777" w:rsidR="008E3674" w:rsidRPr="008E3674" w:rsidRDefault="008E3674" w:rsidP="008E3674">
            <w:pPr>
              <w:jc w:val="center"/>
              <w:rPr>
                <w:rFonts w:ascii="Times New Roman" w:hAnsi="Times New Roman"/>
              </w:rPr>
            </w:pPr>
            <w:r w:rsidRPr="008E3674">
              <w:rPr>
                <w:rFonts w:ascii="Times New Roman" w:hAnsi="Times New Roman"/>
              </w:rPr>
              <w:t>942.114.000</w:t>
            </w:r>
          </w:p>
        </w:tc>
        <w:tc>
          <w:tcPr>
            <w:tcW w:w="1826" w:type="dxa"/>
            <w:shd w:val="clear" w:color="auto" w:fill="FBE4D5" w:themeFill="accent2" w:themeFillTint="33"/>
          </w:tcPr>
          <w:p w14:paraId="561F32AE" w14:textId="77777777" w:rsidR="008E3674" w:rsidRPr="008E3674" w:rsidRDefault="008E3674" w:rsidP="008E3674">
            <w:pPr>
              <w:jc w:val="center"/>
              <w:rPr>
                <w:rFonts w:ascii="Times New Roman" w:hAnsi="Times New Roman"/>
              </w:rPr>
            </w:pPr>
            <w:r w:rsidRPr="008E3674">
              <w:rPr>
                <w:rFonts w:ascii="Times New Roman" w:hAnsi="Times New Roman"/>
              </w:rPr>
              <w:t>652.615.254</w:t>
            </w:r>
          </w:p>
        </w:tc>
        <w:tc>
          <w:tcPr>
            <w:tcW w:w="1829" w:type="dxa"/>
            <w:shd w:val="clear" w:color="auto" w:fill="FBE4D5" w:themeFill="accent2" w:themeFillTint="33"/>
          </w:tcPr>
          <w:p w14:paraId="05E8225E" w14:textId="77777777" w:rsidR="008E3674" w:rsidRPr="008E3674" w:rsidRDefault="008E3674" w:rsidP="008E3674">
            <w:pPr>
              <w:jc w:val="center"/>
              <w:rPr>
                <w:rFonts w:ascii="Times New Roman" w:hAnsi="Times New Roman"/>
              </w:rPr>
            </w:pPr>
            <w:r w:rsidRPr="008E3674">
              <w:rPr>
                <w:rFonts w:ascii="Times New Roman" w:hAnsi="Times New Roman"/>
              </w:rPr>
              <w:t>789.120.000</w:t>
            </w:r>
          </w:p>
        </w:tc>
        <w:tc>
          <w:tcPr>
            <w:tcW w:w="1826" w:type="dxa"/>
            <w:shd w:val="clear" w:color="auto" w:fill="FBE4D5" w:themeFill="accent2" w:themeFillTint="33"/>
          </w:tcPr>
          <w:p w14:paraId="357B2BDE"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514EB49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1.731.234.000</w:t>
            </w:r>
          </w:p>
        </w:tc>
        <w:tc>
          <w:tcPr>
            <w:tcW w:w="1826" w:type="dxa"/>
            <w:shd w:val="clear" w:color="auto" w:fill="FBE4D5" w:themeFill="accent2" w:themeFillTint="33"/>
          </w:tcPr>
          <w:p w14:paraId="53722579" w14:textId="77777777" w:rsidR="008E3674" w:rsidRPr="008E3674" w:rsidRDefault="008E3674" w:rsidP="008E3674">
            <w:pPr>
              <w:jc w:val="center"/>
              <w:rPr>
                <w:rFonts w:ascii="Times New Roman" w:hAnsi="Times New Roman"/>
              </w:rPr>
            </w:pPr>
            <w:r w:rsidRPr="008E3674">
              <w:rPr>
                <w:rFonts w:ascii="Times New Roman" w:hAnsi="Times New Roman"/>
              </w:rPr>
              <w:t>652.615.254</w:t>
            </w:r>
          </w:p>
        </w:tc>
      </w:tr>
      <w:tr w:rsidR="008E3674" w:rsidRPr="008E3674" w14:paraId="066CB445" w14:textId="77777777" w:rsidTr="00BD105F">
        <w:tc>
          <w:tcPr>
            <w:tcW w:w="1986" w:type="dxa"/>
          </w:tcPr>
          <w:p w14:paraId="724E4EE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2.3.1 - Improving the process for financial security of customs debt</w:t>
            </w:r>
          </w:p>
        </w:tc>
        <w:tc>
          <w:tcPr>
            <w:tcW w:w="1828" w:type="dxa"/>
            <w:shd w:val="clear" w:color="auto" w:fill="D9D9D9" w:themeFill="background1" w:themeFillShade="D9"/>
          </w:tcPr>
          <w:p w14:paraId="41362FD7" w14:textId="77777777" w:rsidR="008E3674" w:rsidRPr="008E3674" w:rsidRDefault="008E3674" w:rsidP="008E3674">
            <w:pPr>
              <w:jc w:val="center"/>
              <w:rPr>
                <w:rFonts w:ascii="Times New Roman" w:hAnsi="Times New Roman"/>
              </w:rPr>
            </w:pPr>
            <w:r w:rsidRPr="008E3674">
              <w:rPr>
                <w:rFonts w:ascii="Times New Roman" w:hAnsi="Times New Roman"/>
              </w:rPr>
              <w:t>390.100.000</w:t>
            </w:r>
          </w:p>
        </w:tc>
        <w:tc>
          <w:tcPr>
            <w:tcW w:w="1826" w:type="dxa"/>
          </w:tcPr>
          <w:p w14:paraId="56D613DC" w14:textId="77777777" w:rsidR="008E3674" w:rsidRPr="008E3674" w:rsidRDefault="008E3674" w:rsidP="008E3674">
            <w:pPr>
              <w:jc w:val="center"/>
              <w:rPr>
                <w:rFonts w:ascii="Times New Roman" w:hAnsi="Times New Roman"/>
              </w:rPr>
            </w:pPr>
            <w:r w:rsidRPr="008E3674">
              <w:rPr>
                <w:rFonts w:ascii="Times New Roman" w:hAnsi="Times New Roman"/>
              </w:rPr>
              <w:t>389.976.000</w:t>
            </w:r>
          </w:p>
        </w:tc>
        <w:tc>
          <w:tcPr>
            <w:tcW w:w="1829" w:type="dxa"/>
            <w:shd w:val="clear" w:color="auto" w:fill="D9D9D9" w:themeFill="background1" w:themeFillShade="D9"/>
          </w:tcPr>
          <w:p w14:paraId="6DC4C71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3115E9D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0B7962C" w14:textId="77777777" w:rsidR="008E3674" w:rsidRPr="008E3674" w:rsidRDefault="008E3674" w:rsidP="008E3674">
            <w:pPr>
              <w:jc w:val="center"/>
              <w:rPr>
                <w:rFonts w:ascii="Times New Roman" w:hAnsi="Times New Roman"/>
              </w:rPr>
            </w:pPr>
            <w:r w:rsidRPr="008E3674">
              <w:rPr>
                <w:rFonts w:ascii="Times New Roman" w:hAnsi="Times New Roman"/>
              </w:rPr>
              <w:t>390.100.000</w:t>
            </w:r>
          </w:p>
        </w:tc>
        <w:tc>
          <w:tcPr>
            <w:tcW w:w="1826" w:type="dxa"/>
          </w:tcPr>
          <w:p w14:paraId="0E08E603" w14:textId="77777777" w:rsidR="008E3674" w:rsidRPr="008E3674" w:rsidRDefault="008E3674" w:rsidP="008E3674">
            <w:pPr>
              <w:jc w:val="center"/>
              <w:rPr>
                <w:rFonts w:ascii="Times New Roman" w:hAnsi="Times New Roman"/>
              </w:rPr>
            </w:pPr>
            <w:r w:rsidRPr="008E3674">
              <w:rPr>
                <w:rFonts w:ascii="Times New Roman" w:hAnsi="Times New Roman"/>
              </w:rPr>
              <w:t>389.976.000</w:t>
            </w:r>
          </w:p>
        </w:tc>
      </w:tr>
      <w:tr w:rsidR="008E3674" w:rsidRPr="008E3674" w14:paraId="3DF0B38F" w14:textId="77777777" w:rsidTr="00BD105F">
        <w:tc>
          <w:tcPr>
            <w:tcW w:w="1986" w:type="dxa"/>
          </w:tcPr>
          <w:p w14:paraId="134C70DE"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2.3.2 - Development of capacity for full implementation of EU TSS regulations and EU revenue reporting</w:t>
            </w:r>
          </w:p>
        </w:tc>
        <w:tc>
          <w:tcPr>
            <w:tcW w:w="1828" w:type="dxa"/>
            <w:shd w:val="clear" w:color="auto" w:fill="D9D9D9" w:themeFill="background1" w:themeFillShade="D9"/>
          </w:tcPr>
          <w:p w14:paraId="7692B828" w14:textId="77777777" w:rsidR="008E3674" w:rsidRPr="008E3674" w:rsidRDefault="008E3674" w:rsidP="008E3674">
            <w:pPr>
              <w:jc w:val="center"/>
              <w:rPr>
                <w:rFonts w:ascii="Times New Roman" w:hAnsi="Times New Roman"/>
              </w:rPr>
            </w:pPr>
            <w:r w:rsidRPr="008E3674">
              <w:rPr>
                <w:rFonts w:ascii="Times New Roman" w:hAnsi="Times New Roman"/>
              </w:rPr>
              <w:t>2.796.000</w:t>
            </w:r>
          </w:p>
          <w:p w14:paraId="75AFC99E" w14:textId="77777777" w:rsidR="008E3674" w:rsidRPr="008E3674" w:rsidRDefault="008E3674" w:rsidP="008E3674">
            <w:pPr>
              <w:rPr>
                <w:rFonts w:ascii="Times New Roman" w:hAnsi="Times New Roman"/>
              </w:rPr>
            </w:pPr>
          </w:p>
          <w:p w14:paraId="73D6B299" w14:textId="77777777" w:rsidR="008E3674" w:rsidRPr="008E3674" w:rsidRDefault="008E3674" w:rsidP="008E3674">
            <w:pPr>
              <w:jc w:val="center"/>
              <w:rPr>
                <w:rFonts w:ascii="Times New Roman" w:hAnsi="Times New Roman"/>
              </w:rPr>
            </w:pPr>
          </w:p>
        </w:tc>
        <w:tc>
          <w:tcPr>
            <w:tcW w:w="1826" w:type="dxa"/>
          </w:tcPr>
          <w:p w14:paraId="0E8E8FB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E2B59BD" w14:textId="77777777" w:rsidR="008E3674" w:rsidRPr="008E3674" w:rsidRDefault="008E3674" w:rsidP="008E3674">
            <w:pPr>
              <w:jc w:val="center"/>
              <w:rPr>
                <w:rFonts w:ascii="Times New Roman" w:hAnsi="Times New Roman"/>
              </w:rPr>
            </w:pPr>
            <w:r w:rsidRPr="008E3674">
              <w:rPr>
                <w:rFonts w:ascii="Times New Roman" w:hAnsi="Times New Roman"/>
              </w:rPr>
              <w:t>9.600.000</w:t>
            </w:r>
          </w:p>
        </w:tc>
        <w:tc>
          <w:tcPr>
            <w:tcW w:w="1826" w:type="dxa"/>
          </w:tcPr>
          <w:p w14:paraId="301E525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64ACE85" w14:textId="77777777" w:rsidR="008E3674" w:rsidRPr="008E3674" w:rsidRDefault="008E3674" w:rsidP="008E3674">
            <w:pPr>
              <w:jc w:val="center"/>
              <w:rPr>
                <w:rFonts w:ascii="Times New Roman" w:hAnsi="Times New Roman"/>
              </w:rPr>
            </w:pPr>
            <w:r w:rsidRPr="008E3674">
              <w:rPr>
                <w:rFonts w:ascii="Times New Roman" w:hAnsi="Times New Roman"/>
              </w:rPr>
              <w:t>12.396.000</w:t>
            </w:r>
          </w:p>
        </w:tc>
        <w:tc>
          <w:tcPr>
            <w:tcW w:w="1826" w:type="dxa"/>
          </w:tcPr>
          <w:p w14:paraId="4EE18D2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2E01FE4A" w14:textId="77777777" w:rsidTr="00BD105F">
        <w:tc>
          <w:tcPr>
            <w:tcW w:w="1986" w:type="dxa"/>
          </w:tcPr>
          <w:p w14:paraId="56255D1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2.3.3 - Improvement of capacity for effective subsequent controls, determination of customs value and preferential origin and classification of goods</w:t>
            </w:r>
          </w:p>
        </w:tc>
        <w:tc>
          <w:tcPr>
            <w:tcW w:w="1828" w:type="dxa"/>
            <w:shd w:val="clear" w:color="auto" w:fill="D9D9D9" w:themeFill="background1" w:themeFillShade="D9"/>
          </w:tcPr>
          <w:p w14:paraId="7271745A"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05898C9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8E36C47"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17BD971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F5A292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20E9377A"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6745B249" w14:textId="77777777" w:rsidTr="00BD105F">
        <w:tc>
          <w:tcPr>
            <w:tcW w:w="1986" w:type="dxa"/>
          </w:tcPr>
          <w:p w14:paraId="1D8534D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2.3.4 – Modernisation of the customs laboratory</w:t>
            </w:r>
          </w:p>
        </w:tc>
        <w:tc>
          <w:tcPr>
            <w:tcW w:w="1828" w:type="dxa"/>
            <w:shd w:val="clear" w:color="auto" w:fill="D9D9D9" w:themeFill="background1" w:themeFillShade="D9"/>
          </w:tcPr>
          <w:p w14:paraId="1A494C1D" w14:textId="77777777" w:rsidR="008E3674" w:rsidRPr="008E3674" w:rsidRDefault="008E3674" w:rsidP="008E3674">
            <w:pPr>
              <w:jc w:val="center"/>
              <w:rPr>
                <w:rFonts w:ascii="Times New Roman" w:hAnsi="Times New Roman"/>
              </w:rPr>
            </w:pPr>
            <w:r w:rsidRPr="008E3674">
              <w:rPr>
                <w:rFonts w:ascii="Times New Roman" w:hAnsi="Times New Roman"/>
              </w:rPr>
              <w:t>28.000.000</w:t>
            </w:r>
          </w:p>
        </w:tc>
        <w:tc>
          <w:tcPr>
            <w:tcW w:w="1826" w:type="dxa"/>
          </w:tcPr>
          <w:p w14:paraId="08F9C1DD" w14:textId="77777777" w:rsidR="008E3674" w:rsidRPr="008E3674" w:rsidRDefault="008E3674" w:rsidP="008E3674">
            <w:pPr>
              <w:jc w:val="center"/>
              <w:rPr>
                <w:rFonts w:ascii="Times New Roman" w:hAnsi="Times New Roman"/>
              </w:rPr>
            </w:pPr>
            <w:r w:rsidRPr="008E3674">
              <w:rPr>
                <w:rFonts w:ascii="Times New Roman" w:hAnsi="Times New Roman"/>
              </w:rPr>
              <w:t>28.000.000</w:t>
            </w:r>
          </w:p>
        </w:tc>
        <w:tc>
          <w:tcPr>
            <w:tcW w:w="1829" w:type="dxa"/>
            <w:shd w:val="clear" w:color="auto" w:fill="D9D9D9" w:themeFill="background1" w:themeFillShade="D9"/>
          </w:tcPr>
          <w:p w14:paraId="708F002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3905628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EA0F1C4" w14:textId="77777777" w:rsidR="008E3674" w:rsidRPr="008E3674" w:rsidRDefault="008E3674" w:rsidP="008E3674">
            <w:pPr>
              <w:jc w:val="center"/>
              <w:rPr>
                <w:rFonts w:ascii="Times New Roman" w:hAnsi="Times New Roman"/>
              </w:rPr>
            </w:pPr>
            <w:r w:rsidRPr="008E3674">
              <w:rPr>
                <w:rFonts w:ascii="Times New Roman" w:hAnsi="Times New Roman"/>
              </w:rPr>
              <w:t>28.000.000</w:t>
            </w:r>
          </w:p>
        </w:tc>
        <w:tc>
          <w:tcPr>
            <w:tcW w:w="1826" w:type="dxa"/>
          </w:tcPr>
          <w:p w14:paraId="1F67AC32" w14:textId="77777777" w:rsidR="008E3674" w:rsidRPr="008E3674" w:rsidRDefault="008E3674" w:rsidP="008E3674">
            <w:pPr>
              <w:jc w:val="center"/>
              <w:rPr>
                <w:rFonts w:ascii="Times New Roman" w:hAnsi="Times New Roman"/>
              </w:rPr>
            </w:pPr>
            <w:r w:rsidRPr="008E3674">
              <w:rPr>
                <w:rFonts w:ascii="Times New Roman" w:hAnsi="Times New Roman"/>
              </w:rPr>
              <w:t>28.000.000</w:t>
            </w:r>
          </w:p>
        </w:tc>
      </w:tr>
      <w:tr w:rsidR="008E3674" w:rsidRPr="008E3674" w14:paraId="028FACD5" w14:textId="77777777" w:rsidTr="00BD105F">
        <w:tc>
          <w:tcPr>
            <w:tcW w:w="1986" w:type="dxa"/>
          </w:tcPr>
          <w:p w14:paraId="77D5763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2.3.5 - Preparatory </w:t>
            </w:r>
            <w:r w:rsidRPr="008E3674">
              <w:rPr>
                <w:rFonts w:ascii="Times New Roman" w:hAnsi="Times New Roman"/>
                <w:b/>
                <w:bCs/>
                <w:sz w:val="20"/>
                <w:szCs w:val="20"/>
                <w:lang w:val="sr-Cyrl-RS"/>
              </w:rPr>
              <w:lastRenderedPageBreak/>
              <w:t>activities aimed at improving the management and public sale of confiscated customs goods and the development of the customs infrastructure of special purpose warehouses</w:t>
            </w:r>
          </w:p>
        </w:tc>
        <w:tc>
          <w:tcPr>
            <w:tcW w:w="1828" w:type="dxa"/>
            <w:shd w:val="clear" w:color="auto" w:fill="D9D9D9" w:themeFill="background1" w:themeFillShade="D9"/>
          </w:tcPr>
          <w:p w14:paraId="53259BDC" w14:textId="77777777" w:rsidR="008E3674" w:rsidRPr="008E3674" w:rsidRDefault="008E3674" w:rsidP="008E3674">
            <w:pPr>
              <w:jc w:val="center"/>
              <w:rPr>
                <w:rFonts w:ascii="Times New Roman" w:hAnsi="Times New Roman"/>
              </w:rPr>
            </w:pPr>
            <w:r w:rsidRPr="008E3674">
              <w:rPr>
                <w:rFonts w:ascii="Times New Roman" w:hAnsi="Times New Roman"/>
              </w:rPr>
              <w:lastRenderedPageBreak/>
              <w:t>0</w:t>
            </w:r>
          </w:p>
        </w:tc>
        <w:tc>
          <w:tcPr>
            <w:tcW w:w="1826" w:type="dxa"/>
          </w:tcPr>
          <w:p w14:paraId="64D92C73"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A8B1655" w14:textId="77777777" w:rsidR="008E3674" w:rsidRPr="008E3674" w:rsidRDefault="008E3674" w:rsidP="008E3674">
            <w:pPr>
              <w:jc w:val="center"/>
              <w:rPr>
                <w:rFonts w:ascii="Times New Roman" w:hAnsi="Times New Roman"/>
              </w:rPr>
            </w:pPr>
            <w:r w:rsidRPr="008E3674">
              <w:rPr>
                <w:rFonts w:ascii="Times New Roman" w:hAnsi="Times New Roman"/>
              </w:rPr>
              <w:t>23.520.000</w:t>
            </w:r>
          </w:p>
        </w:tc>
        <w:tc>
          <w:tcPr>
            <w:tcW w:w="1826" w:type="dxa"/>
          </w:tcPr>
          <w:p w14:paraId="44E4C3EC"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73D171E" w14:textId="77777777" w:rsidR="008E3674" w:rsidRPr="008E3674" w:rsidRDefault="008E3674" w:rsidP="008E3674">
            <w:pPr>
              <w:jc w:val="center"/>
              <w:rPr>
                <w:rFonts w:ascii="Times New Roman" w:hAnsi="Times New Roman"/>
              </w:rPr>
            </w:pPr>
            <w:r w:rsidRPr="008E3674">
              <w:rPr>
                <w:rFonts w:ascii="Times New Roman" w:hAnsi="Times New Roman"/>
              </w:rPr>
              <w:t>23.520.000</w:t>
            </w:r>
          </w:p>
        </w:tc>
        <w:tc>
          <w:tcPr>
            <w:tcW w:w="1826" w:type="dxa"/>
          </w:tcPr>
          <w:p w14:paraId="1DACA05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78DC446" w14:textId="77777777" w:rsidTr="00BD105F">
        <w:tc>
          <w:tcPr>
            <w:tcW w:w="1986" w:type="dxa"/>
          </w:tcPr>
          <w:p w14:paraId="5CE61396" w14:textId="77777777" w:rsidR="008E3674" w:rsidRPr="008E3674" w:rsidRDefault="008E3674" w:rsidP="008E3674">
            <w:pPr>
              <w:rPr>
                <w:rFonts w:ascii="Times New Roman" w:hAnsi="Times New Roman"/>
                <w:sz w:val="20"/>
                <w:szCs w:val="20"/>
              </w:rPr>
            </w:pPr>
            <w:r w:rsidRPr="008E3674">
              <w:rPr>
                <w:rFonts w:ascii="Times New Roman" w:hAnsi="Times New Roman"/>
                <w:b/>
                <w:bCs/>
                <w:sz w:val="20"/>
                <w:szCs w:val="20"/>
                <w:lang w:val="sr-Cyrl-RS"/>
              </w:rPr>
              <w:t>Activity 2.3.6 - Implementation of import and export automated systems (AIS-AES) and management system (CDMS)</w:t>
            </w:r>
          </w:p>
        </w:tc>
        <w:tc>
          <w:tcPr>
            <w:tcW w:w="1828" w:type="dxa"/>
            <w:shd w:val="clear" w:color="auto" w:fill="D9D9D9" w:themeFill="background1" w:themeFillShade="D9"/>
          </w:tcPr>
          <w:p w14:paraId="018A41C8" w14:textId="77777777" w:rsidR="008E3674" w:rsidRPr="008E3674" w:rsidRDefault="008E3674" w:rsidP="008E3674">
            <w:pPr>
              <w:jc w:val="center"/>
              <w:rPr>
                <w:rFonts w:ascii="Times New Roman" w:hAnsi="Times New Roman"/>
              </w:rPr>
            </w:pPr>
            <w:r w:rsidRPr="008E3674">
              <w:rPr>
                <w:rFonts w:ascii="Times New Roman" w:hAnsi="Times New Roman"/>
              </w:rPr>
              <w:t>521.218.000</w:t>
            </w:r>
          </w:p>
        </w:tc>
        <w:tc>
          <w:tcPr>
            <w:tcW w:w="1826" w:type="dxa"/>
          </w:tcPr>
          <w:p w14:paraId="300A496F" w14:textId="77777777" w:rsidR="008E3674" w:rsidRPr="008E3674" w:rsidRDefault="008E3674" w:rsidP="008E3674">
            <w:pPr>
              <w:jc w:val="center"/>
              <w:rPr>
                <w:rFonts w:ascii="Times New Roman" w:hAnsi="Times New Roman"/>
              </w:rPr>
            </w:pPr>
            <w:r w:rsidRPr="008E3674">
              <w:rPr>
                <w:rFonts w:ascii="Times New Roman" w:hAnsi="Times New Roman"/>
              </w:rPr>
              <w:t>234.639.254</w:t>
            </w:r>
          </w:p>
        </w:tc>
        <w:tc>
          <w:tcPr>
            <w:tcW w:w="1829" w:type="dxa"/>
            <w:shd w:val="clear" w:color="auto" w:fill="D9D9D9" w:themeFill="background1" w:themeFillShade="D9"/>
          </w:tcPr>
          <w:p w14:paraId="15AFEE83"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195DC5A3"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D73B639" w14:textId="77777777" w:rsidR="008E3674" w:rsidRPr="008E3674" w:rsidRDefault="008E3674" w:rsidP="008E3674">
            <w:pPr>
              <w:jc w:val="center"/>
              <w:rPr>
                <w:rFonts w:ascii="Times New Roman" w:hAnsi="Times New Roman"/>
              </w:rPr>
            </w:pPr>
            <w:r w:rsidRPr="008E3674">
              <w:rPr>
                <w:rFonts w:ascii="Times New Roman" w:hAnsi="Times New Roman"/>
              </w:rPr>
              <w:t>521.218.000</w:t>
            </w:r>
          </w:p>
        </w:tc>
        <w:tc>
          <w:tcPr>
            <w:tcW w:w="1826" w:type="dxa"/>
          </w:tcPr>
          <w:p w14:paraId="1B228D27" w14:textId="77777777" w:rsidR="008E3674" w:rsidRPr="008E3674" w:rsidRDefault="008E3674" w:rsidP="008E3674">
            <w:pPr>
              <w:jc w:val="center"/>
              <w:rPr>
                <w:rFonts w:ascii="Times New Roman" w:hAnsi="Times New Roman"/>
              </w:rPr>
            </w:pPr>
            <w:r w:rsidRPr="008E3674">
              <w:rPr>
                <w:rFonts w:ascii="Times New Roman" w:hAnsi="Times New Roman"/>
              </w:rPr>
              <w:t>234.639.254</w:t>
            </w:r>
          </w:p>
        </w:tc>
      </w:tr>
      <w:tr w:rsidR="008E3674" w:rsidRPr="008E3674" w14:paraId="3AAB2B35" w14:textId="77777777" w:rsidTr="00BD105F">
        <w:tc>
          <w:tcPr>
            <w:tcW w:w="1986" w:type="dxa"/>
          </w:tcPr>
          <w:p w14:paraId="34AF6043"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2.3.7 - Introduction of the Integrated Tariff Management System (ITMS)</w:t>
            </w:r>
          </w:p>
        </w:tc>
        <w:tc>
          <w:tcPr>
            <w:tcW w:w="1828" w:type="dxa"/>
            <w:shd w:val="clear" w:color="auto" w:fill="D9D9D9" w:themeFill="background1" w:themeFillShade="D9"/>
          </w:tcPr>
          <w:p w14:paraId="470CB1F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4D1469C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32C0790" w14:textId="77777777" w:rsidR="008E3674" w:rsidRPr="008E3674" w:rsidRDefault="008E3674" w:rsidP="008E3674">
            <w:pPr>
              <w:jc w:val="center"/>
              <w:rPr>
                <w:rFonts w:ascii="Times New Roman" w:hAnsi="Times New Roman"/>
              </w:rPr>
            </w:pPr>
            <w:r w:rsidRPr="008E3674">
              <w:rPr>
                <w:rFonts w:ascii="Times New Roman" w:hAnsi="Times New Roman"/>
              </w:rPr>
              <w:t>456.000.000</w:t>
            </w:r>
          </w:p>
        </w:tc>
        <w:tc>
          <w:tcPr>
            <w:tcW w:w="1826" w:type="dxa"/>
          </w:tcPr>
          <w:p w14:paraId="6B2ADF3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66C28B96" w14:textId="77777777" w:rsidR="008E3674" w:rsidRPr="008E3674" w:rsidRDefault="008E3674" w:rsidP="008E3674">
            <w:pPr>
              <w:jc w:val="center"/>
              <w:rPr>
                <w:rFonts w:ascii="Times New Roman" w:hAnsi="Times New Roman"/>
              </w:rPr>
            </w:pPr>
            <w:r w:rsidRPr="008E3674">
              <w:rPr>
                <w:rFonts w:ascii="Times New Roman" w:hAnsi="Times New Roman"/>
              </w:rPr>
              <w:t>456.000.000</w:t>
            </w:r>
          </w:p>
        </w:tc>
        <w:tc>
          <w:tcPr>
            <w:tcW w:w="1826" w:type="dxa"/>
          </w:tcPr>
          <w:p w14:paraId="5071D953"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143F199" w14:textId="77777777" w:rsidTr="00BD105F">
        <w:tc>
          <w:tcPr>
            <w:tcW w:w="1986" w:type="dxa"/>
          </w:tcPr>
          <w:p w14:paraId="53A552D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2.3.8 - Acquisition of a warehouse for storing customs data (data warehouse)</w:t>
            </w:r>
          </w:p>
        </w:tc>
        <w:tc>
          <w:tcPr>
            <w:tcW w:w="1828" w:type="dxa"/>
            <w:shd w:val="clear" w:color="auto" w:fill="D9D9D9" w:themeFill="background1" w:themeFillShade="D9"/>
          </w:tcPr>
          <w:p w14:paraId="0868D47C"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38AC579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46A9EF36" w14:textId="77777777" w:rsidR="008E3674" w:rsidRPr="008E3674" w:rsidRDefault="008E3674" w:rsidP="008E3674">
            <w:pPr>
              <w:jc w:val="center"/>
              <w:rPr>
                <w:rFonts w:ascii="Times New Roman" w:hAnsi="Times New Roman"/>
              </w:rPr>
            </w:pPr>
            <w:r w:rsidRPr="008E3674">
              <w:rPr>
                <w:rFonts w:ascii="Times New Roman" w:hAnsi="Times New Roman"/>
              </w:rPr>
              <w:t>300.000.000</w:t>
            </w:r>
          </w:p>
        </w:tc>
        <w:tc>
          <w:tcPr>
            <w:tcW w:w="1826" w:type="dxa"/>
          </w:tcPr>
          <w:p w14:paraId="004AC7E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4FE3C83A" w14:textId="77777777" w:rsidR="008E3674" w:rsidRPr="008E3674" w:rsidRDefault="008E3674" w:rsidP="008E3674">
            <w:pPr>
              <w:jc w:val="center"/>
              <w:rPr>
                <w:rFonts w:ascii="Times New Roman" w:hAnsi="Times New Roman"/>
              </w:rPr>
            </w:pPr>
            <w:r w:rsidRPr="008E3674">
              <w:rPr>
                <w:rFonts w:ascii="Times New Roman" w:hAnsi="Times New Roman"/>
              </w:rPr>
              <w:t>300.000.000</w:t>
            </w:r>
          </w:p>
        </w:tc>
        <w:tc>
          <w:tcPr>
            <w:tcW w:w="1826" w:type="dxa"/>
          </w:tcPr>
          <w:p w14:paraId="708534B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330BC97D" w14:textId="77777777" w:rsidTr="00BD105F">
        <w:tc>
          <w:tcPr>
            <w:tcW w:w="1986" w:type="dxa"/>
            <w:vMerge w:val="restart"/>
            <w:shd w:val="clear" w:color="auto" w:fill="8EAADB" w:themeFill="accent5" w:themeFillTint="99"/>
          </w:tcPr>
          <w:p w14:paraId="66985F82"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7E94F1C3"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342D3E41" w14:textId="77777777" w:rsidTr="00BD105F">
        <w:tc>
          <w:tcPr>
            <w:tcW w:w="1986" w:type="dxa"/>
            <w:vMerge/>
            <w:shd w:val="clear" w:color="auto" w:fill="8EAADB" w:themeFill="accent5" w:themeFillTint="99"/>
          </w:tcPr>
          <w:p w14:paraId="663D9FCB"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6528115A"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4D2E8508"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0CB26DDC"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512EEBE3" w14:textId="77777777" w:rsidTr="00BD105F">
        <w:tc>
          <w:tcPr>
            <w:tcW w:w="1986" w:type="dxa"/>
            <w:vMerge/>
            <w:shd w:val="clear" w:color="auto" w:fill="8EAADB" w:themeFill="accent5" w:themeFillTint="99"/>
          </w:tcPr>
          <w:p w14:paraId="46BA1955"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6C6AA3E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21F90F7"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200933DE"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C1780DA"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4CB6DD5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E55807D"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5185A146" w14:textId="77777777" w:rsidTr="00BD105F">
        <w:tc>
          <w:tcPr>
            <w:tcW w:w="1986" w:type="dxa"/>
            <w:shd w:val="clear" w:color="auto" w:fill="FBE4D5" w:themeFill="accent2" w:themeFillTint="33"/>
          </w:tcPr>
          <w:p w14:paraId="101C5150"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2.4 - Effective management of public debt</w:t>
            </w:r>
          </w:p>
        </w:tc>
        <w:tc>
          <w:tcPr>
            <w:tcW w:w="1828" w:type="dxa"/>
            <w:shd w:val="clear" w:color="auto" w:fill="FBE4D5" w:themeFill="accent2" w:themeFillTint="33"/>
          </w:tcPr>
          <w:p w14:paraId="2968287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1BE5B5E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5681044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101.900.000</w:t>
            </w:r>
          </w:p>
        </w:tc>
        <w:tc>
          <w:tcPr>
            <w:tcW w:w="1826" w:type="dxa"/>
            <w:shd w:val="clear" w:color="auto" w:fill="FBE4D5" w:themeFill="accent2" w:themeFillTint="33"/>
          </w:tcPr>
          <w:p w14:paraId="2E8D5CE7"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0031C63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101.900.000</w:t>
            </w:r>
          </w:p>
        </w:tc>
        <w:tc>
          <w:tcPr>
            <w:tcW w:w="1826" w:type="dxa"/>
            <w:shd w:val="clear" w:color="auto" w:fill="FBE4D5" w:themeFill="accent2" w:themeFillTint="33"/>
          </w:tcPr>
          <w:p w14:paraId="108ECE1B"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836D508" w14:textId="77777777" w:rsidTr="00BD105F">
        <w:tc>
          <w:tcPr>
            <w:tcW w:w="1986" w:type="dxa"/>
          </w:tcPr>
          <w:p w14:paraId="0E88DCD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2.4.1 – Strengthening the medium-term strategy of public </w:t>
            </w:r>
            <w:r w:rsidRPr="008E3674">
              <w:rPr>
                <w:rFonts w:ascii="Times New Roman" w:hAnsi="Times New Roman"/>
                <w:b/>
                <w:bCs/>
                <w:sz w:val="20"/>
                <w:szCs w:val="20"/>
                <w:lang w:val="sr-Cyrl-RS"/>
              </w:rPr>
              <w:lastRenderedPageBreak/>
              <w:t>debt management by creating a model for risk management</w:t>
            </w:r>
          </w:p>
        </w:tc>
        <w:tc>
          <w:tcPr>
            <w:tcW w:w="1828" w:type="dxa"/>
            <w:shd w:val="clear" w:color="auto" w:fill="D9D9D9" w:themeFill="background1" w:themeFillShade="D9"/>
          </w:tcPr>
          <w:p w14:paraId="338E05EB" w14:textId="77777777" w:rsidR="008E3674" w:rsidRPr="008E3674" w:rsidRDefault="008E3674" w:rsidP="008E3674">
            <w:pPr>
              <w:jc w:val="center"/>
              <w:rPr>
                <w:rFonts w:ascii="Times New Roman" w:hAnsi="Times New Roman"/>
              </w:rPr>
            </w:pPr>
            <w:r w:rsidRPr="008E3674">
              <w:rPr>
                <w:rFonts w:ascii="Times New Roman" w:hAnsi="Times New Roman"/>
              </w:rPr>
              <w:lastRenderedPageBreak/>
              <w:t>0</w:t>
            </w:r>
          </w:p>
        </w:tc>
        <w:tc>
          <w:tcPr>
            <w:tcW w:w="1826" w:type="dxa"/>
          </w:tcPr>
          <w:p w14:paraId="6A85D6F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B94D6B1" w14:textId="77777777" w:rsidR="008E3674" w:rsidRPr="008E3674" w:rsidRDefault="008E3674" w:rsidP="008E3674">
            <w:pPr>
              <w:jc w:val="center"/>
              <w:rPr>
                <w:rFonts w:ascii="Times New Roman" w:hAnsi="Times New Roman"/>
              </w:rPr>
            </w:pPr>
            <w:r w:rsidRPr="008E3674">
              <w:rPr>
                <w:rFonts w:ascii="Times New Roman" w:hAnsi="Times New Roman"/>
              </w:rPr>
              <w:t>26.900.000</w:t>
            </w:r>
          </w:p>
        </w:tc>
        <w:tc>
          <w:tcPr>
            <w:tcW w:w="1826" w:type="dxa"/>
          </w:tcPr>
          <w:p w14:paraId="07FCFBA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F4FD83E" w14:textId="77777777" w:rsidR="008E3674" w:rsidRPr="008E3674" w:rsidRDefault="008E3674" w:rsidP="008E3674">
            <w:pPr>
              <w:jc w:val="center"/>
              <w:rPr>
                <w:rFonts w:ascii="Times New Roman" w:hAnsi="Times New Roman"/>
              </w:rPr>
            </w:pPr>
            <w:r w:rsidRPr="008E3674">
              <w:rPr>
                <w:rFonts w:ascii="Times New Roman" w:hAnsi="Times New Roman"/>
              </w:rPr>
              <w:t>26.900.000</w:t>
            </w:r>
          </w:p>
        </w:tc>
        <w:tc>
          <w:tcPr>
            <w:tcW w:w="1826" w:type="dxa"/>
          </w:tcPr>
          <w:p w14:paraId="05278570" w14:textId="77777777" w:rsidR="008E3674" w:rsidRPr="008E3674" w:rsidRDefault="001855C1" w:rsidP="008E3674">
            <w:pPr>
              <w:jc w:val="center"/>
              <w:rPr>
                <w:rFonts w:ascii="Times New Roman" w:hAnsi="Times New Roman"/>
              </w:rPr>
            </w:pPr>
            <w:r>
              <w:rPr>
                <w:rFonts w:ascii="Times New Roman" w:hAnsi="Times New Roman"/>
              </w:rPr>
              <w:t>0</w:t>
            </w:r>
          </w:p>
        </w:tc>
      </w:tr>
      <w:tr w:rsidR="008E3674" w:rsidRPr="008E3674" w14:paraId="0D517C9D" w14:textId="77777777" w:rsidTr="00BD105F">
        <w:tc>
          <w:tcPr>
            <w:tcW w:w="1986" w:type="dxa"/>
          </w:tcPr>
          <w:p w14:paraId="4A97685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2.4.2 - Implementation of a pilot project for the introduction of the system of primary dealers and further development of the domestic bond market</w:t>
            </w:r>
          </w:p>
        </w:tc>
        <w:tc>
          <w:tcPr>
            <w:tcW w:w="1828" w:type="dxa"/>
            <w:shd w:val="clear" w:color="auto" w:fill="D9D9D9" w:themeFill="background1" w:themeFillShade="D9"/>
          </w:tcPr>
          <w:p w14:paraId="2D8B135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B72F2B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3D609B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12.000.000</w:t>
            </w:r>
          </w:p>
        </w:tc>
        <w:tc>
          <w:tcPr>
            <w:tcW w:w="1826" w:type="dxa"/>
          </w:tcPr>
          <w:p w14:paraId="15402E1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A34019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12.000.000</w:t>
            </w:r>
          </w:p>
        </w:tc>
        <w:tc>
          <w:tcPr>
            <w:tcW w:w="1826" w:type="dxa"/>
          </w:tcPr>
          <w:p w14:paraId="182CE4C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49D0908C" w14:textId="77777777" w:rsidTr="00BD105F">
        <w:tc>
          <w:tcPr>
            <w:tcW w:w="1986" w:type="dxa"/>
          </w:tcPr>
          <w:p w14:paraId="0A26501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2.4.3 - Upgrading the existing information system (PDMS) - using business intelligence tools to improve reporting</w:t>
            </w:r>
          </w:p>
        </w:tc>
        <w:tc>
          <w:tcPr>
            <w:tcW w:w="1828" w:type="dxa"/>
            <w:shd w:val="clear" w:color="auto" w:fill="D9D9D9" w:themeFill="background1" w:themeFillShade="D9"/>
          </w:tcPr>
          <w:p w14:paraId="7ADBD0B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DE292B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8240E3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p>
        </w:tc>
        <w:tc>
          <w:tcPr>
            <w:tcW w:w="1826" w:type="dxa"/>
          </w:tcPr>
          <w:p w14:paraId="7A4123B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0054E3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p>
        </w:tc>
        <w:tc>
          <w:tcPr>
            <w:tcW w:w="1826" w:type="dxa"/>
          </w:tcPr>
          <w:p w14:paraId="5695BF1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66586972" w14:textId="77777777" w:rsidTr="00BD105F">
        <w:tc>
          <w:tcPr>
            <w:tcW w:w="1986" w:type="dxa"/>
          </w:tcPr>
          <w:p w14:paraId="614637B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2.4.4 - Upgrading the existing information system (PDMS) with the developed risk management module</w:t>
            </w:r>
          </w:p>
        </w:tc>
        <w:tc>
          <w:tcPr>
            <w:tcW w:w="1828" w:type="dxa"/>
            <w:shd w:val="clear" w:color="auto" w:fill="D9D9D9" w:themeFill="background1" w:themeFillShade="D9"/>
          </w:tcPr>
          <w:p w14:paraId="5DD4D7D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96994A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2785E9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48.000.000</w:t>
            </w:r>
          </w:p>
        </w:tc>
        <w:tc>
          <w:tcPr>
            <w:tcW w:w="1826" w:type="dxa"/>
          </w:tcPr>
          <w:p w14:paraId="0ED1F99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85FC50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48.000.000</w:t>
            </w:r>
          </w:p>
        </w:tc>
        <w:tc>
          <w:tcPr>
            <w:tcW w:w="1826" w:type="dxa"/>
          </w:tcPr>
          <w:p w14:paraId="7D1694D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32253D9D" w14:textId="77777777" w:rsidTr="00BD105F">
        <w:tc>
          <w:tcPr>
            <w:tcW w:w="1986" w:type="dxa"/>
            <w:vMerge w:val="restart"/>
            <w:shd w:val="clear" w:color="auto" w:fill="8EAADB" w:themeFill="accent5" w:themeFillTint="99"/>
          </w:tcPr>
          <w:p w14:paraId="68D231EC"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62D2201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D2B635C" w14:textId="77777777" w:rsidTr="00BD105F">
        <w:tc>
          <w:tcPr>
            <w:tcW w:w="1986" w:type="dxa"/>
            <w:vMerge/>
            <w:shd w:val="clear" w:color="auto" w:fill="8EAADB" w:themeFill="accent5" w:themeFillTint="99"/>
          </w:tcPr>
          <w:p w14:paraId="59B9792A"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3B6A24E3"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7215F021"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4EAA0FC2"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447F8773" w14:textId="77777777" w:rsidTr="00BD105F">
        <w:tc>
          <w:tcPr>
            <w:tcW w:w="1986" w:type="dxa"/>
            <w:vMerge/>
            <w:shd w:val="clear" w:color="auto" w:fill="8EAADB" w:themeFill="accent5" w:themeFillTint="99"/>
          </w:tcPr>
          <w:p w14:paraId="348FB11D" w14:textId="77777777" w:rsidR="008E3674" w:rsidRPr="008E3674" w:rsidRDefault="008E3674" w:rsidP="008E3674">
            <w:pPr>
              <w:rPr>
                <w:rFonts w:ascii="Times New Roman" w:hAnsi="Times New Roman"/>
              </w:rPr>
            </w:pPr>
          </w:p>
        </w:tc>
        <w:tc>
          <w:tcPr>
            <w:tcW w:w="1828" w:type="dxa"/>
          </w:tcPr>
          <w:p w14:paraId="078A869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8594B21"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tcPr>
          <w:p w14:paraId="44A424C1"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822CBF0"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tcPr>
          <w:p w14:paraId="19F6AF80"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27B777E6"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31DFEC9A" w14:textId="77777777" w:rsidTr="00BD105F">
        <w:tc>
          <w:tcPr>
            <w:tcW w:w="1986" w:type="dxa"/>
            <w:shd w:val="clear" w:color="auto" w:fill="FBE4D5" w:themeFill="accent2" w:themeFillTint="33"/>
          </w:tcPr>
          <w:p w14:paraId="6B7C18E5"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2.5 - Improvement of the electronic public procurement system</w:t>
            </w:r>
          </w:p>
        </w:tc>
        <w:tc>
          <w:tcPr>
            <w:tcW w:w="1828" w:type="dxa"/>
            <w:shd w:val="clear" w:color="auto" w:fill="FBE4D5" w:themeFill="accent2" w:themeFillTint="33"/>
          </w:tcPr>
          <w:p w14:paraId="12D40C65" w14:textId="77777777" w:rsidR="008E3674" w:rsidRPr="008E3674" w:rsidRDefault="008E3674" w:rsidP="008E3674">
            <w:pPr>
              <w:jc w:val="center"/>
              <w:rPr>
                <w:rFonts w:ascii="Times New Roman" w:hAnsi="Times New Roman"/>
              </w:rPr>
            </w:pPr>
            <w:r w:rsidRPr="008E3674">
              <w:rPr>
                <w:rFonts w:ascii="Times New Roman" w:hAnsi="Times New Roman"/>
              </w:rPr>
              <w:t>11.616.000</w:t>
            </w:r>
          </w:p>
        </w:tc>
        <w:tc>
          <w:tcPr>
            <w:tcW w:w="1826" w:type="dxa"/>
            <w:shd w:val="clear" w:color="auto" w:fill="FBE4D5" w:themeFill="accent2" w:themeFillTint="33"/>
          </w:tcPr>
          <w:p w14:paraId="6BEC3443" w14:textId="77777777" w:rsidR="008E3674" w:rsidRPr="008E3674" w:rsidRDefault="008E3674" w:rsidP="008E3674">
            <w:pPr>
              <w:jc w:val="center"/>
              <w:rPr>
                <w:rFonts w:ascii="Times New Roman" w:hAnsi="Times New Roman"/>
              </w:rPr>
            </w:pPr>
            <w:r w:rsidRPr="008E3674">
              <w:rPr>
                <w:rFonts w:ascii="Times New Roman" w:hAnsi="Times New Roman"/>
              </w:rPr>
              <w:t>8.932.646</w:t>
            </w:r>
          </w:p>
        </w:tc>
        <w:tc>
          <w:tcPr>
            <w:tcW w:w="1829" w:type="dxa"/>
            <w:shd w:val="clear" w:color="auto" w:fill="FBE4D5" w:themeFill="accent2" w:themeFillTint="33"/>
          </w:tcPr>
          <w:p w14:paraId="5F9DE9AC" w14:textId="77777777" w:rsidR="008E3674" w:rsidRPr="008E3674" w:rsidRDefault="008E3674" w:rsidP="008E3674">
            <w:pPr>
              <w:jc w:val="center"/>
              <w:rPr>
                <w:rFonts w:ascii="Times New Roman" w:hAnsi="Times New Roman"/>
              </w:rPr>
            </w:pPr>
            <w:r w:rsidRPr="008E3674">
              <w:rPr>
                <w:rFonts w:ascii="Times New Roman" w:hAnsi="Times New Roman"/>
              </w:rPr>
              <w:t>35.840.000</w:t>
            </w:r>
          </w:p>
        </w:tc>
        <w:tc>
          <w:tcPr>
            <w:tcW w:w="1826" w:type="dxa"/>
            <w:shd w:val="clear" w:color="auto" w:fill="FBE4D5" w:themeFill="accent2" w:themeFillTint="33"/>
          </w:tcPr>
          <w:p w14:paraId="481A44B9" w14:textId="77777777" w:rsidR="008E3674" w:rsidRPr="008E3674" w:rsidRDefault="008E3674" w:rsidP="008E3674">
            <w:pPr>
              <w:jc w:val="center"/>
              <w:rPr>
                <w:rFonts w:ascii="Times New Roman" w:hAnsi="Times New Roman"/>
              </w:rPr>
            </w:pPr>
            <w:r w:rsidRPr="008E3674">
              <w:rPr>
                <w:rFonts w:ascii="Times New Roman" w:hAnsi="Times New Roman"/>
              </w:rPr>
              <w:t>37.120.380</w:t>
            </w:r>
          </w:p>
        </w:tc>
        <w:tc>
          <w:tcPr>
            <w:tcW w:w="1829" w:type="dxa"/>
            <w:shd w:val="clear" w:color="auto" w:fill="FBE4D5" w:themeFill="accent2" w:themeFillTint="33"/>
          </w:tcPr>
          <w:p w14:paraId="32CB53DC" w14:textId="77777777" w:rsidR="008E3674" w:rsidRPr="008E3674" w:rsidRDefault="008E3674" w:rsidP="008E3674">
            <w:pPr>
              <w:jc w:val="center"/>
              <w:rPr>
                <w:rFonts w:ascii="Times New Roman" w:hAnsi="Times New Roman"/>
              </w:rPr>
            </w:pPr>
            <w:r w:rsidRPr="008E3674">
              <w:rPr>
                <w:rFonts w:ascii="Times New Roman" w:hAnsi="Times New Roman"/>
              </w:rPr>
              <w:t>47.456.000</w:t>
            </w:r>
          </w:p>
        </w:tc>
        <w:tc>
          <w:tcPr>
            <w:tcW w:w="1826" w:type="dxa"/>
            <w:shd w:val="clear" w:color="auto" w:fill="FBE4D5" w:themeFill="accent2" w:themeFillTint="33"/>
          </w:tcPr>
          <w:p w14:paraId="3D5CF2EB" w14:textId="77777777" w:rsidR="008E3674" w:rsidRPr="008E3674" w:rsidRDefault="008E3674" w:rsidP="008E3674">
            <w:pPr>
              <w:jc w:val="center"/>
              <w:rPr>
                <w:rFonts w:ascii="Times New Roman" w:hAnsi="Times New Roman"/>
              </w:rPr>
            </w:pPr>
            <w:r w:rsidRPr="008E3674">
              <w:rPr>
                <w:rFonts w:ascii="Times New Roman" w:hAnsi="Times New Roman"/>
              </w:rPr>
              <w:t>46.053.026</w:t>
            </w:r>
          </w:p>
        </w:tc>
      </w:tr>
      <w:tr w:rsidR="008E3674" w:rsidRPr="008E3674" w14:paraId="17F33684" w14:textId="77777777" w:rsidTr="00BD105F">
        <w:tc>
          <w:tcPr>
            <w:tcW w:w="1986" w:type="dxa"/>
          </w:tcPr>
          <w:p w14:paraId="7684918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2.5.1 – Upgrade of the Public Procurement Portal with new functionalities</w:t>
            </w:r>
          </w:p>
        </w:tc>
        <w:tc>
          <w:tcPr>
            <w:tcW w:w="1828" w:type="dxa"/>
            <w:shd w:val="clear" w:color="auto" w:fill="D9D9D9" w:themeFill="background1" w:themeFillShade="D9"/>
          </w:tcPr>
          <w:p w14:paraId="56CEFF9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2.400.000</w:t>
            </w:r>
          </w:p>
        </w:tc>
        <w:tc>
          <w:tcPr>
            <w:tcW w:w="1826" w:type="dxa"/>
          </w:tcPr>
          <w:p w14:paraId="5E303C44" w14:textId="77777777" w:rsidR="008E3674" w:rsidRPr="008E3674" w:rsidRDefault="008E3674" w:rsidP="008E3674">
            <w:pPr>
              <w:jc w:val="center"/>
              <w:rPr>
                <w:rFonts w:ascii="Times New Roman" w:hAnsi="Times New Roman"/>
              </w:rPr>
            </w:pPr>
            <w:r w:rsidRPr="008E3674">
              <w:rPr>
                <w:rFonts w:ascii="Times New Roman" w:hAnsi="Times New Roman"/>
              </w:rPr>
              <w:t>2.400.000</w:t>
            </w:r>
          </w:p>
        </w:tc>
        <w:tc>
          <w:tcPr>
            <w:tcW w:w="1829" w:type="dxa"/>
            <w:shd w:val="clear" w:color="auto" w:fill="D9D9D9" w:themeFill="background1" w:themeFillShade="D9"/>
          </w:tcPr>
          <w:p w14:paraId="7B84D29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31.680.000</w:t>
            </w:r>
          </w:p>
        </w:tc>
        <w:tc>
          <w:tcPr>
            <w:tcW w:w="1826" w:type="dxa"/>
          </w:tcPr>
          <w:p w14:paraId="318F0B06" w14:textId="77777777" w:rsidR="008E3674" w:rsidRPr="008E3674" w:rsidRDefault="008E3674" w:rsidP="008E3674">
            <w:pPr>
              <w:jc w:val="center"/>
              <w:rPr>
                <w:rFonts w:ascii="Times New Roman" w:hAnsi="Times New Roman"/>
              </w:rPr>
            </w:pPr>
            <w:r w:rsidRPr="008E3674">
              <w:rPr>
                <w:rFonts w:ascii="Times New Roman" w:hAnsi="Times New Roman"/>
              </w:rPr>
              <w:t>27.215.460</w:t>
            </w:r>
          </w:p>
        </w:tc>
        <w:tc>
          <w:tcPr>
            <w:tcW w:w="1829" w:type="dxa"/>
            <w:shd w:val="clear" w:color="auto" w:fill="D9D9D9" w:themeFill="background1" w:themeFillShade="D9"/>
          </w:tcPr>
          <w:p w14:paraId="57A6B2E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34.080.000</w:t>
            </w:r>
          </w:p>
        </w:tc>
        <w:tc>
          <w:tcPr>
            <w:tcW w:w="1826" w:type="dxa"/>
          </w:tcPr>
          <w:p w14:paraId="31294971" w14:textId="77777777" w:rsidR="008E3674" w:rsidRPr="008E3674" w:rsidRDefault="008E3674" w:rsidP="008E3674">
            <w:pPr>
              <w:jc w:val="center"/>
              <w:rPr>
                <w:rFonts w:ascii="Times New Roman" w:hAnsi="Times New Roman"/>
              </w:rPr>
            </w:pPr>
            <w:r w:rsidRPr="008E3674">
              <w:rPr>
                <w:rFonts w:ascii="Times New Roman" w:hAnsi="Times New Roman"/>
              </w:rPr>
              <w:t>29.615.460</w:t>
            </w:r>
          </w:p>
        </w:tc>
      </w:tr>
      <w:tr w:rsidR="008E3674" w:rsidRPr="008E3674" w14:paraId="46D30FE4" w14:textId="77777777" w:rsidTr="00BD105F">
        <w:tc>
          <w:tcPr>
            <w:tcW w:w="1986" w:type="dxa"/>
          </w:tcPr>
          <w:p w14:paraId="687F1DD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lastRenderedPageBreak/>
              <w:t>Activity 2.5.2 - Development of a mobile application for the Public Procurement Portal</w:t>
            </w:r>
          </w:p>
        </w:tc>
        <w:tc>
          <w:tcPr>
            <w:tcW w:w="1828" w:type="dxa"/>
            <w:shd w:val="clear" w:color="auto" w:fill="D9D9D9" w:themeFill="background1" w:themeFillShade="D9"/>
          </w:tcPr>
          <w:p w14:paraId="6FA8FB0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216.000</w:t>
            </w:r>
          </w:p>
        </w:tc>
        <w:tc>
          <w:tcPr>
            <w:tcW w:w="1826" w:type="dxa"/>
          </w:tcPr>
          <w:p w14:paraId="40B221CA" w14:textId="77777777" w:rsidR="008E3674" w:rsidRPr="008E3674" w:rsidRDefault="008E3674" w:rsidP="008E3674">
            <w:pPr>
              <w:jc w:val="center"/>
              <w:rPr>
                <w:rFonts w:ascii="Times New Roman" w:hAnsi="Times New Roman"/>
              </w:rPr>
            </w:pPr>
            <w:r w:rsidRPr="008E3674">
              <w:rPr>
                <w:rFonts w:ascii="Times New Roman" w:hAnsi="Times New Roman"/>
              </w:rPr>
              <w:t>-</w:t>
            </w:r>
          </w:p>
        </w:tc>
        <w:tc>
          <w:tcPr>
            <w:tcW w:w="1829" w:type="dxa"/>
            <w:shd w:val="clear" w:color="auto" w:fill="D9D9D9" w:themeFill="background1" w:themeFillShade="D9"/>
          </w:tcPr>
          <w:p w14:paraId="0CC726B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2.160.000</w:t>
            </w:r>
          </w:p>
        </w:tc>
        <w:tc>
          <w:tcPr>
            <w:tcW w:w="1826" w:type="dxa"/>
          </w:tcPr>
          <w:p w14:paraId="4F24F646" w14:textId="77777777" w:rsidR="008E3674" w:rsidRPr="008E3674" w:rsidRDefault="008E3674" w:rsidP="008E3674">
            <w:pPr>
              <w:jc w:val="center"/>
              <w:rPr>
                <w:rFonts w:ascii="Times New Roman" w:hAnsi="Times New Roman"/>
              </w:rPr>
            </w:pPr>
            <w:r w:rsidRPr="008E3674">
              <w:rPr>
                <w:rFonts w:ascii="Times New Roman" w:hAnsi="Times New Roman"/>
              </w:rPr>
              <w:t>3.570.000</w:t>
            </w:r>
          </w:p>
        </w:tc>
        <w:tc>
          <w:tcPr>
            <w:tcW w:w="1829" w:type="dxa"/>
            <w:shd w:val="clear" w:color="auto" w:fill="D9D9D9" w:themeFill="background1" w:themeFillShade="D9"/>
          </w:tcPr>
          <w:p w14:paraId="5808B35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2.376.000</w:t>
            </w:r>
          </w:p>
        </w:tc>
        <w:tc>
          <w:tcPr>
            <w:tcW w:w="1826" w:type="dxa"/>
          </w:tcPr>
          <w:p w14:paraId="60D42D19" w14:textId="77777777" w:rsidR="008E3674" w:rsidRPr="008E3674" w:rsidRDefault="008E3674" w:rsidP="008E3674">
            <w:pPr>
              <w:jc w:val="center"/>
              <w:rPr>
                <w:rFonts w:ascii="Times New Roman" w:hAnsi="Times New Roman"/>
              </w:rPr>
            </w:pPr>
            <w:r w:rsidRPr="008E3674">
              <w:rPr>
                <w:rFonts w:ascii="Times New Roman" w:hAnsi="Times New Roman"/>
              </w:rPr>
              <w:t>3.570.000</w:t>
            </w:r>
          </w:p>
        </w:tc>
      </w:tr>
      <w:tr w:rsidR="008E3674" w:rsidRPr="008E3674" w14:paraId="36BEE531" w14:textId="77777777" w:rsidTr="00BD105F">
        <w:tc>
          <w:tcPr>
            <w:tcW w:w="1986" w:type="dxa"/>
          </w:tcPr>
          <w:p w14:paraId="2A1588A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2.5.3 – Strengthening the capacity of the Public Procurement Office</w:t>
            </w:r>
          </w:p>
        </w:tc>
        <w:tc>
          <w:tcPr>
            <w:tcW w:w="1828" w:type="dxa"/>
            <w:shd w:val="clear" w:color="auto" w:fill="D9D9D9" w:themeFill="background1" w:themeFillShade="D9"/>
          </w:tcPr>
          <w:p w14:paraId="17292F7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9.000.000</w:t>
            </w:r>
          </w:p>
        </w:tc>
        <w:tc>
          <w:tcPr>
            <w:tcW w:w="1826" w:type="dxa"/>
          </w:tcPr>
          <w:p w14:paraId="220DA651" w14:textId="77777777" w:rsidR="008E3674" w:rsidRPr="008E3674" w:rsidRDefault="008E3674" w:rsidP="008E3674">
            <w:pPr>
              <w:jc w:val="center"/>
              <w:rPr>
                <w:rFonts w:ascii="Times New Roman" w:hAnsi="Times New Roman"/>
              </w:rPr>
            </w:pPr>
            <w:r w:rsidRPr="008E3674">
              <w:rPr>
                <w:rFonts w:ascii="Times New Roman" w:hAnsi="Times New Roman"/>
              </w:rPr>
              <w:t>6.532.646</w:t>
            </w:r>
          </w:p>
        </w:tc>
        <w:tc>
          <w:tcPr>
            <w:tcW w:w="1829" w:type="dxa"/>
            <w:shd w:val="clear" w:color="auto" w:fill="D9D9D9" w:themeFill="background1" w:themeFillShade="D9"/>
          </w:tcPr>
          <w:p w14:paraId="00B247F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27FC71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B04A61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9.000.000</w:t>
            </w:r>
          </w:p>
        </w:tc>
        <w:tc>
          <w:tcPr>
            <w:tcW w:w="1826" w:type="dxa"/>
          </w:tcPr>
          <w:p w14:paraId="4C641678" w14:textId="77777777" w:rsidR="008E3674" w:rsidRPr="008E3674" w:rsidRDefault="008E3674" w:rsidP="008E3674">
            <w:pPr>
              <w:jc w:val="center"/>
              <w:rPr>
                <w:rFonts w:ascii="Times New Roman" w:hAnsi="Times New Roman"/>
              </w:rPr>
            </w:pPr>
            <w:r w:rsidRPr="008E3674">
              <w:rPr>
                <w:rFonts w:ascii="Times New Roman" w:hAnsi="Times New Roman"/>
              </w:rPr>
              <w:t>6.532.646</w:t>
            </w:r>
          </w:p>
        </w:tc>
      </w:tr>
      <w:tr w:rsidR="008E3674" w:rsidRPr="008E3674" w14:paraId="1D7C1FC1" w14:textId="77777777" w:rsidTr="00BD105F">
        <w:tc>
          <w:tcPr>
            <w:tcW w:w="1986" w:type="dxa"/>
          </w:tcPr>
          <w:p w14:paraId="546B5C58"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2.5.4 - Organisation of training for clients and bidders</w:t>
            </w:r>
          </w:p>
        </w:tc>
        <w:tc>
          <w:tcPr>
            <w:tcW w:w="1828" w:type="dxa"/>
            <w:shd w:val="clear" w:color="auto" w:fill="D9D9D9" w:themeFill="background1" w:themeFillShade="D9"/>
          </w:tcPr>
          <w:p w14:paraId="35C28A1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033954D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4977F7C5" w14:textId="77777777" w:rsidR="008E3674" w:rsidRPr="008E3674" w:rsidRDefault="008E3674" w:rsidP="008E3674">
            <w:pPr>
              <w:jc w:val="center"/>
              <w:rPr>
                <w:rFonts w:ascii="Times New Roman" w:hAnsi="Times New Roman"/>
              </w:rPr>
            </w:pPr>
            <w:r w:rsidRPr="008E3674">
              <w:rPr>
                <w:rFonts w:ascii="Times New Roman" w:hAnsi="Times New Roman"/>
              </w:rPr>
              <w:t>2.000.000</w:t>
            </w:r>
          </w:p>
        </w:tc>
        <w:tc>
          <w:tcPr>
            <w:tcW w:w="1826" w:type="dxa"/>
          </w:tcPr>
          <w:p w14:paraId="1A692799" w14:textId="77777777" w:rsidR="008E3674" w:rsidRPr="008E3674" w:rsidRDefault="008E3674" w:rsidP="008E3674">
            <w:pPr>
              <w:jc w:val="center"/>
              <w:rPr>
                <w:rFonts w:ascii="Times New Roman" w:hAnsi="Times New Roman"/>
              </w:rPr>
            </w:pPr>
            <w:r w:rsidRPr="008E3674">
              <w:rPr>
                <w:rFonts w:ascii="Times New Roman" w:hAnsi="Times New Roman"/>
              </w:rPr>
              <w:t>2.000.000</w:t>
            </w:r>
          </w:p>
        </w:tc>
        <w:tc>
          <w:tcPr>
            <w:tcW w:w="1829" w:type="dxa"/>
            <w:shd w:val="clear" w:color="auto" w:fill="D9D9D9" w:themeFill="background1" w:themeFillShade="D9"/>
          </w:tcPr>
          <w:p w14:paraId="4F20D9B2" w14:textId="77777777" w:rsidR="008E3674" w:rsidRPr="008E3674" w:rsidRDefault="008E3674" w:rsidP="008E3674">
            <w:pPr>
              <w:jc w:val="center"/>
              <w:rPr>
                <w:rFonts w:ascii="Times New Roman" w:hAnsi="Times New Roman"/>
              </w:rPr>
            </w:pPr>
            <w:r w:rsidRPr="008E3674">
              <w:rPr>
                <w:rFonts w:ascii="Times New Roman" w:hAnsi="Times New Roman"/>
              </w:rPr>
              <w:t>2.000.000</w:t>
            </w:r>
          </w:p>
        </w:tc>
        <w:tc>
          <w:tcPr>
            <w:tcW w:w="1826" w:type="dxa"/>
          </w:tcPr>
          <w:p w14:paraId="3A4C5596" w14:textId="77777777" w:rsidR="008E3674" w:rsidRPr="008E3674" w:rsidRDefault="008E3674" w:rsidP="008E3674">
            <w:pPr>
              <w:jc w:val="center"/>
              <w:rPr>
                <w:rFonts w:ascii="Times New Roman" w:hAnsi="Times New Roman"/>
              </w:rPr>
            </w:pPr>
            <w:r w:rsidRPr="008E3674">
              <w:rPr>
                <w:rFonts w:ascii="Times New Roman" w:hAnsi="Times New Roman"/>
              </w:rPr>
              <w:t>2.000.000</w:t>
            </w:r>
          </w:p>
        </w:tc>
      </w:tr>
      <w:tr w:rsidR="008E3674" w:rsidRPr="008E3674" w14:paraId="3332811C" w14:textId="77777777" w:rsidTr="00BD105F">
        <w:tc>
          <w:tcPr>
            <w:tcW w:w="1986" w:type="dxa"/>
          </w:tcPr>
          <w:p w14:paraId="3DDAF4C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2.5.5 - Drafting and adoption of a public policy document for the development of public procurement for the period 2024-2028</w:t>
            </w:r>
          </w:p>
        </w:tc>
        <w:tc>
          <w:tcPr>
            <w:tcW w:w="1828" w:type="dxa"/>
            <w:shd w:val="clear" w:color="auto" w:fill="D9D9D9" w:themeFill="background1" w:themeFillShade="D9"/>
          </w:tcPr>
          <w:p w14:paraId="13EE0D1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E7973D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45EC1D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23E7BA4" w14:textId="77777777" w:rsidR="008E3674" w:rsidRPr="008E3674" w:rsidRDefault="008E3674" w:rsidP="008E3674">
            <w:pPr>
              <w:jc w:val="center"/>
              <w:rPr>
                <w:rFonts w:ascii="Times New Roman" w:hAnsi="Times New Roman"/>
              </w:rPr>
            </w:pPr>
            <w:r w:rsidRPr="008E3674">
              <w:rPr>
                <w:rFonts w:ascii="Times New Roman" w:hAnsi="Times New Roman"/>
              </w:rPr>
              <w:t>4.334.920</w:t>
            </w:r>
          </w:p>
        </w:tc>
        <w:tc>
          <w:tcPr>
            <w:tcW w:w="1829" w:type="dxa"/>
            <w:shd w:val="clear" w:color="auto" w:fill="D9D9D9" w:themeFill="background1" w:themeFillShade="D9"/>
          </w:tcPr>
          <w:p w14:paraId="721A210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F733E86" w14:textId="77777777" w:rsidR="008E3674" w:rsidRPr="008E3674" w:rsidRDefault="008E3674" w:rsidP="008E3674">
            <w:pPr>
              <w:jc w:val="center"/>
              <w:rPr>
                <w:rFonts w:ascii="Times New Roman" w:hAnsi="Times New Roman"/>
              </w:rPr>
            </w:pPr>
            <w:r w:rsidRPr="008E3674">
              <w:rPr>
                <w:rFonts w:ascii="Times New Roman" w:hAnsi="Times New Roman"/>
              </w:rPr>
              <w:t>4.334.920</w:t>
            </w:r>
          </w:p>
        </w:tc>
      </w:tr>
      <w:tr w:rsidR="008E3674" w:rsidRPr="008E3674" w14:paraId="2EEB97CE" w14:textId="77777777" w:rsidTr="00BD105F">
        <w:tc>
          <w:tcPr>
            <w:tcW w:w="12950" w:type="dxa"/>
            <w:gridSpan w:val="7"/>
            <w:shd w:val="clear" w:color="auto" w:fill="1F3864" w:themeFill="accent5" w:themeFillShade="80"/>
          </w:tcPr>
          <w:p w14:paraId="338FCE56" w14:textId="77777777" w:rsidR="008E3674" w:rsidRPr="008E3674" w:rsidRDefault="008E3674" w:rsidP="008E3674">
            <w:pPr>
              <w:rPr>
                <w:rFonts w:ascii="Times New Roman" w:hAnsi="Times New Roman"/>
                <w:lang w:val="sr-Cyrl-RS"/>
              </w:rPr>
            </w:pPr>
            <w:r w:rsidRPr="008E3674">
              <w:rPr>
                <w:rFonts w:ascii="Times New Roman" w:hAnsi="Times New Roman"/>
                <w:lang w:val="sr-Cyrl-RS"/>
              </w:rPr>
              <w:t>Specific Objective 3: Improvement of budget discipline and more transparent use of public funds</w:t>
            </w:r>
          </w:p>
        </w:tc>
      </w:tr>
      <w:tr w:rsidR="008E3674" w:rsidRPr="008E3674" w14:paraId="51C63FC9" w14:textId="77777777" w:rsidTr="00BD105F">
        <w:tc>
          <w:tcPr>
            <w:tcW w:w="1986" w:type="dxa"/>
            <w:vMerge w:val="restart"/>
            <w:shd w:val="clear" w:color="auto" w:fill="8EAADB" w:themeFill="accent5" w:themeFillTint="99"/>
          </w:tcPr>
          <w:p w14:paraId="1F2B7628"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61609879"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07589E5" w14:textId="77777777" w:rsidTr="00BD105F">
        <w:tc>
          <w:tcPr>
            <w:tcW w:w="1986" w:type="dxa"/>
            <w:vMerge/>
            <w:shd w:val="clear" w:color="auto" w:fill="8EAADB" w:themeFill="accent5" w:themeFillTint="99"/>
          </w:tcPr>
          <w:p w14:paraId="3D89D617"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6BE7028D"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1859BF08"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46024749"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4F79FC4A" w14:textId="77777777" w:rsidTr="00BD105F">
        <w:tc>
          <w:tcPr>
            <w:tcW w:w="1986" w:type="dxa"/>
            <w:vMerge/>
            <w:shd w:val="clear" w:color="auto" w:fill="8EAADB" w:themeFill="accent5" w:themeFillTint="99"/>
          </w:tcPr>
          <w:p w14:paraId="1837EFE2"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34FA74D6"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07611761"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32CA8B5A"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F50CE7E"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A0E8698"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A4E78B8"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06F0B500" w14:textId="77777777" w:rsidTr="00BD105F">
        <w:tc>
          <w:tcPr>
            <w:tcW w:w="1986" w:type="dxa"/>
            <w:shd w:val="clear" w:color="auto" w:fill="FBE4D5" w:themeFill="accent2" w:themeFillTint="33"/>
          </w:tcPr>
          <w:p w14:paraId="15D08DB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Measure 3.1 - Formation of a base for strengthening the institutional and administrative capacities of the Office for the Audit of the EU Funds Management </w:t>
            </w:r>
            <w:r w:rsidRPr="008E3674">
              <w:rPr>
                <w:rFonts w:ascii="Times New Roman" w:hAnsi="Times New Roman"/>
                <w:b/>
                <w:bCs/>
                <w:sz w:val="20"/>
                <w:szCs w:val="20"/>
                <w:lang w:val="sr-Cyrl-RS"/>
              </w:rPr>
              <w:lastRenderedPageBreak/>
              <w:t>System, which enable a more effective audit of the EU control system</w:t>
            </w:r>
          </w:p>
        </w:tc>
        <w:tc>
          <w:tcPr>
            <w:tcW w:w="1828" w:type="dxa"/>
            <w:shd w:val="clear" w:color="auto" w:fill="FBE4D5" w:themeFill="accent2" w:themeFillTint="33"/>
          </w:tcPr>
          <w:p w14:paraId="7CDA1985" w14:textId="77777777" w:rsidR="008E3674" w:rsidRPr="008E3674" w:rsidRDefault="008E3674" w:rsidP="008E3674">
            <w:pPr>
              <w:jc w:val="center"/>
              <w:rPr>
                <w:rFonts w:ascii="Times New Roman" w:hAnsi="Times New Roman"/>
              </w:rPr>
            </w:pPr>
            <w:r w:rsidRPr="008E3674">
              <w:rPr>
                <w:rFonts w:ascii="Times New Roman" w:hAnsi="Times New Roman"/>
              </w:rPr>
              <w:lastRenderedPageBreak/>
              <w:t>0</w:t>
            </w:r>
          </w:p>
        </w:tc>
        <w:tc>
          <w:tcPr>
            <w:tcW w:w="1826" w:type="dxa"/>
            <w:shd w:val="clear" w:color="auto" w:fill="FBE4D5" w:themeFill="accent2" w:themeFillTint="33"/>
          </w:tcPr>
          <w:p w14:paraId="5611F44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09D6513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29.375.000</w:t>
            </w:r>
          </w:p>
        </w:tc>
        <w:tc>
          <w:tcPr>
            <w:tcW w:w="1826" w:type="dxa"/>
            <w:shd w:val="clear" w:color="auto" w:fill="FBE4D5" w:themeFill="accent2" w:themeFillTint="33"/>
          </w:tcPr>
          <w:p w14:paraId="7DF7897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28.949.000</w:t>
            </w:r>
          </w:p>
        </w:tc>
        <w:tc>
          <w:tcPr>
            <w:tcW w:w="1829" w:type="dxa"/>
            <w:shd w:val="clear" w:color="auto" w:fill="FBE4D5" w:themeFill="accent2" w:themeFillTint="33"/>
          </w:tcPr>
          <w:p w14:paraId="1C629C0A" w14:textId="77777777" w:rsidR="008E3674" w:rsidRPr="008E3674" w:rsidRDefault="008E3674" w:rsidP="008E3674">
            <w:pPr>
              <w:jc w:val="center"/>
              <w:rPr>
                <w:rFonts w:ascii="Times New Roman" w:hAnsi="Times New Roman"/>
              </w:rPr>
            </w:pPr>
            <w:r w:rsidRPr="008E3674">
              <w:rPr>
                <w:rFonts w:ascii="Times New Roman" w:hAnsi="Times New Roman"/>
                <w:lang w:val="sr-Cyrl-RS"/>
              </w:rPr>
              <w:t>29.375.000</w:t>
            </w:r>
          </w:p>
        </w:tc>
        <w:tc>
          <w:tcPr>
            <w:tcW w:w="1826" w:type="dxa"/>
            <w:shd w:val="clear" w:color="auto" w:fill="FBE4D5" w:themeFill="accent2" w:themeFillTint="33"/>
          </w:tcPr>
          <w:p w14:paraId="0E08E974" w14:textId="77777777" w:rsidR="008E3674" w:rsidRPr="008E3674" w:rsidRDefault="008E3674" w:rsidP="008E3674">
            <w:pPr>
              <w:jc w:val="center"/>
              <w:rPr>
                <w:rFonts w:ascii="Times New Roman" w:hAnsi="Times New Roman"/>
              </w:rPr>
            </w:pPr>
            <w:r w:rsidRPr="008E3674">
              <w:rPr>
                <w:rFonts w:ascii="Times New Roman" w:hAnsi="Times New Roman"/>
                <w:lang w:val="sr-Cyrl-RS"/>
              </w:rPr>
              <w:t>28.949.000</w:t>
            </w:r>
            <w:r w:rsidRPr="008E3674">
              <w:rPr>
                <w:rFonts w:ascii="Times New Roman" w:hAnsi="Times New Roman"/>
                <w:vertAlign w:val="superscript"/>
              </w:rPr>
              <w:footnoteReference w:id="3"/>
            </w:r>
          </w:p>
        </w:tc>
      </w:tr>
      <w:tr w:rsidR="008E3674" w:rsidRPr="008E3674" w14:paraId="489C1EF4" w14:textId="77777777" w:rsidTr="00BD105F">
        <w:tc>
          <w:tcPr>
            <w:tcW w:w="1986" w:type="dxa"/>
          </w:tcPr>
          <w:p w14:paraId="5B5C7AC5"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3.1.1 - Developing a staff retention policy to ensure adequate and stable administrative capacities of the Office</w:t>
            </w:r>
          </w:p>
        </w:tc>
        <w:tc>
          <w:tcPr>
            <w:tcW w:w="1828" w:type="dxa"/>
            <w:shd w:val="clear" w:color="auto" w:fill="D9D9D9" w:themeFill="background1" w:themeFillShade="D9"/>
          </w:tcPr>
          <w:p w14:paraId="05DEB32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B8AD17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793230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2B3274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DF7561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4AE952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5B06F3DE" w14:textId="77777777" w:rsidTr="00BD105F">
        <w:tc>
          <w:tcPr>
            <w:tcW w:w="1986" w:type="dxa"/>
          </w:tcPr>
          <w:p w14:paraId="285C5C2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3.1.2 - Strengthening the capacity of the Office for the Audit of the EU Funds Management System in order to ensure an effective system of control and audit of EU funds in accordance with the EU legislative framework</w:t>
            </w:r>
          </w:p>
        </w:tc>
        <w:tc>
          <w:tcPr>
            <w:tcW w:w="1828" w:type="dxa"/>
            <w:shd w:val="clear" w:color="auto" w:fill="D9D9D9" w:themeFill="background1" w:themeFillShade="D9"/>
          </w:tcPr>
          <w:p w14:paraId="7A48BC2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368136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ABCC5B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29.375.000</w:t>
            </w:r>
          </w:p>
        </w:tc>
        <w:tc>
          <w:tcPr>
            <w:tcW w:w="1826" w:type="dxa"/>
          </w:tcPr>
          <w:p w14:paraId="16F99D8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28.949.000</w:t>
            </w:r>
          </w:p>
        </w:tc>
        <w:tc>
          <w:tcPr>
            <w:tcW w:w="1829" w:type="dxa"/>
            <w:shd w:val="clear" w:color="auto" w:fill="D9D9D9" w:themeFill="background1" w:themeFillShade="D9"/>
          </w:tcPr>
          <w:p w14:paraId="011DFA2D" w14:textId="77777777" w:rsidR="008E3674" w:rsidRPr="008E3674" w:rsidRDefault="008E3674" w:rsidP="008E3674">
            <w:pPr>
              <w:jc w:val="center"/>
              <w:rPr>
                <w:rFonts w:ascii="Times New Roman" w:hAnsi="Times New Roman"/>
              </w:rPr>
            </w:pPr>
            <w:r w:rsidRPr="008E3674">
              <w:rPr>
                <w:rFonts w:ascii="Times New Roman" w:hAnsi="Times New Roman"/>
                <w:lang w:val="sr-Cyrl-RS"/>
              </w:rPr>
              <w:t>29.375.000</w:t>
            </w:r>
          </w:p>
        </w:tc>
        <w:tc>
          <w:tcPr>
            <w:tcW w:w="1826" w:type="dxa"/>
          </w:tcPr>
          <w:p w14:paraId="76133C8D" w14:textId="77777777" w:rsidR="008E3674" w:rsidRPr="008E3674" w:rsidRDefault="008E3674" w:rsidP="008E3674">
            <w:pPr>
              <w:jc w:val="center"/>
              <w:rPr>
                <w:rFonts w:ascii="Times New Roman" w:hAnsi="Times New Roman"/>
              </w:rPr>
            </w:pPr>
            <w:r w:rsidRPr="008E3674">
              <w:rPr>
                <w:rFonts w:ascii="Times New Roman" w:hAnsi="Times New Roman"/>
                <w:lang w:val="sr-Cyrl-RS"/>
              </w:rPr>
              <w:t>28.949.000</w:t>
            </w:r>
          </w:p>
        </w:tc>
      </w:tr>
      <w:tr w:rsidR="008E3674" w:rsidRPr="008E3674" w14:paraId="33E91539" w14:textId="77777777" w:rsidTr="00BD105F">
        <w:tc>
          <w:tcPr>
            <w:tcW w:w="1986" w:type="dxa"/>
            <w:vMerge w:val="restart"/>
            <w:shd w:val="clear" w:color="auto" w:fill="8EAADB" w:themeFill="accent5" w:themeFillTint="99"/>
          </w:tcPr>
          <w:p w14:paraId="34C680C3"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3E468F0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551F3AB" w14:textId="77777777" w:rsidTr="00BD105F">
        <w:tc>
          <w:tcPr>
            <w:tcW w:w="1986" w:type="dxa"/>
            <w:vMerge/>
            <w:shd w:val="clear" w:color="auto" w:fill="8EAADB" w:themeFill="accent5" w:themeFillTint="99"/>
          </w:tcPr>
          <w:p w14:paraId="0FDFE8DA"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1BF4AF11"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14ECD7AD"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5D1AB9AC"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745281BE" w14:textId="77777777" w:rsidTr="00BD105F">
        <w:tc>
          <w:tcPr>
            <w:tcW w:w="1986" w:type="dxa"/>
            <w:vMerge/>
            <w:shd w:val="clear" w:color="auto" w:fill="8EAADB" w:themeFill="accent5" w:themeFillTint="99"/>
          </w:tcPr>
          <w:p w14:paraId="13FDCE73"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0AE5D7C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2E932058"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5D4C94E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DF93FF4"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3E174BE8"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EC7DC13"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24A72642" w14:textId="77777777" w:rsidTr="00BD105F">
        <w:tc>
          <w:tcPr>
            <w:tcW w:w="1986" w:type="dxa"/>
            <w:shd w:val="clear" w:color="auto" w:fill="FBE4D5" w:themeFill="accent2" w:themeFillTint="33"/>
          </w:tcPr>
          <w:p w14:paraId="1C4842B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3.2 - Strengthening the system for more efficient and effective management of EU funds</w:t>
            </w:r>
          </w:p>
        </w:tc>
        <w:tc>
          <w:tcPr>
            <w:tcW w:w="1828" w:type="dxa"/>
            <w:shd w:val="clear" w:color="auto" w:fill="FBE4D5" w:themeFill="accent2" w:themeFillTint="33"/>
          </w:tcPr>
          <w:p w14:paraId="1B35627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43.167.000</w:t>
            </w:r>
          </w:p>
        </w:tc>
        <w:tc>
          <w:tcPr>
            <w:tcW w:w="1826" w:type="dxa"/>
            <w:shd w:val="clear" w:color="auto" w:fill="FBE4D5" w:themeFill="accent2" w:themeFillTint="33"/>
          </w:tcPr>
          <w:p w14:paraId="6A0E66B5" w14:textId="77777777" w:rsidR="008E3674" w:rsidRPr="00E53781" w:rsidRDefault="008E3674" w:rsidP="008E3674">
            <w:pPr>
              <w:jc w:val="center"/>
              <w:rPr>
                <w:rFonts w:ascii="Times New Roman" w:hAnsi="Times New Roman"/>
              </w:rPr>
            </w:pPr>
            <w:r w:rsidRPr="008E3674">
              <w:rPr>
                <w:rFonts w:ascii="Times New Roman" w:hAnsi="Times New Roman"/>
                <w:lang w:val="sr-Cyrl-RS"/>
              </w:rPr>
              <w:t>557.133.68</w:t>
            </w:r>
            <w:r w:rsidR="00E53781">
              <w:rPr>
                <w:rFonts w:ascii="Times New Roman" w:hAnsi="Times New Roman"/>
              </w:rPr>
              <w:t>4</w:t>
            </w:r>
          </w:p>
        </w:tc>
        <w:tc>
          <w:tcPr>
            <w:tcW w:w="1829" w:type="dxa"/>
            <w:shd w:val="clear" w:color="auto" w:fill="FBE4D5" w:themeFill="accent2" w:themeFillTint="33"/>
          </w:tcPr>
          <w:p w14:paraId="45872FE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28.153.000</w:t>
            </w:r>
          </w:p>
        </w:tc>
        <w:tc>
          <w:tcPr>
            <w:tcW w:w="1826" w:type="dxa"/>
            <w:shd w:val="clear" w:color="auto" w:fill="FBE4D5" w:themeFill="accent2" w:themeFillTint="33"/>
          </w:tcPr>
          <w:p w14:paraId="6E459E5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7FD74464" w14:textId="77777777" w:rsidR="008E3674" w:rsidRPr="008E3674" w:rsidRDefault="008E3674" w:rsidP="008E3674">
            <w:pPr>
              <w:jc w:val="center"/>
              <w:rPr>
                <w:rFonts w:ascii="Times New Roman" w:hAnsi="Times New Roman"/>
              </w:rPr>
            </w:pPr>
            <w:r w:rsidRPr="008E3674">
              <w:rPr>
                <w:rFonts w:ascii="Times New Roman" w:hAnsi="Times New Roman"/>
              </w:rPr>
              <w:t>71.320.000</w:t>
            </w:r>
          </w:p>
        </w:tc>
        <w:tc>
          <w:tcPr>
            <w:tcW w:w="1826" w:type="dxa"/>
            <w:shd w:val="clear" w:color="auto" w:fill="FBE4D5" w:themeFill="accent2" w:themeFillTint="33"/>
          </w:tcPr>
          <w:p w14:paraId="0067AEBD" w14:textId="77777777" w:rsidR="008E3674" w:rsidRPr="009C0FFA" w:rsidRDefault="008E3674" w:rsidP="008E3674">
            <w:pPr>
              <w:jc w:val="center"/>
              <w:rPr>
                <w:rFonts w:ascii="Times New Roman" w:hAnsi="Times New Roman"/>
              </w:rPr>
            </w:pPr>
            <w:r w:rsidRPr="008E3674">
              <w:rPr>
                <w:rFonts w:ascii="Times New Roman" w:hAnsi="Times New Roman"/>
                <w:lang w:val="sr-Cyrl-RS"/>
              </w:rPr>
              <w:t>557.133.68</w:t>
            </w:r>
            <w:r w:rsidR="009C0FFA">
              <w:rPr>
                <w:rFonts w:ascii="Times New Roman" w:hAnsi="Times New Roman"/>
              </w:rPr>
              <w:t>4</w:t>
            </w:r>
          </w:p>
        </w:tc>
      </w:tr>
      <w:tr w:rsidR="008E3674" w:rsidRPr="008E3674" w14:paraId="40BA1F20" w14:textId="77777777" w:rsidTr="00BD105F">
        <w:tc>
          <w:tcPr>
            <w:tcW w:w="1986" w:type="dxa"/>
          </w:tcPr>
          <w:p w14:paraId="3B738227"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3.2.1 - Creation of new operating </w:t>
            </w:r>
            <w:r w:rsidRPr="008E3674">
              <w:rPr>
                <w:rFonts w:ascii="Times New Roman" w:hAnsi="Times New Roman"/>
                <w:b/>
                <w:bCs/>
                <w:sz w:val="20"/>
                <w:szCs w:val="20"/>
                <w:lang w:val="sr-Cyrl-RS"/>
              </w:rPr>
              <w:lastRenderedPageBreak/>
              <w:t>procedures, methodological guidelines and additional auxiliary tools for institutions responsible for the management and implementation of EU funds with the aim of increasing the efficiency of the performed controls and reducing the administrative burden</w:t>
            </w:r>
          </w:p>
        </w:tc>
        <w:tc>
          <w:tcPr>
            <w:tcW w:w="1828" w:type="dxa"/>
            <w:shd w:val="clear" w:color="auto" w:fill="D9D9D9" w:themeFill="background1" w:themeFillShade="D9"/>
          </w:tcPr>
          <w:p w14:paraId="5954E1A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0</w:t>
            </w:r>
          </w:p>
        </w:tc>
        <w:tc>
          <w:tcPr>
            <w:tcW w:w="1826" w:type="dxa"/>
          </w:tcPr>
          <w:p w14:paraId="28622C3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9483F8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24.000.000</w:t>
            </w:r>
          </w:p>
        </w:tc>
        <w:tc>
          <w:tcPr>
            <w:tcW w:w="1826" w:type="dxa"/>
          </w:tcPr>
          <w:p w14:paraId="43BA2BA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829B16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24.000.000</w:t>
            </w:r>
          </w:p>
        </w:tc>
        <w:tc>
          <w:tcPr>
            <w:tcW w:w="1826" w:type="dxa"/>
          </w:tcPr>
          <w:p w14:paraId="5287D9C4" w14:textId="77777777" w:rsidR="008E3674" w:rsidRPr="009C0FFA" w:rsidRDefault="009C0FFA" w:rsidP="008E3674">
            <w:pPr>
              <w:jc w:val="center"/>
              <w:rPr>
                <w:rFonts w:ascii="Times New Roman" w:hAnsi="Times New Roman"/>
              </w:rPr>
            </w:pPr>
            <w:r>
              <w:rPr>
                <w:rFonts w:ascii="Times New Roman" w:hAnsi="Times New Roman"/>
              </w:rPr>
              <w:t>0</w:t>
            </w:r>
          </w:p>
        </w:tc>
      </w:tr>
      <w:tr w:rsidR="008E3674" w:rsidRPr="008E3674" w14:paraId="0BC2DB74" w14:textId="77777777" w:rsidTr="00BD105F">
        <w:tc>
          <w:tcPr>
            <w:tcW w:w="1986" w:type="dxa"/>
          </w:tcPr>
          <w:p w14:paraId="3F48F02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3.2.2 - Establishment and implementation of continuous professional training and on-site training related to system management and supervision, financial management, control of the use of funds, management of risks and irregularities</w:t>
            </w:r>
          </w:p>
        </w:tc>
        <w:tc>
          <w:tcPr>
            <w:tcW w:w="1828" w:type="dxa"/>
            <w:shd w:val="clear" w:color="auto" w:fill="D9D9D9" w:themeFill="background1" w:themeFillShade="D9"/>
          </w:tcPr>
          <w:p w14:paraId="6C33019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5.940.000</w:t>
            </w:r>
          </w:p>
        </w:tc>
        <w:tc>
          <w:tcPr>
            <w:tcW w:w="1826" w:type="dxa"/>
          </w:tcPr>
          <w:p w14:paraId="7BD0880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A0002D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3.465.000</w:t>
            </w:r>
          </w:p>
        </w:tc>
        <w:tc>
          <w:tcPr>
            <w:tcW w:w="1826" w:type="dxa"/>
          </w:tcPr>
          <w:p w14:paraId="3D789FE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79C5A6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9.405.000</w:t>
            </w:r>
          </w:p>
        </w:tc>
        <w:tc>
          <w:tcPr>
            <w:tcW w:w="1826" w:type="dxa"/>
          </w:tcPr>
          <w:p w14:paraId="244525AB" w14:textId="77777777" w:rsidR="008E3674" w:rsidRPr="009C0FFA" w:rsidRDefault="009C0FFA" w:rsidP="008E3674">
            <w:pPr>
              <w:jc w:val="center"/>
              <w:rPr>
                <w:rFonts w:ascii="Times New Roman" w:hAnsi="Times New Roman"/>
              </w:rPr>
            </w:pPr>
            <w:r>
              <w:rPr>
                <w:rFonts w:ascii="Times New Roman" w:hAnsi="Times New Roman"/>
              </w:rPr>
              <w:t>0</w:t>
            </w:r>
          </w:p>
        </w:tc>
      </w:tr>
      <w:tr w:rsidR="008E3674" w:rsidRPr="008E3674" w14:paraId="104848FD" w14:textId="77777777" w:rsidTr="00BD105F">
        <w:tc>
          <w:tcPr>
            <w:tcW w:w="1986" w:type="dxa"/>
          </w:tcPr>
          <w:p w14:paraId="4D69ABC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3.2.3 - Ensuring an adequate number of officers and strengthening capacity in terms of expanding the scope and quality of on-the-spot checks and performing </w:t>
            </w:r>
            <w:r w:rsidRPr="008E3674">
              <w:rPr>
                <w:rFonts w:ascii="Times New Roman" w:hAnsi="Times New Roman"/>
                <w:b/>
                <w:bCs/>
                <w:sz w:val="20"/>
                <w:szCs w:val="20"/>
                <w:lang w:val="sr-Cyrl-RS"/>
              </w:rPr>
              <w:lastRenderedPageBreak/>
              <w:t>supervisory functions for users of public funds</w:t>
            </w:r>
          </w:p>
        </w:tc>
        <w:tc>
          <w:tcPr>
            <w:tcW w:w="1828" w:type="dxa"/>
            <w:shd w:val="clear" w:color="auto" w:fill="D9D9D9" w:themeFill="background1" w:themeFillShade="D9"/>
          </w:tcPr>
          <w:p w14:paraId="69F106A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1.827.000</w:t>
            </w:r>
          </w:p>
        </w:tc>
        <w:tc>
          <w:tcPr>
            <w:tcW w:w="1826" w:type="dxa"/>
          </w:tcPr>
          <w:p w14:paraId="5E99286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4B0F62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688.000</w:t>
            </w:r>
          </w:p>
        </w:tc>
        <w:tc>
          <w:tcPr>
            <w:tcW w:w="1826" w:type="dxa"/>
          </w:tcPr>
          <w:p w14:paraId="03E0091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4CA7A4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2.515.000</w:t>
            </w:r>
          </w:p>
        </w:tc>
        <w:tc>
          <w:tcPr>
            <w:tcW w:w="1826" w:type="dxa"/>
          </w:tcPr>
          <w:p w14:paraId="26C28A8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3CD6B031" w14:textId="77777777" w:rsidTr="00BD105F">
        <w:tc>
          <w:tcPr>
            <w:tcW w:w="1986" w:type="dxa"/>
          </w:tcPr>
          <w:p w14:paraId="4024C862"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3.2.4 - Improvement of the information system intended to support business processes for managing the system and implementing contracts and using funds</w:t>
            </w:r>
          </w:p>
        </w:tc>
        <w:tc>
          <w:tcPr>
            <w:tcW w:w="1828" w:type="dxa"/>
            <w:shd w:val="clear" w:color="auto" w:fill="D9D9D9" w:themeFill="background1" w:themeFillShade="D9"/>
          </w:tcPr>
          <w:p w14:paraId="5E28337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35.400.000</w:t>
            </w:r>
          </w:p>
        </w:tc>
        <w:tc>
          <w:tcPr>
            <w:tcW w:w="1826" w:type="dxa"/>
          </w:tcPr>
          <w:p w14:paraId="474B2A3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557.133.68</w:t>
            </w:r>
            <w:r w:rsidR="005A4847">
              <w:rPr>
                <w:rFonts w:ascii="Times New Roman" w:hAnsi="Times New Roman"/>
                <w:lang w:val="sr-Cyrl-RS"/>
              </w:rPr>
              <w:t>4</w:t>
            </w:r>
            <w:r w:rsidRPr="008E3674">
              <w:rPr>
                <w:rFonts w:ascii="Times New Roman" w:hAnsi="Times New Roman"/>
                <w:vertAlign w:val="superscript"/>
                <w:lang w:val="sr-Cyrl-RS"/>
              </w:rPr>
              <w:footnoteReference w:id="4"/>
            </w:r>
          </w:p>
        </w:tc>
        <w:tc>
          <w:tcPr>
            <w:tcW w:w="1829" w:type="dxa"/>
            <w:shd w:val="clear" w:color="auto" w:fill="D9D9D9" w:themeFill="background1" w:themeFillShade="D9"/>
          </w:tcPr>
          <w:p w14:paraId="299FF6A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8C5F04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C9FD9E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35.400.000</w:t>
            </w:r>
          </w:p>
        </w:tc>
        <w:tc>
          <w:tcPr>
            <w:tcW w:w="1826" w:type="dxa"/>
          </w:tcPr>
          <w:p w14:paraId="7B77C53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557.133.68</w:t>
            </w:r>
            <w:r w:rsidR="005A4847">
              <w:rPr>
                <w:rFonts w:ascii="Times New Roman" w:hAnsi="Times New Roman"/>
                <w:lang w:val="sr-Cyrl-RS"/>
              </w:rPr>
              <w:t>4</w:t>
            </w:r>
          </w:p>
        </w:tc>
      </w:tr>
      <w:tr w:rsidR="008E3674" w:rsidRPr="008E3674" w14:paraId="14B1A436" w14:textId="77777777" w:rsidTr="00BD105F">
        <w:tc>
          <w:tcPr>
            <w:tcW w:w="1986" w:type="dxa"/>
            <w:vMerge w:val="restart"/>
            <w:shd w:val="clear" w:color="auto" w:fill="8EAADB" w:themeFill="accent5" w:themeFillTint="99"/>
          </w:tcPr>
          <w:p w14:paraId="13322B89"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06BCD12F"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1DCA1F9A" w14:textId="77777777" w:rsidTr="00BD105F">
        <w:tc>
          <w:tcPr>
            <w:tcW w:w="1986" w:type="dxa"/>
            <w:vMerge/>
            <w:shd w:val="clear" w:color="auto" w:fill="8EAADB" w:themeFill="accent5" w:themeFillTint="99"/>
          </w:tcPr>
          <w:p w14:paraId="7DF55E91"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4939CE4C"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49AC098F"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67F78585"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2C2835FE" w14:textId="77777777" w:rsidTr="00BD105F">
        <w:tc>
          <w:tcPr>
            <w:tcW w:w="1986" w:type="dxa"/>
            <w:vMerge/>
            <w:shd w:val="clear" w:color="auto" w:fill="8EAADB" w:themeFill="accent5" w:themeFillTint="99"/>
          </w:tcPr>
          <w:p w14:paraId="6E2B1A14"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069467E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0661EAE6"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57D29F5"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DBF82E1"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170CDAB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32F6450"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108481C9" w14:textId="77777777" w:rsidTr="00BD105F">
        <w:tc>
          <w:tcPr>
            <w:tcW w:w="1986" w:type="dxa"/>
            <w:shd w:val="clear" w:color="auto" w:fill="FBE4D5" w:themeFill="accent2" w:themeFillTint="33"/>
          </w:tcPr>
          <w:p w14:paraId="1DAC1E7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3.3 - Increasing the efficiency and effectiveness of inspection control</w:t>
            </w:r>
          </w:p>
        </w:tc>
        <w:tc>
          <w:tcPr>
            <w:tcW w:w="1828" w:type="dxa"/>
            <w:shd w:val="clear" w:color="auto" w:fill="FBE4D5" w:themeFill="accent2" w:themeFillTint="33"/>
          </w:tcPr>
          <w:p w14:paraId="6F18FF0F" w14:textId="77777777" w:rsidR="008E3674" w:rsidRPr="008E3674" w:rsidRDefault="008E3674" w:rsidP="008E3674">
            <w:pPr>
              <w:jc w:val="center"/>
              <w:rPr>
                <w:rFonts w:ascii="Times New Roman" w:hAnsi="Times New Roman"/>
                <w:lang w:val="sr-Cyrl-RS"/>
              </w:rPr>
            </w:pPr>
            <w:r w:rsidRPr="004D78BB">
              <w:rPr>
                <w:rFonts w:ascii="Times New Roman" w:hAnsi="Times New Roman"/>
                <w:lang w:val="sr-Cyrl-RS"/>
              </w:rPr>
              <w:t>214.032.</w:t>
            </w:r>
            <w:r w:rsidR="00940E6A">
              <w:rPr>
                <w:rFonts w:ascii="Times New Roman" w:hAnsi="Times New Roman"/>
              </w:rPr>
              <w:t>4</w:t>
            </w:r>
            <w:r w:rsidRPr="004D78BB">
              <w:rPr>
                <w:rFonts w:ascii="Times New Roman" w:hAnsi="Times New Roman"/>
                <w:lang w:val="sr-Cyrl-RS"/>
              </w:rPr>
              <w:t>00</w:t>
            </w:r>
          </w:p>
        </w:tc>
        <w:tc>
          <w:tcPr>
            <w:tcW w:w="1826" w:type="dxa"/>
            <w:shd w:val="clear" w:color="auto" w:fill="FBE4D5" w:themeFill="accent2" w:themeFillTint="33"/>
          </w:tcPr>
          <w:p w14:paraId="2CFDE81F" w14:textId="77777777" w:rsidR="008E3674" w:rsidRPr="008E3674" w:rsidRDefault="008E3674" w:rsidP="008E3674">
            <w:pPr>
              <w:jc w:val="center"/>
              <w:rPr>
                <w:rFonts w:ascii="Times New Roman" w:hAnsi="Times New Roman"/>
              </w:rPr>
            </w:pPr>
            <w:r w:rsidRPr="008E3674">
              <w:rPr>
                <w:rFonts w:ascii="Times New Roman" w:hAnsi="Times New Roman"/>
              </w:rPr>
              <w:t>200.791.300</w:t>
            </w:r>
          </w:p>
        </w:tc>
        <w:tc>
          <w:tcPr>
            <w:tcW w:w="1829" w:type="dxa"/>
            <w:shd w:val="clear" w:color="auto" w:fill="FBE4D5" w:themeFill="accent2" w:themeFillTint="33"/>
          </w:tcPr>
          <w:p w14:paraId="23BEC8E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1.132.800</w:t>
            </w:r>
          </w:p>
        </w:tc>
        <w:tc>
          <w:tcPr>
            <w:tcW w:w="1826" w:type="dxa"/>
            <w:shd w:val="clear" w:color="auto" w:fill="FBE4D5" w:themeFill="accent2" w:themeFillTint="33"/>
          </w:tcPr>
          <w:p w14:paraId="692DFF03" w14:textId="77777777" w:rsidR="008E3674" w:rsidRPr="008E3674" w:rsidRDefault="008E3674" w:rsidP="008E3674">
            <w:pPr>
              <w:jc w:val="center"/>
              <w:rPr>
                <w:rFonts w:ascii="Times New Roman" w:hAnsi="Times New Roman"/>
              </w:rPr>
            </w:pPr>
            <w:r w:rsidRPr="008E3674">
              <w:rPr>
                <w:rFonts w:ascii="Times New Roman" w:hAnsi="Times New Roman"/>
              </w:rPr>
              <w:t>1.132.800</w:t>
            </w:r>
          </w:p>
        </w:tc>
        <w:tc>
          <w:tcPr>
            <w:tcW w:w="1829" w:type="dxa"/>
            <w:shd w:val="clear" w:color="auto" w:fill="FBE4D5" w:themeFill="accent2" w:themeFillTint="33"/>
          </w:tcPr>
          <w:p w14:paraId="249CFFA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215.16</w:t>
            </w:r>
            <w:r w:rsidR="00940E6A">
              <w:rPr>
                <w:rFonts w:ascii="Times New Roman" w:hAnsi="Times New Roman"/>
                <w:lang w:val="sr-Latn-RS"/>
              </w:rPr>
              <w:t>5</w:t>
            </w:r>
            <w:r w:rsidRPr="008E3674">
              <w:rPr>
                <w:rFonts w:ascii="Times New Roman" w:hAnsi="Times New Roman"/>
                <w:lang w:val="sr-Cyrl-RS"/>
              </w:rPr>
              <w:t>.</w:t>
            </w:r>
            <w:r w:rsidR="00940E6A">
              <w:rPr>
                <w:rFonts w:ascii="Times New Roman" w:hAnsi="Times New Roman"/>
                <w:lang w:val="sr-Latn-RS"/>
              </w:rPr>
              <w:t>2</w:t>
            </w:r>
            <w:r w:rsidRPr="008E3674">
              <w:rPr>
                <w:rFonts w:ascii="Times New Roman" w:hAnsi="Times New Roman"/>
                <w:lang w:val="sr-Cyrl-RS"/>
              </w:rPr>
              <w:t>00</w:t>
            </w:r>
          </w:p>
        </w:tc>
        <w:tc>
          <w:tcPr>
            <w:tcW w:w="1826" w:type="dxa"/>
            <w:shd w:val="clear" w:color="auto" w:fill="FBE4D5" w:themeFill="accent2" w:themeFillTint="33"/>
          </w:tcPr>
          <w:p w14:paraId="3608F3FA" w14:textId="77777777" w:rsidR="008E3674" w:rsidRPr="008E3674" w:rsidRDefault="008E3674" w:rsidP="008E3674">
            <w:pPr>
              <w:jc w:val="center"/>
              <w:rPr>
                <w:rFonts w:ascii="Times New Roman" w:hAnsi="Times New Roman"/>
              </w:rPr>
            </w:pPr>
            <w:r w:rsidRPr="008E3674">
              <w:rPr>
                <w:rFonts w:ascii="Times New Roman" w:hAnsi="Times New Roman"/>
              </w:rPr>
              <w:t>201.924.100</w:t>
            </w:r>
          </w:p>
        </w:tc>
      </w:tr>
      <w:tr w:rsidR="008E3674" w:rsidRPr="008E3674" w14:paraId="1832809E" w14:textId="77777777" w:rsidTr="00BD105F">
        <w:tc>
          <w:tcPr>
            <w:tcW w:w="1986" w:type="dxa"/>
          </w:tcPr>
          <w:p w14:paraId="4673A5D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3.3.1 - Adoption of methodological instructions on the way of work of budget inspection by areas of control</w:t>
            </w:r>
          </w:p>
        </w:tc>
        <w:tc>
          <w:tcPr>
            <w:tcW w:w="1828" w:type="dxa"/>
            <w:shd w:val="clear" w:color="auto" w:fill="D9D9D9" w:themeFill="background1" w:themeFillShade="D9"/>
          </w:tcPr>
          <w:p w14:paraId="5DAD9D7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87FBEB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7C376E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283.200</w:t>
            </w:r>
          </w:p>
        </w:tc>
        <w:tc>
          <w:tcPr>
            <w:tcW w:w="1826" w:type="dxa"/>
          </w:tcPr>
          <w:p w14:paraId="70B627C7" w14:textId="77777777" w:rsidR="008E3674" w:rsidRPr="008E3674" w:rsidRDefault="008E3674" w:rsidP="008E3674">
            <w:pPr>
              <w:jc w:val="center"/>
              <w:rPr>
                <w:rFonts w:ascii="Times New Roman" w:hAnsi="Times New Roman"/>
              </w:rPr>
            </w:pPr>
            <w:r w:rsidRPr="008E3674">
              <w:rPr>
                <w:rFonts w:ascii="Times New Roman" w:hAnsi="Times New Roman"/>
              </w:rPr>
              <w:t>283.200</w:t>
            </w:r>
          </w:p>
        </w:tc>
        <w:tc>
          <w:tcPr>
            <w:tcW w:w="1829" w:type="dxa"/>
            <w:shd w:val="clear" w:color="auto" w:fill="D9D9D9" w:themeFill="background1" w:themeFillShade="D9"/>
          </w:tcPr>
          <w:p w14:paraId="1720FAA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283.200</w:t>
            </w:r>
          </w:p>
        </w:tc>
        <w:tc>
          <w:tcPr>
            <w:tcW w:w="1826" w:type="dxa"/>
          </w:tcPr>
          <w:p w14:paraId="673C87CC" w14:textId="77777777" w:rsidR="008E3674" w:rsidRPr="008E3674" w:rsidRDefault="008E3674" w:rsidP="008E3674">
            <w:pPr>
              <w:jc w:val="center"/>
              <w:rPr>
                <w:rFonts w:ascii="Times New Roman" w:hAnsi="Times New Roman"/>
              </w:rPr>
            </w:pPr>
            <w:r w:rsidRPr="008E3674">
              <w:rPr>
                <w:rFonts w:ascii="Times New Roman" w:hAnsi="Times New Roman"/>
              </w:rPr>
              <w:t>283.200</w:t>
            </w:r>
          </w:p>
        </w:tc>
      </w:tr>
      <w:tr w:rsidR="008E3674" w:rsidRPr="008E3674" w14:paraId="486F673E" w14:textId="77777777" w:rsidTr="00BD105F">
        <w:tc>
          <w:tcPr>
            <w:tcW w:w="1986" w:type="dxa"/>
          </w:tcPr>
          <w:p w14:paraId="647CE94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3.3.2 - Professional development of budget inspectors </w:t>
            </w:r>
            <w:r w:rsidRPr="008E3674">
              <w:rPr>
                <w:rFonts w:ascii="Times New Roman" w:hAnsi="Times New Roman"/>
                <w:b/>
                <w:bCs/>
                <w:sz w:val="20"/>
                <w:szCs w:val="20"/>
                <w:lang w:val="sr-Cyrl-RS"/>
              </w:rPr>
              <w:lastRenderedPageBreak/>
              <w:t>and other employees in the budget inspection through continuous education</w:t>
            </w:r>
          </w:p>
        </w:tc>
        <w:tc>
          <w:tcPr>
            <w:tcW w:w="1828" w:type="dxa"/>
            <w:shd w:val="clear" w:color="auto" w:fill="D9D9D9" w:themeFill="background1" w:themeFillShade="D9"/>
          </w:tcPr>
          <w:p w14:paraId="270DB49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16.375.</w:t>
            </w:r>
            <w:r w:rsidR="00940E6A">
              <w:rPr>
                <w:rFonts w:ascii="Times New Roman" w:hAnsi="Times New Roman"/>
              </w:rPr>
              <w:t>4</w:t>
            </w:r>
            <w:r w:rsidRPr="008E3674">
              <w:rPr>
                <w:rFonts w:ascii="Times New Roman" w:hAnsi="Times New Roman"/>
                <w:lang w:val="sr-Cyrl-RS"/>
              </w:rPr>
              <w:t>00</w:t>
            </w:r>
          </w:p>
        </w:tc>
        <w:tc>
          <w:tcPr>
            <w:tcW w:w="1826" w:type="dxa"/>
          </w:tcPr>
          <w:p w14:paraId="53D4D081" w14:textId="77777777" w:rsidR="008E3674" w:rsidRPr="008E3674" w:rsidRDefault="008E3674" w:rsidP="008E3674">
            <w:pPr>
              <w:jc w:val="center"/>
              <w:rPr>
                <w:rFonts w:ascii="Times New Roman" w:hAnsi="Times New Roman"/>
              </w:rPr>
            </w:pPr>
            <w:r w:rsidRPr="008E3674">
              <w:rPr>
                <w:rFonts w:ascii="Times New Roman" w:hAnsi="Times New Roman"/>
              </w:rPr>
              <w:t>16.375.400</w:t>
            </w:r>
          </w:p>
        </w:tc>
        <w:tc>
          <w:tcPr>
            <w:tcW w:w="1829" w:type="dxa"/>
            <w:shd w:val="clear" w:color="auto" w:fill="D9D9D9" w:themeFill="background1" w:themeFillShade="D9"/>
          </w:tcPr>
          <w:p w14:paraId="264FB6B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141.600</w:t>
            </w:r>
          </w:p>
        </w:tc>
        <w:tc>
          <w:tcPr>
            <w:tcW w:w="1826" w:type="dxa"/>
          </w:tcPr>
          <w:p w14:paraId="5B203EE6" w14:textId="77777777" w:rsidR="008E3674" w:rsidRPr="008E3674" w:rsidRDefault="008E3674" w:rsidP="008E3674">
            <w:pPr>
              <w:jc w:val="center"/>
              <w:rPr>
                <w:rFonts w:ascii="Times New Roman" w:hAnsi="Times New Roman"/>
              </w:rPr>
            </w:pPr>
            <w:r w:rsidRPr="008E3674">
              <w:rPr>
                <w:rFonts w:ascii="Times New Roman" w:hAnsi="Times New Roman"/>
              </w:rPr>
              <w:t>141.600</w:t>
            </w:r>
          </w:p>
        </w:tc>
        <w:tc>
          <w:tcPr>
            <w:tcW w:w="1829" w:type="dxa"/>
            <w:shd w:val="clear" w:color="auto" w:fill="D9D9D9" w:themeFill="background1" w:themeFillShade="D9"/>
          </w:tcPr>
          <w:p w14:paraId="7F19E9E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16.51</w:t>
            </w:r>
            <w:r w:rsidR="00940E6A">
              <w:rPr>
                <w:rFonts w:ascii="Times New Roman" w:hAnsi="Times New Roman"/>
              </w:rPr>
              <w:t>7</w:t>
            </w:r>
            <w:r w:rsidRPr="008E3674">
              <w:rPr>
                <w:rFonts w:ascii="Times New Roman" w:hAnsi="Times New Roman"/>
                <w:lang w:val="sr-Cyrl-RS"/>
              </w:rPr>
              <w:t>.</w:t>
            </w:r>
            <w:r w:rsidR="00940E6A">
              <w:rPr>
                <w:rFonts w:ascii="Times New Roman" w:hAnsi="Times New Roman"/>
              </w:rPr>
              <w:t>0</w:t>
            </w:r>
            <w:r w:rsidRPr="008E3674">
              <w:rPr>
                <w:rFonts w:ascii="Times New Roman" w:hAnsi="Times New Roman"/>
                <w:lang w:val="sr-Cyrl-RS"/>
              </w:rPr>
              <w:t>00</w:t>
            </w:r>
          </w:p>
        </w:tc>
        <w:tc>
          <w:tcPr>
            <w:tcW w:w="1826" w:type="dxa"/>
          </w:tcPr>
          <w:p w14:paraId="202F0F6C" w14:textId="77777777" w:rsidR="008E3674" w:rsidRPr="008E3674" w:rsidRDefault="008E3674" w:rsidP="008E3674">
            <w:pPr>
              <w:jc w:val="center"/>
              <w:rPr>
                <w:rFonts w:ascii="Times New Roman" w:hAnsi="Times New Roman"/>
              </w:rPr>
            </w:pPr>
            <w:r w:rsidRPr="008E3674">
              <w:rPr>
                <w:rFonts w:ascii="Times New Roman" w:hAnsi="Times New Roman"/>
              </w:rPr>
              <w:t>16.517.000</w:t>
            </w:r>
          </w:p>
        </w:tc>
      </w:tr>
      <w:tr w:rsidR="008E3674" w:rsidRPr="008E3674" w14:paraId="56902BE3" w14:textId="77777777" w:rsidTr="00BD105F">
        <w:tc>
          <w:tcPr>
            <w:tcW w:w="1986" w:type="dxa"/>
          </w:tcPr>
          <w:p w14:paraId="74D89A86"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3.3.3 - Ensuring the required number of inspectors - 50 in 2025.</w:t>
            </w:r>
          </w:p>
        </w:tc>
        <w:tc>
          <w:tcPr>
            <w:tcW w:w="1828" w:type="dxa"/>
            <w:shd w:val="clear" w:color="auto" w:fill="D9D9D9" w:themeFill="background1" w:themeFillShade="D9"/>
          </w:tcPr>
          <w:p w14:paraId="34AD013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197.657.000</w:t>
            </w:r>
          </w:p>
        </w:tc>
        <w:tc>
          <w:tcPr>
            <w:tcW w:w="1826" w:type="dxa"/>
          </w:tcPr>
          <w:p w14:paraId="6C1367AD" w14:textId="77777777" w:rsidR="008E3674" w:rsidRPr="008E3674" w:rsidRDefault="008E3674" w:rsidP="008E3674">
            <w:pPr>
              <w:jc w:val="center"/>
              <w:rPr>
                <w:rFonts w:ascii="Times New Roman" w:hAnsi="Times New Roman"/>
              </w:rPr>
            </w:pPr>
            <w:r w:rsidRPr="008E3674">
              <w:rPr>
                <w:rFonts w:ascii="Times New Roman" w:hAnsi="Times New Roman"/>
              </w:rPr>
              <w:t>184.415.900</w:t>
            </w:r>
          </w:p>
        </w:tc>
        <w:tc>
          <w:tcPr>
            <w:tcW w:w="1829" w:type="dxa"/>
            <w:shd w:val="clear" w:color="auto" w:fill="D9D9D9" w:themeFill="background1" w:themeFillShade="D9"/>
          </w:tcPr>
          <w:p w14:paraId="3F7D3E8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2D388A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82DFB1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197.657.000</w:t>
            </w:r>
          </w:p>
        </w:tc>
        <w:tc>
          <w:tcPr>
            <w:tcW w:w="1826" w:type="dxa"/>
          </w:tcPr>
          <w:p w14:paraId="27071A7E" w14:textId="77777777" w:rsidR="008E3674" w:rsidRPr="008E3674" w:rsidRDefault="008E3674" w:rsidP="008E3674">
            <w:pPr>
              <w:jc w:val="center"/>
              <w:rPr>
                <w:rFonts w:ascii="Times New Roman" w:hAnsi="Times New Roman"/>
              </w:rPr>
            </w:pPr>
            <w:r w:rsidRPr="008E3674">
              <w:rPr>
                <w:rFonts w:ascii="Times New Roman" w:hAnsi="Times New Roman"/>
              </w:rPr>
              <w:t>184.415.900</w:t>
            </w:r>
          </w:p>
        </w:tc>
      </w:tr>
      <w:tr w:rsidR="008E3674" w:rsidRPr="008E3674" w14:paraId="276A77ED" w14:textId="77777777" w:rsidTr="00BD105F">
        <w:tc>
          <w:tcPr>
            <w:tcW w:w="1986" w:type="dxa"/>
          </w:tcPr>
          <w:p w14:paraId="73F094AE"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3.3.4 - Amendments to the Law on the Budget System and Bylaws on Budget Inspection / Adoption of the Law on Budget Inspection</w:t>
            </w:r>
          </w:p>
        </w:tc>
        <w:tc>
          <w:tcPr>
            <w:tcW w:w="1828" w:type="dxa"/>
            <w:shd w:val="clear" w:color="auto" w:fill="D9D9D9" w:themeFill="background1" w:themeFillShade="D9"/>
          </w:tcPr>
          <w:p w14:paraId="6F84C2A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32C932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0161D3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708.000</w:t>
            </w:r>
          </w:p>
        </w:tc>
        <w:tc>
          <w:tcPr>
            <w:tcW w:w="1826" w:type="dxa"/>
          </w:tcPr>
          <w:p w14:paraId="1B6B2C29" w14:textId="77777777" w:rsidR="008E3674" w:rsidRPr="008E3674" w:rsidRDefault="008E3674" w:rsidP="008E3674">
            <w:pPr>
              <w:jc w:val="center"/>
              <w:rPr>
                <w:rFonts w:ascii="Times New Roman" w:hAnsi="Times New Roman"/>
              </w:rPr>
            </w:pPr>
            <w:r w:rsidRPr="008E3674">
              <w:rPr>
                <w:rFonts w:ascii="Times New Roman" w:hAnsi="Times New Roman"/>
              </w:rPr>
              <w:t>708.000</w:t>
            </w:r>
          </w:p>
        </w:tc>
        <w:tc>
          <w:tcPr>
            <w:tcW w:w="1829" w:type="dxa"/>
            <w:shd w:val="clear" w:color="auto" w:fill="D9D9D9" w:themeFill="background1" w:themeFillShade="D9"/>
          </w:tcPr>
          <w:p w14:paraId="7989D37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708.000</w:t>
            </w:r>
          </w:p>
        </w:tc>
        <w:tc>
          <w:tcPr>
            <w:tcW w:w="1826" w:type="dxa"/>
          </w:tcPr>
          <w:p w14:paraId="378293BC" w14:textId="77777777" w:rsidR="008E3674" w:rsidRPr="008E3674" w:rsidRDefault="008E3674" w:rsidP="008E3674">
            <w:pPr>
              <w:jc w:val="center"/>
              <w:rPr>
                <w:rFonts w:ascii="Times New Roman" w:hAnsi="Times New Roman"/>
              </w:rPr>
            </w:pPr>
            <w:r w:rsidRPr="008E3674">
              <w:rPr>
                <w:rFonts w:ascii="Times New Roman" w:hAnsi="Times New Roman"/>
              </w:rPr>
              <w:t>708.000</w:t>
            </w:r>
          </w:p>
        </w:tc>
      </w:tr>
      <w:tr w:rsidR="008E3674" w:rsidRPr="008E3674" w14:paraId="7EAFA49B" w14:textId="77777777" w:rsidTr="00BD105F">
        <w:tc>
          <w:tcPr>
            <w:tcW w:w="12950" w:type="dxa"/>
            <w:gridSpan w:val="7"/>
            <w:shd w:val="clear" w:color="auto" w:fill="1F3864" w:themeFill="accent5" w:themeFillShade="80"/>
          </w:tcPr>
          <w:p w14:paraId="3A8796C4" w14:textId="77777777" w:rsidR="008E3674" w:rsidRPr="008E3674" w:rsidRDefault="008E3674" w:rsidP="008E3674">
            <w:pPr>
              <w:rPr>
                <w:rFonts w:ascii="Times New Roman" w:hAnsi="Times New Roman"/>
                <w:lang w:val="sr-Cyrl-RS"/>
              </w:rPr>
            </w:pPr>
            <w:r w:rsidRPr="008E3674">
              <w:rPr>
                <w:rFonts w:ascii="Times New Roman" w:hAnsi="Times New Roman"/>
                <w:lang w:val="sr-Cyrl-RS"/>
              </w:rPr>
              <w:t>Specific Objective 4: Enhancing the implementation of public internal financial control</w:t>
            </w:r>
          </w:p>
        </w:tc>
      </w:tr>
      <w:tr w:rsidR="008E3674" w:rsidRPr="008E3674" w14:paraId="4D5854EF" w14:textId="77777777" w:rsidTr="00BD105F">
        <w:tc>
          <w:tcPr>
            <w:tcW w:w="1986" w:type="dxa"/>
            <w:vMerge w:val="restart"/>
            <w:shd w:val="clear" w:color="auto" w:fill="8EAADB" w:themeFill="accent5" w:themeFillTint="99"/>
          </w:tcPr>
          <w:p w14:paraId="334AD27C"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5879A268"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B8C5813" w14:textId="77777777" w:rsidTr="00BD105F">
        <w:tc>
          <w:tcPr>
            <w:tcW w:w="1986" w:type="dxa"/>
            <w:vMerge/>
            <w:shd w:val="clear" w:color="auto" w:fill="8EAADB" w:themeFill="accent5" w:themeFillTint="99"/>
          </w:tcPr>
          <w:p w14:paraId="50BF36E8"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52AA3334"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667B3252"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1F466B3A"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66DC71BA" w14:textId="77777777" w:rsidTr="00BD105F">
        <w:tc>
          <w:tcPr>
            <w:tcW w:w="1986" w:type="dxa"/>
            <w:vMerge/>
            <w:shd w:val="clear" w:color="auto" w:fill="8EAADB" w:themeFill="accent5" w:themeFillTint="99"/>
          </w:tcPr>
          <w:p w14:paraId="021BC01A"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7DA547D5"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48C1C4E5"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4CAB622D"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5E24225"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34107190"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75E17F45"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748C39C9" w14:textId="77777777" w:rsidTr="00BD105F">
        <w:tc>
          <w:tcPr>
            <w:tcW w:w="1986" w:type="dxa"/>
            <w:shd w:val="clear" w:color="auto" w:fill="FBE4D5" w:themeFill="accent2" w:themeFillTint="33"/>
          </w:tcPr>
          <w:p w14:paraId="3203C98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4.1 - Improvement of the FMC system in public sector institutions</w:t>
            </w:r>
          </w:p>
        </w:tc>
        <w:tc>
          <w:tcPr>
            <w:tcW w:w="1828" w:type="dxa"/>
            <w:shd w:val="clear" w:color="auto" w:fill="FBE4D5" w:themeFill="accent2" w:themeFillTint="33"/>
          </w:tcPr>
          <w:p w14:paraId="5658366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112B39B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42524C2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70.436.000</w:t>
            </w:r>
          </w:p>
        </w:tc>
        <w:tc>
          <w:tcPr>
            <w:tcW w:w="1826" w:type="dxa"/>
            <w:shd w:val="clear" w:color="auto" w:fill="FBE4D5" w:themeFill="accent2" w:themeFillTint="33"/>
          </w:tcPr>
          <w:p w14:paraId="6A40DEE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55B4BA4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70.436.000</w:t>
            </w:r>
          </w:p>
        </w:tc>
        <w:tc>
          <w:tcPr>
            <w:tcW w:w="1826" w:type="dxa"/>
            <w:shd w:val="clear" w:color="auto" w:fill="FBE4D5" w:themeFill="accent2" w:themeFillTint="33"/>
          </w:tcPr>
          <w:p w14:paraId="115B3EFD"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320B9357" w14:textId="77777777" w:rsidTr="00BD105F">
        <w:tc>
          <w:tcPr>
            <w:tcW w:w="1986" w:type="dxa"/>
          </w:tcPr>
          <w:p w14:paraId="4291D7F8"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4.1.1 - Cooperation with the Budget Sector in connection with the improvement of the organisation's performance management (link to the PAR Strategy, measure 4.1.2)</w:t>
            </w:r>
          </w:p>
        </w:tc>
        <w:tc>
          <w:tcPr>
            <w:tcW w:w="1828" w:type="dxa"/>
            <w:shd w:val="clear" w:color="auto" w:fill="D9D9D9" w:themeFill="background1" w:themeFillShade="D9"/>
          </w:tcPr>
          <w:p w14:paraId="701719F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14CD10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AFBFCB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9.600.000</w:t>
            </w:r>
          </w:p>
        </w:tc>
        <w:tc>
          <w:tcPr>
            <w:tcW w:w="1826" w:type="dxa"/>
          </w:tcPr>
          <w:p w14:paraId="701BE0E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88F327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9.600.000</w:t>
            </w:r>
          </w:p>
        </w:tc>
        <w:tc>
          <w:tcPr>
            <w:tcW w:w="1826" w:type="dxa"/>
          </w:tcPr>
          <w:p w14:paraId="288FDC8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08805D97" w14:textId="77777777" w:rsidTr="00BD105F">
        <w:tc>
          <w:tcPr>
            <w:tcW w:w="1986" w:type="dxa"/>
          </w:tcPr>
          <w:p w14:paraId="01202CD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lastRenderedPageBreak/>
              <w:t>Activity 4.1.2 - Raising the capacity of CJH employees for ISO standards and KOSO. Detailed mapping and comparison of the relevant part of the ISO standard and the KOSO model, including application with conclusions in the form of a GAP analysis and training of CJH employees</w:t>
            </w:r>
          </w:p>
        </w:tc>
        <w:tc>
          <w:tcPr>
            <w:tcW w:w="1828" w:type="dxa"/>
            <w:shd w:val="clear" w:color="auto" w:fill="D9D9D9" w:themeFill="background1" w:themeFillShade="D9"/>
          </w:tcPr>
          <w:p w14:paraId="4A655C2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2D8DC79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32E0B3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14.400.000</w:t>
            </w:r>
          </w:p>
        </w:tc>
        <w:tc>
          <w:tcPr>
            <w:tcW w:w="1826" w:type="dxa"/>
          </w:tcPr>
          <w:p w14:paraId="0870713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CB4A5C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14.400.000</w:t>
            </w:r>
          </w:p>
        </w:tc>
        <w:tc>
          <w:tcPr>
            <w:tcW w:w="1826" w:type="dxa"/>
          </w:tcPr>
          <w:p w14:paraId="19485F6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2A1806E" w14:textId="77777777" w:rsidTr="00BD105F">
        <w:tc>
          <w:tcPr>
            <w:tcW w:w="1986" w:type="dxa"/>
          </w:tcPr>
          <w:p w14:paraId="3F9330A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4.1.3 - Improving risk management at the priority group public sector entities at the central level through direct project support</w:t>
            </w:r>
          </w:p>
        </w:tc>
        <w:tc>
          <w:tcPr>
            <w:tcW w:w="1828" w:type="dxa"/>
            <w:shd w:val="clear" w:color="auto" w:fill="D9D9D9" w:themeFill="background1" w:themeFillShade="D9"/>
          </w:tcPr>
          <w:p w14:paraId="0CBEB63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B600D6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EEF0A9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12.012.000</w:t>
            </w:r>
          </w:p>
        </w:tc>
        <w:tc>
          <w:tcPr>
            <w:tcW w:w="1826" w:type="dxa"/>
          </w:tcPr>
          <w:p w14:paraId="3375814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DEDF6A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12.012.000</w:t>
            </w:r>
          </w:p>
        </w:tc>
        <w:tc>
          <w:tcPr>
            <w:tcW w:w="1826" w:type="dxa"/>
          </w:tcPr>
          <w:p w14:paraId="6D1B7D44"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2CBF090" w14:textId="77777777" w:rsidTr="00BD105F">
        <w:tc>
          <w:tcPr>
            <w:tcW w:w="1986" w:type="dxa"/>
          </w:tcPr>
          <w:p w14:paraId="18C8D700"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4.1.4 - Development of practical methodological tools/knowledge products from financial management and control adapted to the specifics of certain important groups of indirect public sector entities at the central level</w:t>
            </w:r>
          </w:p>
        </w:tc>
        <w:tc>
          <w:tcPr>
            <w:tcW w:w="1828" w:type="dxa"/>
            <w:shd w:val="clear" w:color="auto" w:fill="D9D9D9" w:themeFill="background1" w:themeFillShade="D9"/>
          </w:tcPr>
          <w:p w14:paraId="6BECE91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AB6621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1DD93E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26.024.000</w:t>
            </w:r>
          </w:p>
        </w:tc>
        <w:tc>
          <w:tcPr>
            <w:tcW w:w="1826" w:type="dxa"/>
          </w:tcPr>
          <w:p w14:paraId="6C80ABE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F4FE80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26.024.000</w:t>
            </w:r>
          </w:p>
        </w:tc>
        <w:tc>
          <w:tcPr>
            <w:tcW w:w="1826" w:type="dxa"/>
          </w:tcPr>
          <w:p w14:paraId="578635D4"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0478EBF7" w14:textId="77777777" w:rsidTr="00BD105F">
        <w:tc>
          <w:tcPr>
            <w:tcW w:w="1986" w:type="dxa"/>
          </w:tcPr>
          <w:p w14:paraId="74D8A963"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lastRenderedPageBreak/>
              <w:t>Activity 4.1.5 - Support for the establishment and improvement of the FMC system at the local level</w:t>
            </w:r>
          </w:p>
        </w:tc>
        <w:tc>
          <w:tcPr>
            <w:tcW w:w="1828" w:type="dxa"/>
            <w:shd w:val="clear" w:color="auto" w:fill="D9D9D9" w:themeFill="background1" w:themeFillShade="D9"/>
          </w:tcPr>
          <w:p w14:paraId="36E73C7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006901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6D2C8C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F6D4EE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6F78372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1E8A11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2236835B" w14:textId="77777777" w:rsidTr="00BD105F">
        <w:tc>
          <w:tcPr>
            <w:tcW w:w="1986" w:type="dxa"/>
          </w:tcPr>
          <w:p w14:paraId="2E0118E8"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4.1.6 - Making an analysis of the coherence of the PIFC regulation with other horizontal regulations</w:t>
            </w:r>
          </w:p>
        </w:tc>
        <w:tc>
          <w:tcPr>
            <w:tcW w:w="1828" w:type="dxa"/>
            <w:shd w:val="clear" w:color="auto" w:fill="D9D9D9" w:themeFill="background1" w:themeFillShade="D9"/>
          </w:tcPr>
          <w:p w14:paraId="7B253C4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E86018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5F65A0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8.400.000</w:t>
            </w:r>
          </w:p>
        </w:tc>
        <w:tc>
          <w:tcPr>
            <w:tcW w:w="1826" w:type="dxa"/>
          </w:tcPr>
          <w:p w14:paraId="66E7EC1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6A5A429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8.400.000</w:t>
            </w:r>
          </w:p>
        </w:tc>
        <w:tc>
          <w:tcPr>
            <w:tcW w:w="1826" w:type="dxa"/>
          </w:tcPr>
          <w:p w14:paraId="23B99930"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23E9E6B9" w14:textId="77777777" w:rsidTr="00BD105F">
        <w:tc>
          <w:tcPr>
            <w:tcW w:w="1986" w:type="dxa"/>
            <w:vMerge w:val="restart"/>
            <w:shd w:val="clear" w:color="auto" w:fill="8EAADB" w:themeFill="accent5" w:themeFillTint="99"/>
          </w:tcPr>
          <w:p w14:paraId="205A0763"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38DA25D3"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1F40DAFD" w14:textId="77777777" w:rsidTr="00BD105F">
        <w:tc>
          <w:tcPr>
            <w:tcW w:w="1986" w:type="dxa"/>
            <w:vMerge/>
            <w:shd w:val="clear" w:color="auto" w:fill="8EAADB" w:themeFill="accent5" w:themeFillTint="99"/>
          </w:tcPr>
          <w:p w14:paraId="5F44FD3B"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74B398D9"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28FBA38F"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58BE7FFC"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6054F4EA" w14:textId="77777777" w:rsidTr="00BD105F">
        <w:tc>
          <w:tcPr>
            <w:tcW w:w="1986" w:type="dxa"/>
            <w:vMerge/>
            <w:shd w:val="clear" w:color="auto" w:fill="8EAADB" w:themeFill="accent5" w:themeFillTint="99"/>
          </w:tcPr>
          <w:p w14:paraId="161DD9BB"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123688CB"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12A8D84"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6883DC83"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25AF8C72"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5AABB8BF"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08DB4E3B"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6AB449F2" w14:textId="77777777" w:rsidTr="00BD105F">
        <w:tc>
          <w:tcPr>
            <w:tcW w:w="1986" w:type="dxa"/>
            <w:shd w:val="clear" w:color="auto" w:fill="FBE4D5" w:themeFill="accent2" w:themeFillTint="33"/>
          </w:tcPr>
          <w:p w14:paraId="364499C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4.2 - Improved internal audit function in the public sector in accordance with international standards and principles</w:t>
            </w:r>
          </w:p>
        </w:tc>
        <w:tc>
          <w:tcPr>
            <w:tcW w:w="1828" w:type="dxa"/>
            <w:shd w:val="clear" w:color="auto" w:fill="FBE4D5" w:themeFill="accent2" w:themeFillTint="33"/>
          </w:tcPr>
          <w:p w14:paraId="00CC99A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492.600.000</w:t>
            </w:r>
          </w:p>
        </w:tc>
        <w:tc>
          <w:tcPr>
            <w:tcW w:w="1826" w:type="dxa"/>
            <w:shd w:val="clear" w:color="auto" w:fill="FBE4D5" w:themeFill="accent2" w:themeFillTint="33"/>
          </w:tcPr>
          <w:p w14:paraId="442E4E4A"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3F7E4B7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35.366.800</w:t>
            </w:r>
          </w:p>
        </w:tc>
        <w:tc>
          <w:tcPr>
            <w:tcW w:w="1826" w:type="dxa"/>
            <w:shd w:val="clear" w:color="auto" w:fill="FBE4D5" w:themeFill="accent2" w:themeFillTint="33"/>
          </w:tcPr>
          <w:p w14:paraId="6B211C31"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7043847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527.966.800</w:t>
            </w:r>
          </w:p>
        </w:tc>
        <w:tc>
          <w:tcPr>
            <w:tcW w:w="1826" w:type="dxa"/>
            <w:shd w:val="clear" w:color="auto" w:fill="FBE4D5" w:themeFill="accent2" w:themeFillTint="33"/>
          </w:tcPr>
          <w:p w14:paraId="693D2B55"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3DA62A8F" w14:textId="77777777" w:rsidTr="00BD105F">
        <w:tc>
          <w:tcPr>
            <w:tcW w:w="1986" w:type="dxa"/>
          </w:tcPr>
          <w:p w14:paraId="2185C29A"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4.2.1 – Analysis of the application of the existing methodological framework and its improvement (e.g. for performance audits, advisory services, etc.)</w:t>
            </w:r>
          </w:p>
        </w:tc>
        <w:tc>
          <w:tcPr>
            <w:tcW w:w="1828" w:type="dxa"/>
            <w:shd w:val="clear" w:color="auto" w:fill="D9D9D9" w:themeFill="background1" w:themeFillShade="D9"/>
          </w:tcPr>
          <w:p w14:paraId="238740D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6CE9EF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FB4578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14.400.000</w:t>
            </w:r>
          </w:p>
        </w:tc>
        <w:tc>
          <w:tcPr>
            <w:tcW w:w="1826" w:type="dxa"/>
          </w:tcPr>
          <w:p w14:paraId="148F6117"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B8C70E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14.400.000</w:t>
            </w:r>
          </w:p>
        </w:tc>
        <w:tc>
          <w:tcPr>
            <w:tcW w:w="1826" w:type="dxa"/>
          </w:tcPr>
          <w:p w14:paraId="35D4BEBD"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73770F17" w14:textId="77777777" w:rsidTr="00BD105F">
        <w:tc>
          <w:tcPr>
            <w:tcW w:w="1986" w:type="dxa"/>
          </w:tcPr>
          <w:p w14:paraId="2ABB77E2"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4.2.2 - Preparation and implementation of the Programme for continuous </w:t>
            </w:r>
            <w:r w:rsidRPr="008E3674">
              <w:rPr>
                <w:rFonts w:ascii="Times New Roman" w:hAnsi="Times New Roman"/>
                <w:b/>
                <w:bCs/>
                <w:sz w:val="20"/>
                <w:szCs w:val="20"/>
                <w:lang w:val="sr-Cyrl-RS"/>
              </w:rPr>
              <w:lastRenderedPageBreak/>
              <w:t>improvement of internal auditors (link to 4.4.4)</w:t>
            </w:r>
          </w:p>
        </w:tc>
        <w:tc>
          <w:tcPr>
            <w:tcW w:w="1828" w:type="dxa"/>
            <w:shd w:val="clear" w:color="auto" w:fill="D9D9D9" w:themeFill="background1" w:themeFillShade="D9"/>
          </w:tcPr>
          <w:p w14:paraId="74F2DAF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0</w:t>
            </w:r>
          </w:p>
        </w:tc>
        <w:tc>
          <w:tcPr>
            <w:tcW w:w="1826" w:type="dxa"/>
          </w:tcPr>
          <w:p w14:paraId="23C7029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4BBDC3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5FCC12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C8B3A2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442D87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5A3DC7BF" w14:textId="77777777" w:rsidTr="00BD105F">
        <w:tc>
          <w:tcPr>
            <w:tcW w:w="1986" w:type="dxa"/>
          </w:tcPr>
          <w:p w14:paraId="398AD89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4.2.3 - Personnel empowerment of internal audit (promotion of the profession, tools for recruitment and selection of internal auditors, proposal for improving the professional position of internal auditors, etc.)</w:t>
            </w:r>
          </w:p>
        </w:tc>
        <w:tc>
          <w:tcPr>
            <w:tcW w:w="1828" w:type="dxa"/>
            <w:shd w:val="clear" w:color="auto" w:fill="D9D9D9" w:themeFill="background1" w:themeFillShade="D9"/>
          </w:tcPr>
          <w:p w14:paraId="1EA4272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A7E8DC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413101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6.526.800</w:t>
            </w:r>
          </w:p>
        </w:tc>
        <w:tc>
          <w:tcPr>
            <w:tcW w:w="1826" w:type="dxa"/>
          </w:tcPr>
          <w:p w14:paraId="6A5D5703"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9DFF65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6.526.800</w:t>
            </w:r>
          </w:p>
        </w:tc>
        <w:tc>
          <w:tcPr>
            <w:tcW w:w="1826" w:type="dxa"/>
          </w:tcPr>
          <w:p w14:paraId="3FF94E4D"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075F681" w14:textId="77777777" w:rsidTr="00BD105F">
        <w:tc>
          <w:tcPr>
            <w:tcW w:w="1986" w:type="dxa"/>
          </w:tcPr>
          <w:p w14:paraId="0F24DA2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4.2.4 - Support for the establishment and improvement of IA at the local level</w:t>
            </w:r>
          </w:p>
        </w:tc>
        <w:tc>
          <w:tcPr>
            <w:tcW w:w="1828" w:type="dxa"/>
            <w:shd w:val="clear" w:color="auto" w:fill="D9D9D9" w:themeFill="background1" w:themeFillShade="D9"/>
          </w:tcPr>
          <w:p w14:paraId="13D2F0D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E6EA26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5582C2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2A2572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8F6CA4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EBB3F3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7DCBBCC4" w14:textId="77777777" w:rsidTr="00BD105F">
        <w:tc>
          <w:tcPr>
            <w:tcW w:w="1986" w:type="dxa"/>
          </w:tcPr>
          <w:p w14:paraId="087E898F"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4.2.5 - Introduction of external quality assessment according to the collegial review method (training and certification of evaluators, adoption and implementation of the External Quality Assessment Programme)</w:t>
            </w:r>
          </w:p>
        </w:tc>
        <w:tc>
          <w:tcPr>
            <w:tcW w:w="1828" w:type="dxa"/>
            <w:shd w:val="clear" w:color="auto" w:fill="D9D9D9" w:themeFill="background1" w:themeFillShade="D9"/>
          </w:tcPr>
          <w:p w14:paraId="796FEC7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12.600.000</w:t>
            </w:r>
          </w:p>
        </w:tc>
        <w:tc>
          <w:tcPr>
            <w:tcW w:w="1826" w:type="dxa"/>
          </w:tcPr>
          <w:p w14:paraId="55D08AC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C6972A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3.240.000</w:t>
            </w:r>
          </w:p>
        </w:tc>
        <w:tc>
          <w:tcPr>
            <w:tcW w:w="1826" w:type="dxa"/>
          </w:tcPr>
          <w:p w14:paraId="3461240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DAFD77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15.840.000</w:t>
            </w:r>
          </w:p>
        </w:tc>
        <w:tc>
          <w:tcPr>
            <w:tcW w:w="1826" w:type="dxa"/>
          </w:tcPr>
          <w:p w14:paraId="2DE9CF8A"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75D7E7A" w14:textId="77777777" w:rsidTr="00BD105F">
        <w:tc>
          <w:tcPr>
            <w:tcW w:w="1986" w:type="dxa"/>
          </w:tcPr>
          <w:p w14:paraId="0C15B107"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4.2.6 - Analysis of the application and possible improvement of the existing legal </w:t>
            </w:r>
            <w:r w:rsidRPr="008E3674">
              <w:rPr>
                <w:rFonts w:ascii="Times New Roman" w:hAnsi="Times New Roman"/>
                <w:b/>
                <w:bCs/>
                <w:sz w:val="20"/>
                <w:szCs w:val="20"/>
                <w:lang w:val="sr-Cyrl-RS"/>
              </w:rPr>
              <w:lastRenderedPageBreak/>
              <w:t>framework in order to optimise the organisation of internal audit and reporting to the IA (Support for the implementation of changes from the Rulebook for IA)</w:t>
            </w:r>
          </w:p>
        </w:tc>
        <w:tc>
          <w:tcPr>
            <w:tcW w:w="1828" w:type="dxa"/>
            <w:shd w:val="clear" w:color="auto" w:fill="D9D9D9" w:themeFill="background1" w:themeFillShade="D9"/>
          </w:tcPr>
          <w:p w14:paraId="37351CE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0</w:t>
            </w:r>
          </w:p>
        </w:tc>
        <w:tc>
          <w:tcPr>
            <w:tcW w:w="1826" w:type="dxa"/>
          </w:tcPr>
          <w:p w14:paraId="0BA2AF1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B23279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8.400.000</w:t>
            </w:r>
          </w:p>
        </w:tc>
        <w:tc>
          <w:tcPr>
            <w:tcW w:w="1826" w:type="dxa"/>
          </w:tcPr>
          <w:p w14:paraId="0EB3CFB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3334D0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8.400.000</w:t>
            </w:r>
          </w:p>
        </w:tc>
        <w:tc>
          <w:tcPr>
            <w:tcW w:w="1826" w:type="dxa"/>
          </w:tcPr>
          <w:p w14:paraId="021E16CE"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20FADDE3" w14:textId="77777777" w:rsidTr="00BD105F">
        <w:tc>
          <w:tcPr>
            <w:tcW w:w="1986" w:type="dxa"/>
          </w:tcPr>
          <w:p w14:paraId="38C9FD8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4.2.7 - Model framework for improving the function of audit boards/audit commissions (study tour and model)</w:t>
            </w:r>
          </w:p>
        </w:tc>
        <w:tc>
          <w:tcPr>
            <w:tcW w:w="1828" w:type="dxa"/>
            <w:shd w:val="clear" w:color="auto" w:fill="D9D9D9" w:themeFill="background1" w:themeFillShade="D9"/>
          </w:tcPr>
          <w:p w14:paraId="380F90B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482F753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FB0129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1.000.000</w:t>
            </w:r>
          </w:p>
        </w:tc>
        <w:tc>
          <w:tcPr>
            <w:tcW w:w="1826" w:type="dxa"/>
          </w:tcPr>
          <w:p w14:paraId="00C7499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85EC19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1.000.000</w:t>
            </w:r>
          </w:p>
        </w:tc>
        <w:tc>
          <w:tcPr>
            <w:tcW w:w="1826" w:type="dxa"/>
          </w:tcPr>
          <w:p w14:paraId="66352C8C"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6F8096B" w14:textId="77777777" w:rsidTr="00BD105F">
        <w:tc>
          <w:tcPr>
            <w:tcW w:w="1986" w:type="dxa"/>
          </w:tcPr>
          <w:p w14:paraId="531F1DF0"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4.2.8 - Networking support in the form of annual meetings of heads of IA ministries</w:t>
            </w:r>
          </w:p>
        </w:tc>
        <w:tc>
          <w:tcPr>
            <w:tcW w:w="1828" w:type="dxa"/>
            <w:shd w:val="clear" w:color="auto" w:fill="D9D9D9" w:themeFill="background1" w:themeFillShade="D9"/>
          </w:tcPr>
          <w:p w14:paraId="6BCC5D2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A1F4AC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D84C6C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29CA9E41"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D25F4E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600.000</w:t>
            </w:r>
          </w:p>
        </w:tc>
        <w:tc>
          <w:tcPr>
            <w:tcW w:w="1826" w:type="dxa"/>
          </w:tcPr>
          <w:p w14:paraId="14316B8F"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066272D0" w14:textId="77777777" w:rsidTr="00BD105F">
        <w:tc>
          <w:tcPr>
            <w:tcW w:w="1986" w:type="dxa"/>
          </w:tcPr>
          <w:p w14:paraId="348E17C0"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4.2.9 - Improving the employment and legal status of IA</w:t>
            </w:r>
          </w:p>
        </w:tc>
        <w:tc>
          <w:tcPr>
            <w:tcW w:w="1828" w:type="dxa"/>
            <w:shd w:val="clear" w:color="auto" w:fill="D9D9D9" w:themeFill="background1" w:themeFillShade="D9"/>
          </w:tcPr>
          <w:p w14:paraId="4A31FE5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480.000.000</w:t>
            </w:r>
          </w:p>
        </w:tc>
        <w:tc>
          <w:tcPr>
            <w:tcW w:w="1826" w:type="dxa"/>
          </w:tcPr>
          <w:p w14:paraId="7AF6FE0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07D76F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1.200.000</w:t>
            </w:r>
          </w:p>
        </w:tc>
        <w:tc>
          <w:tcPr>
            <w:tcW w:w="1826" w:type="dxa"/>
          </w:tcPr>
          <w:p w14:paraId="1849C2C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60C1955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481.200.000</w:t>
            </w:r>
          </w:p>
        </w:tc>
        <w:tc>
          <w:tcPr>
            <w:tcW w:w="1826" w:type="dxa"/>
          </w:tcPr>
          <w:p w14:paraId="7D8C31E1"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CBBB521" w14:textId="77777777" w:rsidTr="00BD105F">
        <w:tc>
          <w:tcPr>
            <w:tcW w:w="1986" w:type="dxa"/>
            <w:vMerge w:val="restart"/>
            <w:shd w:val="clear" w:color="auto" w:fill="8EAADB" w:themeFill="accent5" w:themeFillTint="99"/>
          </w:tcPr>
          <w:p w14:paraId="09DB4299"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3B96A16D"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3C3329D7" w14:textId="77777777" w:rsidTr="00BD105F">
        <w:tc>
          <w:tcPr>
            <w:tcW w:w="1986" w:type="dxa"/>
            <w:vMerge/>
            <w:shd w:val="clear" w:color="auto" w:fill="8EAADB" w:themeFill="accent5" w:themeFillTint="99"/>
          </w:tcPr>
          <w:p w14:paraId="6820875B"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42F59C21"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6373714F"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5ECEBCF0"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212A7AF8" w14:textId="77777777" w:rsidTr="00BD105F">
        <w:tc>
          <w:tcPr>
            <w:tcW w:w="1986" w:type="dxa"/>
            <w:vMerge/>
            <w:shd w:val="clear" w:color="auto" w:fill="8EAADB" w:themeFill="accent5" w:themeFillTint="99"/>
          </w:tcPr>
          <w:p w14:paraId="11D8F11A"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4AA63DA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698D768"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108CAE8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000FA97E"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3E5E85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60F39D5"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22601E88" w14:textId="77777777" w:rsidTr="00BD105F">
        <w:tc>
          <w:tcPr>
            <w:tcW w:w="1986" w:type="dxa"/>
            <w:shd w:val="clear" w:color="auto" w:fill="FBE4D5" w:themeFill="accent2" w:themeFillTint="33"/>
          </w:tcPr>
          <w:p w14:paraId="75BC46B8"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Measure 4.3 - Strengthened monitoring of internal control in the public sector </w:t>
            </w:r>
          </w:p>
        </w:tc>
        <w:tc>
          <w:tcPr>
            <w:tcW w:w="1828" w:type="dxa"/>
            <w:shd w:val="clear" w:color="auto" w:fill="FBE4D5" w:themeFill="accent2" w:themeFillTint="33"/>
          </w:tcPr>
          <w:p w14:paraId="52F1FDC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5.856.000</w:t>
            </w:r>
          </w:p>
        </w:tc>
        <w:tc>
          <w:tcPr>
            <w:tcW w:w="1826" w:type="dxa"/>
            <w:shd w:val="clear" w:color="auto" w:fill="FBE4D5" w:themeFill="accent2" w:themeFillTint="33"/>
          </w:tcPr>
          <w:p w14:paraId="28A080CC"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3079E7F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5.900.000</w:t>
            </w:r>
          </w:p>
        </w:tc>
        <w:tc>
          <w:tcPr>
            <w:tcW w:w="1826" w:type="dxa"/>
            <w:shd w:val="clear" w:color="auto" w:fill="FBE4D5" w:themeFill="accent2" w:themeFillTint="33"/>
          </w:tcPr>
          <w:p w14:paraId="4FC541CE"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5D7A497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11.756.000</w:t>
            </w:r>
          </w:p>
        </w:tc>
        <w:tc>
          <w:tcPr>
            <w:tcW w:w="1826" w:type="dxa"/>
            <w:shd w:val="clear" w:color="auto" w:fill="FBE4D5" w:themeFill="accent2" w:themeFillTint="33"/>
          </w:tcPr>
          <w:p w14:paraId="3761149A"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6729F9CA" w14:textId="77777777" w:rsidTr="00BD105F">
        <w:tc>
          <w:tcPr>
            <w:tcW w:w="1986" w:type="dxa"/>
          </w:tcPr>
          <w:p w14:paraId="5C7FFEE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4.3.1 - Improving the functionality of the application, modules for improving the </w:t>
            </w:r>
            <w:r w:rsidRPr="008E3674">
              <w:rPr>
                <w:rFonts w:ascii="Times New Roman" w:hAnsi="Times New Roman"/>
                <w:b/>
                <w:bCs/>
                <w:sz w:val="20"/>
                <w:szCs w:val="20"/>
                <w:lang w:val="sr-Cyrl-RS"/>
              </w:rPr>
              <w:lastRenderedPageBreak/>
              <w:t>operation of CJH applications, training, mandatory through regulations</w:t>
            </w:r>
          </w:p>
        </w:tc>
        <w:tc>
          <w:tcPr>
            <w:tcW w:w="1828" w:type="dxa"/>
            <w:shd w:val="clear" w:color="auto" w:fill="D9D9D9" w:themeFill="background1" w:themeFillShade="D9"/>
          </w:tcPr>
          <w:p w14:paraId="3563BAC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5.856.000</w:t>
            </w:r>
          </w:p>
        </w:tc>
        <w:tc>
          <w:tcPr>
            <w:tcW w:w="1826" w:type="dxa"/>
          </w:tcPr>
          <w:p w14:paraId="4E01B86A"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30C9CF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5.900.000</w:t>
            </w:r>
          </w:p>
        </w:tc>
        <w:tc>
          <w:tcPr>
            <w:tcW w:w="1826" w:type="dxa"/>
          </w:tcPr>
          <w:p w14:paraId="05EE7D23"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9434D2E" w14:textId="77777777" w:rsidR="008E3674" w:rsidRPr="008E3674" w:rsidRDefault="004D78BB" w:rsidP="008E3674">
            <w:pPr>
              <w:jc w:val="center"/>
              <w:rPr>
                <w:rFonts w:ascii="Times New Roman" w:hAnsi="Times New Roman"/>
                <w:lang w:val="sr-Cyrl-RS"/>
              </w:rPr>
            </w:pPr>
            <w:r w:rsidRPr="004D78BB">
              <w:rPr>
                <w:rFonts w:ascii="Times New Roman" w:hAnsi="Times New Roman"/>
                <w:lang w:val="sr-Latn-RS"/>
              </w:rPr>
              <w:t>11</w:t>
            </w:r>
            <w:r w:rsidR="008E3674" w:rsidRPr="004D78BB">
              <w:rPr>
                <w:rFonts w:ascii="Times New Roman" w:hAnsi="Times New Roman"/>
                <w:lang w:val="sr-Cyrl-RS"/>
              </w:rPr>
              <w:t>.</w:t>
            </w:r>
            <w:r w:rsidRPr="004D78BB">
              <w:rPr>
                <w:rFonts w:ascii="Times New Roman" w:hAnsi="Times New Roman"/>
                <w:lang w:val="sr-Latn-RS"/>
              </w:rPr>
              <w:t>756</w:t>
            </w:r>
            <w:r w:rsidR="008E3674" w:rsidRPr="004D78BB">
              <w:rPr>
                <w:rFonts w:ascii="Times New Roman" w:hAnsi="Times New Roman"/>
                <w:lang w:val="sr-Cyrl-RS"/>
              </w:rPr>
              <w:t>.000</w:t>
            </w:r>
          </w:p>
        </w:tc>
        <w:tc>
          <w:tcPr>
            <w:tcW w:w="1826" w:type="dxa"/>
          </w:tcPr>
          <w:p w14:paraId="15F4B0A9"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14A7DDE" w14:textId="77777777" w:rsidTr="00BD105F">
        <w:tc>
          <w:tcPr>
            <w:tcW w:w="1986" w:type="dxa"/>
            <w:vMerge w:val="restart"/>
            <w:shd w:val="clear" w:color="auto" w:fill="8EAADB" w:themeFill="accent5" w:themeFillTint="99"/>
          </w:tcPr>
          <w:p w14:paraId="5060B5A4"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292526B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30AF9AAD" w14:textId="77777777" w:rsidTr="00BD105F">
        <w:tc>
          <w:tcPr>
            <w:tcW w:w="1986" w:type="dxa"/>
            <w:vMerge/>
            <w:shd w:val="clear" w:color="auto" w:fill="8EAADB" w:themeFill="accent5" w:themeFillTint="99"/>
          </w:tcPr>
          <w:p w14:paraId="71CB6325"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22A776CF"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0D859A20"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59767692"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63664D13" w14:textId="77777777" w:rsidTr="00BD105F">
        <w:tc>
          <w:tcPr>
            <w:tcW w:w="1986" w:type="dxa"/>
            <w:vMerge/>
            <w:shd w:val="clear" w:color="auto" w:fill="8EAADB" w:themeFill="accent5" w:themeFillTint="99"/>
          </w:tcPr>
          <w:p w14:paraId="5BCDBE4E"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7F0A9FE8"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5A584DC"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49E6D63F"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7B5FF10"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5C06C9E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0B7D5D05"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6D1EDE16" w14:textId="77777777" w:rsidTr="00BD105F">
        <w:tc>
          <w:tcPr>
            <w:tcW w:w="1986" w:type="dxa"/>
            <w:shd w:val="clear" w:color="auto" w:fill="FBE4D5" w:themeFill="accent2" w:themeFillTint="33"/>
          </w:tcPr>
          <w:p w14:paraId="66A7BDF2"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4.4 – Modernisation of the training system in the area of PIFC</w:t>
            </w:r>
          </w:p>
        </w:tc>
        <w:tc>
          <w:tcPr>
            <w:tcW w:w="1828" w:type="dxa"/>
            <w:shd w:val="clear" w:color="auto" w:fill="FBE4D5" w:themeFill="accent2" w:themeFillTint="33"/>
          </w:tcPr>
          <w:p w14:paraId="4C2EEA4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3EDE2E7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6CAA279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75.000.000</w:t>
            </w:r>
          </w:p>
        </w:tc>
        <w:tc>
          <w:tcPr>
            <w:tcW w:w="1826" w:type="dxa"/>
            <w:shd w:val="clear" w:color="auto" w:fill="FBE4D5" w:themeFill="accent2" w:themeFillTint="33"/>
          </w:tcPr>
          <w:p w14:paraId="56BD657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3AEAFE5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75.000.000</w:t>
            </w:r>
          </w:p>
        </w:tc>
        <w:tc>
          <w:tcPr>
            <w:tcW w:w="1826" w:type="dxa"/>
            <w:shd w:val="clear" w:color="auto" w:fill="FBE4D5" w:themeFill="accent2" w:themeFillTint="33"/>
          </w:tcPr>
          <w:p w14:paraId="642B5313"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D85C3ED" w14:textId="77777777" w:rsidTr="00BD105F">
        <w:tc>
          <w:tcPr>
            <w:tcW w:w="1986" w:type="dxa"/>
          </w:tcPr>
          <w:p w14:paraId="543AD832"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4.4.1 - Protocol on cooperation between NAJU and CJH regarding the implementation of training in the field of PIFC</w:t>
            </w:r>
          </w:p>
        </w:tc>
        <w:tc>
          <w:tcPr>
            <w:tcW w:w="1828" w:type="dxa"/>
            <w:shd w:val="clear" w:color="auto" w:fill="D9D9D9" w:themeFill="background1" w:themeFillShade="D9"/>
          </w:tcPr>
          <w:p w14:paraId="7084C6B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0C8181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750505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4.200.000</w:t>
            </w:r>
          </w:p>
        </w:tc>
        <w:tc>
          <w:tcPr>
            <w:tcW w:w="1826" w:type="dxa"/>
          </w:tcPr>
          <w:p w14:paraId="2F27FA3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BB7088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4.200.000</w:t>
            </w:r>
          </w:p>
        </w:tc>
        <w:tc>
          <w:tcPr>
            <w:tcW w:w="1826" w:type="dxa"/>
          </w:tcPr>
          <w:p w14:paraId="27CF79F0"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7000AF88" w14:textId="77777777" w:rsidTr="00BD105F">
        <w:tc>
          <w:tcPr>
            <w:tcW w:w="1986" w:type="dxa"/>
          </w:tcPr>
          <w:p w14:paraId="6FBA4FD5"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4.4.2 - Improving the process of certification of internal auditors</w:t>
            </w:r>
          </w:p>
        </w:tc>
        <w:tc>
          <w:tcPr>
            <w:tcW w:w="1828" w:type="dxa"/>
            <w:shd w:val="clear" w:color="auto" w:fill="D9D9D9" w:themeFill="background1" w:themeFillShade="D9"/>
          </w:tcPr>
          <w:p w14:paraId="59959E6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BEBCC2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0031CF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14.400.000</w:t>
            </w:r>
          </w:p>
        </w:tc>
        <w:tc>
          <w:tcPr>
            <w:tcW w:w="1826" w:type="dxa"/>
          </w:tcPr>
          <w:p w14:paraId="127A860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1735AD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14.400.000</w:t>
            </w:r>
          </w:p>
        </w:tc>
        <w:tc>
          <w:tcPr>
            <w:tcW w:w="1826" w:type="dxa"/>
          </w:tcPr>
          <w:p w14:paraId="416F9054"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2186A38C" w14:textId="77777777" w:rsidTr="00BD105F">
        <w:tc>
          <w:tcPr>
            <w:tcW w:w="1986" w:type="dxa"/>
          </w:tcPr>
          <w:p w14:paraId="655AED43"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4.4.3 - Modernisation of training and training materials in the field of PIFC (expansion of the e-learning module)</w:t>
            </w:r>
          </w:p>
        </w:tc>
        <w:tc>
          <w:tcPr>
            <w:tcW w:w="1828" w:type="dxa"/>
            <w:shd w:val="clear" w:color="auto" w:fill="D9D9D9" w:themeFill="background1" w:themeFillShade="D9"/>
          </w:tcPr>
          <w:p w14:paraId="6C4D231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6481DF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77B198A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32.400.000</w:t>
            </w:r>
          </w:p>
        </w:tc>
        <w:tc>
          <w:tcPr>
            <w:tcW w:w="1826" w:type="dxa"/>
          </w:tcPr>
          <w:p w14:paraId="733AA41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BB6341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32.400.000</w:t>
            </w:r>
          </w:p>
        </w:tc>
        <w:tc>
          <w:tcPr>
            <w:tcW w:w="1826" w:type="dxa"/>
          </w:tcPr>
          <w:p w14:paraId="07FA1F12"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6E3CE8B2" w14:textId="77777777" w:rsidTr="00BD105F">
        <w:tc>
          <w:tcPr>
            <w:tcW w:w="1986" w:type="dxa"/>
          </w:tcPr>
          <w:p w14:paraId="453CF99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4.4.4 - Preparation and implementation of training for internal auditors through the Programme for continuous professional </w:t>
            </w:r>
            <w:r w:rsidRPr="008E3674">
              <w:rPr>
                <w:rFonts w:ascii="Times New Roman" w:hAnsi="Times New Roman"/>
                <w:b/>
                <w:bCs/>
                <w:sz w:val="20"/>
                <w:szCs w:val="20"/>
                <w:lang w:val="sr-Cyrl-RS"/>
              </w:rPr>
              <w:lastRenderedPageBreak/>
              <w:t>development of internal auditors in the public sector</w:t>
            </w:r>
          </w:p>
        </w:tc>
        <w:tc>
          <w:tcPr>
            <w:tcW w:w="1828" w:type="dxa"/>
            <w:shd w:val="clear" w:color="auto" w:fill="D9D9D9" w:themeFill="background1" w:themeFillShade="D9"/>
          </w:tcPr>
          <w:p w14:paraId="4F3F02FF"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0</w:t>
            </w:r>
          </w:p>
        </w:tc>
        <w:tc>
          <w:tcPr>
            <w:tcW w:w="1826" w:type="dxa"/>
          </w:tcPr>
          <w:p w14:paraId="3F62C9E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BE77D0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24.000.000</w:t>
            </w:r>
          </w:p>
        </w:tc>
        <w:tc>
          <w:tcPr>
            <w:tcW w:w="1826" w:type="dxa"/>
          </w:tcPr>
          <w:p w14:paraId="0AB4498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4175FE5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24.000.000</w:t>
            </w:r>
          </w:p>
        </w:tc>
        <w:tc>
          <w:tcPr>
            <w:tcW w:w="1826" w:type="dxa"/>
          </w:tcPr>
          <w:p w14:paraId="66ABF758"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7809081A" w14:textId="77777777" w:rsidTr="00BD105F">
        <w:tc>
          <w:tcPr>
            <w:tcW w:w="12950" w:type="dxa"/>
            <w:gridSpan w:val="7"/>
            <w:shd w:val="clear" w:color="auto" w:fill="1F3864" w:themeFill="accent5" w:themeFillShade="80"/>
          </w:tcPr>
          <w:p w14:paraId="31B7ECED" w14:textId="77777777" w:rsidR="008E3674" w:rsidRPr="008E3674" w:rsidRDefault="008E3674" w:rsidP="008E3674">
            <w:pPr>
              <w:rPr>
                <w:rFonts w:ascii="Times New Roman" w:hAnsi="Times New Roman"/>
                <w:lang w:val="sr-Cyrl-RS"/>
              </w:rPr>
            </w:pPr>
            <w:r w:rsidRPr="008E3674">
              <w:rPr>
                <w:rFonts w:ascii="Times New Roman" w:hAnsi="Times New Roman"/>
                <w:lang w:val="sr-Cyrl-RS"/>
              </w:rPr>
              <w:t>Specific objective 5: Improved accounting in the public sector through the application of International Public Sector Accounting Standards (IPSAS)</w:t>
            </w:r>
          </w:p>
        </w:tc>
      </w:tr>
      <w:tr w:rsidR="008E3674" w:rsidRPr="008E3674" w14:paraId="5A7BAD07" w14:textId="77777777" w:rsidTr="00BD105F">
        <w:tc>
          <w:tcPr>
            <w:tcW w:w="1986" w:type="dxa"/>
            <w:vMerge w:val="restart"/>
            <w:shd w:val="clear" w:color="auto" w:fill="8EAADB" w:themeFill="accent5" w:themeFillTint="99"/>
          </w:tcPr>
          <w:p w14:paraId="0D88BCA4"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51B9A855"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07BBD05A" w14:textId="77777777" w:rsidTr="00BD105F">
        <w:tc>
          <w:tcPr>
            <w:tcW w:w="1986" w:type="dxa"/>
            <w:vMerge/>
            <w:shd w:val="clear" w:color="auto" w:fill="8EAADB" w:themeFill="accent5" w:themeFillTint="99"/>
          </w:tcPr>
          <w:p w14:paraId="55A9D1D0"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6EE30475"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162EEBED"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211D9A79"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552EAB2C" w14:textId="77777777" w:rsidTr="00BD105F">
        <w:tc>
          <w:tcPr>
            <w:tcW w:w="1986" w:type="dxa"/>
            <w:vMerge/>
            <w:shd w:val="clear" w:color="auto" w:fill="8EAADB" w:themeFill="accent5" w:themeFillTint="99"/>
          </w:tcPr>
          <w:p w14:paraId="4B34CF9B"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440D4F0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4D9D20E6"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2003E63B"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0A434A2"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4684047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1AC2C5C"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73BB2F7D" w14:textId="77777777" w:rsidTr="00BD105F">
        <w:tc>
          <w:tcPr>
            <w:tcW w:w="1986" w:type="dxa"/>
            <w:shd w:val="clear" w:color="auto" w:fill="FBE4D5" w:themeFill="accent2" w:themeFillTint="33"/>
          </w:tcPr>
          <w:p w14:paraId="7A69AA72"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5.1 - Analysis of the current situation in accounting in the public sector and development and implementation of the Plan for the improvement of accounting in the public sector</w:t>
            </w:r>
          </w:p>
        </w:tc>
        <w:tc>
          <w:tcPr>
            <w:tcW w:w="1828" w:type="dxa"/>
            <w:shd w:val="clear" w:color="auto" w:fill="FBE4D5" w:themeFill="accent2" w:themeFillTint="33"/>
          </w:tcPr>
          <w:p w14:paraId="42BCD418" w14:textId="77777777" w:rsidR="008E3674" w:rsidRPr="008E3674" w:rsidRDefault="008E3674" w:rsidP="008E3674">
            <w:pPr>
              <w:jc w:val="center"/>
              <w:rPr>
                <w:rFonts w:ascii="Times New Roman" w:hAnsi="Times New Roman"/>
              </w:rPr>
            </w:pPr>
            <w:r w:rsidRPr="008E3674">
              <w:rPr>
                <w:rFonts w:ascii="Times New Roman" w:hAnsi="Times New Roman"/>
              </w:rPr>
              <w:t>57.800.000</w:t>
            </w:r>
          </w:p>
        </w:tc>
        <w:tc>
          <w:tcPr>
            <w:tcW w:w="1826" w:type="dxa"/>
            <w:shd w:val="clear" w:color="auto" w:fill="FBE4D5" w:themeFill="accent2" w:themeFillTint="33"/>
          </w:tcPr>
          <w:p w14:paraId="61218026" w14:textId="77777777" w:rsidR="008E3674" w:rsidRPr="008E3674" w:rsidRDefault="008E3674" w:rsidP="008E3674">
            <w:pPr>
              <w:jc w:val="center"/>
              <w:rPr>
                <w:rFonts w:ascii="Times New Roman" w:hAnsi="Times New Roman"/>
              </w:rPr>
            </w:pPr>
            <w:r w:rsidRPr="008E3674">
              <w:rPr>
                <w:rFonts w:ascii="Times New Roman" w:hAnsi="Times New Roman"/>
              </w:rPr>
              <w:t>24.441.000</w:t>
            </w:r>
          </w:p>
        </w:tc>
        <w:tc>
          <w:tcPr>
            <w:tcW w:w="1829" w:type="dxa"/>
            <w:shd w:val="clear" w:color="auto" w:fill="FBE4D5" w:themeFill="accent2" w:themeFillTint="33"/>
          </w:tcPr>
          <w:p w14:paraId="5D3E0D11" w14:textId="77777777" w:rsidR="008E3674" w:rsidRPr="008E3674" w:rsidRDefault="008E3674" w:rsidP="008E3674">
            <w:pPr>
              <w:jc w:val="center"/>
              <w:rPr>
                <w:rFonts w:ascii="Times New Roman" w:hAnsi="Times New Roman"/>
              </w:rPr>
            </w:pPr>
            <w:r w:rsidRPr="008E3674">
              <w:rPr>
                <w:rFonts w:ascii="Times New Roman" w:hAnsi="Times New Roman"/>
              </w:rPr>
              <w:t>450.000</w:t>
            </w:r>
          </w:p>
        </w:tc>
        <w:tc>
          <w:tcPr>
            <w:tcW w:w="1826" w:type="dxa"/>
            <w:shd w:val="clear" w:color="auto" w:fill="FBE4D5" w:themeFill="accent2" w:themeFillTint="33"/>
          </w:tcPr>
          <w:p w14:paraId="30882828" w14:textId="77777777" w:rsidR="008E3674" w:rsidRPr="008E3674" w:rsidRDefault="008E3674" w:rsidP="008E3674">
            <w:pPr>
              <w:jc w:val="center"/>
              <w:rPr>
                <w:rFonts w:ascii="Times New Roman" w:hAnsi="Times New Roman"/>
              </w:rPr>
            </w:pPr>
            <w:r w:rsidRPr="008E3674">
              <w:rPr>
                <w:rFonts w:ascii="Times New Roman" w:hAnsi="Times New Roman"/>
              </w:rPr>
              <w:t>1.121.000</w:t>
            </w:r>
          </w:p>
        </w:tc>
        <w:tc>
          <w:tcPr>
            <w:tcW w:w="1829" w:type="dxa"/>
            <w:shd w:val="clear" w:color="auto" w:fill="FBE4D5" w:themeFill="accent2" w:themeFillTint="33"/>
          </w:tcPr>
          <w:p w14:paraId="72795E58" w14:textId="77777777" w:rsidR="008E3674" w:rsidRPr="008E3674" w:rsidRDefault="008E3674" w:rsidP="008E3674">
            <w:pPr>
              <w:jc w:val="center"/>
              <w:rPr>
                <w:rFonts w:ascii="Times New Roman" w:hAnsi="Times New Roman"/>
              </w:rPr>
            </w:pPr>
            <w:r w:rsidRPr="008E3674">
              <w:rPr>
                <w:rFonts w:ascii="Times New Roman" w:hAnsi="Times New Roman"/>
              </w:rPr>
              <w:t>58.250.000</w:t>
            </w:r>
          </w:p>
        </w:tc>
        <w:tc>
          <w:tcPr>
            <w:tcW w:w="1826" w:type="dxa"/>
            <w:shd w:val="clear" w:color="auto" w:fill="FBE4D5" w:themeFill="accent2" w:themeFillTint="33"/>
          </w:tcPr>
          <w:p w14:paraId="352551AD" w14:textId="77777777" w:rsidR="008E3674" w:rsidRPr="008E3674" w:rsidRDefault="008E3674" w:rsidP="008E3674">
            <w:pPr>
              <w:jc w:val="center"/>
              <w:rPr>
                <w:rFonts w:ascii="Times New Roman" w:hAnsi="Times New Roman"/>
              </w:rPr>
            </w:pPr>
            <w:r w:rsidRPr="008E3674">
              <w:rPr>
                <w:rFonts w:ascii="Times New Roman" w:hAnsi="Times New Roman"/>
              </w:rPr>
              <w:t>25.562.000</w:t>
            </w:r>
          </w:p>
        </w:tc>
      </w:tr>
      <w:tr w:rsidR="008E3674" w:rsidRPr="008E3674" w14:paraId="636EA4CB" w14:textId="77777777" w:rsidTr="00BD105F">
        <w:tc>
          <w:tcPr>
            <w:tcW w:w="1986" w:type="dxa"/>
          </w:tcPr>
          <w:p w14:paraId="6F19BFD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5.1.1 - Development of a draft Plan for the improvement of accounting in the public sector, in stages</w:t>
            </w:r>
          </w:p>
        </w:tc>
        <w:tc>
          <w:tcPr>
            <w:tcW w:w="1828" w:type="dxa"/>
            <w:shd w:val="clear" w:color="auto" w:fill="D9D9D9" w:themeFill="background1" w:themeFillShade="D9"/>
          </w:tcPr>
          <w:p w14:paraId="49E1E855" w14:textId="77777777" w:rsidR="008E3674" w:rsidRPr="008E3674" w:rsidRDefault="008E3674" w:rsidP="008E3674">
            <w:pPr>
              <w:jc w:val="center"/>
              <w:rPr>
                <w:rFonts w:ascii="Times New Roman" w:hAnsi="Times New Roman"/>
              </w:rPr>
            </w:pPr>
            <w:r w:rsidRPr="008E3674">
              <w:rPr>
                <w:rFonts w:ascii="Times New Roman" w:hAnsi="Times New Roman"/>
              </w:rPr>
              <w:t>2.000.000</w:t>
            </w:r>
          </w:p>
        </w:tc>
        <w:tc>
          <w:tcPr>
            <w:tcW w:w="1826" w:type="dxa"/>
          </w:tcPr>
          <w:p w14:paraId="7A9AF27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555E860" w14:textId="77777777" w:rsidR="008E3674" w:rsidRPr="008E3674" w:rsidRDefault="008E3674" w:rsidP="008E3674">
            <w:pPr>
              <w:jc w:val="center"/>
              <w:rPr>
                <w:rFonts w:ascii="Times New Roman" w:hAnsi="Times New Roman"/>
              </w:rPr>
            </w:pPr>
            <w:r w:rsidRPr="008E3674">
              <w:rPr>
                <w:rFonts w:ascii="Times New Roman" w:hAnsi="Times New Roman"/>
              </w:rPr>
              <w:t>450.000</w:t>
            </w:r>
          </w:p>
        </w:tc>
        <w:tc>
          <w:tcPr>
            <w:tcW w:w="1826" w:type="dxa"/>
          </w:tcPr>
          <w:p w14:paraId="6BC076A0" w14:textId="77777777" w:rsidR="008E3674" w:rsidRPr="008E3674" w:rsidRDefault="008E3674" w:rsidP="008E3674">
            <w:pPr>
              <w:jc w:val="center"/>
              <w:rPr>
                <w:rFonts w:ascii="Times New Roman" w:hAnsi="Times New Roman"/>
              </w:rPr>
            </w:pPr>
            <w:r w:rsidRPr="008E3674">
              <w:rPr>
                <w:rFonts w:ascii="Times New Roman" w:hAnsi="Times New Roman"/>
              </w:rPr>
              <w:t>1.121.000</w:t>
            </w:r>
          </w:p>
        </w:tc>
        <w:tc>
          <w:tcPr>
            <w:tcW w:w="1829" w:type="dxa"/>
            <w:shd w:val="clear" w:color="auto" w:fill="D9D9D9" w:themeFill="background1" w:themeFillShade="D9"/>
          </w:tcPr>
          <w:p w14:paraId="5193CA77" w14:textId="77777777" w:rsidR="008E3674" w:rsidRPr="008E3674" w:rsidRDefault="008E3674" w:rsidP="008E3674">
            <w:pPr>
              <w:jc w:val="center"/>
              <w:rPr>
                <w:rFonts w:ascii="Times New Roman" w:hAnsi="Times New Roman"/>
              </w:rPr>
            </w:pPr>
            <w:r w:rsidRPr="008E3674">
              <w:rPr>
                <w:rFonts w:ascii="Times New Roman" w:hAnsi="Times New Roman"/>
              </w:rPr>
              <w:t>2.450.000</w:t>
            </w:r>
          </w:p>
        </w:tc>
        <w:tc>
          <w:tcPr>
            <w:tcW w:w="1826" w:type="dxa"/>
          </w:tcPr>
          <w:p w14:paraId="2DCB1844" w14:textId="77777777" w:rsidR="008E3674" w:rsidRPr="008E3674" w:rsidRDefault="008E3674" w:rsidP="008E3674">
            <w:pPr>
              <w:jc w:val="center"/>
              <w:rPr>
                <w:rFonts w:ascii="Times New Roman" w:hAnsi="Times New Roman"/>
              </w:rPr>
            </w:pPr>
            <w:r w:rsidRPr="008E3674">
              <w:rPr>
                <w:rFonts w:ascii="Times New Roman" w:hAnsi="Times New Roman"/>
              </w:rPr>
              <w:t>1.121.000</w:t>
            </w:r>
          </w:p>
        </w:tc>
      </w:tr>
      <w:tr w:rsidR="008E3674" w:rsidRPr="008E3674" w14:paraId="1A1B1392" w14:textId="77777777" w:rsidTr="00BD105F">
        <w:tc>
          <w:tcPr>
            <w:tcW w:w="1986" w:type="dxa"/>
          </w:tcPr>
          <w:p w14:paraId="26B4F383"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5.1.2 - Preparatory activities for the formation of a commission for the application of international accounting standards for the public sector</w:t>
            </w:r>
          </w:p>
        </w:tc>
        <w:tc>
          <w:tcPr>
            <w:tcW w:w="1828" w:type="dxa"/>
            <w:shd w:val="clear" w:color="auto" w:fill="D9D9D9" w:themeFill="background1" w:themeFillShade="D9"/>
          </w:tcPr>
          <w:p w14:paraId="06EEB46C" w14:textId="77777777" w:rsidR="008E3674" w:rsidRPr="008E3674" w:rsidRDefault="008E3674" w:rsidP="008E3674">
            <w:pPr>
              <w:jc w:val="center"/>
              <w:rPr>
                <w:rFonts w:ascii="Times New Roman" w:hAnsi="Times New Roman"/>
              </w:rPr>
            </w:pPr>
            <w:r w:rsidRPr="008E3674">
              <w:rPr>
                <w:rFonts w:ascii="Times New Roman" w:hAnsi="Times New Roman"/>
              </w:rPr>
              <w:t>40.800.000</w:t>
            </w:r>
          </w:p>
        </w:tc>
        <w:tc>
          <w:tcPr>
            <w:tcW w:w="1826" w:type="dxa"/>
          </w:tcPr>
          <w:p w14:paraId="0E8C3FD2" w14:textId="77777777" w:rsidR="008E3674" w:rsidRPr="008E3674" w:rsidRDefault="008E3674" w:rsidP="008E3674">
            <w:pPr>
              <w:jc w:val="center"/>
              <w:rPr>
                <w:rFonts w:ascii="Times New Roman" w:hAnsi="Times New Roman"/>
              </w:rPr>
            </w:pPr>
            <w:r w:rsidRPr="008E3674">
              <w:rPr>
                <w:rFonts w:ascii="Times New Roman" w:hAnsi="Times New Roman"/>
              </w:rPr>
              <w:t>24.441.000</w:t>
            </w:r>
          </w:p>
        </w:tc>
        <w:tc>
          <w:tcPr>
            <w:tcW w:w="1829" w:type="dxa"/>
            <w:shd w:val="clear" w:color="auto" w:fill="D9D9D9" w:themeFill="background1" w:themeFillShade="D9"/>
          </w:tcPr>
          <w:p w14:paraId="357911B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00A861D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6BDFA80" w14:textId="77777777" w:rsidR="008E3674" w:rsidRPr="008E3674" w:rsidRDefault="008E3674" w:rsidP="008E3674">
            <w:pPr>
              <w:jc w:val="center"/>
              <w:rPr>
                <w:rFonts w:ascii="Times New Roman" w:hAnsi="Times New Roman"/>
              </w:rPr>
            </w:pPr>
            <w:r w:rsidRPr="008E3674">
              <w:rPr>
                <w:rFonts w:ascii="Times New Roman" w:hAnsi="Times New Roman"/>
              </w:rPr>
              <w:t>40.800.000</w:t>
            </w:r>
          </w:p>
        </w:tc>
        <w:tc>
          <w:tcPr>
            <w:tcW w:w="1826" w:type="dxa"/>
          </w:tcPr>
          <w:p w14:paraId="513FDD56" w14:textId="77777777" w:rsidR="008E3674" w:rsidRPr="008E3674" w:rsidRDefault="008E3674" w:rsidP="008E3674">
            <w:pPr>
              <w:jc w:val="center"/>
              <w:rPr>
                <w:rFonts w:ascii="Times New Roman" w:hAnsi="Times New Roman"/>
              </w:rPr>
            </w:pPr>
            <w:r w:rsidRPr="008E3674">
              <w:rPr>
                <w:rFonts w:ascii="Times New Roman" w:hAnsi="Times New Roman"/>
              </w:rPr>
              <w:t>24.441.000</w:t>
            </w:r>
          </w:p>
        </w:tc>
      </w:tr>
      <w:tr w:rsidR="008E3674" w:rsidRPr="008E3674" w14:paraId="6FC9E33D" w14:textId="77777777" w:rsidTr="00BD105F">
        <w:tc>
          <w:tcPr>
            <w:tcW w:w="1986" w:type="dxa"/>
          </w:tcPr>
          <w:p w14:paraId="1BCA8E06"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5.1.3 - Activities aimed at concluding the </w:t>
            </w:r>
            <w:r w:rsidRPr="008E3674">
              <w:rPr>
                <w:rFonts w:ascii="Times New Roman" w:hAnsi="Times New Roman"/>
                <w:b/>
                <w:bCs/>
                <w:sz w:val="20"/>
                <w:szCs w:val="20"/>
                <w:lang w:val="sr-Cyrl-RS"/>
              </w:rPr>
              <w:lastRenderedPageBreak/>
              <w:t>Agreement for the translation and implementation of RS JS with the Association of Accountants and Auditors of Serbia (member of IFAC)</w:t>
            </w:r>
          </w:p>
        </w:tc>
        <w:tc>
          <w:tcPr>
            <w:tcW w:w="1828" w:type="dxa"/>
            <w:shd w:val="clear" w:color="auto" w:fill="D9D9D9" w:themeFill="background1" w:themeFillShade="D9"/>
          </w:tcPr>
          <w:p w14:paraId="44B748AE" w14:textId="77777777" w:rsidR="008E3674" w:rsidRPr="008E3674" w:rsidRDefault="008E3674" w:rsidP="008E3674">
            <w:pPr>
              <w:jc w:val="center"/>
              <w:rPr>
                <w:rFonts w:ascii="Times New Roman" w:hAnsi="Times New Roman"/>
              </w:rPr>
            </w:pPr>
            <w:r w:rsidRPr="008E3674">
              <w:rPr>
                <w:rFonts w:ascii="Times New Roman" w:hAnsi="Times New Roman"/>
              </w:rPr>
              <w:lastRenderedPageBreak/>
              <w:t>0</w:t>
            </w:r>
          </w:p>
        </w:tc>
        <w:tc>
          <w:tcPr>
            <w:tcW w:w="1826" w:type="dxa"/>
          </w:tcPr>
          <w:p w14:paraId="466C268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E0E2743"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40050D9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CE7CC1A"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038DBE4B"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0CA873DA" w14:textId="77777777" w:rsidTr="00BD105F">
        <w:tc>
          <w:tcPr>
            <w:tcW w:w="1986" w:type="dxa"/>
          </w:tcPr>
          <w:p w14:paraId="2F1F8A8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5.1.4 - Implementation of the Agreement from activity 5.1.3 in order to enable the implementation of the Regulation on the Application of International Accounting Standards for the Public Sector</w:t>
            </w:r>
          </w:p>
        </w:tc>
        <w:tc>
          <w:tcPr>
            <w:tcW w:w="1828" w:type="dxa"/>
            <w:shd w:val="clear" w:color="auto" w:fill="D9D9D9" w:themeFill="background1" w:themeFillShade="D9"/>
          </w:tcPr>
          <w:p w14:paraId="68114DB4" w14:textId="77777777" w:rsidR="008E3674" w:rsidRPr="008E3674" w:rsidRDefault="008E3674" w:rsidP="008E3674">
            <w:pPr>
              <w:jc w:val="center"/>
              <w:rPr>
                <w:rFonts w:ascii="Times New Roman" w:hAnsi="Times New Roman"/>
              </w:rPr>
            </w:pPr>
            <w:r w:rsidRPr="008E3674">
              <w:rPr>
                <w:rFonts w:ascii="Times New Roman" w:hAnsi="Times New Roman"/>
              </w:rPr>
              <w:t>15.000.000</w:t>
            </w:r>
          </w:p>
        </w:tc>
        <w:tc>
          <w:tcPr>
            <w:tcW w:w="1826" w:type="dxa"/>
          </w:tcPr>
          <w:p w14:paraId="7ADEE03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34D4293"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55FFE71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550D6C3" w14:textId="77777777" w:rsidR="008E3674" w:rsidRPr="008E3674" w:rsidRDefault="008E3674" w:rsidP="008E3674">
            <w:pPr>
              <w:jc w:val="center"/>
              <w:rPr>
                <w:rFonts w:ascii="Times New Roman" w:hAnsi="Times New Roman"/>
              </w:rPr>
            </w:pPr>
            <w:r w:rsidRPr="008E3674">
              <w:rPr>
                <w:rFonts w:ascii="Times New Roman" w:hAnsi="Times New Roman"/>
              </w:rPr>
              <w:t>15.000.000</w:t>
            </w:r>
          </w:p>
        </w:tc>
        <w:tc>
          <w:tcPr>
            <w:tcW w:w="1826" w:type="dxa"/>
          </w:tcPr>
          <w:p w14:paraId="194BD148"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39F669B5" w14:textId="77777777" w:rsidTr="00BD105F">
        <w:tc>
          <w:tcPr>
            <w:tcW w:w="1986" w:type="dxa"/>
            <w:vMerge w:val="restart"/>
            <w:shd w:val="clear" w:color="auto" w:fill="8EAADB" w:themeFill="accent5" w:themeFillTint="99"/>
          </w:tcPr>
          <w:p w14:paraId="35712A9E"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517CC09F"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2E2ED70" w14:textId="77777777" w:rsidTr="00BD105F">
        <w:tc>
          <w:tcPr>
            <w:tcW w:w="1986" w:type="dxa"/>
            <w:vMerge/>
            <w:shd w:val="clear" w:color="auto" w:fill="8EAADB" w:themeFill="accent5" w:themeFillTint="99"/>
          </w:tcPr>
          <w:p w14:paraId="3D420558"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28D3CA7A"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600B6510"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3031003D"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6AEA212D" w14:textId="77777777" w:rsidTr="00BD105F">
        <w:tc>
          <w:tcPr>
            <w:tcW w:w="1986" w:type="dxa"/>
            <w:vMerge/>
            <w:shd w:val="clear" w:color="auto" w:fill="8EAADB" w:themeFill="accent5" w:themeFillTint="99"/>
          </w:tcPr>
          <w:p w14:paraId="36BBD441"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5ECA9109"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1C2AF4CB"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36FDC02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FC158AE"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773F41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668BB67"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7E26DC82" w14:textId="77777777" w:rsidTr="00BD105F">
        <w:tc>
          <w:tcPr>
            <w:tcW w:w="1986" w:type="dxa"/>
            <w:shd w:val="clear" w:color="auto" w:fill="FBE4D5" w:themeFill="accent2" w:themeFillTint="33"/>
          </w:tcPr>
          <w:p w14:paraId="3307B57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5.2 - Improving the professional competence of accountants in the public sector by conducting adequate training</w:t>
            </w:r>
          </w:p>
        </w:tc>
        <w:tc>
          <w:tcPr>
            <w:tcW w:w="1828" w:type="dxa"/>
            <w:shd w:val="clear" w:color="auto" w:fill="FBE4D5" w:themeFill="accent2" w:themeFillTint="33"/>
          </w:tcPr>
          <w:p w14:paraId="49CA0C85" w14:textId="77777777" w:rsidR="008E3674" w:rsidRPr="008E3674" w:rsidRDefault="008E3674" w:rsidP="008E3674">
            <w:pPr>
              <w:jc w:val="center"/>
              <w:rPr>
                <w:rFonts w:ascii="Times New Roman" w:hAnsi="Times New Roman"/>
              </w:rPr>
            </w:pPr>
            <w:r w:rsidRPr="008E3674">
              <w:rPr>
                <w:rFonts w:ascii="Times New Roman" w:hAnsi="Times New Roman"/>
              </w:rPr>
              <w:t>36.500.000</w:t>
            </w:r>
          </w:p>
        </w:tc>
        <w:tc>
          <w:tcPr>
            <w:tcW w:w="1826" w:type="dxa"/>
            <w:shd w:val="clear" w:color="auto" w:fill="FBE4D5" w:themeFill="accent2" w:themeFillTint="33"/>
          </w:tcPr>
          <w:p w14:paraId="674F262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627880B6" w14:textId="77777777" w:rsidR="008E3674" w:rsidRPr="008E3674" w:rsidRDefault="008E3674" w:rsidP="008E3674">
            <w:pPr>
              <w:jc w:val="center"/>
              <w:rPr>
                <w:rFonts w:ascii="Times New Roman" w:hAnsi="Times New Roman"/>
              </w:rPr>
            </w:pPr>
            <w:r w:rsidRPr="008E3674">
              <w:rPr>
                <w:rFonts w:ascii="Times New Roman" w:hAnsi="Times New Roman"/>
              </w:rPr>
              <w:t>19.000.000</w:t>
            </w:r>
          </w:p>
        </w:tc>
        <w:tc>
          <w:tcPr>
            <w:tcW w:w="1826" w:type="dxa"/>
            <w:shd w:val="clear" w:color="auto" w:fill="FBE4D5" w:themeFill="accent2" w:themeFillTint="33"/>
          </w:tcPr>
          <w:p w14:paraId="43EEA35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34FCA5DB" w14:textId="77777777" w:rsidR="008E3674" w:rsidRPr="008E3674" w:rsidRDefault="008E3674" w:rsidP="008E3674">
            <w:pPr>
              <w:jc w:val="center"/>
              <w:rPr>
                <w:rFonts w:ascii="Times New Roman" w:hAnsi="Times New Roman"/>
              </w:rPr>
            </w:pPr>
            <w:r w:rsidRPr="008E3674">
              <w:rPr>
                <w:rFonts w:ascii="Times New Roman" w:hAnsi="Times New Roman"/>
              </w:rPr>
              <w:t>55.500.000</w:t>
            </w:r>
          </w:p>
        </w:tc>
        <w:tc>
          <w:tcPr>
            <w:tcW w:w="1826" w:type="dxa"/>
            <w:shd w:val="clear" w:color="auto" w:fill="FBE4D5" w:themeFill="accent2" w:themeFillTint="33"/>
          </w:tcPr>
          <w:p w14:paraId="5B73A251"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6245C0A" w14:textId="77777777" w:rsidTr="00BD105F">
        <w:tc>
          <w:tcPr>
            <w:tcW w:w="1986" w:type="dxa"/>
          </w:tcPr>
          <w:p w14:paraId="33E65453"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5.2.1 - Conducting training in order to improve the professional competence of accountants in the public sector</w:t>
            </w:r>
          </w:p>
        </w:tc>
        <w:tc>
          <w:tcPr>
            <w:tcW w:w="1828" w:type="dxa"/>
            <w:shd w:val="clear" w:color="auto" w:fill="D9D9D9" w:themeFill="background1" w:themeFillShade="D9"/>
          </w:tcPr>
          <w:p w14:paraId="263DB99D" w14:textId="77777777" w:rsidR="008E3674" w:rsidRPr="008E3674" w:rsidRDefault="008E3674" w:rsidP="008E3674">
            <w:pPr>
              <w:jc w:val="center"/>
              <w:rPr>
                <w:rFonts w:ascii="Times New Roman" w:hAnsi="Times New Roman"/>
              </w:rPr>
            </w:pPr>
            <w:r w:rsidRPr="008E3674">
              <w:rPr>
                <w:rFonts w:ascii="Times New Roman" w:hAnsi="Times New Roman"/>
              </w:rPr>
              <w:t>3.000.000</w:t>
            </w:r>
          </w:p>
        </w:tc>
        <w:tc>
          <w:tcPr>
            <w:tcW w:w="1826" w:type="dxa"/>
          </w:tcPr>
          <w:p w14:paraId="29067E2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9214D0A"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0D957A6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3A85D8B3" w14:textId="77777777" w:rsidR="008E3674" w:rsidRPr="008E3674" w:rsidRDefault="008E3674" w:rsidP="008E3674">
            <w:pPr>
              <w:jc w:val="center"/>
              <w:rPr>
                <w:rFonts w:ascii="Times New Roman" w:hAnsi="Times New Roman"/>
              </w:rPr>
            </w:pPr>
            <w:r w:rsidRPr="008E3674">
              <w:rPr>
                <w:rFonts w:ascii="Times New Roman" w:hAnsi="Times New Roman"/>
              </w:rPr>
              <w:t>3.000.000</w:t>
            </w:r>
          </w:p>
        </w:tc>
        <w:tc>
          <w:tcPr>
            <w:tcW w:w="1826" w:type="dxa"/>
          </w:tcPr>
          <w:p w14:paraId="3BD71A9A"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42844AF" w14:textId="77777777" w:rsidTr="00BD105F">
        <w:tc>
          <w:tcPr>
            <w:tcW w:w="1986" w:type="dxa"/>
          </w:tcPr>
          <w:p w14:paraId="7BEBBA28"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lastRenderedPageBreak/>
              <w:t>Activity 5.2.2 - Preparatory activities for the introduction of certification for the accountant profession in the public sector</w:t>
            </w:r>
          </w:p>
        </w:tc>
        <w:tc>
          <w:tcPr>
            <w:tcW w:w="1828" w:type="dxa"/>
            <w:shd w:val="clear" w:color="auto" w:fill="D9D9D9" w:themeFill="background1" w:themeFillShade="D9"/>
          </w:tcPr>
          <w:p w14:paraId="1D517829" w14:textId="77777777" w:rsidR="008E3674" w:rsidRPr="008E3674" w:rsidRDefault="008E3674" w:rsidP="008E3674">
            <w:pPr>
              <w:jc w:val="center"/>
              <w:rPr>
                <w:rFonts w:ascii="Times New Roman" w:hAnsi="Times New Roman"/>
              </w:rPr>
            </w:pPr>
            <w:r w:rsidRPr="008E3674">
              <w:rPr>
                <w:rFonts w:ascii="Times New Roman" w:hAnsi="Times New Roman"/>
              </w:rPr>
              <w:t>9.500.000</w:t>
            </w:r>
          </w:p>
        </w:tc>
        <w:tc>
          <w:tcPr>
            <w:tcW w:w="1826" w:type="dxa"/>
          </w:tcPr>
          <w:p w14:paraId="597B787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0C93037"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714B96A7"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BDF7B6D" w14:textId="77777777" w:rsidR="008E3674" w:rsidRPr="008E3674" w:rsidRDefault="008E3674" w:rsidP="008E3674">
            <w:pPr>
              <w:jc w:val="center"/>
              <w:rPr>
                <w:rFonts w:ascii="Times New Roman" w:hAnsi="Times New Roman"/>
              </w:rPr>
            </w:pPr>
            <w:r w:rsidRPr="008E3674">
              <w:rPr>
                <w:rFonts w:ascii="Times New Roman" w:hAnsi="Times New Roman"/>
              </w:rPr>
              <w:t>9.500.000</w:t>
            </w:r>
          </w:p>
        </w:tc>
        <w:tc>
          <w:tcPr>
            <w:tcW w:w="1826" w:type="dxa"/>
          </w:tcPr>
          <w:p w14:paraId="478F010E"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46ADADFA" w14:textId="77777777" w:rsidTr="00BD105F">
        <w:tc>
          <w:tcPr>
            <w:tcW w:w="1986" w:type="dxa"/>
          </w:tcPr>
          <w:p w14:paraId="27DFDC2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5.2.3 – Certification of 200 accountants in the public sector</w:t>
            </w:r>
          </w:p>
          <w:p w14:paraId="520E3B5B" w14:textId="77777777" w:rsidR="008E3674" w:rsidRPr="008E3674" w:rsidRDefault="008E3674" w:rsidP="008E3674">
            <w:pPr>
              <w:rPr>
                <w:rFonts w:ascii="Times New Roman" w:hAnsi="Times New Roman"/>
                <w:sz w:val="20"/>
                <w:szCs w:val="20"/>
                <w:lang w:val="sr-Cyrl-RS"/>
              </w:rPr>
            </w:pPr>
          </w:p>
        </w:tc>
        <w:tc>
          <w:tcPr>
            <w:tcW w:w="1828" w:type="dxa"/>
            <w:shd w:val="clear" w:color="auto" w:fill="D9D9D9" w:themeFill="background1" w:themeFillShade="D9"/>
          </w:tcPr>
          <w:p w14:paraId="0707F4D1" w14:textId="77777777" w:rsidR="008E3674" w:rsidRPr="008E3674" w:rsidRDefault="008E3674" w:rsidP="008E3674">
            <w:pPr>
              <w:jc w:val="center"/>
              <w:rPr>
                <w:rFonts w:ascii="Times New Roman" w:hAnsi="Times New Roman"/>
              </w:rPr>
            </w:pPr>
            <w:r w:rsidRPr="008E3674">
              <w:rPr>
                <w:rFonts w:ascii="Times New Roman" w:hAnsi="Times New Roman"/>
              </w:rPr>
              <w:t>24.000.000</w:t>
            </w:r>
          </w:p>
        </w:tc>
        <w:tc>
          <w:tcPr>
            <w:tcW w:w="1826" w:type="dxa"/>
          </w:tcPr>
          <w:p w14:paraId="5747B8D6"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758ACB72" w14:textId="77777777" w:rsidR="008E3674" w:rsidRPr="008E3674" w:rsidRDefault="008E3674" w:rsidP="008E3674">
            <w:pPr>
              <w:jc w:val="center"/>
              <w:rPr>
                <w:rFonts w:ascii="Times New Roman" w:hAnsi="Times New Roman"/>
              </w:rPr>
            </w:pPr>
            <w:r w:rsidRPr="008E3674">
              <w:rPr>
                <w:rFonts w:ascii="Times New Roman" w:hAnsi="Times New Roman"/>
              </w:rPr>
              <w:t>19.000.000</w:t>
            </w:r>
          </w:p>
        </w:tc>
        <w:tc>
          <w:tcPr>
            <w:tcW w:w="1826" w:type="dxa"/>
          </w:tcPr>
          <w:p w14:paraId="68ABCF3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2398C75" w14:textId="77777777" w:rsidR="008E3674" w:rsidRPr="008E3674" w:rsidRDefault="008E3674" w:rsidP="008E3674">
            <w:pPr>
              <w:jc w:val="center"/>
              <w:rPr>
                <w:rFonts w:ascii="Times New Roman" w:hAnsi="Times New Roman"/>
              </w:rPr>
            </w:pPr>
            <w:r w:rsidRPr="008E3674">
              <w:rPr>
                <w:rFonts w:ascii="Times New Roman" w:hAnsi="Times New Roman"/>
              </w:rPr>
              <w:t>43.000.000</w:t>
            </w:r>
          </w:p>
        </w:tc>
        <w:tc>
          <w:tcPr>
            <w:tcW w:w="1826" w:type="dxa"/>
          </w:tcPr>
          <w:p w14:paraId="14CE3AAD"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0A016377" w14:textId="77777777" w:rsidTr="00BD105F">
        <w:tc>
          <w:tcPr>
            <w:tcW w:w="1986" w:type="dxa"/>
            <w:vMerge w:val="restart"/>
            <w:shd w:val="clear" w:color="auto" w:fill="8EAADB" w:themeFill="accent5" w:themeFillTint="99"/>
          </w:tcPr>
          <w:p w14:paraId="0FF83354" w14:textId="77777777" w:rsidR="008E3674" w:rsidRPr="008E3674" w:rsidRDefault="008E3674" w:rsidP="008E3674">
            <w:pPr>
              <w:jc w:val="cente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3FD5D962"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768CE259" w14:textId="77777777" w:rsidTr="00BD105F">
        <w:tc>
          <w:tcPr>
            <w:tcW w:w="1986" w:type="dxa"/>
            <w:vMerge/>
            <w:shd w:val="clear" w:color="auto" w:fill="8EAADB" w:themeFill="accent5" w:themeFillTint="99"/>
          </w:tcPr>
          <w:p w14:paraId="72517E0E" w14:textId="77777777" w:rsidR="008E3674" w:rsidRPr="008E3674" w:rsidRDefault="008E3674" w:rsidP="008E3674">
            <w:pPr>
              <w:jc w:val="center"/>
              <w:rPr>
                <w:rFonts w:ascii="Times New Roman" w:hAnsi="Times New Roman"/>
              </w:rPr>
            </w:pPr>
          </w:p>
        </w:tc>
        <w:tc>
          <w:tcPr>
            <w:tcW w:w="3654" w:type="dxa"/>
            <w:gridSpan w:val="2"/>
            <w:shd w:val="clear" w:color="auto" w:fill="D9E2F3" w:themeFill="accent5" w:themeFillTint="33"/>
          </w:tcPr>
          <w:p w14:paraId="3B5DD746"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1A185965"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332A3DAD"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1A823A40" w14:textId="77777777" w:rsidTr="00BD105F">
        <w:tc>
          <w:tcPr>
            <w:tcW w:w="1986" w:type="dxa"/>
            <w:vMerge/>
            <w:shd w:val="clear" w:color="auto" w:fill="8EAADB" w:themeFill="accent5" w:themeFillTint="99"/>
          </w:tcPr>
          <w:p w14:paraId="15D45BA2" w14:textId="77777777" w:rsidR="008E3674" w:rsidRPr="008E3674" w:rsidRDefault="008E3674" w:rsidP="008E3674">
            <w:pPr>
              <w:jc w:val="center"/>
              <w:rPr>
                <w:rFonts w:ascii="Times New Roman" w:hAnsi="Times New Roman"/>
              </w:rPr>
            </w:pPr>
          </w:p>
        </w:tc>
        <w:tc>
          <w:tcPr>
            <w:tcW w:w="1828" w:type="dxa"/>
            <w:shd w:val="clear" w:color="auto" w:fill="D9D9D9" w:themeFill="background1" w:themeFillShade="D9"/>
          </w:tcPr>
          <w:p w14:paraId="0ECC0D87"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452FA5F2"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4FFE0DB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0609598"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457D4F0"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890EA87"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1B038923" w14:textId="77777777" w:rsidTr="00BD105F">
        <w:tc>
          <w:tcPr>
            <w:tcW w:w="1986" w:type="dxa"/>
            <w:shd w:val="clear" w:color="auto" w:fill="FBE4D5" w:themeFill="accent2" w:themeFillTint="33"/>
          </w:tcPr>
          <w:p w14:paraId="110170BC"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5.3 - Improvement of the scope of accounting data through the application of international accounting standards for the public sector</w:t>
            </w:r>
          </w:p>
        </w:tc>
        <w:tc>
          <w:tcPr>
            <w:tcW w:w="1828" w:type="dxa"/>
            <w:shd w:val="clear" w:color="auto" w:fill="FBE4D5" w:themeFill="accent2" w:themeFillTint="33"/>
          </w:tcPr>
          <w:p w14:paraId="7F4E9AB5" w14:textId="77777777" w:rsidR="008E3674" w:rsidRPr="008E3674" w:rsidRDefault="008E3674" w:rsidP="008E3674">
            <w:pPr>
              <w:jc w:val="center"/>
              <w:rPr>
                <w:rFonts w:ascii="Times New Roman" w:hAnsi="Times New Roman"/>
              </w:rPr>
            </w:pPr>
            <w:r w:rsidRPr="008E3674">
              <w:rPr>
                <w:rFonts w:ascii="Times New Roman" w:hAnsi="Times New Roman"/>
              </w:rPr>
              <w:t>5.000.000</w:t>
            </w:r>
          </w:p>
        </w:tc>
        <w:tc>
          <w:tcPr>
            <w:tcW w:w="1826" w:type="dxa"/>
            <w:shd w:val="clear" w:color="auto" w:fill="FBE4D5" w:themeFill="accent2" w:themeFillTint="33"/>
          </w:tcPr>
          <w:p w14:paraId="05921DB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518B015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shd w:val="clear" w:color="auto" w:fill="FBE4D5" w:themeFill="accent2" w:themeFillTint="33"/>
          </w:tcPr>
          <w:p w14:paraId="5CC0781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FBE4D5" w:themeFill="accent2" w:themeFillTint="33"/>
          </w:tcPr>
          <w:p w14:paraId="5ECB2D38" w14:textId="77777777" w:rsidR="008E3674" w:rsidRPr="008E3674" w:rsidRDefault="008E3674" w:rsidP="008E3674">
            <w:pPr>
              <w:jc w:val="center"/>
              <w:rPr>
                <w:rFonts w:ascii="Times New Roman" w:hAnsi="Times New Roman"/>
              </w:rPr>
            </w:pPr>
            <w:r w:rsidRPr="008E3674">
              <w:rPr>
                <w:rFonts w:ascii="Times New Roman" w:hAnsi="Times New Roman"/>
              </w:rPr>
              <w:t>5.000.000</w:t>
            </w:r>
          </w:p>
        </w:tc>
        <w:tc>
          <w:tcPr>
            <w:tcW w:w="1826" w:type="dxa"/>
            <w:shd w:val="clear" w:color="auto" w:fill="FBE4D5" w:themeFill="accent2" w:themeFillTint="33"/>
          </w:tcPr>
          <w:p w14:paraId="33929FA7"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5C269340" w14:textId="77777777" w:rsidTr="00BD105F">
        <w:tc>
          <w:tcPr>
            <w:tcW w:w="1986" w:type="dxa"/>
          </w:tcPr>
          <w:p w14:paraId="71B0B16B"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5.3.1 - Amend relevant national regulation to bring it into line with each other and with the cash basis IPSAS and ESA 2010 requirements</w:t>
            </w:r>
          </w:p>
        </w:tc>
        <w:tc>
          <w:tcPr>
            <w:tcW w:w="1828" w:type="dxa"/>
            <w:shd w:val="clear" w:color="auto" w:fill="D9D9D9" w:themeFill="background1" w:themeFillShade="D9"/>
          </w:tcPr>
          <w:p w14:paraId="22934E6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0834B5D8"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6930D7D0"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11D4372F"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555B9C7"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14C4C782"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683F47AF" w14:textId="77777777" w:rsidTr="00BD105F">
        <w:tc>
          <w:tcPr>
            <w:tcW w:w="1986" w:type="dxa"/>
          </w:tcPr>
          <w:p w14:paraId="4EEBF3F6"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5.3.2 - Adoption of Accounting Policy for Financial Reporting in accordance with </w:t>
            </w:r>
            <w:r w:rsidRPr="008E3674">
              <w:rPr>
                <w:rFonts w:ascii="Times New Roman" w:hAnsi="Times New Roman"/>
                <w:b/>
                <w:bCs/>
                <w:sz w:val="20"/>
                <w:szCs w:val="20"/>
                <w:lang w:val="sr-Cyrl-RS"/>
              </w:rPr>
              <w:lastRenderedPageBreak/>
              <w:t>IPSAS for Cash Basis</w:t>
            </w:r>
          </w:p>
        </w:tc>
        <w:tc>
          <w:tcPr>
            <w:tcW w:w="1828" w:type="dxa"/>
            <w:shd w:val="clear" w:color="auto" w:fill="D9D9D9" w:themeFill="background1" w:themeFillShade="D9"/>
          </w:tcPr>
          <w:p w14:paraId="4CFB0BEB" w14:textId="77777777" w:rsidR="008E3674" w:rsidRPr="008E3674" w:rsidRDefault="008E3674" w:rsidP="008E3674">
            <w:pPr>
              <w:jc w:val="center"/>
              <w:rPr>
                <w:rFonts w:ascii="Times New Roman" w:hAnsi="Times New Roman"/>
              </w:rPr>
            </w:pPr>
            <w:r w:rsidRPr="008E3674">
              <w:rPr>
                <w:rFonts w:ascii="Times New Roman" w:hAnsi="Times New Roman"/>
              </w:rPr>
              <w:lastRenderedPageBreak/>
              <w:t>5.000.000</w:t>
            </w:r>
          </w:p>
        </w:tc>
        <w:tc>
          <w:tcPr>
            <w:tcW w:w="1826" w:type="dxa"/>
          </w:tcPr>
          <w:p w14:paraId="5605114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1B73F77B"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4AE9EFBE"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0B9F1F7F" w14:textId="77777777" w:rsidR="008E3674" w:rsidRPr="008E3674" w:rsidRDefault="008E3674" w:rsidP="008E3674">
            <w:pPr>
              <w:jc w:val="center"/>
              <w:rPr>
                <w:rFonts w:ascii="Times New Roman" w:hAnsi="Times New Roman"/>
              </w:rPr>
            </w:pPr>
            <w:r w:rsidRPr="008E3674">
              <w:rPr>
                <w:rFonts w:ascii="Times New Roman" w:hAnsi="Times New Roman"/>
              </w:rPr>
              <w:t>5.000.000</w:t>
            </w:r>
          </w:p>
        </w:tc>
        <w:tc>
          <w:tcPr>
            <w:tcW w:w="1826" w:type="dxa"/>
          </w:tcPr>
          <w:p w14:paraId="72880BF2"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1705A354" w14:textId="77777777" w:rsidTr="00BD105F">
        <w:tc>
          <w:tcPr>
            <w:tcW w:w="1986" w:type="dxa"/>
          </w:tcPr>
          <w:p w14:paraId="5EADFFAE" w14:textId="77777777" w:rsidR="008E3674" w:rsidRPr="008E3674" w:rsidRDefault="008E3674" w:rsidP="008E3674">
            <w:pPr>
              <w:rPr>
                <w:rFonts w:ascii="Times New Roman" w:hAnsi="Times New Roman"/>
                <w:i/>
                <w:iCs/>
                <w:sz w:val="20"/>
                <w:szCs w:val="20"/>
                <w:lang w:val="sr-Cyrl-RS"/>
              </w:rPr>
            </w:pPr>
            <w:r w:rsidRPr="008E3674">
              <w:rPr>
                <w:rFonts w:ascii="Times New Roman" w:hAnsi="Times New Roman"/>
                <w:b/>
                <w:bCs/>
                <w:sz w:val="20"/>
                <w:szCs w:val="20"/>
                <w:lang w:val="sr-Cyrl-RS"/>
              </w:rPr>
              <w:t>Activity 5.3.3 - Application of Cash Basis Financial Statements in accordance with IPSAS</w:t>
            </w:r>
          </w:p>
          <w:p w14:paraId="5436A0C2" w14:textId="77777777" w:rsidR="008E3674" w:rsidRPr="008E3674" w:rsidRDefault="008E3674" w:rsidP="008E3674">
            <w:pPr>
              <w:rPr>
                <w:rFonts w:ascii="Times New Roman" w:hAnsi="Times New Roman"/>
                <w:sz w:val="20"/>
                <w:szCs w:val="20"/>
                <w:lang w:val="sr-Cyrl-RS"/>
              </w:rPr>
            </w:pPr>
          </w:p>
        </w:tc>
        <w:tc>
          <w:tcPr>
            <w:tcW w:w="1828" w:type="dxa"/>
            <w:shd w:val="clear" w:color="auto" w:fill="D9D9D9" w:themeFill="background1" w:themeFillShade="D9"/>
          </w:tcPr>
          <w:p w14:paraId="4EC2178E"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070E7DB4"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51F91112"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5B10BF99"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9" w:type="dxa"/>
            <w:shd w:val="clear" w:color="auto" w:fill="D9D9D9" w:themeFill="background1" w:themeFillShade="D9"/>
          </w:tcPr>
          <w:p w14:paraId="2C93252D" w14:textId="77777777" w:rsidR="008E3674" w:rsidRPr="008E3674" w:rsidRDefault="008E3674" w:rsidP="008E3674">
            <w:pPr>
              <w:jc w:val="center"/>
              <w:rPr>
                <w:rFonts w:ascii="Times New Roman" w:hAnsi="Times New Roman"/>
              </w:rPr>
            </w:pPr>
            <w:r w:rsidRPr="008E3674">
              <w:rPr>
                <w:rFonts w:ascii="Times New Roman" w:hAnsi="Times New Roman"/>
              </w:rPr>
              <w:t>0</w:t>
            </w:r>
          </w:p>
        </w:tc>
        <w:tc>
          <w:tcPr>
            <w:tcW w:w="1826" w:type="dxa"/>
          </w:tcPr>
          <w:p w14:paraId="24060BF6" w14:textId="77777777" w:rsidR="008E3674" w:rsidRPr="008E3674" w:rsidRDefault="008E3674" w:rsidP="008E3674">
            <w:pPr>
              <w:jc w:val="center"/>
              <w:rPr>
                <w:rFonts w:ascii="Times New Roman" w:hAnsi="Times New Roman"/>
              </w:rPr>
            </w:pPr>
            <w:r w:rsidRPr="008E3674">
              <w:rPr>
                <w:rFonts w:ascii="Times New Roman" w:hAnsi="Times New Roman"/>
              </w:rPr>
              <w:t>0</w:t>
            </w:r>
          </w:p>
        </w:tc>
      </w:tr>
      <w:tr w:rsidR="008E3674" w:rsidRPr="008E3674" w14:paraId="0E10810B" w14:textId="77777777" w:rsidTr="00BD105F">
        <w:tc>
          <w:tcPr>
            <w:tcW w:w="12950" w:type="dxa"/>
            <w:gridSpan w:val="7"/>
            <w:shd w:val="clear" w:color="auto" w:fill="1F3864" w:themeFill="accent5" w:themeFillShade="80"/>
          </w:tcPr>
          <w:p w14:paraId="4E578184" w14:textId="77777777" w:rsidR="008E3674" w:rsidRPr="008E3674" w:rsidRDefault="008E3674" w:rsidP="008E3674">
            <w:pPr>
              <w:rPr>
                <w:rFonts w:ascii="Times New Roman" w:hAnsi="Times New Roman"/>
                <w:lang w:val="sr-Cyrl-RS"/>
              </w:rPr>
            </w:pPr>
            <w:r w:rsidRPr="008E3674">
              <w:rPr>
                <w:rFonts w:ascii="Times New Roman" w:hAnsi="Times New Roman"/>
                <w:lang w:val="sr-Cyrl-RS"/>
              </w:rPr>
              <w:t>Specific Objective 6: Strengthening external oversight of public finances</w:t>
            </w:r>
          </w:p>
        </w:tc>
      </w:tr>
      <w:tr w:rsidR="008E3674" w:rsidRPr="008E3674" w14:paraId="67D0B3A5" w14:textId="77777777" w:rsidTr="00BD105F">
        <w:tc>
          <w:tcPr>
            <w:tcW w:w="1986" w:type="dxa"/>
            <w:vMerge w:val="restart"/>
            <w:shd w:val="clear" w:color="auto" w:fill="8EAADB" w:themeFill="accent5" w:themeFillTint="99"/>
          </w:tcPr>
          <w:p w14:paraId="2A333F8A"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0B1961F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35DBB808" w14:textId="77777777" w:rsidTr="00BD105F">
        <w:tc>
          <w:tcPr>
            <w:tcW w:w="1986" w:type="dxa"/>
            <w:vMerge/>
            <w:shd w:val="clear" w:color="auto" w:fill="8EAADB" w:themeFill="accent5" w:themeFillTint="99"/>
          </w:tcPr>
          <w:p w14:paraId="4C88BC7F"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34B44222"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0259DEB5"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4CC17CC0"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66817838" w14:textId="77777777" w:rsidTr="00BD105F">
        <w:tc>
          <w:tcPr>
            <w:tcW w:w="1986" w:type="dxa"/>
            <w:vMerge/>
            <w:shd w:val="clear" w:color="auto" w:fill="8EAADB" w:themeFill="accent5" w:themeFillTint="99"/>
          </w:tcPr>
          <w:p w14:paraId="492FD310"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4AC0E394"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4E78BA4"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21E4FB7B"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68905C8C"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053B4FEA"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4F756A72"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355A5181" w14:textId="77777777" w:rsidTr="00BD105F">
        <w:tc>
          <w:tcPr>
            <w:tcW w:w="1986" w:type="dxa"/>
            <w:shd w:val="clear" w:color="auto" w:fill="FBE4D5" w:themeFill="accent2" w:themeFillTint="33"/>
          </w:tcPr>
          <w:p w14:paraId="0FEDF043"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6.1 - Improving the scope, quality and impact of external audits (in accordance with the Strategic Plan of the State Audit Institution)</w:t>
            </w:r>
          </w:p>
        </w:tc>
        <w:tc>
          <w:tcPr>
            <w:tcW w:w="1828" w:type="dxa"/>
            <w:shd w:val="clear" w:color="auto" w:fill="FBE4D5" w:themeFill="accent2" w:themeFillTint="33"/>
          </w:tcPr>
          <w:p w14:paraId="3626EDB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0E7B5CB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2DA1291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1AB1D87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33CAB5F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shd w:val="clear" w:color="auto" w:fill="FBE4D5" w:themeFill="accent2" w:themeFillTint="33"/>
          </w:tcPr>
          <w:p w14:paraId="02B3589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2BB5E8D1" w14:textId="77777777" w:rsidTr="00BD105F">
        <w:tc>
          <w:tcPr>
            <w:tcW w:w="1986" w:type="dxa"/>
          </w:tcPr>
          <w:p w14:paraId="64F581A1"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6.1.1 - Further strengthening of external audit through continuous improvement of audit procedures</w:t>
            </w:r>
          </w:p>
        </w:tc>
        <w:tc>
          <w:tcPr>
            <w:tcW w:w="1828" w:type="dxa"/>
            <w:shd w:val="clear" w:color="auto" w:fill="D9D9D9" w:themeFill="background1" w:themeFillShade="D9"/>
          </w:tcPr>
          <w:p w14:paraId="397ADE1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9A6378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38ADDBF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00DD427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34C9D7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D428359"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2971B823" w14:textId="77777777" w:rsidTr="00BD105F">
        <w:tc>
          <w:tcPr>
            <w:tcW w:w="1986" w:type="dxa"/>
          </w:tcPr>
          <w:p w14:paraId="7CB15A96"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6.1.2 - Presentation of audit reports to the competent Committee and Subcommittee for consideration of SAI findings and recommendations</w:t>
            </w:r>
          </w:p>
        </w:tc>
        <w:tc>
          <w:tcPr>
            <w:tcW w:w="1828" w:type="dxa"/>
            <w:shd w:val="clear" w:color="auto" w:fill="D9D9D9" w:themeFill="background1" w:themeFillShade="D9"/>
          </w:tcPr>
          <w:p w14:paraId="3AED235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6712AA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2E7E1A0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36B9D58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240E14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E10113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0803CBC3" w14:textId="77777777" w:rsidTr="00BD105F">
        <w:tc>
          <w:tcPr>
            <w:tcW w:w="1986" w:type="dxa"/>
            <w:vMerge w:val="restart"/>
            <w:shd w:val="clear" w:color="auto" w:fill="8EAADB" w:themeFill="accent5" w:themeFillTint="99"/>
          </w:tcPr>
          <w:p w14:paraId="0AB1D6EF" w14:textId="77777777" w:rsidR="008E3674" w:rsidRPr="008E3674" w:rsidRDefault="008E3674" w:rsidP="008E3674">
            <w:pPr>
              <w:rPr>
                <w:rFonts w:ascii="Times New Roman" w:hAnsi="Times New Roman"/>
              </w:rPr>
            </w:pPr>
            <w:r w:rsidRPr="008E3674">
              <w:rPr>
                <w:rFonts w:ascii="Times New Roman" w:hAnsi="Times New Roman"/>
                <w:lang w:val="sr-Cyrl-RS"/>
              </w:rPr>
              <w:t>Name of measure/activity:</w:t>
            </w:r>
          </w:p>
        </w:tc>
        <w:tc>
          <w:tcPr>
            <w:tcW w:w="10964" w:type="dxa"/>
            <w:gridSpan w:val="6"/>
            <w:shd w:val="clear" w:color="auto" w:fill="8EAADB" w:themeFill="accent5" w:themeFillTint="99"/>
          </w:tcPr>
          <w:p w14:paraId="638F357C"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 and spent funds according to funding sources for the period 2021-2025 (RSD)</w:t>
            </w:r>
          </w:p>
        </w:tc>
      </w:tr>
      <w:tr w:rsidR="008E3674" w:rsidRPr="008E3674" w14:paraId="61D3B75A" w14:textId="77777777" w:rsidTr="00BD105F">
        <w:tc>
          <w:tcPr>
            <w:tcW w:w="1986" w:type="dxa"/>
            <w:vMerge/>
            <w:shd w:val="clear" w:color="auto" w:fill="8EAADB" w:themeFill="accent5" w:themeFillTint="99"/>
          </w:tcPr>
          <w:p w14:paraId="14ACB908" w14:textId="77777777" w:rsidR="008E3674" w:rsidRPr="008E3674" w:rsidRDefault="008E3674" w:rsidP="008E3674">
            <w:pPr>
              <w:rPr>
                <w:rFonts w:ascii="Times New Roman" w:hAnsi="Times New Roman"/>
              </w:rPr>
            </w:pPr>
          </w:p>
        </w:tc>
        <w:tc>
          <w:tcPr>
            <w:tcW w:w="3654" w:type="dxa"/>
            <w:gridSpan w:val="2"/>
            <w:shd w:val="clear" w:color="auto" w:fill="D9E2F3" w:themeFill="accent5" w:themeFillTint="33"/>
          </w:tcPr>
          <w:p w14:paraId="41431C6E" w14:textId="77777777" w:rsidR="008E3674" w:rsidRPr="008E3674" w:rsidRDefault="008E3674" w:rsidP="008E3674">
            <w:pPr>
              <w:jc w:val="center"/>
              <w:rPr>
                <w:rFonts w:ascii="Times New Roman" w:hAnsi="Times New Roman"/>
              </w:rPr>
            </w:pPr>
            <w:r w:rsidRPr="008E3674">
              <w:rPr>
                <w:rFonts w:ascii="Times New Roman" w:hAnsi="Times New Roman"/>
                <w:lang w:val="sr-Cyrl-RS"/>
              </w:rPr>
              <w:t>Budget funds</w:t>
            </w:r>
          </w:p>
        </w:tc>
        <w:tc>
          <w:tcPr>
            <w:tcW w:w="3655" w:type="dxa"/>
            <w:gridSpan w:val="2"/>
            <w:shd w:val="clear" w:color="auto" w:fill="D9E2F3" w:themeFill="accent5" w:themeFillTint="33"/>
          </w:tcPr>
          <w:p w14:paraId="46A68E76" w14:textId="77777777" w:rsidR="008E3674" w:rsidRPr="008E3674" w:rsidRDefault="008E3674" w:rsidP="008E3674">
            <w:pPr>
              <w:jc w:val="center"/>
              <w:rPr>
                <w:rFonts w:ascii="Times New Roman" w:hAnsi="Times New Roman"/>
              </w:rPr>
            </w:pPr>
            <w:r w:rsidRPr="008E3674">
              <w:rPr>
                <w:rFonts w:ascii="Times New Roman" w:hAnsi="Times New Roman"/>
                <w:lang w:val="sr-Cyrl-RS"/>
              </w:rPr>
              <w:t>Donor funds</w:t>
            </w:r>
          </w:p>
        </w:tc>
        <w:tc>
          <w:tcPr>
            <w:tcW w:w="3655" w:type="dxa"/>
            <w:gridSpan w:val="2"/>
            <w:shd w:val="clear" w:color="auto" w:fill="D9E2F3" w:themeFill="accent5" w:themeFillTint="33"/>
          </w:tcPr>
          <w:p w14:paraId="7EB43149" w14:textId="77777777" w:rsidR="008E3674" w:rsidRPr="008E3674" w:rsidRDefault="008E3674" w:rsidP="008E3674">
            <w:pPr>
              <w:jc w:val="center"/>
              <w:rPr>
                <w:rFonts w:ascii="Times New Roman" w:hAnsi="Times New Roman"/>
              </w:rPr>
            </w:pPr>
            <w:r w:rsidRPr="008E3674">
              <w:rPr>
                <w:rFonts w:ascii="Times New Roman" w:hAnsi="Times New Roman"/>
                <w:lang w:val="sr-Cyrl-RS"/>
              </w:rPr>
              <w:t>In total</w:t>
            </w:r>
          </w:p>
        </w:tc>
      </w:tr>
      <w:tr w:rsidR="008E3674" w:rsidRPr="008E3674" w14:paraId="6627A4D7" w14:textId="77777777" w:rsidTr="00BD105F">
        <w:tc>
          <w:tcPr>
            <w:tcW w:w="1986" w:type="dxa"/>
            <w:vMerge/>
            <w:shd w:val="clear" w:color="auto" w:fill="8EAADB" w:themeFill="accent5" w:themeFillTint="99"/>
          </w:tcPr>
          <w:p w14:paraId="122DDF06" w14:textId="77777777" w:rsidR="008E3674" w:rsidRPr="008E3674" w:rsidRDefault="008E3674" w:rsidP="008E3674">
            <w:pPr>
              <w:rPr>
                <w:rFonts w:ascii="Times New Roman" w:hAnsi="Times New Roman"/>
              </w:rPr>
            </w:pPr>
          </w:p>
        </w:tc>
        <w:tc>
          <w:tcPr>
            <w:tcW w:w="1828" w:type="dxa"/>
            <w:shd w:val="clear" w:color="auto" w:fill="D9D9D9" w:themeFill="background1" w:themeFillShade="D9"/>
          </w:tcPr>
          <w:p w14:paraId="04D1AF2B"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7B39AAC2"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6E58BFC5"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5DC1ECF7"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c>
          <w:tcPr>
            <w:tcW w:w="1829" w:type="dxa"/>
            <w:shd w:val="clear" w:color="auto" w:fill="D9D9D9" w:themeFill="background1" w:themeFillShade="D9"/>
          </w:tcPr>
          <w:p w14:paraId="73AC9811" w14:textId="77777777" w:rsidR="008E3674" w:rsidRPr="008E3674" w:rsidRDefault="008E3674" w:rsidP="008E3674">
            <w:pPr>
              <w:jc w:val="center"/>
              <w:rPr>
                <w:rFonts w:ascii="Times New Roman" w:hAnsi="Times New Roman"/>
              </w:rPr>
            </w:pPr>
            <w:r w:rsidRPr="008E3674">
              <w:rPr>
                <w:rFonts w:ascii="Times New Roman" w:hAnsi="Times New Roman"/>
                <w:lang w:val="sr-Cyrl-RS"/>
              </w:rPr>
              <w:t>Planned</w:t>
            </w:r>
          </w:p>
        </w:tc>
        <w:tc>
          <w:tcPr>
            <w:tcW w:w="1826" w:type="dxa"/>
          </w:tcPr>
          <w:p w14:paraId="3F52CA4C" w14:textId="77777777" w:rsidR="008E3674" w:rsidRPr="008E3674" w:rsidRDefault="008E3674" w:rsidP="008E3674">
            <w:pPr>
              <w:jc w:val="center"/>
              <w:rPr>
                <w:rFonts w:ascii="Times New Roman" w:hAnsi="Times New Roman"/>
              </w:rPr>
            </w:pPr>
            <w:r w:rsidRPr="008E3674">
              <w:rPr>
                <w:rFonts w:ascii="Times New Roman" w:hAnsi="Times New Roman"/>
                <w:lang w:val="sr-Cyrl-RS"/>
              </w:rPr>
              <w:t>Spent</w:t>
            </w:r>
          </w:p>
        </w:tc>
      </w:tr>
      <w:tr w:rsidR="008E3674" w:rsidRPr="008E3674" w14:paraId="519D9523" w14:textId="77777777" w:rsidTr="00BD105F">
        <w:tc>
          <w:tcPr>
            <w:tcW w:w="1986" w:type="dxa"/>
            <w:shd w:val="clear" w:color="auto" w:fill="FBE4D5" w:themeFill="accent2" w:themeFillTint="33"/>
          </w:tcPr>
          <w:p w14:paraId="19EBC724"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Measure 6.2 - Ensuring efficient parliamentary oversight of public finances</w:t>
            </w:r>
          </w:p>
        </w:tc>
        <w:tc>
          <w:tcPr>
            <w:tcW w:w="1828" w:type="dxa"/>
            <w:shd w:val="clear" w:color="auto" w:fill="FBE4D5" w:themeFill="accent2" w:themeFillTint="33"/>
          </w:tcPr>
          <w:p w14:paraId="05436D4C"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1.250.000</w:t>
            </w:r>
          </w:p>
        </w:tc>
        <w:tc>
          <w:tcPr>
            <w:tcW w:w="1826" w:type="dxa"/>
            <w:shd w:val="clear" w:color="auto" w:fill="FBE4D5" w:themeFill="accent2" w:themeFillTint="33"/>
          </w:tcPr>
          <w:p w14:paraId="06C4BF7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FBE4D5" w:themeFill="accent2" w:themeFillTint="33"/>
          </w:tcPr>
          <w:p w14:paraId="44F1532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10.000.000</w:t>
            </w:r>
          </w:p>
        </w:tc>
        <w:tc>
          <w:tcPr>
            <w:tcW w:w="1826" w:type="dxa"/>
            <w:shd w:val="clear" w:color="auto" w:fill="FBE4D5" w:themeFill="accent2" w:themeFillTint="33"/>
          </w:tcPr>
          <w:p w14:paraId="790FD7B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p>
        </w:tc>
        <w:tc>
          <w:tcPr>
            <w:tcW w:w="1829" w:type="dxa"/>
            <w:shd w:val="clear" w:color="auto" w:fill="FBE4D5" w:themeFill="accent2" w:themeFillTint="33"/>
          </w:tcPr>
          <w:p w14:paraId="6FD4159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11.250.000</w:t>
            </w:r>
          </w:p>
        </w:tc>
        <w:tc>
          <w:tcPr>
            <w:tcW w:w="1826" w:type="dxa"/>
            <w:shd w:val="clear" w:color="auto" w:fill="FBE4D5" w:themeFill="accent2" w:themeFillTint="33"/>
          </w:tcPr>
          <w:p w14:paraId="364D616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p>
        </w:tc>
      </w:tr>
      <w:tr w:rsidR="008E3674" w:rsidRPr="008E3674" w14:paraId="6F364284" w14:textId="77777777" w:rsidTr="00BD105F">
        <w:tc>
          <w:tcPr>
            <w:tcW w:w="1986" w:type="dxa"/>
          </w:tcPr>
          <w:p w14:paraId="256F43D2"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6.2.1 - Strengthening the control function of the National Assembly by organizing sessions/meetings of the Committee and Subcommittee for the review of reports on audits of the SAI</w:t>
            </w:r>
          </w:p>
        </w:tc>
        <w:tc>
          <w:tcPr>
            <w:tcW w:w="1828" w:type="dxa"/>
            <w:shd w:val="clear" w:color="auto" w:fill="D9D9D9" w:themeFill="background1" w:themeFillShade="D9"/>
          </w:tcPr>
          <w:p w14:paraId="38899C8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2473E6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5231372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10.000.000</w:t>
            </w:r>
          </w:p>
        </w:tc>
        <w:tc>
          <w:tcPr>
            <w:tcW w:w="1826" w:type="dxa"/>
          </w:tcPr>
          <w:p w14:paraId="451DAF2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p>
        </w:tc>
        <w:tc>
          <w:tcPr>
            <w:tcW w:w="1829" w:type="dxa"/>
            <w:shd w:val="clear" w:color="auto" w:fill="D9D9D9" w:themeFill="background1" w:themeFillShade="D9"/>
          </w:tcPr>
          <w:p w14:paraId="1ED653A6"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10.000.000</w:t>
            </w:r>
          </w:p>
        </w:tc>
        <w:tc>
          <w:tcPr>
            <w:tcW w:w="1826" w:type="dxa"/>
          </w:tcPr>
          <w:p w14:paraId="1F53DC47"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15.000.000</w:t>
            </w:r>
            <w:r w:rsidRPr="008E3674">
              <w:rPr>
                <w:rFonts w:ascii="Times New Roman" w:hAnsi="Times New Roman"/>
                <w:vertAlign w:val="superscript"/>
                <w:lang w:val="sr-Cyrl-RS"/>
              </w:rPr>
              <w:footnoteReference w:id="5"/>
            </w:r>
          </w:p>
        </w:tc>
      </w:tr>
      <w:tr w:rsidR="008E3674" w:rsidRPr="008E3674" w14:paraId="04908BEF" w14:textId="77777777" w:rsidTr="00BD105F">
        <w:tc>
          <w:tcPr>
            <w:tcW w:w="1986" w:type="dxa"/>
          </w:tcPr>
          <w:p w14:paraId="0FA2C109"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Activity 6.2.2 - Hiring, as needed, experts in order to better consider the actions of the subjects according to the conclusions, findings and recommendations contained in the SAI audit reports</w:t>
            </w:r>
          </w:p>
        </w:tc>
        <w:tc>
          <w:tcPr>
            <w:tcW w:w="1828" w:type="dxa"/>
            <w:shd w:val="clear" w:color="auto" w:fill="D9D9D9" w:themeFill="background1" w:themeFillShade="D9"/>
          </w:tcPr>
          <w:p w14:paraId="71D42C24"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73AE51E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0189937E"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15EC0AA3"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B60DC18"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6DE851A1"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1F0AF6F5" w14:textId="77777777" w:rsidTr="00BD105F">
        <w:tc>
          <w:tcPr>
            <w:tcW w:w="1986" w:type="dxa"/>
          </w:tcPr>
          <w:p w14:paraId="3855040D" w14:textId="77777777" w:rsidR="008E3674" w:rsidRPr="008E3674" w:rsidRDefault="008E3674" w:rsidP="008E3674">
            <w:pPr>
              <w:rPr>
                <w:rFonts w:ascii="Times New Roman" w:hAnsi="Times New Roman"/>
                <w:sz w:val="20"/>
                <w:szCs w:val="20"/>
                <w:lang w:val="sr-Cyrl-RS"/>
              </w:rPr>
            </w:pPr>
            <w:r w:rsidRPr="008E3674">
              <w:rPr>
                <w:rFonts w:ascii="Times New Roman" w:hAnsi="Times New Roman"/>
                <w:b/>
                <w:bCs/>
                <w:sz w:val="20"/>
                <w:szCs w:val="20"/>
                <w:lang w:val="sr-Cyrl-RS"/>
              </w:rPr>
              <w:t xml:space="preserve">Activity 6.2.3 - Organizing a public hearing on the occasion of the presentation of the Bill on the Budget and the Bill on the </w:t>
            </w:r>
            <w:r w:rsidRPr="008E3674">
              <w:rPr>
                <w:rFonts w:ascii="Times New Roman" w:hAnsi="Times New Roman"/>
                <w:b/>
                <w:bCs/>
                <w:sz w:val="20"/>
                <w:szCs w:val="20"/>
                <w:lang w:val="sr-Cyrl-RS"/>
              </w:rPr>
              <w:lastRenderedPageBreak/>
              <w:t>Final Account of the Budget</w:t>
            </w:r>
          </w:p>
        </w:tc>
        <w:tc>
          <w:tcPr>
            <w:tcW w:w="1828" w:type="dxa"/>
            <w:shd w:val="clear" w:color="auto" w:fill="D9D9D9" w:themeFill="background1" w:themeFillShade="D9"/>
          </w:tcPr>
          <w:p w14:paraId="3089315A"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lastRenderedPageBreak/>
              <w:t>1.250.000</w:t>
            </w:r>
          </w:p>
        </w:tc>
        <w:tc>
          <w:tcPr>
            <w:tcW w:w="1826" w:type="dxa"/>
          </w:tcPr>
          <w:p w14:paraId="1A37203D"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4FDC9622"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6" w:type="dxa"/>
          </w:tcPr>
          <w:p w14:paraId="5C78654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c>
          <w:tcPr>
            <w:tcW w:w="1829" w:type="dxa"/>
            <w:shd w:val="clear" w:color="auto" w:fill="D9D9D9" w:themeFill="background1" w:themeFillShade="D9"/>
          </w:tcPr>
          <w:p w14:paraId="11D12C5B"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1.250.000</w:t>
            </w:r>
          </w:p>
        </w:tc>
        <w:tc>
          <w:tcPr>
            <w:tcW w:w="1826" w:type="dxa"/>
          </w:tcPr>
          <w:p w14:paraId="209F6C50"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0</w:t>
            </w:r>
          </w:p>
        </w:tc>
      </w:tr>
      <w:tr w:rsidR="008E3674" w:rsidRPr="008E3674" w14:paraId="4ACB0365" w14:textId="77777777" w:rsidTr="004375DE">
        <w:tc>
          <w:tcPr>
            <w:tcW w:w="1986" w:type="dxa"/>
            <w:shd w:val="clear" w:color="auto" w:fill="C45911" w:themeFill="accent2" w:themeFillShade="BF"/>
          </w:tcPr>
          <w:p w14:paraId="02B0C9D5" w14:textId="77777777" w:rsidR="008E3674" w:rsidRPr="008E3674" w:rsidRDefault="008E3674" w:rsidP="008E3674">
            <w:pPr>
              <w:jc w:val="center"/>
              <w:rPr>
                <w:rFonts w:ascii="Times New Roman" w:hAnsi="Times New Roman"/>
                <w:lang w:val="sr-Cyrl-RS"/>
              </w:rPr>
            </w:pPr>
            <w:r w:rsidRPr="008E3674">
              <w:rPr>
                <w:rFonts w:ascii="Times New Roman" w:hAnsi="Times New Roman"/>
                <w:lang w:val="sr-Cyrl-RS"/>
              </w:rPr>
              <w:t>TOTAL:</w:t>
            </w:r>
          </w:p>
        </w:tc>
        <w:tc>
          <w:tcPr>
            <w:tcW w:w="1828" w:type="dxa"/>
            <w:shd w:val="clear" w:color="auto" w:fill="C45911" w:themeFill="accent2" w:themeFillShade="BF"/>
          </w:tcPr>
          <w:p w14:paraId="533BA607" w14:textId="77777777" w:rsidR="008E3674" w:rsidRPr="008E3674" w:rsidRDefault="008E3674" w:rsidP="008E3674">
            <w:pPr>
              <w:jc w:val="center"/>
              <w:rPr>
                <w:rFonts w:ascii="Times New Roman" w:hAnsi="Times New Roman"/>
              </w:rPr>
            </w:pPr>
            <w:r w:rsidRPr="008E3674">
              <w:rPr>
                <w:rFonts w:ascii="Times New Roman" w:hAnsi="Times New Roman"/>
              </w:rPr>
              <w:t>6.866.611.</w:t>
            </w:r>
            <w:r w:rsidR="00D0073E">
              <w:rPr>
                <w:rFonts w:ascii="Times New Roman" w:hAnsi="Times New Roman"/>
              </w:rPr>
              <w:t>4</w:t>
            </w:r>
            <w:r w:rsidRPr="008E3674">
              <w:rPr>
                <w:rFonts w:ascii="Times New Roman" w:hAnsi="Times New Roman"/>
              </w:rPr>
              <w:t>00</w:t>
            </w:r>
          </w:p>
        </w:tc>
        <w:tc>
          <w:tcPr>
            <w:tcW w:w="1826" w:type="dxa"/>
            <w:shd w:val="clear" w:color="auto" w:fill="C45911" w:themeFill="accent2" w:themeFillShade="BF"/>
          </w:tcPr>
          <w:p w14:paraId="325D367C" w14:textId="77777777" w:rsidR="008E3674" w:rsidRPr="008E3674" w:rsidRDefault="008E3674" w:rsidP="008E3674">
            <w:pPr>
              <w:jc w:val="center"/>
              <w:rPr>
                <w:rFonts w:ascii="Times New Roman" w:hAnsi="Times New Roman"/>
              </w:rPr>
            </w:pPr>
            <w:r w:rsidRPr="008E3674">
              <w:rPr>
                <w:rFonts w:ascii="Times New Roman" w:hAnsi="Times New Roman"/>
              </w:rPr>
              <w:t>4.385.745.9</w:t>
            </w:r>
            <w:r w:rsidR="00E53781">
              <w:rPr>
                <w:rFonts w:ascii="Times New Roman" w:hAnsi="Times New Roman"/>
              </w:rPr>
              <w:t>91</w:t>
            </w:r>
          </w:p>
        </w:tc>
        <w:tc>
          <w:tcPr>
            <w:tcW w:w="1829" w:type="dxa"/>
            <w:shd w:val="clear" w:color="auto" w:fill="C45911" w:themeFill="accent2" w:themeFillShade="BF"/>
          </w:tcPr>
          <w:p w14:paraId="3CFFF8A8" w14:textId="77777777" w:rsidR="008E3674" w:rsidRPr="008E3674" w:rsidRDefault="008E3674" w:rsidP="008E3674">
            <w:pPr>
              <w:jc w:val="center"/>
              <w:rPr>
                <w:rFonts w:ascii="Times New Roman" w:hAnsi="Times New Roman"/>
              </w:rPr>
            </w:pPr>
            <w:r w:rsidRPr="008E3674">
              <w:rPr>
                <w:rFonts w:ascii="Times New Roman" w:hAnsi="Times New Roman"/>
              </w:rPr>
              <w:t>2.3</w:t>
            </w:r>
            <w:r w:rsidR="00C36B93">
              <w:rPr>
                <w:rFonts w:ascii="Times New Roman" w:hAnsi="Times New Roman"/>
                <w:lang w:val="sr-Cyrl-RS"/>
              </w:rPr>
              <w:t>31</w:t>
            </w:r>
            <w:r w:rsidRPr="008E3674">
              <w:rPr>
                <w:rFonts w:ascii="Times New Roman" w:hAnsi="Times New Roman"/>
              </w:rPr>
              <w:t>.</w:t>
            </w:r>
            <w:r w:rsidR="006C7C76">
              <w:rPr>
                <w:rFonts w:ascii="Times New Roman" w:hAnsi="Times New Roman"/>
              </w:rPr>
              <w:t>513</w:t>
            </w:r>
            <w:r w:rsidRPr="008E3674">
              <w:rPr>
                <w:rFonts w:ascii="Times New Roman" w:hAnsi="Times New Roman"/>
              </w:rPr>
              <w:t>.</w:t>
            </w:r>
            <w:r w:rsidR="006C7C76">
              <w:rPr>
                <w:rFonts w:ascii="Times New Roman" w:hAnsi="Times New Roman"/>
              </w:rPr>
              <w:t>883</w:t>
            </w:r>
          </w:p>
        </w:tc>
        <w:tc>
          <w:tcPr>
            <w:tcW w:w="1826" w:type="dxa"/>
            <w:shd w:val="clear" w:color="auto" w:fill="C45911" w:themeFill="accent2" w:themeFillShade="BF"/>
          </w:tcPr>
          <w:p w14:paraId="42F3150E" w14:textId="77777777" w:rsidR="008E3674" w:rsidRPr="004D2CAC" w:rsidRDefault="008E3674" w:rsidP="008E3674">
            <w:pPr>
              <w:jc w:val="center"/>
              <w:rPr>
                <w:rFonts w:ascii="Times New Roman" w:hAnsi="Times New Roman"/>
              </w:rPr>
            </w:pPr>
            <w:r w:rsidRPr="008E3674">
              <w:rPr>
                <w:rFonts w:ascii="Times New Roman" w:hAnsi="Times New Roman"/>
              </w:rPr>
              <w:t>1</w:t>
            </w:r>
            <w:r w:rsidR="00C36B93">
              <w:rPr>
                <w:rFonts w:ascii="Times New Roman" w:hAnsi="Times New Roman"/>
                <w:lang w:val="sr-Cyrl-RS"/>
              </w:rPr>
              <w:t>30</w:t>
            </w:r>
            <w:r w:rsidRPr="008E3674">
              <w:rPr>
                <w:rFonts w:ascii="Times New Roman" w:hAnsi="Times New Roman"/>
              </w:rPr>
              <w:t>.</w:t>
            </w:r>
            <w:r w:rsidR="004D2CAC">
              <w:rPr>
                <w:rFonts w:ascii="Times New Roman" w:hAnsi="Times New Roman"/>
              </w:rPr>
              <w:t>067</w:t>
            </w:r>
            <w:r w:rsidRPr="008E3674">
              <w:rPr>
                <w:rFonts w:ascii="Times New Roman" w:hAnsi="Times New Roman"/>
              </w:rPr>
              <w:t>.</w:t>
            </w:r>
            <w:r w:rsidR="004D2CAC">
              <w:rPr>
                <w:rFonts w:ascii="Times New Roman" w:hAnsi="Times New Roman"/>
              </w:rPr>
              <w:t>708</w:t>
            </w:r>
          </w:p>
        </w:tc>
        <w:tc>
          <w:tcPr>
            <w:tcW w:w="1829" w:type="dxa"/>
            <w:shd w:val="clear" w:color="auto" w:fill="C45911" w:themeFill="accent2" w:themeFillShade="BF"/>
          </w:tcPr>
          <w:p w14:paraId="027B93A1" w14:textId="77777777" w:rsidR="008E3674" w:rsidRPr="004D2CAC" w:rsidRDefault="008E3674" w:rsidP="008E3674">
            <w:pPr>
              <w:jc w:val="center"/>
              <w:rPr>
                <w:rFonts w:ascii="Times New Roman" w:hAnsi="Times New Roman"/>
              </w:rPr>
            </w:pPr>
            <w:r w:rsidRPr="008E3674">
              <w:rPr>
                <w:rFonts w:ascii="Times New Roman" w:hAnsi="Times New Roman"/>
              </w:rPr>
              <w:t>9.19</w:t>
            </w:r>
            <w:r w:rsidR="00882148">
              <w:rPr>
                <w:rFonts w:ascii="Times New Roman" w:hAnsi="Times New Roman"/>
                <w:lang w:val="sr-Cyrl-RS"/>
              </w:rPr>
              <w:t>8</w:t>
            </w:r>
            <w:r w:rsidRPr="008E3674">
              <w:rPr>
                <w:rFonts w:ascii="Times New Roman" w:hAnsi="Times New Roman"/>
              </w:rPr>
              <w:t>.</w:t>
            </w:r>
            <w:r w:rsidR="004D2CAC">
              <w:rPr>
                <w:rFonts w:ascii="Times New Roman" w:hAnsi="Times New Roman"/>
              </w:rPr>
              <w:t>125</w:t>
            </w:r>
            <w:r w:rsidRPr="008E3674">
              <w:rPr>
                <w:rFonts w:ascii="Times New Roman" w:hAnsi="Times New Roman"/>
              </w:rPr>
              <w:t>.</w:t>
            </w:r>
            <w:r w:rsidR="004D2CAC">
              <w:rPr>
                <w:rFonts w:ascii="Times New Roman" w:hAnsi="Times New Roman"/>
              </w:rPr>
              <w:t>283</w:t>
            </w:r>
          </w:p>
        </w:tc>
        <w:tc>
          <w:tcPr>
            <w:tcW w:w="1826" w:type="dxa"/>
            <w:shd w:val="clear" w:color="auto" w:fill="C45911" w:themeFill="accent2" w:themeFillShade="BF"/>
          </w:tcPr>
          <w:p w14:paraId="59DB3D49" w14:textId="77777777" w:rsidR="008E3674" w:rsidRPr="00A86735" w:rsidRDefault="008E3674" w:rsidP="008E3674">
            <w:pPr>
              <w:jc w:val="center"/>
              <w:rPr>
                <w:rFonts w:ascii="Times New Roman" w:hAnsi="Times New Roman"/>
              </w:rPr>
            </w:pPr>
            <w:r w:rsidRPr="008E3674">
              <w:rPr>
                <w:rFonts w:ascii="Times New Roman" w:hAnsi="Times New Roman"/>
              </w:rPr>
              <w:t>4.51</w:t>
            </w:r>
            <w:r w:rsidR="00882148">
              <w:rPr>
                <w:rFonts w:ascii="Times New Roman" w:hAnsi="Times New Roman"/>
                <w:lang w:val="sr-Cyrl-RS"/>
              </w:rPr>
              <w:t>6</w:t>
            </w:r>
            <w:r w:rsidRPr="008E3674">
              <w:rPr>
                <w:rFonts w:ascii="Times New Roman" w:hAnsi="Times New Roman"/>
              </w:rPr>
              <w:t>.</w:t>
            </w:r>
            <w:r w:rsidR="00A86735">
              <w:rPr>
                <w:rFonts w:ascii="Times New Roman" w:hAnsi="Times New Roman"/>
              </w:rPr>
              <w:t>813</w:t>
            </w:r>
            <w:r w:rsidRPr="008E3674">
              <w:rPr>
                <w:rFonts w:ascii="Times New Roman" w:hAnsi="Times New Roman"/>
              </w:rPr>
              <w:t>.</w:t>
            </w:r>
            <w:r w:rsidR="00A86735">
              <w:rPr>
                <w:rFonts w:ascii="Times New Roman" w:hAnsi="Times New Roman"/>
              </w:rPr>
              <w:t>699</w:t>
            </w:r>
          </w:p>
        </w:tc>
      </w:tr>
    </w:tbl>
    <w:p w14:paraId="694E1D6B" w14:textId="77777777" w:rsidR="008E3674" w:rsidRPr="008E3674" w:rsidRDefault="008E3674" w:rsidP="008E3674">
      <w:pPr>
        <w:rPr>
          <w:rFonts w:ascii="Times New Roman" w:hAnsi="Times New Roman" w:cs="Times New Roman"/>
          <w:kern w:val="2"/>
          <w:sz w:val="22"/>
          <w:szCs w:val="22"/>
          <w:lang w:val="en-US"/>
        </w:rPr>
      </w:pPr>
    </w:p>
    <w:p w14:paraId="74CB8901" w14:textId="77777777" w:rsidR="006749AE" w:rsidRDefault="006749AE" w:rsidP="005A050E">
      <w:pPr>
        <w:jc w:val="both"/>
        <w:rPr>
          <w:rFonts w:ascii="Times New Roman" w:hAnsi="Times New Roman" w:cs="Times New Roman"/>
          <w:bCs/>
          <w:lang w:val="en-US"/>
        </w:rPr>
        <w:sectPr w:rsidR="006749AE" w:rsidSect="008E3674">
          <w:pgSz w:w="15840" w:h="12240" w:orient="landscape"/>
          <w:pgMar w:top="1440" w:right="1440" w:bottom="1440" w:left="1440" w:header="720" w:footer="720" w:gutter="0"/>
          <w:cols w:space="720"/>
          <w:docGrid w:linePitch="360"/>
        </w:sectPr>
      </w:pPr>
    </w:p>
    <w:p w14:paraId="3F53E439" w14:textId="77777777" w:rsidR="008E3674" w:rsidRDefault="00E93DCA" w:rsidP="0041599A">
      <w:pPr>
        <w:ind w:firstLine="720"/>
        <w:jc w:val="both"/>
        <w:rPr>
          <w:rFonts w:ascii="Times New Roman" w:hAnsi="Times New Roman" w:cs="Times New Roman"/>
          <w:bCs/>
          <w:lang w:val="en-US"/>
        </w:rPr>
      </w:pPr>
      <w:r w:rsidRPr="00E93DCA">
        <w:rPr>
          <w:rFonts w:ascii="Times New Roman" w:hAnsi="Times New Roman" w:cs="Times New Roman"/>
          <w:bCs/>
          <w:lang w:val="sr-Cyrl-RS"/>
        </w:rPr>
        <w:lastRenderedPageBreak/>
        <w:t>Note: Financial data are presented on the basis of available data provided by institutions responsible for the implementation of measures and activities. For activities that were carried out through the regular work of the institutions, without separately stated additional costs, the table shows a value of zero. Donor funds are shown in accordance with available data and may not in all cases represent the full value of technical, expert or project support provided during the implementation of the Programme.</w:t>
      </w:r>
    </w:p>
    <w:p w14:paraId="1067381A" w14:textId="77777777" w:rsidR="00467C20" w:rsidRDefault="00467C20" w:rsidP="0041599A">
      <w:pPr>
        <w:ind w:firstLine="720"/>
        <w:jc w:val="both"/>
        <w:rPr>
          <w:rFonts w:ascii="Times New Roman" w:hAnsi="Times New Roman" w:cs="Times New Roman"/>
          <w:bCs/>
          <w:lang w:val="en-US"/>
        </w:rPr>
      </w:pPr>
    </w:p>
    <w:p w14:paraId="62DFE54E" w14:textId="77777777" w:rsidR="00467C20" w:rsidRDefault="00467C20" w:rsidP="0041599A">
      <w:pPr>
        <w:ind w:firstLine="720"/>
        <w:jc w:val="both"/>
        <w:rPr>
          <w:rFonts w:ascii="Times New Roman" w:hAnsi="Times New Roman" w:cs="Times New Roman"/>
          <w:bCs/>
          <w:lang w:val="en-US"/>
        </w:rPr>
      </w:pPr>
    </w:p>
    <w:p w14:paraId="426CD374" w14:textId="77777777" w:rsidR="00467C20" w:rsidRDefault="00467C20" w:rsidP="0041599A">
      <w:pPr>
        <w:ind w:firstLine="720"/>
        <w:jc w:val="both"/>
        <w:rPr>
          <w:rFonts w:ascii="Times New Roman" w:hAnsi="Times New Roman" w:cs="Times New Roman"/>
          <w:bCs/>
          <w:lang w:val="en-US"/>
        </w:rPr>
      </w:pPr>
    </w:p>
    <w:p w14:paraId="63F8D51E" w14:textId="77777777" w:rsidR="00467C20" w:rsidRDefault="00467C20" w:rsidP="0041599A">
      <w:pPr>
        <w:ind w:firstLine="720"/>
        <w:jc w:val="both"/>
        <w:rPr>
          <w:rFonts w:ascii="Times New Roman" w:hAnsi="Times New Roman" w:cs="Times New Roman"/>
          <w:bCs/>
          <w:lang w:val="en-US"/>
        </w:rPr>
      </w:pPr>
    </w:p>
    <w:p w14:paraId="5C14C0C8" w14:textId="77777777" w:rsidR="00467C20" w:rsidRDefault="00467C20" w:rsidP="0041599A">
      <w:pPr>
        <w:ind w:firstLine="720"/>
        <w:jc w:val="both"/>
        <w:rPr>
          <w:rFonts w:ascii="Times New Roman" w:hAnsi="Times New Roman" w:cs="Times New Roman"/>
          <w:bCs/>
          <w:lang w:val="en-US"/>
        </w:rPr>
      </w:pPr>
    </w:p>
    <w:p w14:paraId="23348D2D" w14:textId="77777777" w:rsidR="00467C20" w:rsidRDefault="00467C20" w:rsidP="0041599A">
      <w:pPr>
        <w:ind w:firstLine="720"/>
        <w:jc w:val="both"/>
        <w:rPr>
          <w:rFonts w:ascii="Times New Roman" w:hAnsi="Times New Roman" w:cs="Times New Roman"/>
          <w:bCs/>
          <w:lang w:val="en-US"/>
        </w:rPr>
      </w:pPr>
    </w:p>
    <w:p w14:paraId="3218CCFE" w14:textId="77777777" w:rsidR="00467C20" w:rsidRDefault="00467C20" w:rsidP="0041599A">
      <w:pPr>
        <w:ind w:firstLine="720"/>
        <w:jc w:val="both"/>
        <w:rPr>
          <w:rFonts w:ascii="Times New Roman" w:hAnsi="Times New Roman" w:cs="Times New Roman"/>
          <w:bCs/>
          <w:lang w:val="en-US"/>
        </w:rPr>
      </w:pPr>
    </w:p>
    <w:p w14:paraId="7C7CF759" w14:textId="77777777" w:rsidR="00467C20" w:rsidRDefault="00467C20" w:rsidP="0041599A">
      <w:pPr>
        <w:ind w:firstLine="720"/>
        <w:jc w:val="both"/>
        <w:rPr>
          <w:rFonts w:ascii="Times New Roman" w:hAnsi="Times New Roman" w:cs="Times New Roman"/>
          <w:bCs/>
          <w:lang w:val="en-US"/>
        </w:rPr>
      </w:pPr>
    </w:p>
    <w:p w14:paraId="612A11AF" w14:textId="77777777" w:rsidR="00467C20" w:rsidRDefault="00467C20" w:rsidP="0041599A">
      <w:pPr>
        <w:ind w:firstLine="720"/>
        <w:jc w:val="both"/>
        <w:rPr>
          <w:rFonts w:ascii="Times New Roman" w:hAnsi="Times New Roman" w:cs="Times New Roman"/>
          <w:bCs/>
          <w:lang w:val="en-US"/>
        </w:rPr>
      </w:pPr>
    </w:p>
    <w:p w14:paraId="25F54642" w14:textId="77777777" w:rsidR="00467C20" w:rsidRDefault="00467C20" w:rsidP="0041599A">
      <w:pPr>
        <w:ind w:firstLine="720"/>
        <w:jc w:val="both"/>
        <w:rPr>
          <w:rFonts w:ascii="Times New Roman" w:hAnsi="Times New Roman" w:cs="Times New Roman"/>
          <w:bCs/>
          <w:lang w:val="en-US"/>
        </w:rPr>
      </w:pPr>
    </w:p>
    <w:p w14:paraId="4D952A17" w14:textId="77777777" w:rsidR="00467C20" w:rsidRDefault="00467C20" w:rsidP="0041599A">
      <w:pPr>
        <w:ind w:firstLine="720"/>
        <w:jc w:val="both"/>
        <w:rPr>
          <w:rFonts w:ascii="Times New Roman" w:hAnsi="Times New Roman" w:cs="Times New Roman"/>
          <w:bCs/>
          <w:lang w:val="en-US"/>
        </w:rPr>
      </w:pPr>
    </w:p>
    <w:p w14:paraId="6E7CA592" w14:textId="77777777" w:rsidR="00467C20" w:rsidRDefault="00467C20" w:rsidP="0041599A">
      <w:pPr>
        <w:ind w:firstLine="720"/>
        <w:jc w:val="both"/>
        <w:rPr>
          <w:rFonts w:ascii="Times New Roman" w:hAnsi="Times New Roman" w:cs="Times New Roman"/>
          <w:bCs/>
          <w:lang w:val="en-US"/>
        </w:rPr>
      </w:pPr>
    </w:p>
    <w:p w14:paraId="3EE8BD7D" w14:textId="77777777" w:rsidR="00467C20" w:rsidRDefault="00467C20" w:rsidP="0041599A">
      <w:pPr>
        <w:ind w:firstLine="720"/>
        <w:jc w:val="both"/>
        <w:rPr>
          <w:rFonts w:ascii="Times New Roman" w:hAnsi="Times New Roman" w:cs="Times New Roman"/>
          <w:bCs/>
          <w:lang w:val="en-US"/>
        </w:rPr>
      </w:pPr>
    </w:p>
    <w:p w14:paraId="01BA2A2C" w14:textId="77777777" w:rsidR="00467C20" w:rsidRDefault="00467C20" w:rsidP="0041599A">
      <w:pPr>
        <w:ind w:firstLine="720"/>
        <w:jc w:val="both"/>
        <w:rPr>
          <w:rFonts w:ascii="Times New Roman" w:hAnsi="Times New Roman" w:cs="Times New Roman"/>
          <w:bCs/>
          <w:lang w:val="en-US"/>
        </w:rPr>
      </w:pPr>
    </w:p>
    <w:p w14:paraId="5DF09194" w14:textId="77777777" w:rsidR="00467C20" w:rsidRDefault="00467C20" w:rsidP="0041599A">
      <w:pPr>
        <w:ind w:firstLine="720"/>
        <w:jc w:val="both"/>
        <w:rPr>
          <w:rFonts w:ascii="Times New Roman" w:hAnsi="Times New Roman" w:cs="Times New Roman"/>
          <w:bCs/>
          <w:lang w:val="en-US"/>
        </w:rPr>
      </w:pPr>
    </w:p>
    <w:p w14:paraId="710DD26D" w14:textId="77777777" w:rsidR="00467C20" w:rsidRDefault="00467C20" w:rsidP="0041599A">
      <w:pPr>
        <w:ind w:firstLine="720"/>
        <w:jc w:val="both"/>
        <w:rPr>
          <w:rFonts w:ascii="Times New Roman" w:hAnsi="Times New Roman" w:cs="Times New Roman"/>
          <w:bCs/>
          <w:lang w:val="en-US"/>
        </w:rPr>
      </w:pPr>
    </w:p>
    <w:p w14:paraId="3A4E9383" w14:textId="77777777" w:rsidR="00467C20" w:rsidRDefault="00467C20" w:rsidP="0041599A">
      <w:pPr>
        <w:ind w:firstLine="720"/>
        <w:jc w:val="both"/>
        <w:rPr>
          <w:rFonts w:ascii="Times New Roman" w:hAnsi="Times New Roman" w:cs="Times New Roman"/>
          <w:bCs/>
          <w:lang w:val="en-US"/>
        </w:rPr>
      </w:pPr>
    </w:p>
    <w:p w14:paraId="737DE26D" w14:textId="77777777" w:rsidR="00467C20" w:rsidRDefault="00467C20" w:rsidP="0041599A">
      <w:pPr>
        <w:ind w:firstLine="720"/>
        <w:jc w:val="both"/>
        <w:rPr>
          <w:rFonts w:ascii="Times New Roman" w:hAnsi="Times New Roman" w:cs="Times New Roman"/>
          <w:bCs/>
          <w:lang w:val="en-US"/>
        </w:rPr>
      </w:pPr>
    </w:p>
    <w:p w14:paraId="3F6467A2" w14:textId="77777777" w:rsidR="00467C20" w:rsidRDefault="00467C20" w:rsidP="0041599A">
      <w:pPr>
        <w:ind w:firstLine="720"/>
        <w:jc w:val="both"/>
        <w:rPr>
          <w:rFonts w:ascii="Times New Roman" w:hAnsi="Times New Roman" w:cs="Times New Roman"/>
          <w:bCs/>
          <w:lang w:val="en-US"/>
        </w:rPr>
      </w:pPr>
    </w:p>
    <w:p w14:paraId="09E88B65" w14:textId="77777777" w:rsidR="00467C20" w:rsidRPr="00467C20" w:rsidRDefault="00467C20" w:rsidP="0041599A">
      <w:pPr>
        <w:ind w:firstLine="720"/>
        <w:jc w:val="both"/>
        <w:rPr>
          <w:rFonts w:ascii="Times New Roman" w:hAnsi="Times New Roman" w:cs="Times New Roman"/>
          <w:bCs/>
          <w:lang w:val="en-US"/>
        </w:rPr>
      </w:pPr>
    </w:p>
    <w:p w14:paraId="3938577E" w14:textId="77777777" w:rsidR="00D079F8" w:rsidRPr="008548AE" w:rsidRDefault="00D079F8" w:rsidP="008548AE">
      <w:pPr>
        <w:pStyle w:val="Heading1"/>
        <w:jc w:val="center"/>
        <w:rPr>
          <w:rFonts w:ascii="Times New Roman" w:eastAsia="Calibri" w:hAnsi="Times New Roman" w:cs="Times New Roman"/>
          <w:sz w:val="32"/>
          <w:szCs w:val="32"/>
          <w:lang w:val="en-US"/>
        </w:rPr>
      </w:pPr>
      <w:bookmarkStart w:id="15" w:name="_Toc233629231"/>
      <w:r w:rsidRPr="008548AE">
        <w:rPr>
          <w:rFonts w:ascii="Times New Roman" w:eastAsia="Calibri" w:hAnsi="Times New Roman" w:cs="Times New Roman"/>
          <w:sz w:val="32"/>
          <w:szCs w:val="32"/>
          <w:lang w:val="sr-Cyrl-RS"/>
        </w:rPr>
        <w:lastRenderedPageBreak/>
        <w:t>SUMMARY ASSESSMENT OF THE ACHIEVEMENT OF GOALS AND MEASURES</w:t>
      </w:r>
      <w:bookmarkEnd w:id="15"/>
    </w:p>
    <w:p w14:paraId="41814049" w14:textId="77777777" w:rsidR="00D079F8" w:rsidRPr="00D079F8" w:rsidRDefault="00D079F8"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D079F8">
        <w:rPr>
          <w:rFonts w:ascii="Times New Roman" w:eastAsia="Times New Roman" w:hAnsi="Times New Roman" w:cs="Times New Roman"/>
          <w:lang w:val="sr-Cyrl-RS" w:eastAsia="en-GB"/>
          <w14:ligatures w14:val="none"/>
        </w:rPr>
        <w:t>Based on the review of the implementation of the PFMRP 2021–2025, the achieved values ​​of performance indicators, the status of activities from the Action Plan and the submitted data of competent institutions, it can be assessed that the Programme contributed significantly to the continuation of reforms in the field of public financial management. Most of the activities not implemented relate to more complex reform processes, primarily to the development and upgrading of information systems, implementation of technical support projects, provision of financial resources, implementation of public procurement, as well as activities that required additional methodological or normative adjustments.</w:t>
      </w:r>
    </w:p>
    <w:p w14:paraId="168BFD40" w14:textId="77777777" w:rsidR="00D079F8" w:rsidRPr="00D079F8" w:rsidRDefault="00D079F8"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D079F8">
        <w:rPr>
          <w:rFonts w:ascii="Times New Roman" w:eastAsia="Times New Roman" w:hAnsi="Times New Roman" w:cs="Times New Roman"/>
          <w:lang w:val="sr-Cyrl-RS" w:eastAsia="en-GB"/>
          <w14:ligatures w14:val="none"/>
        </w:rPr>
        <w:t>Observed at the level of the overall objective, the Programme was implemented in conditions of preserved fiscal stability and a controlled level of public debt. Although real GDP growth in 2025 did not reach the originally planned value, the indicator related to the level of general government debt in GDP was achieved, which indicates the continuation of responsible management of public finances. At the same time, individual deviations from the planned values ​​of the indicators, especially in areas that depend on the wider macroeconomic environment or complex institutional processes, indicate the need to further improve the planning of deadlines, resources and preconditions for the implementation of activities in the next programme cycle.</w:t>
      </w:r>
    </w:p>
    <w:p w14:paraId="137F33BB" w14:textId="77777777" w:rsidR="00D079F8" w:rsidRPr="00D079F8" w:rsidRDefault="00D079F8"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D079F8">
        <w:rPr>
          <w:rFonts w:ascii="Times New Roman" w:eastAsia="Times New Roman" w:hAnsi="Times New Roman" w:cs="Times New Roman"/>
          <w:lang w:val="sr-Cyrl-RS" w:eastAsia="en-GB"/>
          <w14:ligatures w14:val="none"/>
        </w:rPr>
        <w:t>Within Special Objective I, which refers to the improvement of capacities for budget planning and public investment management, progress was made in the area of ​​programme budgeting, medium-term planning, management of capital projects and monitoring of fiscal risks. The outcome indicator at the level of a specific objective was achieved, and the increase in the number of adopted medium-term plans, the improvement of the methodological and informational framework for managing capital projects and the strengthening of the capacity for monitoring fiscal risks are particularly significant. Certain activities were not implemented within the planned period, but their relevance was confirmed through the continuation of activities within the next programme cycle.</w:t>
      </w:r>
    </w:p>
    <w:p w14:paraId="11F0383F" w14:textId="77777777" w:rsidR="00D079F8" w:rsidRPr="00D079F8" w:rsidRDefault="00D079F8"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D079F8">
        <w:rPr>
          <w:rFonts w:ascii="Times New Roman" w:eastAsia="Times New Roman" w:hAnsi="Times New Roman" w:cs="Times New Roman"/>
          <w:lang w:val="sr-Cyrl-RS" w:eastAsia="en-GB"/>
          <w14:ligatures w14:val="none"/>
        </w:rPr>
        <w:t>Within Special Objective II, which refers to the efficient collection and management of budget funds, significant results were achieved in the modernisation of the work of the Tax Administration, the Customs Administration, the Tobacco Administration, the Public Debt Administration and the public procurement system. Progress was achieved through digitalisation of procedures, introduction of new information solutions, strengthening of administrative capacities and further alignment with European Union standards. At the same time, the biggest deviations in this area are related to complex IT projects and projects whose implementation requires more mutually conditioned technical, financial and organisational prerequisites. Therefore, part of the activity was transferred to the PFMRP 2026–2030.</w:t>
      </w:r>
    </w:p>
    <w:p w14:paraId="47AA7BEA" w14:textId="77777777" w:rsidR="00D079F8" w:rsidRPr="00D079F8" w:rsidRDefault="00D079F8"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D079F8">
        <w:rPr>
          <w:rFonts w:ascii="Times New Roman" w:eastAsia="Times New Roman" w:hAnsi="Times New Roman" w:cs="Times New Roman"/>
          <w:lang w:val="sr-Cyrl-RS" w:eastAsia="en-GB"/>
          <w14:ligatures w14:val="none"/>
        </w:rPr>
        <w:t xml:space="preserve">Within Special Objective III, which refers to the improvement of budget discipline and more transparent use of public funds, results were achieved in strengthening the capacity of the audit of the EU funds management system, EU funds management and budget inspection. Significant progress was achieved through the reduction of the number of open audit findings of </w:t>
      </w:r>
      <w:r w:rsidRPr="00D079F8">
        <w:rPr>
          <w:rFonts w:ascii="Times New Roman" w:eastAsia="Times New Roman" w:hAnsi="Times New Roman" w:cs="Times New Roman"/>
          <w:lang w:val="sr-Cyrl-RS" w:eastAsia="en-GB"/>
          <w14:ligatures w14:val="none"/>
        </w:rPr>
        <w:lastRenderedPageBreak/>
        <w:t>the European Commission, the strengthening of the control system within the IPA structures, the increase in the number of on-site checks, the development of information support and the increase in the number of inspection controls. Although not all outcome indicators were achieved in all years of the Programme's implementation, the measures contributed to the strengthening of control mechanisms and better protection of the financial interests of the Republic of Serbia and the European Union.</w:t>
      </w:r>
    </w:p>
    <w:p w14:paraId="72608E3B" w14:textId="77777777" w:rsidR="00D079F8" w:rsidRPr="00D079F8" w:rsidRDefault="00D079F8"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D079F8">
        <w:rPr>
          <w:rFonts w:ascii="Times New Roman" w:eastAsia="Times New Roman" w:hAnsi="Times New Roman" w:cs="Times New Roman"/>
          <w:lang w:val="sr-Cyrl-RS" w:eastAsia="en-GB"/>
          <w14:ligatures w14:val="none"/>
        </w:rPr>
        <w:t>Within Special Objective IV, which refers to the improvement of the implementation of the PIFC system, progress has been achieved in the area of ​​FMC, IA, reporting and modernisation of training. The outcome indicator is in the period 2021–2024. was in line with the target value, while in 2025 the planned good level of preparedness was not reached. The achieved results indicate an increase in awareness of the importance of the internal control system and IA, but also the need to continue in the coming period with capacity building, improvement of IT support, development of new modules for monitoring FMC and IA, as well as further strengthening of the professional position of internal auditors.</w:t>
      </w:r>
    </w:p>
    <w:p w14:paraId="7D3D5F8C" w14:textId="77777777" w:rsidR="00D079F8" w:rsidRPr="00D079F8" w:rsidRDefault="00D079F8"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D079F8">
        <w:rPr>
          <w:rFonts w:ascii="Times New Roman" w:eastAsia="Times New Roman" w:hAnsi="Times New Roman" w:cs="Times New Roman"/>
          <w:lang w:val="sr-Cyrl-RS" w:eastAsia="en-GB"/>
          <w14:ligatures w14:val="none"/>
        </w:rPr>
        <w:t>Within Special Objective V, which refers to the improvement of accounting in the public sector by applying international accounting standards for the public sector, the indicator at the level of the specific objective was not achieved in 2025. However, during the implementation period of the Programme, important prerequisites were created for the application of IPSAS for the cash basis, including the establishment of an institutional framework, the work of the Commission for monitoring the implementation of MRS-JS, the preparation and adoption of relevant regulations, the translation of standards and the development of professional training programs. This area remains one of the important priorities for the next programme cycle, bearing in mind that results in the field of accounting in the public sector are by nature achieved gradually and require continuous normative, methodological and personnel improvement.</w:t>
      </w:r>
    </w:p>
    <w:p w14:paraId="36877047" w14:textId="77777777" w:rsidR="009F2A89" w:rsidRPr="00467C20" w:rsidRDefault="00D079F8" w:rsidP="00467C20">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D079F8">
        <w:rPr>
          <w:rFonts w:ascii="Times New Roman" w:eastAsia="Times New Roman" w:hAnsi="Times New Roman" w:cs="Times New Roman"/>
          <w:lang w:val="sr-Cyrl-RS" w:eastAsia="en-GB"/>
          <w14:ligatures w14:val="none"/>
        </w:rPr>
        <w:t>Within Special Objective VI, which refers to the strengthening of external oversight of public finances, significant results were achieved in the work of the State Audit Institution and the National Assembly. For the SAI, the effects of the Programme are reflected in the further strengthening of the audit function, the expansion of the scope of audits, the improvement of quality control and the development of the methodological framework. The National Assembly and the competent committee continued with the consideration of the SAI report, the adoption of proposed conclusions, the monitoring of recommendations and the organisation of public hearings, which contributed to greater transparency and the strengthening of parliamentary oversight of public finances. Although the outcome indicator was not fully achieved in all years, the measures in this area showed a high degree of relevance and a significant impact on responsibility in the use of public funds.</w:t>
      </w:r>
    </w:p>
    <w:p w14:paraId="04EB155C" w14:textId="77777777" w:rsidR="009F2A89" w:rsidRDefault="009F2A89" w:rsidP="00D079F8">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9F2A89">
        <w:rPr>
          <w:rFonts w:ascii="Times New Roman" w:eastAsia="Times New Roman" w:hAnsi="Times New Roman" w:cs="Times New Roman"/>
          <w:lang w:val="sr-Cyrl-RS" w:eastAsia="en-GB"/>
          <w14:ligatures w14:val="none"/>
        </w:rPr>
        <w:t xml:space="preserve">Overall, the PFMRP 2021-2025 ensured the continuity of reforms in the area of ​​public financial management and contributed to the improvement of several key subsystems: budget planning, revenue collection, public investment management, control of the use of public funds, public procurement, PIFC, accounting and external supervision. At the same time, the Programme was also relevant for the fulfilment of the obligations of the Republic of Serbia in the process of accession to the European Union, bearing in mind its connection with negotiation chapters 5 - </w:t>
      </w:r>
      <w:r w:rsidRPr="009F2A89">
        <w:rPr>
          <w:rFonts w:ascii="Times New Roman" w:eastAsia="Times New Roman" w:hAnsi="Times New Roman" w:cs="Times New Roman"/>
          <w:lang w:val="sr-Cyrl-RS" w:eastAsia="en-GB"/>
          <w14:ligatures w14:val="none"/>
        </w:rPr>
        <w:lastRenderedPageBreak/>
        <w:t>Public Procurement, 16 - Taxation, 17 - Economic and Monetary Policy, 29 - Customs Union, 32 - Financial Supervision and 33 - Financial and Budget Provisions.</w:t>
      </w:r>
    </w:p>
    <w:p w14:paraId="499F1B6D" w14:textId="77777777" w:rsidR="00D079F8" w:rsidRDefault="00E82238"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Pr>
          <w:rFonts w:ascii="Times New Roman" w:eastAsia="Times New Roman" w:hAnsi="Times New Roman" w:cs="Times New Roman"/>
          <w:lang w:val="sr-Cyrl-RS" w:eastAsia="en-GB"/>
          <w14:ligatures w14:val="none"/>
        </w:rPr>
        <w:t>The implementation of the Programme has shown that complex reform activities require more realistic planning of deadlines, more stable provision of financial resources, better coordination of institutions and more precise monitoring of the effects of measures. The findings from this report represent an important basis for the implementation of the 2026-2030 PFMRP, especially in areas where activities were initiated but not fully completed in the previous programme cycle.</w:t>
      </w:r>
    </w:p>
    <w:p w14:paraId="77EBF67E"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325C2E12"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15602A67"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5477E4C"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42C4EB06"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17790E9D"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1A3250D0"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175302BF"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669D224A"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353966F9"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6301C1F"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2EB3BDE9"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408955CE"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6FADA895"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42959C8"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1663F05" w14:textId="77777777" w:rsid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A8C9C46" w14:textId="77777777" w:rsidR="00467C20" w:rsidRPr="00467C20" w:rsidRDefault="00467C20" w:rsidP="00D079F8">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F541433" w14:textId="77777777" w:rsidR="00261573" w:rsidRPr="008548AE" w:rsidRDefault="00261573" w:rsidP="008548AE">
      <w:pPr>
        <w:pStyle w:val="Heading1"/>
        <w:jc w:val="center"/>
        <w:rPr>
          <w:rFonts w:ascii="Times New Roman" w:eastAsia="Calibri" w:hAnsi="Times New Roman" w:cs="Times New Roman"/>
          <w:sz w:val="32"/>
          <w:szCs w:val="32"/>
          <w:lang w:val="sr-Cyrl-RS"/>
        </w:rPr>
      </w:pPr>
      <w:bookmarkStart w:id="16" w:name="_Toc233629232"/>
      <w:r w:rsidRPr="008548AE">
        <w:rPr>
          <w:rFonts w:ascii="Times New Roman" w:eastAsia="Calibri" w:hAnsi="Times New Roman" w:cs="Times New Roman"/>
          <w:sz w:val="32"/>
          <w:szCs w:val="32"/>
          <w:lang w:val="sr-Cyrl-RS"/>
        </w:rPr>
        <w:lastRenderedPageBreak/>
        <w:t>EXTERNAL FACTORS AFFECTING THE IMPLEMENTATION OF THE PROGRAMME</w:t>
      </w:r>
      <w:bookmarkEnd w:id="16"/>
    </w:p>
    <w:p w14:paraId="5797E296"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The implementation of the PFMRP 2021–2025 took place in a period marked by significant changes in the domestic and international environment. Although the Programme largely maintained its relevance during the entire period of implementation, certain external factors and circumstances affected the dynamics of the implementation of activities, the achievement of indicators and the need to adapt part of the activities to new conditions or transfer them to the next programme cycle.</w:t>
      </w:r>
    </w:p>
    <w:p w14:paraId="78DC6A48"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The beginning of the implementation of the Programme was affected by the consequences of the Covid-19 pandemic, which affected the organisation of the work of institutions, the dynamics of the implementation of certain activities, the way of holding consultations, trainings and meetings, as well as the availability of certain types of technical support. Although the institutions continued to implement reform activities, part of the activities that entailed direct cooperation, study visits, trainings or engagement of external expert support were affected by restrictions and changes in the way of work that occurred as a result of the pandemic.</w:t>
      </w:r>
    </w:p>
    <w:p w14:paraId="3AE64B89"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During the period of implementation of the Programme, the energy crisis, inflationary pressures, geopolitical instability and growing uncertainty on international markets had an additional impact. These circumstances were particularly relevant for areas related to macroeconomic and fiscal trends, public debt management, budget planning, and implementation of investment and IT projects. The growth of interest rates and instability in the financial markets affected the assessment of the conditions for the implementation of certain activities in the field of public debt management, including activities related to the development of the domestic bond market and the upgrading of information tools for risk management.</w:t>
      </w:r>
    </w:p>
    <w:p w14:paraId="2FEC9885"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The implementation of several measures was influenced by the complexity of large information systems and digitalisation projects. In the areas of tax administration, customs system, management of capital projects, public procurement, management of funds of the European Union and PIFC, certain activities depended on the development or upgrading of complex IT solutions, preparation of technical documentation, implementation of public procurement, engagement of consultants, as well as coordination of several institutions and partners. For this reason, certain activities were implemented with a delay, while some, due to the scope and complexity, were transferred to the PFMRP 2026-2030.</w:t>
      </w:r>
    </w:p>
    <w:p w14:paraId="22A3E050"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 xml:space="preserve">A special factor that influenced the dynamics of implementation was the degree of dependence of individual activities on donor and project support. Donor support played an important role in the implementation of activities in several areas of public financial management, especially in the area of ​​expert support, analysis, training, development of methodological tools and information systems support. However, in some cases, the dynamics of implementation depended on donor procedures, the availability of experts, the preparation of project documentation or the implementation of procurement. In addition, data on the value of donor support were not always available in a form that allows precise reporting by Programme activities, </w:t>
      </w:r>
      <w:r w:rsidRPr="00261573">
        <w:rPr>
          <w:rFonts w:ascii="Times New Roman" w:eastAsia="Times New Roman" w:hAnsi="Times New Roman" w:cs="Times New Roman"/>
          <w:lang w:val="sr-Cyrl-RS" w:eastAsia="en-GB"/>
          <w14:ligatures w14:val="none"/>
        </w:rPr>
        <w:lastRenderedPageBreak/>
        <w:t>which affected the completeness of the financial presentation, but not the substantive evaluation of the implemented activities.</w:t>
      </w:r>
    </w:p>
    <w:p w14:paraId="03E1272C"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The implementation of certain measures was also affected by limitations in administrative and personnel capacities. This particularly applied to areas where the implementation of reform activities requires a high degree of specialized knowledge, such as tax and customs IT systems, IA, management of European Union funds, fiscal risk management, IPSAS application and external audit. The insufficient number of employees or the outflow of personnel in certain institutions affected the dynamics of the implementation of activities, but also the need to continue with the strengthening of personnel and professional capacities in the coming period.</w:t>
      </w:r>
    </w:p>
    <w:p w14:paraId="6FA868BF"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Regulatory and institutional changes also affected the implementation of the Programme. In certain areas, it was necessary to carry out additional normative adjustments before the full implementation of the planned activities. This refers, among other things, to the field of accounting in the public sector and the application of international accounting standards for the public sector, where normative prerequisites were established gradually, as well as to the field of PIFC, where changes to the relevant framework and changes in the categorization of certain public sector entities affected the monitoring and interpretation of indicators. Similarly, in the area of ​​capital project management and customs IT systems, further steps depended on changes to the legal and methodological framework and on alignment with the obligations arising from the process of accession to the European Union.</w:t>
      </w:r>
    </w:p>
    <w:p w14:paraId="2AC75635"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Part of the activity was not implemented within the planned period due to the lack of financial resources or the need to secure financing in the following period. This especially applies to activities that required additional investments in information systems, specialized modules, studies, training or technical support. At the same time, a significant number of activities were carried out through the regular work of the institutions, without specifically stated additional costs, which enabled the continuation of reforms even in conditions of limited available funds.</w:t>
      </w:r>
    </w:p>
    <w:p w14:paraId="3C42FB9B" w14:textId="77777777" w:rsidR="00261573" w:rsidRPr="00261573" w:rsidRDefault="00261573" w:rsidP="00261573">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In addition to the above, during the implementation of the Programme there was an increase in the importance of new reform priorities, especially in the field of digitalisation, green budgeting, climate risks, transparency and data management. These priorities were partly already included in the PFMRP 2021–2025, but during the implementation period they gained more importance, which required additional adjustment of activities and their further elaboration within the PFMRP 2026–2030.</w:t>
      </w:r>
    </w:p>
    <w:p w14:paraId="70BB46AB" w14:textId="77777777" w:rsidR="008E3674" w:rsidRPr="0041599A" w:rsidRDefault="00261573" w:rsidP="0041599A">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61573">
        <w:rPr>
          <w:rFonts w:ascii="Times New Roman" w:eastAsia="Times New Roman" w:hAnsi="Times New Roman" w:cs="Times New Roman"/>
          <w:lang w:val="sr-Cyrl-RS" w:eastAsia="en-GB"/>
          <w14:ligatures w14:val="none"/>
        </w:rPr>
        <w:t>Taken as a whole, the mentioned factors did not call into question the relevance of the 2021-2025 PFMRP, but they influenced the dynamics of the implementation of certain activities and the level of achievement of certain indicators. At the same time, experiences from the period 2021-2025 indicate the need to continue in the next programme cycle with more realistic planning of deadlines, clearer definition of prerequisites for the implementation of complex activities, better planning of financial resources, strengthening of institutional coordination and more precise monitoring of risks that may affect the implementation of measures.</w:t>
      </w:r>
    </w:p>
    <w:p w14:paraId="5B92F466" w14:textId="77777777" w:rsidR="001A183C" w:rsidRPr="008548AE" w:rsidRDefault="001A183C" w:rsidP="008548AE">
      <w:pPr>
        <w:pStyle w:val="Heading1"/>
        <w:jc w:val="center"/>
        <w:rPr>
          <w:rFonts w:ascii="Times New Roman" w:eastAsia="Calibri" w:hAnsi="Times New Roman" w:cs="Times New Roman"/>
          <w:sz w:val="32"/>
          <w:szCs w:val="32"/>
          <w:lang w:val="en-US"/>
        </w:rPr>
      </w:pPr>
      <w:bookmarkStart w:id="17" w:name="_Toc233629233"/>
      <w:r w:rsidRPr="008548AE">
        <w:rPr>
          <w:rFonts w:ascii="Times New Roman" w:eastAsia="Calibri" w:hAnsi="Times New Roman" w:cs="Times New Roman"/>
          <w:sz w:val="32"/>
          <w:szCs w:val="32"/>
          <w:lang w:val="sr-Cyrl-RS"/>
        </w:rPr>
        <w:lastRenderedPageBreak/>
        <w:t>EFFECTS ON TARGET GROUPS AND STAKEHOLDERS</w:t>
      </w:r>
      <w:bookmarkEnd w:id="17"/>
    </w:p>
    <w:p w14:paraId="2FB6C4A6"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The implementation of the PFMRP 2021–2025 had effects on several groups of institutions, public sector entities and stakeholders. Considering the nature of the Programme, most of the effects relate to the improvement of institutional, normative, methodological, informational and personnel prerequisites for better management of public finances. Part of the effects are immediately visible through the achieved indicators, adopted regulations, developed systems, controls performed, audits, trainings and reports, while the full effects of certain measures, especially in the case of complex IT solutions, the application of IPSAS, PIFC and further development of tax and customs systems, will be manifested gradually in the coming period.</w:t>
      </w:r>
    </w:p>
    <w:p w14:paraId="11A2D4BF"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the Ministry of Finance and other institutions responsible for managing public finances, the Programme contributed to strengthening the capacity for planning, implementing, monitoring and reporting on reforms in several related areas. Various elements of programme budgeting, medium-term planning, capital project management, fiscal risk monitoring, public debt management, public procurement, PIFC, public accounting and external supervision have been improved. These effects are significant because they contribute to a better connection between public policy planning, the budget process and the monitoring of results.</w:t>
      </w:r>
    </w:p>
    <w:p w14:paraId="2EC85EF5"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budget users and other users of public funds, the effects of the Programme are reflected in the strengthening of requirements for better planning, reporting and risk management. Activities in the field of programme budgeting, medium-term planning, FMC, IA and budget inspection have contributed to a greater focus of institutions on goals, indicators, control mechanisms and responsibility in the use of public funds. At the same time, the results show that it is necessary to continue strengthening the capacities of the public sector entities, especially in the areas of risk management, internal control, IA and the quality of financial reporting.</w:t>
      </w:r>
    </w:p>
    <w:p w14:paraId="57EF9FFD"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local self-government units, the Programme was important through activities related to programme budgeting, medium-term planning, public procurement, support for the establishment and improvement of the FMC and IA systems, as well as through parliamentary supervision of the SAI reports related to the local level. Although the degree of application was not uniform among all users, these activities contributed to the expansion of the methodological framework and practice of public financial management beyond the central level of government.</w:t>
      </w:r>
    </w:p>
    <w:p w14:paraId="1ED99596"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taxpayers and business entities, the effects are related to the modernisation of the tax administration, the introduction of a new fiscalization system, the development of the e-invoice system, preparations for the further improvement of tax IT systems, the modernisation of the work of the Tobacco Administration and the improvement of the electronic public procurement system. These activities created the conditions for greater digitalisation of procedures, more efficient communication with the administration, reduction of the administrative burden in certain procedures and greater availability of electronic services. In the case of public procurement, although the indicator of the number of offers per procedure did not reach the target values, improvements to the Public Procurement Portal and accompanying activities created the basis for further strengthening of transparency and competition in the coming period.</w:t>
      </w:r>
    </w:p>
    <w:p w14:paraId="1C4C6BD1"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lastRenderedPageBreak/>
        <w:t>For the Customs Administration and business entities participating in customs procedures, the Programme contributed to the continuation of the modernisation of customs IT systems, harmonisation with European Union standards and the development of capacities for the implementation of obligations arising from the EU accession process. Although some of the complex activities were not implemented within the planned period, especially in the area of ​​the integrated tariff management system and related IT solutions, the implemented activities and preparatory steps represent the basis for further digitalisation, more efficient calculation of customs duties and gradual improvement of customs procedures.</w:t>
      </w:r>
    </w:p>
    <w:p w14:paraId="3AD0FFFA"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institutions involved in the management and control of European Union funds, the Programme contributed to strengthening administrative capacities, improving procedures, increasing the number of on-site checks, better managing risks and irregularities, and developing information support. These effects are significant for the preservation of the stability of the system of indirect management of EU funds, the protection of the financial interests of the European Union and the Republic of Serbia, and the preparation of institutions for increasingly complex obligations in the EU accession process. The introduction of the Instrument for Reform and Growth and the Reform Agenda of the Republic of Serbia 2024-2027 brought new dynamics to the work of these institutions, which positively influenced the development of their capacities.</w:t>
      </w:r>
    </w:p>
    <w:p w14:paraId="7EF8E57F"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budget inspection, the effects of the Programme are reflected in the increase in the number of performed inspection controls, the development of methodological instructions, the professional training of inspectors and the improvement of the legal framework. These activities contributed to the strengthening of the control function in the public finance system and to the creation of better preconditions for the detection and elimination of irregularities in the use of public funds.</w:t>
      </w:r>
    </w:p>
    <w:p w14:paraId="2D892483"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internal auditors, managers and employees of public sector entities, the effects are related to the development of the IA function, modernisation of training, application of e-learning approach, external assessment of the quality of work of internal audit units and strengthening of awareness of the importance of internal control and management responsibility. At the same time, the results show that the insufficient number of internal auditors, the natural outflow of personnel and the limited influx of new experts are still significant challenges, which is why it is necessary to continue with activities to strengthen the professional position and capacity of the IA.</w:t>
      </w:r>
    </w:p>
    <w:p w14:paraId="014A744F"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accountants in the public sector and institutions responsible for financial reporting, the Programme contributed to the establishment of prerequisites for the application of international accounting standards for the public sector on a cash basis. The effects are reflected in the establishment of the institutional framework, the work of the Commission for monitoring the implementation of IAS-JS, the preparation of relevant regulations, the translation of standards and the development of professional training programs. Although the financial report in accordance with IPSAS for the cash basis has not been prepared and presented within the period 2021-2025, the preconditions for further application in the following period have been created.</w:t>
      </w:r>
    </w:p>
    <w:p w14:paraId="205CAF73"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 xml:space="preserve">For the SAI, the National Assembly and the competent parliamentary committee, the effects of the Programme are reflected in the strengthening of external oversight of public finances. During the period of implementation of the Programme, the State Audit Institution increased the </w:t>
      </w:r>
      <w:r w:rsidRPr="001A183C">
        <w:rPr>
          <w:rFonts w:ascii="Times New Roman" w:eastAsia="Times New Roman" w:hAnsi="Times New Roman" w:cs="Times New Roman"/>
          <w:lang w:val="sr-Cyrl-RS" w:eastAsia="en-GB"/>
          <w14:ligatures w14:val="none"/>
        </w:rPr>
        <w:lastRenderedPageBreak/>
        <w:t>number of audit reports, expanded the scope of business expediency audits, improved quality control and continued the development of the methodological framework and digitalisation of the audit procedure. The National Assembly and the competent committee continued to review the SAI report, adopt proposed conclusions, follow up on recommendations and organize public hearings, which strengthened the visibility of audit findings and their importance for improving accountability in the use of public funds.</w:t>
      </w:r>
    </w:p>
    <w:p w14:paraId="1EC3A3D3" w14:textId="77777777" w:rsidR="001A183C" w:rsidRPr="00356FD5" w:rsidRDefault="001A183C" w:rsidP="00400CCB">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1A183C">
        <w:rPr>
          <w:rFonts w:ascii="Times New Roman" w:eastAsia="Times New Roman" w:hAnsi="Times New Roman" w:cs="Times New Roman"/>
          <w:lang w:val="sr-Cyrl-RS" w:eastAsia="en-GB"/>
          <w14:ligatures w14:val="none"/>
        </w:rPr>
        <w:t>For citizens, civil society organisations and the general public, the effects of the Programme are indirect, but significant. They are reflected in the increase in the transparency of the budget process, the availability of information on public finances, the development of electronic services, the strengthening of the audit and control of public funds and the greater visibility of recommendations related to the regularity, expediency and efficiency of the use of public resources. Public hearings on the Draft Law on the Budget and the Draft Law on the Final Account of the Budget contributed to the inclusion of a wider circle of stakeholders in the debate on public finances. In 2022, the Ministry of Finance organized training on the topic "Management of public finances" for representatives of civil society organisations, in order to strengthen their capacities in this area. Throughout the year, representatives of civil society organisations can submit comments and suggestions in the area of ​​the Public Financial Management Reform Programme to the email address: pfmdijalog@mfin.gov.rs</w:t>
      </w:r>
    </w:p>
    <w:p w14:paraId="52709AD9" w14:textId="77777777" w:rsidR="001A183C" w:rsidRP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1A183C">
        <w:rPr>
          <w:rFonts w:ascii="Times New Roman" w:eastAsia="Times New Roman" w:hAnsi="Times New Roman" w:cs="Times New Roman"/>
          <w:lang w:val="sr-Cyrl-RS" w:eastAsia="en-GB"/>
          <w14:ligatures w14:val="none"/>
        </w:rPr>
        <w:t>For development partners and donors, the Programme represented a common framework for directing technical and expert support in the field of public financial management. Support from development partners was significant in the areas of methodological improvement, analysis, training, capacity development and preparation of individual IT and reform solutions. At the same time, the implementation of the Programme showed the need to further improve the monitoring of the financial value of donor support by measures and activities in the coming period, in order to make the financial review of reform activities more complete.</w:t>
      </w:r>
    </w:p>
    <w:p w14:paraId="44F15A13" w14:textId="77777777" w:rsidR="001A183C" w:rsidRDefault="001A183C" w:rsidP="00400CCB">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1A183C">
        <w:rPr>
          <w:rFonts w:ascii="Times New Roman" w:eastAsia="Times New Roman" w:hAnsi="Times New Roman" w:cs="Times New Roman"/>
          <w:lang w:val="sr-Cyrl-RS" w:eastAsia="en-GB"/>
          <w14:ligatures w14:val="none"/>
        </w:rPr>
        <w:t>Overall, the effects of PFMRP 2021-2025 are most visible in the strengthening of institutional capacities, improvement of the legal and methodological framework, development of information systems, greater digitalisation of procedures, improvement of control and audit mechanisms and increased transparency in the management of public funds. At the same time, in several areas, the results represent the basis for further work, because the full effects of complex reforms can only be expected after the continuation of the activities started within the PFMRP 2026-2030.</w:t>
      </w:r>
    </w:p>
    <w:p w14:paraId="7A1967F6" w14:textId="77777777" w:rsidR="00467C20" w:rsidRPr="00467C20" w:rsidRDefault="00467C20" w:rsidP="00400CCB">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3BB63923" w14:textId="77777777" w:rsidR="00E85F22" w:rsidRDefault="00E85F22" w:rsidP="00400CCB">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58BAB56D" w14:textId="77777777" w:rsidR="00A65273" w:rsidRPr="00A65273" w:rsidRDefault="00A65273" w:rsidP="00400CCB">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0DCEFBE7" w14:textId="77777777" w:rsidR="00E85F22" w:rsidRPr="00467C20" w:rsidRDefault="00E85F22" w:rsidP="00467C20">
      <w:pPr>
        <w:pStyle w:val="Heading1"/>
        <w:jc w:val="center"/>
        <w:rPr>
          <w:rFonts w:ascii="Times New Roman" w:eastAsia="Calibri" w:hAnsi="Times New Roman" w:cs="Times New Roman"/>
          <w:sz w:val="32"/>
          <w:szCs w:val="32"/>
          <w:lang w:val="en-US"/>
        </w:rPr>
      </w:pPr>
      <w:bookmarkStart w:id="18" w:name="_Toc233629234"/>
      <w:r w:rsidRPr="008548AE">
        <w:rPr>
          <w:rFonts w:ascii="Times New Roman" w:eastAsia="Calibri" w:hAnsi="Times New Roman" w:cs="Times New Roman"/>
          <w:sz w:val="32"/>
          <w:szCs w:val="32"/>
          <w:lang w:val="sr-Cyrl-RS"/>
        </w:rPr>
        <w:lastRenderedPageBreak/>
        <w:t>ASSESSMENT OF THE RELEVANCE, EFFICIENCY, EFFECTIVENESS AND SUSTAINABILITY OF THE PROGRAMME</w:t>
      </w:r>
      <w:bookmarkEnd w:id="18"/>
    </w:p>
    <w:p w14:paraId="58A29692"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The evaluation of the implementation of the PFMRP 2021-2025 was carried out on the basis of the achieved values ​​of the performance indicators, the status of the implementation of the activities from the Action Plan, the submitted data of the competent institutions, the financial review and the analysis of the effects of the implemented measures. The assessment was given from the point of view of relevance, efficiency, effectiveness and sustainability of the Programme, bearing in mind that it is a multi-year reform document that includes several interconnected areas of the public financial management system.</w:t>
      </w:r>
    </w:p>
    <w:p w14:paraId="70774E15" w14:textId="77777777" w:rsidR="00E85F22" w:rsidRPr="00E85F22" w:rsidRDefault="00E85F22" w:rsidP="00E85F22">
      <w:pPr>
        <w:spacing w:before="100" w:beforeAutospacing="1" w:after="100" w:afterAutospacing="1" w:line="240" w:lineRule="auto"/>
        <w:jc w:val="both"/>
        <w:outlineLvl w:val="2"/>
        <w:rPr>
          <w:rFonts w:ascii="Times New Roman" w:eastAsia="Times New Roman" w:hAnsi="Times New Roman" w:cs="Times New Roman"/>
          <w:b/>
          <w:bCs/>
          <w:lang w:val="sr-Cyrl-RS" w:eastAsia="en-GB"/>
          <w14:ligatures w14:val="none"/>
        </w:rPr>
      </w:pPr>
      <w:r w:rsidRPr="00E85F22">
        <w:rPr>
          <w:rFonts w:ascii="Times New Roman" w:eastAsia="Times New Roman" w:hAnsi="Times New Roman" w:cs="Times New Roman"/>
          <w:b/>
          <w:bCs/>
          <w:lang w:val="sr-Cyrl-RS" w:eastAsia="en-GB"/>
          <w14:ligatures w14:val="none"/>
        </w:rPr>
        <w:t>Relevance</w:t>
      </w:r>
    </w:p>
    <w:p w14:paraId="2BFB5CD0"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The PFMRP 2021–2025 has maintained a high degree of relevance for the reform of public financial management, public administration reform and the accession process of the Republic of Serbia to the European Union during the entire period of implementation. The areas covered by the Programme — budget planning, public investment management, revenue collection, public debt management, public procurement, budget discipline, management of EU funds, internal financial control, public sector accounting standards and external supervision — remained essential for strengthening fiscal responsibility, transparency and control over the use of public funds. At the same time, they are very important for negotiation chapters 5, 16, 17, 22, 29, 32 and 33.</w:t>
      </w:r>
    </w:p>
    <w:p w14:paraId="652461AA"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The relevance of the Programme was also confirmed by the fact that numerous activities that were not fully completed in the period 2021-2025, as well as areas in which further improvement is needed, were continued or additionally elaborated within the framework of the 2026-2030 PFMRP. This particularly applies to complex IT projects, IPSAS application, further development of PIFC, fiscal risk management, digitalisation of tax and customs procedures and improvement of the public procurement system, which is expected given the complex nature of these reform processes.</w:t>
      </w:r>
    </w:p>
    <w:p w14:paraId="3FC3A940"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At the same time, during the implementation of the Programme, new reform priorities appeared or became more important, such as digitalisation, green budgeting, monitoring of climate and fiscal risks, data management and further strengthening of transparency. These priorities do not reduce the relevance of PFMRP 2021-2025, but indicate that the next programme cycle should be used for their further operationalization and better connection with existing reform areas.</w:t>
      </w:r>
    </w:p>
    <w:p w14:paraId="5040C4B4" w14:textId="77777777" w:rsidR="00E85F22" w:rsidRPr="00E85F22" w:rsidRDefault="00E85F22" w:rsidP="00E85F22">
      <w:pPr>
        <w:spacing w:before="100" w:beforeAutospacing="1" w:after="100" w:afterAutospacing="1" w:line="240" w:lineRule="auto"/>
        <w:jc w:val="both"/>
        <w:outlineLvl w:val="2"/>
        <w:rPr>
          <w:rFonts w:ascii="Times New Roman" w:eastAsia="Times New Roman" w:hAnsi="Times New Roman" w:cs="Times New Roman"/>
          <w:b/>
          <w:bCs/>
          <w:lang w:val="sr-Cyrl-RS" w:eastAsia="en-GB"/>
          <w14:ligatures w14:val="none"/>
        </w:rPr>
      </w:pPr>
      <w:r w:rsidRPr="00E85F22">
        <w:rPr>
          <w:rFonts w:ascii="Times New Roman" w:eastAsia="Times New Roman" w:hAnsi="Times New Roman" w:cs="Times New Roman"/>
          <w:b/>
          <w:bCs/>
          <w:lang w:val="sr-Cyrl-RS" w:eastAsia="en-GB"/>
          <w14:ligatures w14:val="none"/>
        </w:rPr>
        <w:t>Efficiency</w:t>
      </w:r>
    </w:p>
    <w:p w14:paraId="5FC72007"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 xml:space="preserve">From the point of view of efficiency, the Programme was implemented in conditions of limited personnel, financial and technical capacities, as well as in conditions of a changed macroeconomic and international environment. 72.7% of the activities were completed within the stipulated period. This percentage shows that a significant part of the planned reform framework was implemented, but also that certain activities were planned ambitiously in relation to the </w:t>
      </w:r>
      <w:r w:rsidRPr="00E85F22">
        <w:rPr>
          <w:rFonts w:ascii="Times New Roman" w:eastAsia="Times New Roman" w:hAnsi="Times New Roman" w:cs="Times New Roman"/>
          <w:lang w:val="sr-Cyrl-RS" w:eastAsia="en-GB"/>
          <w14:ligatures w14:val="none"/>
        </w:rPr>
        <w:lastRenderedPageBreak/>
        <w:t>available resources, the complexity of the procedures and the dependence on external preconditions.</w:t>
      </w:r>
    </w:p>
    <w:p w14:paraId="7524A94C"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The financial review shows that the largest part of the recorded expenditure was financed from budget funds, while donor funds were shown in accordance with the available and submitted data. A significant number of activities were carried out through the regular work of institutions, with no additional costs specifically stated. This indicates that institutions in several areas managed to implement activities within existing capacities, but also that the financial monitoring of reform activities, especially donor support, should be further improved in the coming period.</w:t>
      </w:r>
    </w:p>
    <w:p w14:paraId="1A7FB303"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The effectiveness of implementation was affected by the complexity of certain activities, especially those related to the development of information systems, preparation of technical documentation, implementation of public procurement, provision of expert support and inter-institutional coordination. In those areas, delays were more pronounced, which indicates the need to more realistically assess deadlines, preconditions, costs and risks in future planning.</w:t>
      </w:r>
    </w:p>
    <w:p w14:paraId="30032ADF" w14:textId="77777777" w:rsidR="00E85F22" w:rsidRPr="00E85F22" w:rsidRDefault="00E85F22" w:rsidP="00E85F22">
      <w:pPr>
        <w:spacing w:before="100" w:beforeAutospacing="1" w:after="100" w:afterAutospacing="1" w:line="240" w:lineRule="auto"/>
        <w:jc w:val="both"/>
        <w:outlineLvl w:val="2"/>
        <w:rPr>
          <w:rFonts w:ascii="Times New Roman" w:eastAsia="Times New Roman" w:hAnsi="Times New Roman" w:cs="Times New Roman"/>
          <w:b/>
          <w:bCs/>
          <w:lang w:val="sr-Cyrl-RS" w:eastAsia="en-GB"/>
          <w14:ligatures w14:val="none"/>
        </w:rPr>
      </w:pPr>
      <w:r w:rsidRPr="00E85F22">
        <w:rPr>
          <w:rFonts w:ascii="Times New Roman" w:eastAsia="Times New Roman" w:hAnsi="Times New Roman" w:cs="Times New Roman"/>
          <w:b/>
          <w:bCs/>
          <w:lang w:val="sr-Cyrl-RS" w:eastAsia="en-GB"/>
          <w14:ligatures w14:val="none"/>
        </w:rPr>
        <w:t>Effectiveness</w:t>
      </w:r>
    </w:p>
    <w:p w14:paraId="04906A02"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The effectiveness of the Programme is reflected in the fact that concrete results have been achieved in most areas that contribute to the improvement of the public financial management system. Progress was achieved in medium-term planning, programme budgeting, capital project management, fiscal risk monitoring, modernisation of tax administration, improvement of customs procedures, modernisation of the public procurement system, strengthening of control of EU funds, work of budget inspection, development of PIFC, preparation for the implementation of IPSAS and strengthening of external audit and parliamentary oversight.</w:t>
      </w:r>
    </w:p>
    <w:p w14:paraId="333F7CA9"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The full degree of effectiveness was not equal in all areas. The most visible results were achieved in areas where there were clear institutional leaders, defined processes and more stable conditions for implementation, such as medium-term planning, public procurement, budget inspection, external audit and certain segments of tax and customs reform. In areas that require deeper system changes, complex IT support or a gradual change in the practice of a large number of public sector entities, the effects have been partially achieved and require continued activities.</w:t>
      </w:r>
    </w:p>
    <w:p w14:paraId="259E2022"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Certain indicators at the level of specific objectives and measures did not reach the target values, especially in the last year of the implementation of the Programme. However, this does not mean that the measures did not have an effect, but that in several areas progress was gradual, partial or conditional on additional steps that will be implemented in the next programme cycle. This is particularly visible in the areas of PIFC, IPSAS, public debt management and certain IT systems, where preconditions have been created, but not all planned results have been fully achieved.</w:t>
      </w:r>
    </w:p>
    <w:p w14:paraId="3E438FCB" w14:textId="77777777" w:rsidR="00E85F22" w:rsidRPr="00E85F22" w:rsidRDefault="00E85F22" w:rsidP="00E85F22">
      <w:pPr>
        <w:spacing w:before="100" w:beforeAutospacing="1" w:after="100" w:afterAutospacing="1" w:line="240" w:lineRule="auto"/>
        <w:jc w:val="both"/>
        <w:outlineLvl w:val="2"/>
        <w:rPr>
          <w:rFonts w:ascii="Times New Roman" w:eastAsia="Times New Roman" w:hAnsi="Times New Roman" w:cs="Times New Roman"/>
          <w:b/>
          <w:bCs/>
          <w:lang w:val="sr-Cyrl-RS" w:eastAsia="en-GB"/>
          <w14:ligatures w14:val="none"/>
        </w:rPr>
      </w:pPr>
      <w:r w:rsidRPr="00E85F22">
        <w:rPr>
          <w:rFonts w:ascii="Times New Roman" w:eastAsia="Times New Roman" w:hAnsi="Times New Roman" w:cs="Times New Roman"/>
          <w:b/>
          <w:bCs/>
          <w:lang w:val="sr-Cyrl-RS" w:eastAsia="en-GB"/>
          <w14:ligatures w14:val="none"/>
        </w:rPr>
        <w:t>Sustainability</w:t>
      </w:r>
    </w:p>
    <w:p w14:paraId="40F0379C"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 xml:space="preserve">The sustainability of the PFMRP 2021–2025 results can be assessed as significant in areas where the results are incorporated into regulations, institutional procedures, information systems, methodological frameworks or regular competences of institutions. This refers to improvements in the field of medium-term planning, public procurement, budget inspection, external audit, the </w:t>
      </w:r>
      <w:r w:rsidRPr="00E85F22">
        <w:rPr>
          <w:rFonts w:ascii="Times New Roman" w:eastAsia="Times New Roman" w:hAnsi="Times New Roman" w:cs="Times New Roman"/>
          <w:lang w:val="sr-Cyrl-RS" w:eastAsia="en-GB"/>
          <w14:ligatures w14:val="none"/>
        </w:rPr>
        <w:lastRenderedPageBreak/>
        <w:t>work of the SAI and the National Assembly, as well as parts of the reform related to the digitalisation of tax, customs and budget processes.</w:t>
      </w:r>
    </w:p>
    <w:p w14:paraId="5A9245D8"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Sustainability is particularly important in areas where the preconditions for further reforms have been established, but the full results have not yet been achieved. This refers to the application of IPSAS for the cash basis, further development of PIFC and IA, development of IT support for the management of EU funds, tax administration and customs systems, as well as strengthening of fiscal risk management and capital investments. In these areas, sustainability will depend on the continuity of funding, human resources, coordination of institutions and further monitoring of results within the PFMRP 2026-2030.</w:t>
      </w:r>
    </w:p>
    <w:p w14:paraId="388E5812"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Experiences from the implementation of the PFMRP 2021–2025 show that the sustainability of reform results depends not only on the formal implementation of activities, but also on the degree to which institutions use new tools, procedures, methodologies and systems in their regular work. Therefore, in the coming period, it is necessary to continue monitoring not only the status of activities, but also the actual application of the results of the measures in institutional practice.</w:t>
      </w:r>
    </w:p>
    <w:p w14:paraId="47D573E5" w14:textId="77777777" w:rsidR="00E85F22" w:rsidRPr="00E85F22" w:rsidRDefault="00E85F22" w:rsidP="00E85F22">
      <w:pPr>
        <w:spacing w:before="100" w:beforeAutospacing="1" w:after="100" w:afterAutospacing="1" w:line="240" w:lineRule="auto"/>
        <w:jc w:val="both"/>
        <w:outlineLvl w:val="2"/>
        <w:rPr>
          <w:rFonts w:ascii="Times New Roman" w:eastAsia="Times New Roman" w:hAnsi="Times New Roman" w:cs="Times New Roman"/>
          <w:b/>
          <w:bCs/>
          <w:lang w:val="sr-Cyrl-RS" w:eastAsia="en-GB"/>
          <w14:ligatures w14:val="none"/>
        </w:rPr>
      </w:pPr>
      <w:r w:rsidRPr="00E85F22">
        <w:rPr>
          <w:rFonts w:ascii="Times New Roman" w:eastAsia="Times New Roman" w:hAnsi="Times New Roman" w:cs="Times New Roman"/>
          <w:b/>
          <w:bCs/>
          <w:lang w:val="sr-Cyrl-RS" w:eastAsia="en-GB"/>
          <w14:ligatures w14:val="none"/>
        </w:rPr>
        <w:t>Overall rating</w:t>
      </w:r>
    </w:p>
    <w:p w14:paraId="62CBEB5C" w14:textId="77777777" w:rsidR="00E85F22" w:rsidRP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E85F22">
        <w:rPr>
          <w:rFonts w:ascii="Times New Roman" w:eastAsia="Times New Roman" w:hAnsi="Times New Roman" w:cs="Times New Roman"/>
          <w:lang w:val="sr-Cyrl-RS" w:eastAsia="en-GB"/>
          <w14:ligatures w14:val="none"/>
        </w:rPr>
        <w:t>Overall, the PFMRP 2021-2025 was a relevant and necessary reform framework that enabled the continuity of the improvement of the public financial management system. The programme significantly contributed to the strengthening of institutional capacities, digitalisation of procedures, better planning, control and supervision of public funds, as well as the creation of preconditions for reforms that will continue in the coming period.</w:t>
      </w:r>
    </w:p>
    <w:p w14:paraId="44111A17" w14:textId="77777777" w:rsidR="00E85F22" w:rsidRDefault="00E85F22" w:rsidP="00E85F22">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r w:rsidRPr="00E85F22">
        <w:rPr>
          <w:rFonts w:ascii="Times New Roman" w:eastAsia="Times New Roman" w:hAnsi="Times New Roman" w:cs="Times New Roman"/>
          <w:lang w:val="sr-Cyrl-RS" w:eastAsia="en-GB"/>
          <w14:ligatures w14:val="none"/>
        </w:rPr>
        <w:t>At the same time, the implementation of the Programme has shown that complex reform activities require more precise planning of deadlines, financial resources, personnel capacities and risks. In the next programme cycle, special attention should be paid to the monitoring of the effects of the measures, the implementation of the started IT projects, strengthening the capacities of institutions, better monitoring of donor support and ensuring that the results of the reforms are permanently incorporated into the regular processes of public financial management.</w:t>
      </w:r>
    </w:p>
    <w:p w14:paraId="5F22ACE2" w14:textId="77777777" w:rsidR="00467C20" w:rsidRDefault="00467C20" w:rsidP="00E85F22">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504F53B6" w14:textId="77777777" w:rsidR="00467C20" w:rsidRDefault="00467C20" w:rsidP="00E85F22">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0E4B3F64" w14:textId="77777777" w:rsidR="00467C20" w:rsidRDefault="00467C20" w:rsidP="00E85F22">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77CBA3BC" w14:textId="77777777" w:rsidR="00467C20" w:rsidRDefault="00467C20" w:rsidP="00E85F22">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5A555D47" w14:textId="77777777" w:rsidR="00467C20" w:rsidRPr="00467C20" w:rsidRDefault="00467C20" w:rsidP="00E85F22">
      <w:pPr>
        <w:spacing w:before="100" w:beforeAutospacing="1" w:after="100" w:afterAutospacing="1" w:line="240" w:lineRule="auto"/>
        <w:ind w:firstLine="720"/>
        <w:jc w:val="both"/>
        <w:rPr>
          <w:rFonts w:ascii="Times New Roman" w:eastAsia="Times New Roman" w:hAnsi="Times New Roman" w:cs="Times New Roman"/>
          <w:lang w:val="en-US" w:eastAsia="en-GB"/>
          <w14:ligatures w14:val="none"/>
        </w:rPr>
      </w:pPr>
    </w:p>
    <w:p w14:paraId="17E861E9" w14:textId="77777777" w:rsidR="002D03FD" w:rsidRPr="008548AE" w:rsidRDefault="002D03FD" w:rsidP="008548AE">
      <w:pPr>
        <w:pStyle w:val="Heading1"/>
        <w:jc w:val="center"/>
        <w:rPr>
          <w:rFonts w:ascii="Times New Roman" w:eastAsia="Calibri" w:hAnsi="Times New Roman" w:cs="Times New Roman"/>
          <w:sz w:val="32"/>
          <w:szCs w:val="32"/>
          <w:lang w:val="sr-Cyrl-RS"/>
        </w:rPr>
      </w:pPr>
      <w:bookmarkStart w:id="19" w:name="_Toc233629235"/>
      <w:r w:rsidRPr="008548AE">
        <w:rPr>
          <w:rFonts w:ascii="Times New Roman" w:eastAsia="Calibri" w:hAnsi="Times New Roman" w:cs="Times New Roman"/>
          <w:sz w:val="32"/>
          <w:szCs w:val="32"/>
          <w:lang w:val="sr-Cyrl-RS"/>
        </w:rPr>
        <w:lastRenderedPageBreak/>
        <w:t>CONCLUSIONS AND REVIEW OF THE CONTINUITY OF REFORMS WITHIN THE FRAMEWORK OF THE PFMRP 2026–2030</w:t>
      </w:r>
      <w:bookmarkEnd w:id="19"/>
    </w:p>
    <w:p w14:paraId="4900D773"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The implementation of the PFMRP 2021–2025 ensured the continuity of the public financial management reform and contributed to the improvement of several key areas: budget planning, medium-term planning, capital project management, fiscal risk monitoring, public revenue collection, public debt management, public procurement, management and control of European Union funds, budget inspection, PIFC, accounting in the public sector and external supervision of public finances.</w:t>
      </w:r>
    </w:p>
    <w:p w14:paraId="40562C45" w14:textId="391EBFD1"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During the implementation period of the Programme, 7</w:t>
      </w:r>
      <w:r w:rsidR="00301F00">
        <w:rPr>
          <w:rFonts w:ascii="Times New Roman" w:eastAsia="Times New Roman" w:hAnsi="Times New Roman" w:cs="Times New Roman"/>
          <w:lang w:val="en-US" w:eastAsia="en-GB"/>
          <w14:ligatures w14:val="none"/>
        </w:rPr>
        <w:t>2</w:t>
      </w:r>
      <w:r w:rsidRPr="002D03FD">
        <w:rPr>
          <w:rFonts w:ascii="Times New Roman" w:eastAsia="Times New Roman" w:hAnsi="Times New Roman" w:cs="Times New Roman"/>
          <w:lang w:val="sr-Cyrl-RS" w:eastAsia="en-GB"/>
          <w14:ligatures w14:val="none"/>
        </w:rPr>
        <w:t xml:space="preserve"> activities were implemented, while 2</w:t>
      </w:r>
      <w:r w:rsidR="00301F00">
        <w:rPr>
          <w:rFonts w:ascii="Times New Roman" w:eastAsia="Times New Roman" w:hAnsi="Times New Roman" w:cs="Times New Roman"/>
          <w:lang w:val="en-US" w:eastAsia="en-GB"/>
          <w14:ligatures w14:val="none"/>
        </w:rPr>
        <w:t>7</w:t>
      </w:r>
      <w:r w:rsidRPr="002D03FD">
        <w:rPr>
          <w:rFonts w:ascii="Times New Roman" w:eastAsia="Times New Roman" w:hAnsi="Times New Roman" w:cs="Times New Roman"/>
          <w:lang w:val="sr-Cyrl-RS" w:eastAsia="en-GB"/>
          <w14:ligatures w14:val="none"/>
        </w:rPr>
        <w:t xml:space="preserve"> activities were not implemented within the planned period. The achieved results show that a significant part of the planned activities has been implemented and that normative, institutional, methodological and informational prerequisites for further reforms have been established in several areas. At the same time, activities not implemented, partially achieved indicators and deviations from the originally planned dynamics indicated areas in which it was necessary to ensure the continuation of reform activities in the next programme cycle.</w:t>
      </w:r>
    </w:p>
    <w:p w14:paraId="44ED3692"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Bearing in mind that the Government adopted the PFMRP 2026-2030 with the Action Plan for the period 2026-2028, the findings from the implementation of the PFMRP 2021-2025 are not only the basis for future recommendations, but also confirm the justification of the direction already incorporated in the new programme document. The preparation of the PFMRP 2026–2030 was based on the continuity of previous cycles, available analyses, consultations within the PFMRP Working Group, SIGMA recommendations, preliminary findings of the PEFA assessment, ex-ante analyses, as well as monitoring the implementation of activities from the previous Programme.</w:t>
      </w:r>
    </w:p>
    <w:p w14:paraId="5B536145"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In the new programme cycle, the basic reform direction was maintained, but measures and activities were additionally focused on areas in which challenges were observed during the implementation of the 2021-2025 PFMRP, the need to continue started activities or the need for further improvement of institutional capacities. In this way, the connection between the results of the previous cycle and the priorities defined in the PFMRP 2026-2030 was ensured.</w:t>
      </w:r>
    </w:p>
    <w:p w14:paraId="28C772ED"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In the area of budget planning and public investment management, experiences from the previous period were taken into account through further improvement of the programme budget, medium-term expenditure framework, monitoring of programme performance, green budgeting, harmonisation of the budget process with European Union practices, management of capital projects and monitoring of fiscal risks. Of particular importance in the new cycle are the activities related to the introduction of the programme budget in health institutions, the improvement of the methodological framework and the expansion of the application of green budgeting.</w:t>
      </w:r>
    </w:p>
    <w:p w14:paraId="0690C64B"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 xml:space="preserve">In the area of ​​efficient collection and management of budget funds, the new Programme continues the activities of modernisation of tax administration, further digitalisation of tax processes, development of electronic services systems, improvement of the work of the Tobacco </w:t>
      </w:r>
      <w:r w:rsidRPr="002D03FD">
        <w:rPr>
          <w:rFonts w:ascii="Times New Roman" w:eastAsia="Times New Roman" w:hAnsi="Times New Roman" w:cs="Times New Roman"/>
          <w:lang w:val="sr-Cyrl-RS" w:eastAsia="en-GB"/>
          <w14:ligatures w14:val="none"/>
        </w:rPr>
        <w:lastRenderedPageBreak/>
        <w:t>Administration, modernisation of customs IT systems and further harmonisation with European Union standards. This is especially important considering that some complex IT and reform processes have been started in the period 2021-2025, but that their full implementation requires continued activities, stable funding and coordination of several institutions and partners.</w:t>
      </w:r>
    </w:p>
    <w:p w14:paraId="7B13D6B4"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In the area of budgetary discipline, management of European Union funds and budget inspection, findings from the previous period were taken into account through the continuation of strengthening the control system, management of risks, irregularities and fraud, improvement of procedures and methodological framework, as well as further strengthening of the capacity of institutions involved in the management and control of EU funds. The new Programme continues to connect these activities with the obligations of the Republic of Serbia in the process of European integration and with the need to protect the financial interests of the Republic of Serbia and the European Union.</w:t>
      </w:r>
    </w:p>
    <w:p w14:paraId="43209EB8"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In the area of ​​PIFC, PFMRP 2026–2030 took into account that in the previous period, progress was made in the development of FMC, IA, training and electronic reporting, but also that challenges remained in terms of the quality of risk management, the number and position of internal auditors, the further application of management responsibility and the development of IT support. Therefore, in the new cycle, measures related to the improvement of the FMC system, the development of the IA function, the modernisation of training and the strengthening of information support for internal control monitoring were continued.</w:t>
      </w:r>
    </w:p>
    <w:p w14:paraId="5575BEE7"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In the area of public sector accounting, the findings from PFMRP 2021–2025 showed that an important normative and institutional basis has been established, but that the full implementation of IPSAS for the cash basis requires continued activity. This was taken into account in the PFMRP 2026–2030 through continuing work on improving the accounting framework, preparing a plan for improving accounting in the public sector, ensuring the translation of standards, strengthening the capacity of the Treasury Administration and further improving financial reporting.</w:t>
      </w:r>
    </w:p>
    <w:p w14:paraId="21297764"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In the field of external supervision of public finances, the new Programme continues to recognize the importance of the SAI, the National Assembly and the competent committee in strengthening responsibility for the use of public funds. Experiences from the period 2021–2025, including SAI results, review of audit reports, follow-up of recommendations and public hearings, were taken into account through measures aimed at strengthening the efficiency and impact of external audit, as well as further improving parliamentary oversight.</w:t>
      </w:r>
    </w:p>
    <w:p w14:paraId="4ED5F824"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It is especially important that in the new programme cycle, the approach to planning costs and sources of financing has been improved. The action plan for the period 2026-2028 contains an assessment of the financial resources needed for the implementation of measures and activities, with a presentation of budget funds, loans, development aid and missing funds. In this way, the experience from the previous period, in which it was not always possible to fully express the value of donor and project support by activity, was taken into account through more detailed financial planning for the first action plan of the new Programme.</w:t>
      </w:r>
    </w:p>
    <w:p w14:paraId="019D5B7E"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lastRenderedPageBreak/>
        <w:t>Findings from the implementation of the PFMRP 2021-2025 confirm the need for further improvement of the system of performance indicators. In the previous period, certain indicators were influenced by changes in the methodology, scope or method of measurement, while in the case of certain measures, the target values ​​were ambitious in relation to the dynamics of implementation and the available preconditions. In the preparation of the PFMRP 2026–2030, special attention was therefore devoted to the formulation of indicators at the level of specific objectives and measures, their connection with PEFA assessments, SIGMA recommendations and other relevant sources of verification.</w:t>
      </w:r>
    </w:p>
    <w:p w14:paraId="0CCB9F28"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Overall, the PFMRP 2021-2025 played an important role in maintaining the continuity of the public financial management reform. Its application has shown that visible results have been achieved in several areas, but also that some reform processes are complex, long-term and dependent on stable institutional, personnel, technical and financial preconditions. The PFMRP 2026–2030 was prepared precisely with these experiences in mind, while maintaining continuity in areas where results have been achieved and with further elaboration of measures in areas where the continuation of started reforms is needed.</w:t>
      </w:r>
    </w:p>
    <w:p w14:paraId="7AA585B7" w14:textId="77777777" w:rsidR="002D03FD" w:rsidRPr="002D03FD" w:rsidRDefault="002D03FD" w:rsidP="002D03FD">
      <w:pPr>
        <w:spacing w:before="100" w:beforeAutospacing="1" w:after="100" w:afterAutospacing="1" w:line="240" w:lineRule="auto"/>
        <w:ind w:firstLine="720"/>
        <w:jc w:val="both"/>
        <w:rPr>
          <w:rFonts w:ascii="Times New Roman" w:eastAsia="Times New Roman" w:hAnsi="Times New Roman" w:cs="Times New Roman"/>
          <w:lang w:val="sr-Cyrl-RS" w:eastAsia="en-GB"/>
          <w14:ligatures w14:val="none"/>
        </w:rPr>
      </w:pPr>
      <w:r w:rsidRPr="002D03FD">
        <w:rPr>
          <w:rFonts w:ascii="Times New Roman" w:eastAsia="Times New Roman" w:hAnsi="Times New Roman" w:cs="Times New Roman"/>
          <w:lang w:val="sr-Cyrl-RS" w:eastAsia="en-GB"/>
          <w14:ligatures w14:val="none"/>
        </w:rPr>
        <w:t>The final report on the implementation of the PFMRP 2021–2025, therefore, represents the final assessment of the previous programme cycle, but also a confirmation that the key findings, challenges and reform priorities have already been integrated into the new programme framework for the period 2026–2030. Its basic value is that it systematizes the results, deviations and lessons learned from the previous period and enables their monitoring in the continuation of the public financial management reform.</w:t>
      </w:r>
    </w:p>
    <w:p w14:paraId="3B07AE10" w14:textId="77777777" w:rsidR="008E3674" w:rsidRPr="002D03FD" w:rsidRDefault="008E3674" w:rsidP="002D03FD">
      <w:pPr>
        <w:jc w:val="both"/>
        <w:rPr>
          <w:rFonts w:ascii="Times New Roman" w:hAnsi="Times New Roman" w:cs="Times New Roman"/>
          <w:bCs/>
          <w:lang w:val="sr-Cyrl-RS"/>
        </w:rPr>
      </w:pPr>
    </w:p>
    <w:p w14:paraId="30AD5F53" w14:textId="77777777" w:rsidR="00E85F22" w:rsidRPr="002D03FD" w:rsidRDefault="00E85F22" w:rsidP="002D03FD">
      <w:pPr>
        <w:jc w:val="both"/>
        <w:rPr>
          <w:rFonts w:ascii="Times New Roman" w:hAnsi="Times New Roman" w:cs="Times New Roman"/>
          <w:bCs/>
          <w:lang w:val="sr-Cyrl-RS"/>
        </w:rPr>
      </w:pPr>
    </w:p>
    <w:p w14:paraId="062EBFE2" w14:textId="77777777" w:rsidR="008E3674" w:rsidRDefault="008E3674" w:rsidP="002D03FD">
      <w:pPr>
        <w:jc w:val="both"/>
        <w:rPr>
          <w:rFonts w:ascii="Times New Roman" w:hAnsi="Times New Roman" w:cs="Times New Roman"/>
          <w:bCs/>
          <w:lang w:val="en-US"/>
        </w:rPr>
      </w:pPr>
    </w:p>
    <w:p w14:paraId="4A83F494" w14:textId="77777777" w:rsidR="001D7BA3" w:rsidRDefault="001D7BA3" w:rsidP="002D03FD">
      <w:pPr>
        <w:jc w:val="both"/>
        <w:rPr>
          <w:rFonts w:ascii="Times New Roman" w:hAnsi="Times New Roman" w:cs="Times New Roman"/>
          <w:bCs/>
          <w:lang w:val="en-US"/>
        </w:rPr>
      </w:pPr>
    </w:p>
    <w:p w14:paraId="434AA370" w14:textId="77777777" w:rsidR="001D7BA3" w:rsidRDefault="001D7BA3" w:rsidP="002D03FD">
      <w:pPr>
        <w:jc w:val="both"/>
        <w:rPr>
          <w:rFonts w:ascii="Times New Roman" w:hAnsi="Times New Roman" w:cs="Times New Roman"/>
          <w:bCs/>
          <w:lang w:val="en-US"/>
        </w:rPr>
      </w:pPr>
    </w:p>
    <w:p w14:paraId="216CD914" w14:textId="77777777" w:rsidR="001D7BA3" w:rsidRDefault="001D7BA3" w:rsidP="002D03FD">
      <w:pPr>
        <w:jc w:val="both"/>
        <w:rPr>
          <w:rFonts w:ascii="Times New Roman" w:hAnsi="Times New Roman" w:cs="Times New Roman"/>
          <w:bCs/>
          <w:lang w:val="en-US"/>
        </w:rPr>
      </w:pPr>
    </w:p>
    <w:p w14:paraId="67D0A27D" w14:textId="77777777" w:rsidR="001D7BA3" w:rsidRDefault="001D7BA3" w:rsidP="002D03FD">
      <w:pPr>
        <w:jc w:val="both"/>
        <w:rPr>
          <w:rFonts w:ascii="Times New Roman" w:hAnsi="Times New Roman" w:cs="Times New Roman"/>
          <w:bCs/>
          <w:lang w:val="en-US"/>
        </w:rPr>
      </w:pPr>
    </w:p>
    <w:p w14:paraId="49F68787" w14:textId="77777777" w:rsidR="001D7BA3" w:rsidRDefault="001D7BA3" w:rsidP="002D03FD">
      <w:pPr>
        <w:jc w:val="both"/>
        <w:rPr>
          <w:rFonts w:ascii="Times New Roman" w:hAnsi="Times New Roman" w:cs="Times New Roman"/>
          <w:bCs/>
          <w:lang w:val="en-US"/>
        </w:rPr>
      </w:pPr>
    </w:p>
    <w:p w14:paraId="11BA1206" w14:textId="77777777" w:rsidR="001D7BA3" w:rsidRDefault="001D7BA3" w:rsidP="002D03FD">
      <w:pPr>
        <w:jc w:val="both"/>
        <w:rPr>
          <w:rFonts w:ascii="Times New Roman" w:hAnsi="Times New Roman" w:cs="Times New Roman"/>
          <w:bCs/>
          <w:lang w:val="en-US"/>
        </w:rPr>
      </w:pPr>
    </w:p>
    <w:p w14:paraId="2A522AB3" w14:textId="77777777" w:rsidR="001D7BA3" w:rsidRDefault="001D7BA3" w:rsidP="002D03FD">
      <w:pPr>
        <w:jc w:val="both"/>
        <w:rPr>
          <w:rFonts w:ascii="Times New Roman" w:hAnsi="Times New Roman" w:cs="Times New Roman"/>
          <w:bCs/>
          <w:lang w:val="en-US"/>
        </w:rPr>
      </w:pPr>
    </w:p>
    <w:p w14:paraId="2D3CE98C" w14:textId="77777777" w:rsidR="001D7BA3" w:rsidRDefault="001D7BA3" w:rsidP="002D03FD">
      <w:pPr>
        <w:jc w:val="both"/>
        <w:rPr>
          <w:rFonts w:ascii="Times New Roman" w:hAnsi="Times New Roman" w:cs="Times New Roman"/>
          <w:bCs/>
          <w:lang w:val="en-US"/>
        </w:rPr>
      </w:pPr>
    </w:p>
    <w:p w14:paraId="14D87581" w14:textId="77777777" w:rsidR="001D7BA3" w:rsidRDefault="001D7BA3" w:rsidP="002D03FD">
      <w:pPr>
        <w:jc w:val="both"/>
        <w:rPr>
          <w:rFonts w:ascii="Times New Roman" w:hAnsi="Times New Roman" w:cs="Times New Roman"/>
          <w:bCs/>
          <w:lang w:val="en-US"/>
        </w:rPr>
      </w:pPr>
    </w:p>
    <w:p w14:paraId="4F20A0F1" w14:textId="77777777" w:rsidR="001D7BA3" w:rsidRDefault="001D7BA3" w:rsidP="002D03FD">
      <w:pPr>
        <w:jc w:val="both"/>
        <w:rPr>
          <w:rFonts w:ascii="Times New Roman" w:hAnsi="Times New Roman" w:cs="Times New Roman"/>
          <w:bCs/>
          <w:lang w:val="en-US"/>
        </w:rPr>
      </w:pPr>
    </w:p>
    <w:p w14:paraId="31CB178A" w14:textId="77777777" w:rsidR="001D7BA3" w:rsidRDefault="001D7BA3" w:rsidP="002D03FD">
      <w:pPr>
        <w:jc w:val="both"/>
        <w:rPr>
          <w:rFonts w:ascii="Times New Roman" w:hAnsi="Times New Roman" w:cs="Times New Roman"/>
          <w:bCs/>
          <w:lang w:val="en-US"/>
        </w:rPr>
      </w:pPr>
    </w:p>
    <w:p w14:paraId="5752E8BD" w14:textId="77777777" w:rsidR="001D7BA3" w:rsidRDefault="001D7BA3" w:rsidP="002D03FD">
      <w:pPr>
        <w:jc w:val="both"/>
        <w:rPr>
          <w:rFonts w:ascii="Times New Roman" w:hAnsi="Times New Roman" w:cs="Times New Roman"/>
          <w:bCs/>
          <w:lang w:val="en-US"/>
        </w:rPr>
      </w:pPr>
    </w:p>
    <w:p w14:paraId="22B7922C" w14:textId="77777777" w:rsidR="001D7BA3" w:rsidRPr="00A91F4E" w:rsidRDefault="001D7BA3" w:rsidP="00A91F4E">
      <w:pPr>
        <w:pStyle w:val="Heading1"/>
        <w:jc w:val="center"/>
        <w:rPr>
          <w:rFonts w:ascii="Times New Roman" w:eastAsia="Calibri" w:hAnsi="Times New Roman" w:cs="Times New Roman"/>
          <w:sz w:val="32"/>
          <w:szCs w:val="32"/>
          <w:lang w:val="sr-Cyrl-RS"/>
        </w:rPr>
      </w:pPr>
      <w:bookmarkStart w:id="20" w:name="_Toc233629236"/>
      <w:r w:rsidRPr="00A91F4E">
        <w:rPr>
          <w:rFonts w:ascii="Times New Roman" w:eastAsia="Calibri" w:hAnsi="Times New Roman" w:cs="Times New Roman"/>
          <w:sz w:val="32"/>
          <w:szCs w:val="32"/>
          <w:lang w:val="sr-Cyrl-RS"/>
        </w:rPr>
        <w:t>Annex: Tabular representation of the implementation of activities</w:t>
      </w:r>
      <w:bookmarkEnd w:id="20"/>
    </w:p>
    <w:tbl>
      <w:tblPr>
        <w:tblW w:w="827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74"/>
        <w:gridCol w:w="1279"/>
        <w:gridCol w:w="71"/>
        <w:gridCol w:w="48"/>
        <w:gridCol w:w="1302"/>
        <w:gridCol w:w="11"/>
        <w:gridCol w:w="1838"/>
        <w:gridCol w:w="52"/>
      </w:tblGrid>
      <w:tr w:rsidR="001D7BA3" w:rsidRPr="001D7BA3" w14:paraId="5636B858" w14:textId="77777777" w:rsidTr="00BD105F">
        <w:trPr>
          <w:gridAfter w:val="1"/>
          <w:wAfter w:w="52" w:type="dxa"/>
          <w:trHeight w:val="998"/>
          <w:jc w:val="center"/>
        </w:trPr>
        <w:tc>
          <w:tcPr>
            <w:tcW w:w="3674" w:type="dxa"/>
            <w:shd w:val="clear" w:color="FFFFCC" w:fill="F2F2F2"/>
            <w:vAlign w:val="center"/>
            <w:hideMark/>
          </w:tcPr>
          <w:p w14:paraId="776F70F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b/>
                <w:bCs/>
                <w:color w:val="000000"/>
                <w:sz w:val="16"/>
                <w:szCs w:val="16"/>
                <w:lang w:val="sr-Cyrl-RS" w:eastAsia="en-GB"/>
                <w14:ligatures w14:val="none"/>
              </w:rPr>
            </w:pPr>
            <w:r w:rsidRPr="001D7BA3">
              <w:rPr>
                <w:rFonts w:ascii="Times New Roman" w:eastAsia="Times New Roman" w:hAnsi="Times New Roman" w:cs="Times New Roman"/>
                <w:b/>
                <w:bCs/>
                <w:color w:val="000000"/>
                <w:sz w:val="16"/>
                <w:szCs w:val="16"/>
                <w:lang w:val="sr-Cyrl-RS" w:eastAsia="en-GB"/>
                <w14:ligatures w14:val="none"/>
              </w:rPr>
              <w:t>Name of activity:</w:t>
            </w:r>
          </w:p>
        </w:tc>
        <w:tc>
          <w:tcPr>
            <w:tcW w:w="1279" w:type="dxa"/>
            <w:shd w:val="clear" w:color="FFFFCC" w:fill="F2F2F2"/>
            <w:vAlign w:val="center"/>
            <w:hideMark/>
          </w:tcPr>
          <w:p w14:paraId="094D521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b/>
                <w:bCs/>
                <w:color w:val="000000"/>
                <w:sz w:val="16"/>
                <w:szCs w:val="16"/>
                <w:lang w:val="sr-Cyrl-RS" w:eastAsia="en-GB"/>
                <w14:ligatures w14:val="none"/>
              </w:rPr>
            </w:pPr>
            <w:r w:rsidRPr="001D7BA3">
              <w:rPr>
                <w:rFonts w:ascii="Times New Roman" w:eastAsia="Times New Roman" w:hAnsi="Times New Roman" w:cs="Times New Roman"/>
                <w:b/>
                <w:bCs/>
                <w:color w:val="000000"/>
                <w:sz w:val="16"/>
                <w:szCs w:val="16"/>
                <w:lang w:val="sr-Cyrl-RS" w:eastAsia="en-GB"/>
                <w14:ligatures w14:val="none"/>
              </w:rPr>
              <w:t>Deadline for completing the activity</w:t>
            </w:r>
          </w:p>
        </w:tc>
        <w:tc>
          <w:tcPr>
            <w:tcW w:w="1421" w:type="dxa"/>
            <w:gridSpan w:val="3"/>
            <w:shd w:val="clear" w:color="FFFFCC" w:fill="F2F2F2"/>
            <w:vAlign w:val="center"/>
            <w:hideMark/>
          </w:tcPr>
          <w:p w14:paraId="7652927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b/>
                <w:bCs/>
                <w:color w:val="000000"/>
                <w:sz w:val="16"/>
                <w:szCs w:val="16"/>
                <w:lang w:val="sr-Cyrl-RS" w:eastAsia="en-GB"/>
                <w14:ligatures w14:val="none"/>
              </w:rPr>
            </w:pPr>
            <w:r w:rsidRPr="001D7BA3">
              <w:rPr>
                <w:rFonts w:ascii="Times New Roman" w:eastAsia="Times New Roman" w:hAnsi="Times New Roman" w:cs="Times New Roman"/>
                <w:b/>
                <w:bCs/>
                <w:color w:val="000000"/>
                <w:sz w:val="16"/>
                <w:szCs w:val="16"/>
                <w:lang w:val="sr-Cyrl-RS" w:eastAsia="en-GB"/>
                <w14:ligatures w14:val="none"/>
              </w:rPr>
              <w:t>Institution responsible for implementation</w:t>
            </w:r>
          </w:p>
        </w:tc>
        <w:tc>
          <w:tcPr>
            <w:tcW w:w="1849" w:type="dxa"/>
            <w:gridSpan w:val="2"/>
            <w:shd w:val="clear" w:color="FFFFCC" w:fill="F2F2F2"/>
            <w:vAlign w:val="center"/>
            <w:hideMark/>
          </w:tcPr>
          <w:p w14:paraId="58C9F13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b/>
                <w:bCs/>
                <w:color w:val="000000"/>
                <w:sz w:val="16"/>
                <w:szCs w:val="16"/>
                <w:lang w:val="sr-Cyrl-RS" w:eastAsia="en-GB"/>
                <w14:ligatures w14:val="none"/>
              </w:rPr>
            </w:pPr>
            <w:r w:rsidRPr="001D7BA3">
              <w:rPr>
                <w:rFonts w:ascii="Times New Roman" w:eastAsia="Times New Roman" w:hAnsi="Times New Roman" w:cs="Times New Roman"/>
                <w:b/>
                <w:bCs/>
                <w:color w:val="000000"/>
                <w:sz w:val="16"/>
                <w:szCs w:val="16"/>
                <w:lang w:val="sr-Cyrl-RS" w:eastAsia="en-GB"/>
                <w14:ligatures w14:val="none"/>
              </w:rPr>
              <w:t>Progress made</w:t>
            </w:r>
          </w:p>
        </w:tc>
      </w:tr>
      <w:tr w:rsidR="001D7BA3" w:rsidRPr="001D7BA3" w14:paraId="57F4EEB1" w14:textId="77777777" w:rsidTr="00BD105F">
        <w:trPr>
          <w:gridAfter w:val="1"/>
          <w:wAfter w:w="52" w:type="dxa"/>
          <w:trHeight w:val="842"/>
          <w:jc w:val="center"/>
        </w:trPr>
        <w:tc>
          <w:tcPr>
            <w:tcW w:w="3674" w:type="dxa"/>
            <w:shd w:val="clear" w:color="auto" w:fill="92D050"/>
            <w:vAlign w:val="center"/>
            <w:hideMark/>
          </w:tcPr>
          <w:p w14:paraId="0C4AF61E"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1.1.1 Analysis of the implementation of the programme budget and the use of performance indicators</w:t>
            </w:r>
          </w:p>
        </w:tc>
        <w:tc>
          <w:tcPr>
            <w:tcW w:w="1279" w:type="dxa"/>
            <w:shd w:val="clear" w:color="auto" w:fill="92D050"/>
            <w:vAlign w:val="center"/>
            <w:hideMark/>
          </w:tcPr>
          <w:p w14:paraId="32D090D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2022</w:t>
            </w:r>
          </w:p>
        </w:tc>
        <w:tc>
          <w:tcPr>
            <w:tcW w:w="1421" w:type="dxa"/>
            <w:gridSpan w:val="3"/>
            <w:shd w:val="clear" w:color="auto" w:fill="92D050"/>
            <w:vAlign w:val="center"/>
            <w:hideMark/>
          </w:tcPr>
          <w:p w14:paraId="0650C3C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6373439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06FA5E26" w14:textId="77777777" w:rsidTr="00BD105F">
        <w:trPr>
          <w:gridAfter w:val="1"/>
          <w:wAfter w:w="52" w:type="dxa"/>
          <w:trHeight w:val="698"/>
          <w:jc w:val="center"/>
        </w:trPr>
        <w:tc>
          <w:tcPr>
            <w:tcW w:w="3674" w:type="dxa"/>
            <w:shd w:val="clear" w:color="auto" w:fill="92D050"/>
            <w:vAlign w:val="center"/>
            <w:hideMark/>
          </w:tcPr>
          <w:p w14:paraId="6A75D949"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1.1.2 Analysis of the uniform structure of the programme budget of local self-government units</w:t>
            </w:r>
          </w:p>
        </w:tc>
        <w:tc>
          <w:tcPr>
            <w:tcW w:w="1279" w:type="dxa"/>
            <w:shd w:val="clear" w:color="auto" w:fill="92D050"/>
            <w:vAlign w:val="center"/>
            <w:hideMark/>
          </w:tcPr>
          <w:p w14:paraId="461DAF5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2022</w:t>
            </w:r>
            <w:r w:rsidRPr="001D7BA3">
              <w:rPr>
                <w:rFonts w:ascii="Times New Roman" w:eastAsia="Times New Roman" w:hAnsi="Times New Roman" w:cs="Times New Roman"/>
                <w:color w:val="000000"/>
                <w:sz w:val="16"/>
                <w:szCs w:val="16"/>
                <w:lang w:val="sr-Cyrl-RS" w:eastAsia="en-GB"/>
                <w14:ligatures w14:val="none"/>
              </w:rPr>
              <w:br/>
            </w:r>
          </w:p>
        </w:tc>
        <w:tc>
          <w:tcPr>
            <w:tcW w:w="1421" w:type="dxa"/>
            <w:gridSpan w:val="3"/>
            <w:shd w:val="clear" w:color="auto" w:fill="92D050"/>
            <w:vAlign w:val="center"/>
            <w:hideMark/>
          </w:tcPr>
          <w:p w14:paraId="7BDBA28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33F7B2D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p w14:paraId="4093F3B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p>
        </w:tc>
      </w:tr>
      <w:tr w:rsidR="001D7BA3" w:rsidRPr="001D7BA3" w14:paraId="2732662C" w14:textId="77777777" w:rsidTr="00BD105F">
        <w:trPr>
          <w:gridAfter w:val="1"/>
          <w:wAfter w:w="52" w:type="dxa"/>
          <w:trHeight w:val="836"/>
          <w:jc w:val="center"/>
        </w:trPr>
        <w:tc>
          <w:tcPr>
            <w:tcW w:w="3674" w:type="dxa"/>
            <w:shd w:val="clear" w:color="auto" w:fill="92D050"/>
            <w:vAlign w:val="center"/>
            <w:hideMark/>
          </w:tcPr>
          <w:p w14:paraId="4DFA8C07"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1.1.3 Determining the programme structure for mandatory social insurance organisations and their beneficiaries</w:t>
            </w:r>
          </w:p>
        </w:tc>
        <w:tc>
          <w:tcPr>
            <w:tcW w:w="1279" w:type="dxa"/>
            <w:shd w:val="clear" w:color="auto" w:fill="92D050"/>
            <w:vAlign w:val="center"/>
            <w:hideMark/>
          </w:tcPr>
          <w:p w14:paraId="1FDAD98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92D050"/>
            <w:vAlign w:val="center"/>
            <w:hideMark/>
          </w:tcPr>
          <w:p w14:paraId="29D8335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6635560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64D51396" w14:textId="77777777" w:rsidTr="00BD105F">
        <w:trPr>
          <w:gridAfter w:val="1"/>
          <w:wAfter w:w="52" w:type="dxa"/>
          <w:trHeight w:val="930"/>
          <w:jc w:val="center"/>
        </w:trPr>
        <w:tc>
          <w:tcPr>
            <w:tcW w:w="3674" w:type="dxa"/>
            <w:shd w:val="clear" w:color="auto" w:fill="92D050"/>
            <w:vAlign w:val="center"/>
            <w:hideMark/>
          </w:tcPr>
          <w:p w14:paraId="538663B9"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1.1.4 Workshops and training for all users at all levels of government</w:t>
            </w:r>
          </w:p>
        </w:tc>
        <w:tc>
          <w:tcPr>
            <w:tcW w:w="1279" w:type="dxa"/>
            <w:shd w:val="clear" w:color="auto" w:fill="92D050"/>
            <w:vAlign w:val="center"/>
            <w:hideMark/>
          </w:tcPr>
          <w:p w14:paraId="65ACA3D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92D050"/>
            <w:vAlign w:val="center"/>
            <w:hideMark/>
          </w:tcPr>
          <w:p w14:paraId="2B15938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75CA16A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1833A014" w14:textId="77777777" w:rsidTr="00BD105F">
        <w:trPr>
          <w:gridAfter w:val="1"/>
          <w:wAfter w:w="52" w:type="dxa"/>
          <w:trHeight w:val="762"/>
          <w:jc w:val="center"/>
        </w:trPr>
        <w:tc>
          <w:tcPr>
            <w:tcW w:w="3674" w:type="dxa"/>
            <w:shd w:val="clear" w:color="auto" w:fill="FF0000"/>
            <w:vAlign w:val="center"/>
            <w:hideMark/>
          </w:tcPr>
          <w:p w14:paraId="5D5D3D6E"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1.1.5 Study visit regarding the improvement of the performance report</w:t>
            </w:r>
          </w:p>
        </w:tc>
        <w:tc>
          <w:tcPr>
            <w:tcW w:w="1279" w:type="dxa"/>
            <w:shd w:val="clear" w:color="auto" w:fill="FF0000"/>
            <w:vAlign w:val="center"/>
            <w:hideMark/>
          </w:tcPr>
          <w:p w14:paraId="5D0A79E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2022</w:t>
            </w:r>
          </w:p>
        </w:tc>
        <w:tc>
          <w:tcPr>
            <w:tcW w:w="1421" w:type="dxa"/>
            <w:gridSpan w:val="3"/>
            <w:shd w:val="clear" w:color="auto" w:fill="FF0000"/>
            <w:vAlign w:val="center"/>
            <w:hideMark/>
          </w:tcPr>
          <w:p w14:paraId="75F4788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FF0000"/>
            <w:vAlign w:val="center"/>
          </w:tcPr>
          <w:p w14:paraId="3EC191F0" w14:textId="77777777" w:rsidR="001D7BA3" w:rsidRPr="001D7BA3" w:rsidRDefault="001D7BA3" w:rsidP="001D7BA3">
            <w:pPr>
              <w:shd w:val="clear" w:color="auto" w:fill="FF0000"/>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p w14:paraId="2308806D" w14:textId="77777777" w:rsidR="001D7BA3" w:rsidRPr="001D7BA3" w:rsidRDefault="001D7BA3" w:rsidP="001D7BA3">
            <w:pPr>
              <w:shd w:val="clear" w:color="auto" w:fill="FF0000"/>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p>
        </w:tc>
      </w:tr>
      <w:tr w:rsidR="001D7BA3" w:rsidRPr="001D7BA3" w14:paraId="5CFC4A85" w14:textId="77777777" w:rsidTr="00BD105F">
        <w:trPr>
          <w:gridAfter w:val="1"/>
          <w:wAfter w:w="52" w:type="dxa"/>
          <w:trHeight w:val="656"/>
          <w:jc w:val="center"/>
        </w:trPr>
        <w:tc>
          <w:tcPr>
            <w:tcW w:w="3674" w:type="dxa"/>
            <w:shd w:val="clear" w:color="auto" w:fill="92D050"/>
            <w:vAlign w:val="center"/>
            <w:hideMark/>
          </w:tcPr>
          <w:p w14:paraId="0F90E7E0"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1.2.1 Analysis of the budget preparation process of EU member states and the obligations of the Republic of Serbia during budget preparation</w:t>
            </w:r>
          </w:p>
        </w:tc>
        <w:tc>
          <w:tcPr>
            <w:tcW w:w="1279" w:type="dxa"/>
            <w:shd w:val="clear" w:color="auto" w:fill="92D050"/>
            <w:vAlign w:val="center"/>
            <w:hideMark/>
          </w:tcPr>
          <w:p w14:paraId="451C303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2023</w:t>
            </w:r>
          </w:p>
        </w:tc>
        <w:tc>
          <w:tcPr>
            <w:tcW w:w="1421" w:type="dxa"/>
            <w:gridSpan w:val="3"/>
            <w:shd w:val="clear" w:color="auto" w:fill="92D050"/>
            <w:vAlign w:val="center"/>
            <w:hideMark/>
          </w:tcPr>
          <w:p w14:paraId="6572EF3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0550227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p>
          <w:p w14:paraId="6E480BD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7A0F9647" w14:textId="77777777" w:rsidTr="00BD105F">
        <w:trPr>
          <w:gridAfter w:val="1"/>
          <w:wAfter w:w="52" w:type="dxa"/>
          <w:trHeight w:val="566"/>
          <w:jc w:val="center"/>
        </w:trPr>
        <w:tc>
          <w:tcPr>
            <w:tcW w:w="3674" w:type="dxa"/>
            <w:shd w:val="clear" w:color="auto" w:fill="EE0000"/>
            <w:vAlign w:val="center"/>
            <w:hideMark/>
          </w:tcPr>
          <w:p w14:paraId="55C3A85B"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1.2.2 Training of employees in the Ministry of Finance and direct budget users</w:t>
            </w:r>
          </w:p>
        </w:tc>
        <w:tc>
          <w:tcPr>
            <w:tcW w:w="1279" w:type="dxa"/>
            <w:shd w:val="clear" w:color="auto" w:fill="EE0000"/>
            <w:vAlign w:val="center"/>
            <w:hideMark/>
          </w:tcPr>
          <w:p w14:paraId="4E1E954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hideMark/>
          </w:tcPr>
          <w:p w14:paraId="0652C0E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EE0000"/>
            <w:vAlign w:val="center"/>
          </w:tcPr>
          <w:p w14:paraId="2FBF4984" w14:textId="77777777" w:rsidR="001D7BA3" w:rsidRPr="001D7BA3" w:rsidRDefault="001D7BA3" w:rsidP="001D7BA3">
            <w:pPr>
              <w:shd w:val="clear" w:color="auto" w:fill="FF0000"/>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p w14:paraId="5874207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6B504DFB" w14:textId="77777777" w:rsidTr="00BD105F">
        <w:trPr>
          <w:gridAfter w:val="1"/>
          <w:wAfter w:w="52" w:type="dxa"/>
          <w:trHeight w:val="533"/>
          <w:jc w:val="center"/>
        </w:trPr>
        <w:tc>
          <w:tcPr>
            <w:tcW w:w="3674" w:type="dxa"/>
            <w:shd w:val="clear" w:color="auto" w:fill="EE0000"/>
            <w:vAlign w:val="center"/>
            <w:hideMark/>
          </w:tcPr>
          <w:p w14:paraId="43052272"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1.2.3 Study visit</w:t>
            </w:r>
          </w:p>
        </w:tc>
        <w:tc>
          <w:tcPr>
            <w:tcW w:w="1279" w:type="dxa"/>
            <w:shd w:val="clear" w:color="auto" w:fill="EE0000"/>
            <w:vAlign w:val="center"/>
            <w:hideMark/>
          </w:tcPr>
          <w:p w14:paraId="3707449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EE0000"/>
            <w:vAlign w:val="center"/>
            <w:hideMark/>
          </w:tcPr>
          <w:p w14:paraId="2CDFDC4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EE0000"/>
            <w:vAlign w:val="center"/>
          </w:tcPr>
          <w:p w14:paraId="231368B1" w14:textId="77777777" w:rsidR="001D7BA3" w:rsidRPr="001D7BA3" w:rsidRDefault="001D7BA3" w:rsidP="001D7BA3">
            <w:pPr>
              <w:shd w:val="clear" w:color="auto" w:fill="FF0000"/>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p w14:paraId="3AA4054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p w14:paraId="416C1AE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5713237C" w14:textId="77777777" w:rsidTr="00BD105F">
        <w:trPr>
          <w:gridAfter w:val="1"/>
          <w:wAfter w:w="52" w:type="dxa"/>
          <w:trHeight w:val="1065"/>
          <w:jc w:val="center"/>
        </w:trPr>
        <w:tc>
          <w:tcPr>
            <w:tcW w:w="3674" w:type="dxa"/>
            <w:shd w:val="clear" w:color="auto" w:fill="92D050"/>
            <w:hideMark/>
          </w:tcPr>
          <w:p w14:paraId="02CC7605"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1.3.1 Mentoring support for the preparation of medium-term plans of persons liable for medium-term planning at the national level</w:t>
            </w:r>
          </w:p>
        </w:tc>
        <w:tc>
          <w:tcPr>
            <w:tcW w:w="1279" w:type="dxa"/>
            <w:shd w:val="clear" w:color="auto" w:fill="92D050"/>
            <w:vAlign w:val="center"/>
            <w:hideMark/>
          </w:tcPr>
          <w:p w14:paraId="78D85D94"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92D050"/>
            <w:vAlign w:val="center"/>
            <w:hideMark/>
          </w:tcPr>
          <w:p w14:paraId="1F8AE6B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RSJP</w:t>
            </w:r>
          </w:p>
        </w:tc>
        <w:tc>
          <w:tcPr>
            <w:tcW w:w="1849" w:type="dxa"/>
            <w:gridSpan w:val="2"/>
            <w:shd w:val="clear" w:color="auto" w:fill="92D050"/>
            <w:vAlign w:val="center"/>
            <w:hideMark/>
          </w:tcPr>
          <w:p w14:paraId="2EC1ACE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7B3A9301" w14:textId="77777777" w:rsidTr="00BD105F">
        <w:trPr>
          <w:gridAfter w:val="1"/>
          <w:wAfter w:w="52" w:type="dxa"/>
          <w:trHeight w:val="985"/>
          <w:jc w:val="center"/>
        </w:trPr>
        <w:tc>
          <w:tcPr>
            <w:tcW w:w="3674" w:type="dxa"/>
            <w:shd w:val="clear" w:color="auto" w:fill="92D050"/>
            <w:hideMark/>
          </w:tcPr>
          <w:p w14:paraId="144538C5"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1.3.2 Analysis of the degree of compliance of medium-term plans with public policy documents in the relevant planning area</w:t>
            </w:r>
          </w:p>
        </w:tc>
        <w:tc>
          <w:tcPr>
            <w:tcW w:w="1279" w:type="dxa"/>
            <w:shd w:val="clear" w:color="auto" w:fill="92D050"/>
            <w:vAlign w:val="center"/>
            <w:hideMark/>
          </w:tcPr>
          <w:p w14:paraId="3E9FA68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92D050"/>
            <w:vAlign w:val="center"/>
            <w:hideMark/>
          </w:tcPr>
          <w:p w14:paraId="0DC51F8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RSJP</w:t>
            </w:r>
          </w:p>
        </w:tc>
        <w:tc>
          <w:tcPr>
            <w:tcW w:w="1849" w:type="dxa"/>
            <w:gridSpan w:val="2"/>
            <w:shd w:val="clear" w:color="auto" w:fill="92D050"/>
            <w:vAlign w:val="center"/>
            <w:hideMark/>
          </w:tcPr>
          <w:p w14:paraId="5E58442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0B5784BA" w14:textId="77777777" w:rsidTr="00BD105F">
        <w:trPr>
          <w:gridAfter w:val="1"/>
          <w:wAfter w:w="52" w:type="dxa"/>
          <w:trHeight w:val="350"/>
          <w:jc w:val="center"/>
        </w:trPr>
        <w:tc>
          <w:tcPr>
            <w:tcW w:w="3674" w:type="dxa"/>
            <w:shd w:val="clear" w:color="auto" w:fill="92D050"/>
            <w:vAlign w:val="center"/>
            <w:hideMark/>
          </w:tcPr>
          <w:p w14:paraId="11269895"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1.4.1 Changes and additions to the legal framework in accordance with the identified weaknesses of implementation in practice</w:t>
            </w:r>
          </w:p>
        </w:tc>
        <w:tc>
          <w:tcPr>
            <w:tcW w:w="1279" w:type="dxa"/>
            <w:shd w:val="clear" w:color="auto" w:fill="92D050"/>
            <w:vAlign w:val="center"/>
            <w:hideMark/>
          </w:tcPr>
          <w:p w14:paraId="10B8527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2022</w:t>
            </w:r>
          </w:p>
        </w:tc>
        <w:tc>
          <w:tcPr>
            <w:tcW w:w="1421" w:type="dxa"/>
            <w:gridSpan w:val="3"/>
            <w:shd w:val="clear" w:color="auto" w:fill="92D050"/>
            <w:vAlign w:val="center"/>
            <w:hideMark/>
          </w:tcPr>
          <w:p w14:paraId="0A414E6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06692906" w14:textId="77777777" w:rsidR="001D7BA3" w:rsidRPr="001D7BA3" w:rsidRDefault="001D7BA3" w:rsidP="001D7BA3">
            <w:pPr>
              <w:tabs>
                <w:tab w:val="left" w:pos="9923"/>
              </w:tabs>
              <w:spacing w:after="0" w:line="259" w:lineRule="auto"/>
              <w:jc w:val="center"/>
              <w:rPr>
                <w:rFonts w:ascii="Times New Roman" w:eastAsia="Times New Roman" w:hAnsi="Times New Roman" w:cs="Times New Roman"/>
                <w:color w:val="000000"/>
                <w:sz w:val="16"/>
                <w:szCs w:val="16"/>
                <w:lang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44EACD6C" w14:textId="77777777" w:rsidTr="00BD105F">
        <w:trPr>
          <w:gridAfter w:val="1"/>
          <w:wAfter w:w="52" w:type="dxa"/>
          <w:trHeight w:val="688"/>
          <w:jc w:val="center"/>
        </w:trPr>
        <w:tc>
          <w:tcPr>
            <w:tcW w:w="3674" w:type="dxa"/>
            <w:shd w:val="clear" w:color="auto" w:fill="92D050"/>
            <w:vAlign w:val="center"/>
            <w:hideMark/>
          </w:tcPr>
          <w:p w14:paraId="378B9A3B"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1.4.2 Development of a training programme for relevant participants in the capital project management process</w:t>
            </w:r>
          </w:p>
        </w:tc>
        <w:tc>
          <w:tcPr>
            <w:tcW w:w="1279" w:type="dxa"/>
            <w:shd w:val="clear" w:color="auto" w:fill="92D050"/>
            <w:vAlign w:val="center"/>
            <w:hideMark/>
          </w:tcPr>
          <w:p w14:paraId="01A887E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2023</w:t>
            </w:r>
          </w:p>
        </w:tc>
        <w:tc>
          <w:tcPr>
            <w:tcW w:w="1421" w:type="dxa"/>
            <w:gridSpan w:val="3"/>
            <w:shd w:val="clear" w:color="auto" w:fill="92D050"/>
            <w:vAlign w:val="center"/>
            <w:hideMark/>
          </w:tcPr>
          <w:p w14:paraId="3973554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189C72B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228C4C1D" w14:textId="77777777" w:rsidTr="00BD105F">
        <w:trPr>
          <w:gridAfter w:val="1"/>
          <w:wAfter w:w="52" w:type="dxa"/>
          <w:trHeight w:val="1265"/>
          <w:jc w:val="center"/>
        </w:trPr>
        <w:tc>
          <w:tcPr>
            <w:tcW w:w="3674" w:type="dxa"/>
            <w:shd w:val="clear" w:color="auto" w:fill="EE0000"/>
            <w:vAlign w:val="center"/>
          </w:tcPr>
          <w:p w14:paraId="7ED77F5F" w14:textId="77777777" w:rsidR="001D7BA3" w:rsidRPr="001D7BA3" w:rsidRDefault="001D7BA3" w:rsidP="001D7BA3">
            <w:pPr>
              <w:spacing w:line="259"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1.4.3 Preparation of reports for the public on the status of capital projects that are monitored in accordance with the methodology</w:t>
            </w:r>
          </w:p>
        </w:tc>
        <w:tc>
          <w:tcPr>
            <w:tcW w:w="1279" w:type="dxa"/>
            <w:shd w:val="clear" w:color="auto" w:fill="EE0000"/>
            <w:vAlign w:val="center"/>
          </w:tcPr>
          <w:p w14:paraId="2C3E693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EE0000"/>
            <w:vAlign w:val="center"/>
          </w:tcPr>
          <w:p w14:paraId="7157D0E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EE0000"/>
            <w:vAlign w:val="center"/>
          </w:tcPr>
          <w:p w14:paraId="50F5166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p w14:paraId="6569AFD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67727550" w14:textId="77777777" w:rsidTr="00BD105F">
        <w:trPr>
          <w:gridAfter w:val="1"/>
          <w:wAfter w:w="52" w:type="dxa"/>
          <w:trHeight w:val="885"/>
          <w:jc w:val="center"/>
        </w:trPr>
        <w:tc>
          <w:tcPr>
            <w:tcW w:w="3674" w:type="dxa"/>
            <w:shd w:val="clear" w:color="auto" w:fill="FF0000"/>
            <w:vAlign w:val="center"/>
          </w:tcPr>
          <w:p w14:paraId="7B50A90E" w14:textId="77777777" w:rsidR="001D7BA3" w:rsidRPr="001D7BA3" w:rsidRDefault="001D7BA3" w:rsidP="001D7BA3">
            <w:pPr>
              <w:spacing w:line="259" w:lineRule="auto"/>
              <w:rPr>
                <w:rFonts w:ascii="Times New Roman" w:eastAsia="Times New Roman" w:hAnsi="Times New Roman" w:cs="Times New Roman"/>
                <w:sz w:val="15"/>
                <w:szCs w:val="15"/>
                <w:lang w:val="sr-Cyrl-RS" w:eastAsia="en-GB"/>
                <w14:ligatures w14:val="none"/>
              </w:rPr>
            </w:pPr>
            <w:r w:rsidRPr="001D7BA3">
              <w:rPr>
                <w:rFonts w:ascii="Times New Roman" w:eastAsia="Times New Roman" w:hAnsi="Times New Roman" w:cs="Times New Roman"/>
                <w:sz w:val="15"/>
                <w:szCs w:val="15"/>
                <w:lang w:val="sr-Cyrl-RS" w:eastAsia="en-GB"/>
                <w14:ligatures w14:val="none"/>
              </w:rPr>
              <w:t>1.4.4 Creation of a manual on UKP methodology (design, preparation for printing, proofreading, consulting support for content)</w:t>
            </w:r>
          </w:p>
        </w:tc>
        <w:tc>
          <w:tcPr>
            <w:tcW w:w="1279" w:type="dxa"/>
            <w:shd w:val="clear" w:color="auto" w:fill="FF0000"/>
            <w:vAlign w:val="center"/>
          </w:tcPr>
          <w:p w14:paraId="60728AF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5"/>
                <w:szCs w:val="15"/>
                <w:lang w:val="sr-Cyrl-RS" w:eastAsia="en-GB"/>
                <w14:ligatures w14:val="none"/>
              </w:rPr>
            </w:pPr>
            <w:r w:rsidRPr="001D7BA3">
              <w:rPr>
                <w:rFonts w:ascii="Times New Roman" w:eastAsia="Times New Roman" w:hAnsi="Times New Roman" w:cs="Times New Roman"/>
                <w:color w:val="000000"/>
                <w:sz w:val="15"/>
                <w:szCs w:val="15"/>
                <w:lang w:val="sr-Cyrl-RS" w:eastAsia="en-GB"/>
                <w14:ligatures w14:val="none"/>
              </w:rPr>
              <w:t>Q4 2024</w:t>
            </w:r>
          </w:p>
        </w:tc>
        <w:tc>
          <w:tcPr>
            <w:tcW w:w="1421" w:type="dxa"/>
            <w:gridSpan w:val="3"/>
            <w:shd w:val="clear" w:color="auto" w:fill="FF0000"/>
            <w:vAlign w:val="center"/>
          </w:tcPr>
          <w:p w14:paraId="254978B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FF0000"/>
            <w:vAlign w:val="center"/>
          </w:tcPr>
          <w:p w14:paraId="0EA83E8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highlight w:val="yellow"/>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23A854E0" w14:textId="77777777" w:rsidTr="00BD105F">
        <w:trPr>
          <w:gridAfter w:val="1"/>
          <w:wAfter w:w="52" w:type="dxa"/>
          <w:trHeight w:val="885"/>
          <w:jc w:val="center"/>
        </w:trPr>
        <w:tc>
          <w:tcPr>
            <w:tcW w:w="3674" w:type="dxa"/>
            <w:shd w:val="clear" w:color="auto" w:fill="92D050"/>
            <w:vAlign w:val="center"/>
          </w:tcPr>
          <w:p w14:paraId="2D0B5C79" w14:textId="77777777" w:rsidR="001D7BA3" w:rsidRPr="001D7BA3" w:rsidRDefault="001D7BA3" w:rsidP="001D7BA3">
            <w:pPr>
              <w:spacing w:line="259" w:lineRule="auto"/>
              <w:rPr>
                <w:rFonts w:ascii="Times New Roman" w:eastAsia="Times New Roman" w:hAnsi="Times New Roman" w:cs="Times New Roman"/>
                <w:sz w:val="16"/>
                <w:szCs w:val="16"/>
                <w:lang w:eastAsia="en-GB"/>
                <w14:ligatures w14:val="none"/>
              </w:rPr>
            </w:pPr>
            <w:r w:rsidRPr="001D7BA3">
              <w:rPr>
                <w:rFonts w:ascii="Times New Roman" w:eastAsia="Times New Roman" w:hAnsi="Times New Roman" w:cs="Times New Roman"/>
                <w:sz w:val="16"/>
                <w:szCs w:val="16"/>
                <w:lang w:val="sr-Cyrl-RS" w:eastAsia="en-GB"/>
                <w14:ligatures w14:val="none"/>
              </w:rPr>
              <w:t>1.4.5 Development of an information system for managing capital projects</w:t>
            </w:r>
          </w:p>
        </w:tc>
        <w:tc>
          <w:tcPr>
            <w:tcW w:w="1279" w:type="dxa"/>
            <w:shd w:val="clear" w:color="auto" w:fill="92D050"/>
            <w:vAlign w:val="center"/>
          </w:tcPr>
          <w:p w14:paraId="27E762B4"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2021</w:t>
            </w:r>
          </w:p>
        </w:tc>
        <w:tc>
          <w:tcPr>
            <w:tcW w:w="1421" w:type="dxa"/>
            <w:gridSpan w:val="3"/>
            <w:shd w:val="clear" w:color="auto" w:fill="92D050"/>
            <w:vAlign w:val="center"/>
          </w:tcPr>
          <w:p w14:paraId="72C2579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24A6877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5FCC6460" w14:textId="77777777" w:rsidTr="00BD105F">
        <w:trPr>
          <w:gridAfter w:val="1"/>
          <w:wAfter w:w="52" w:type="dxa"/>
          <w:trHeight w:val="885"/>
          <w:jc w:val="center"/>
        </w:trPr>
        <w:tc>
          <w:tcPr>
            <w:tcW w:w="3674" w:type="dxa"/>
            <w:shd w:val="clear" w:color="auto" w:fill="92D050"/>
            <w:vAlign w:val="center"/>
          </w:tcPr>
          <w:p w14:paraId="0BCCCB07" w14:textId="77777777" w:rsidR="001D7BA3" w:rsidRPr="001D7BA3" w:rsidRDefault="001D7BA3" w:rsidP="001D7BA3">
            <w:pPr>
              <w:spacing w:line="259"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1.4.6 Upgrading of the information system for managing capital projects</w:t>
            </w:r>
          </w:p>
        </w:tc>
        <w:tc>
          <w:tcPr>
            <w:tcW w:w="1279" w:type="dxa"/>
            <w:shd w:val="clear" w:color="auto" w:fill="92D050"/>
            <w:vAlign w:val="center"/>
          </w:tcPr>
          <w:p w14:paraId="4A95811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Q2 2024</w:t>
            </w:r>
          </w:p>
        </w:tc>
        <w:tc>
          <w:tcPr>
            <w:tcW w:w="1421" w:type="dxa"/>
            <w:gridSpan w:val="3"/>
            <w:shd w:val="clear" w:color="auto" w:fill="92D050"/>
            <w:vAlign w:val="center"/>
          </w:tcPr>
          <w:p w14:paraId="648730D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316A8DB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672200E8" w14:textId="77777777" w:rsidTr="00BD105F">
        <w:trPr>
          <w:gridAfter w:val="1"/>
          <w:wAfter w:w="52" w:type="dxa"/>
          <w:trHeight w:val="885"/>
          <w:jc w:val="center"/>
        </w:trPr>
        <w:tc>
          <w:tcPr>
            <w:tcW w:w="3674" w:type="dxa"/>
            <w:shd w:val="clear" w:color="auto" w:fill="92D050"/>
            <w:vAlign w:val="center"/>
          </w:tcPr>
          <w:p w14:paraId="3F33931D" w14:textId="77777777" w:rsidR="001D7BA3" w:rsidRPr="001D7BA3" w:rsidRDefault="001D7BA3" w:rsidP="001D7BA3">
            <w:pPr>
              <w:spacing w:line="259"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1.4.7 Improving the skills of employees in the field of project management, sustainable project management, including the preparation and revision of cost-benefit analysis</w:t>
            </w:r>
          </w:p>
        </w:tc>
        <w:tc>
          <w:tcPr>
            <w:tcW w:w="1279" w:type="dxa"/>
            <w:shd w:val="clear" w:color="auto" w:fill="92D050"/>
            <w:vAlign w:val="center"/>
          </w:tcPr>
          <w:p w14:paraId="389F8A04"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92D050"/>
            <w:vAlign w:val="center"/>
          </w:tcPr>
          <w:p w14:paraId="5B7E840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1F9D0DA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23CF3552" w14:textId="77777777" w:rsidTr="00BD105F">
        <w:trPr>
          <w:gridAfter w:val="1"/>
          <w:wAfter w:w="52" w:type="dxa"/>
          <w:trHeight w:val="885"/>
          <w:jc w:val="center"/>
        </w:trPr>
        <w:tc>
          <w:tcPr>
            <w:tcW w:w="3674" w:type="dxa"/>
            <w:shd w:val="clear" w:color="auto" w:fill="92D050"/>
            <w:vAlign w:val="center"/>
          </w:tcPr>
          <w:p w14:paraId="1E89AF6E" w14:textId="77777777" w:rsidR="001D7BA3" w:rsidRPr="001D7BA3" w:rsidRDefault="001D7BA3" w:rsidP="001D7BA3">
            <w:pPr>
              <w:spacing w:line="259"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1.4.8 Completing the legal framework in terms of including aspects of the impact of capital projects on the environment and climate change</w:t>
            </w:r>
          </w:p>
        </w:tc>
        <w:tc>
          <w:tcPr>
            <w:tcW w:w="1279" w:type="dxa"/>
            <w:shd w:val="clear" w:color="auto" w:fill="92D050"/>
            <w:vAlign w:val="center"/>
          </w:tcPr>
          <w:p w14:paraId="231BDF1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Q1 2024</w:t>
            </w:r>
          </w:p>
        </w:tc>
        <w:tc>
          <w:tcPr>
            <w:tcW w:w="1421" w:type="dxa"/>
            <w:gridSpan w:val="3"/>
            <w:shd w:val="clear" w:color="auto" w:fill="92D050"/>
            <w:vAlign w:val="center"/>
          </w:tcPr>
          <w:p w14:paraId="7F4922F4" w14:textId="77777777" w:rsidR="001D7BA3" w:rsidRPr="00BA31E6"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BA31E6">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33CEE90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3A83B68A" w14:textId="77777777" w:rsidTr="00BD105F">
        <w:trPr>
          <w:gridAfter w:val="1"/>
          <w:wAfter w:w="52" w:type="dxa"/>
          <w:trHeight w:val="1185"/>
          <w:jc w:val="center"/>
        </w:trPr>
        <w:tc>
          <w:tcPr>
            <w:tcW w:w="3674" w:type="dxa"/>
            <w:shd w:val="clear" w:color="auto" w:fill="92D050"/>
            <w:vAlign w:val="center"/>
            <w:hideMark/>
          </w:tcPr>
          <w:p w14:paraId="5F3D5AF6"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1.5.1 Training for employees of the Ministry of Finance</w:t>
            </w:r>
          </w:p>
        </w:tc>
        <w:tc>
          <w:tcPr>
            <w:tcW w:w="1279" w:type="dxa"/>
            <w:shd w:val="clear" w:color="auto" w:fill="92D050"/>
            <w:vAlign w:val="center"/>
            <w:hideMark/>
          </w:tcPr>
          <w:p w14:paraId="4FD776D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2023</w:t>
            </w:r>
          </w:p>
        </w:tc>
        <w:tc>
          <w:tcPr>
            <w:tcW w:w="1421" w:type="dxa"/>
            <w:gridSpan w:val="3"/>
            <w:shd w:val="clear" w:color="auto" w:fill="92D050"/>
            <w:vAlign w:val="center"/>
            <w:hideMark/>
          </w:tcPr>
          <w:p w14:paraId="17F71064" w14:textId="77777777" w:rsidR="001D7BA3" w:rsidRPr="00BA31E6"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BA31E6">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7C3C909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BA31E6">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4302B4B3" w14:textId="77777777" w:rsidTr="00BD105F">
        <w:trPr>
          <w:gridAfter w:val="1"/>
          <w:wAfter w:w="52" w:type="dxa"/>
          <w:trHeight w:val="885"/>
          <w:jc w:val="center"/>
        </w:trPr>
        <w:tc>
          <w:tcPr>
            <w:tcW w:w="3674" w:type="dxa"/>
            <w:shd w:val="clear" w:color="auto" w:fill="92D050"/>
            <w:vAlign w:val="center"/>
            <w:hideMark/>
          </w:tcPr>
          <w:p w14:paraId="69FEA346"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1.5.2 Establishing methodologies for the Group to monitor fiscal risks related to public sector operations</w:t>
            </w:r>
          </w:p>
        </w:tc>
        <w:tc>
          <w:tcPr>
            <w:tcW w:w="1279" w:type="dxa"/>
            <w:shd w:val="clear" w:color="auto" w:fill="92D050"/>
            <w:vAlign w:val="center"/>
            <w:hideMark/>
          </w:tcPr>
          <w:p w14:paraId="68CA97C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2021</w:t>
            </w:r>
          </w:p>
        </w:tc>
        <w:tc>
          <w:tcPr>
            <w:tcW w:w="1421" w:type="dxa"/>
            <w:gridSpan w:val="3"/>
            <w:shd w:val="clear" w:color="auto" w:fill="92D050"/>
            <w:vAlign w:val="center"/>
            <w:hideMark/>
          </w:tcPr>
          <w:p w14:paraId="3F2DCE5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5B50BA2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248B7638" w14:textId="77777777" w:rsidTr="00BD105F">
        <w:trPr>
          <w:gridAfter w:val="1"/>
          <w:wAfter w:w="52" w:type="dxa"/>
          <w:trHeight w:val="705"/>
          <w:jc w:val="center"/>
        </w:trPr>
        <w:tc>
          <w:tcPr>
            <w:tcW w:w="3674" w:type="dxa"/>
            <w:shd w:val="clear" w:color="auto" w:fill="92D050"/>
            <w:vAlign w:val="center"/>
            <w:hideMark/>
          </w:tcPr>
          <w:p w14:paraId="59DB0FE4"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1.5.3 Establishing methodologies for the Group to monitor other fiscal risks - risks from natural disasters and legal disputes</w:t>
            </w:r>
          </w:p>
        </w:tc>
        <w:tc>
          <w:tcPr>
            <w:tcW w:w="1279" w:type="dxa"/>
            <w:shd w:val="clear" w:color="auto" w:fill="92D050"/>
            <w:vAlign w:val="center"/>
            <w:hideMark/>
          </w:tcPr>
          <w:p w14:paraId="43FD880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2021</w:t>
            </w:r>
          </w:p>
        </w:tc>
        <w:tc>
          <w:tcPr>
            <w:tcW w:w="1421" w:type="dxa"/>
            <w:gridSpan w:val="3"/>
            <w:shd w:val="clear" w:color="auto" w:fill="92D050"/>
            <w:vAlign w:val="center"/>
            <w:hideMark/>
          </w:tcPr>
          <w:p w14:paraId="7057509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60BBED4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646041CC" w14:textId="77777777" w:rsidTr="00BD105F">
        <w:trPr>
          <w:gridAfter w:val="1"/>
          <w:wAfter w:w="52" w:type="dxa"/>
          <w:trHeight w:val="705"/>
          <w:jc w:val="center"/>
        </w:trPr>
        <w:tc>
          <w:tcPr>
            <w:tcW w:w="3674" w:type="dxa"/>
            <w:shd w:val="clear" w:color="auto" w:fill="FF0000"/>
            <w:vAlign w:val="center"/>
          </w:tcPr>
          <w:p w14:paraId="1543149E"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1.5.4 Improvement and standardisation of fiscal risk reporting</w:t>
            </w:r>
          </w:p>
        </w:tc>
        <w:tc>
          <w:tcPr>
            <w:tcW w:w="1279" w:type="dxa"/>
            <w:shd w:val="clear" w:color="auto" w:fill="FF0000"/>
            <w:vAlign w:val="center"/>
          </w:tcPr>
          <w:p w14:paraId="497AB5C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2024</w:t>
            </w:r>
          </w:p>
        </w:tc>
        <w:tc>
          <w:tcPr>
            <w:tcW w:w="1421" w:type="dxa"/>
            <w:gridSpan w:val="3"/>
            <w:shd w:val="clear" w:color="auto" w:fill="FF0000"/>
            <w:vAlign w:val="center"/>
          </w:tcPr>
          <w:p w14:paraId="039D99D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FF0000"/>
            <w:vAlign w:val="center"/>
          </w:tcPr>
          <w:p w14:paraId="5022DC0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was not implemented.</w:t>
            </w:r>
          </w:p>
        </w:tc>
      </w:tr>
      <w:tr w:rsidR="001D7BA3" w:rsidRPr="001D7BA3" w14:paraId="132C539D" w14:textId="77777777" w:rsidTr="00BD105F">
        <w:trPr>
          <w:gridAfter w:val="1"/>
          <w:wAfter w:w="52" w:type="dxa"/>
          <w:trHeight w:val="705"/>
          <w:jc w:val="center"/>
        </w:trPr>
        <w:tc>
          <w:tcPr>
            <w:tcW w:w="3674" w:type="dxa"/>
            <w:shd w:val="clear" w:color="auto" w:fill="92D050"/>
            <w:vAlign w:val="center"/>
          </w:tcPr>
          <w:p w14:paraId="5BC92AF7"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1.5.5 Improvement of skills for employees in the field of financial analysis, cost-benefit analysis and analysis in the field of risk monitoring of climate-induced natural disasters</w:t>
            </w:r>
          </w:p>
        </w:tc>
        <w:tc>
          <w:tcPr>
            <w:tcW w:w="1279" w:type="dxa"/>
            <w:shd w:val="clear" w:color="auto" w:fill="92D050"/>
            <w:vAlign w:val="center"/>
          </w:tcPr>
          <w:p w14:paraId="4F82293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2024</w:t>
            </w:r>
          </w:p>
        </w:tc>
        <w:tc>
          <w:tcPr>
            <w:tcW w:w="1421" w:type="dxa"/>
            <w:gridSpan w:val="3"/>
            <w:shd w:val="clear" w:color="auto" w:fill="92D050"/>
            <w:vAlign w:val="center"/>
          </w:tcPr>
          <w:p w14:paraId="4F74C50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4DB77C6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28159B3E" w14:textId="77777777" w:rsidTr="00BD105F">
        <w:trPr>
          <w:gridAfter w:val="1"/>
          <w:wAfter w:w="52" w:type="dxa"/>
          <w:trHeight w:val="705"/>
          <w:jc w:val="center"/>
        </w:trPr>
        <w:tc>
          <w:tcPr>
            <w:tcW w:w="3674" w:type="dxa"/>
            <w:shd w:val="clear" w:color="auto" w:fill="92D050"/>
            <w:vAlign w:val="center"/>
          </w:tcPr>
          <w:p w14:paraId="2690597F"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1.5.6 Acquaintance with the best international practices related to monitoring and reporting on fiscal risks (through study trips, workshops, etc.)</w:t>
            </w:r>
          </w:p>
        </w:tc>
        <w:tc>
          <w:tcPr>
            <w:tcW w:w="1279" w:type="dxa"/>
            <w:shd w:val="clear" w:color="auto" w:fill="92D050"/>
            <w:vAlign w:val="center"/>
          </w:tcPr>
          <w:p w14:paraId="0AC61E1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2024</w:t>
            </w:r>
          </w:p>
        </w:tc>
        <w:tc>
          <w:tcPr>
            <w:tcW w:w="1421" w:type="dxa"/>
            <w:gridSpan w:val="3"/>
            <w:shd w:val="clear" w:color="auto" w:fill="92D050"/>
            <w:vAlign w:val="center"/>
          </w:tcPr>
          <w:p w14:paraId="6D7D916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849" w:type="dxa"/>
            <w:gridSpan w:val="2"/>
            <w:shd w:val="clear" w:color="auto" w:fill="92D050"/>
            <w:vAlign w:val="center"/>
          </w:tcPr>
          <w:p w14:paraId="0540F57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05EC85C2" w14:textId="77777777" w:rsidTr="00BD105F">
        <w:trPr>
          <w:gridAfter w:val="1"/>
          <w:wAfter w:w="52" w:type="dxa"/>
          <w:trHeight w:val="575"/>
          <w:jc w:val="center"/>
        </w:trPr>
        <w:tc>
          <w:tcPr>
            <w:tcW w:w="3674" w:type="dxa"/>
            <w:shd w:val="clear" w:color="auto" w:fill="92D050"/>
            <w:hideMark/>
          </w:tcPr>
          <w:p w14:paraId="5FF15829"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2.1.1 Reengineering of business processes of basic functions</w:t>
            </w:r>
          </w:p>
        </w:tc>
        <w:tc>
          <w:tcPr>
            <w:tcW w:w="1279" w:type="dxa"/>
            <w:shd w:val="clear" w:color="auto" w:fill="92D050"/>
            <w:vAlign w:val="center"/>
            <w:hideMark/>
          </w:tcPr>
          <w:p w14:paraId="48D0176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Q3 2023</w:t>
            </w:r>
            <w:r w:rsidRPr="001D7BA3" w:rsidDel="00D81614">
              <w:rPr>
                <w:rFonts w:ascii="Times New Roman" w:eastAsia="Times New Roman" w:hAnsi="Times New Roman" w:cs="Times New Roman"/>
                <w:color w:val="000000"/>
                <w:sz w:val="16"/>
                <w:szCs w:val="16"/>
                <w:lang w:val="sr-Cyrl-RS" w:eastAsia="en-GB"/>
                <w14:ligatures w14:val="none"/>
              </w:rPr>
              <w:t xml:space="preserve"> </w:t>
            </w:r>
          </w:p>
        </w:tc>
        <w:tc>
          <w:tcPr>
            <w:tcW w:w="1421" w:type="dxa"/>
            <w:gridSpan w:val="3"/>
            <w:shd w:val="clear" w:color="auto" w:fill="92D050"/>
            <w:vAlign w:val="center"/>
            <w:hideMark/>
          </w:tcPr>
          <w:p w14:paraId="721EA394"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Tax Administration</w:t>
            </w:r>
          </w:p>
        </w:tc>
        <w:tc>
          <w:tcPr>
            <w:tcW w:w="1849" w:type="dxa"/>
            <w:gridSpan w:val="2"/>
            <w:shd w:val="clear" w:color="auto" w:fill="92D050"/>
            <w:vAlign w:val="center"/>
          </w:tcPr>
          <w:p w14:paraId="1C766AD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02FD336C" w14:textId="77777777" w:rsidTr="00BD105F">
        <w:trPr>
          <w:gridAfter w:val="1"/>
          <w:wAfter w:w="52" w:type="dxa"/>
          <w:trHeight w:val="352"/>
          <w:jc w:val="center"/>
        </w:trPr>
        <w:tc>
          <w:tcPr>
            <w:tcW w:w="3674" w:type="dxa"/>
            <w:shd w:val="clear" w:color="auto" w:fill="92D050"/>
          </w:tcPr>
          <w:p w14:paraId="5DD40EEF"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2.1.2 Introduction of a new fiscalization system</w:t>
            </w:r>
          </w:p>
        </w:tc>
        <w:tc>
          <w:tcPr>
            <w:tcW w:w="1279" w:type="dxa"/>
            <w:shd w:val="clear" w:color="auto" w:fill="92D050"/>
            <w:vAlign w:val="center"/>
          </w:tcPr>
          <w:p w14:paraId="2B4DCE2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highlight w:val="yellow"/>
                <w:lang w:val="sr-Cyrl-RS" w:eastAsia="en-GB"/>
                <w14:ligatures w14:val="none"/>
              </w:rPr>
            </w:pPr>
            <w:r w:rsidRPr="001D7BA3">
              <w:rPr>
                <w:rFonts w:ascii="Times New Roman" w:eastAsia="Times New Roman" w:hAnsi="Times New Roman" w:cs="Times New Roman"/>
                <w:sz w:val="16"/>
                <w:szCs w:val="16"/>
                <w:lang w:val="sr-Cyrl-RS" w:eastAsia="en-GB"/>
                <w14:ligatures w14:val="none"/>
              </w:rPr>
              <w:t>Q3 2022</w:t>
            </w:r>
          </w:p>
        </w:tc>
        <w:tc>
          <w:tcPr>
            <w:tcW w:w="1421" w:type="dxa"/>
            <w:gridSpan w:val="3"/>
            <w:shd w:val="clear" w:color="auto" w:fill="92D050"/>
            <w:vAlign w:val="center"/>
          </w:tcPr>
          <w:p w14:paraId="62EA742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highlight w:val="yellow"/>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Tax Administration</w:t>
            </w:r>
          </w:p>
        </w:tc>
        <w:tc>
          <w:tcPr>
            <w:tcW w:w="1849" w:type="dxa"/>
            <w:gridSpan w:val="2"/>
            <w:shd w:val="clear" w:color="auto" w:fill="92D050"/>
            <w:vAlign w:val="center"/>
          </w:tcPr>
          <w:p w14:paraId="5776C8A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highlight w:val="yellow"/>
                <w:lang w:val="sr-Cyrl-RS" w:eastAsia="en-GB"/>
                <w14:ligatures w14:val="none"/>
              </w:rPr>
            </w:pPr>
          </w:p>
        </w:tc>
      </w:tr>
      <w:tr w:rsidR="001D7BA3" w:rsidRPr="001D7BA3" w14:paraId="355CEF62" w14:textId="77777777" w:rsidTr="00BD105F">
        <w:trPr>
          <w:gridAfter w:val="1"/>
          <w:wAfter w:w="52" w:type="dxa"/>
          <w:trHeight w:val="352"/>
          <w:jc w:val="center"/>
        </w:trPr>
        <w:tc>
          <w:tcPr>
            <w:tcW w:w="3674" w:type="dxa"/>
            <w:shd w:val="clear" w:color="auto" w:fill="EE0000"/>
            <w:hideMark/>
          </w:tcPr>
          <w:p w14:paraId="46AA6DE8"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highlight w:val="yellow"/>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2.1.3 Improvement of ICT infrastructure - COTS</w:t>
            </w:r>
          </w:p>
        </w:tc>
        <w:tc>
          <w:tcPr>
            <w:tcW w:w="1279" w:type="dxa"/>
            <w:shd w:val="clear" w:color="auto" w:fill="EE0000"/>
            <w:vAlign w:val="center"/>
            <w:hideMark/>
          </w:tcPr>
          <w:p w14:paraId="1347358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highlight w:val="yellow"/>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hideMark/>
          </w:tcPr>
          <w:p w14:paraId="2DDE2BA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highlight w:val="yellow"/>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Tax Administration</w:t>
            </w:r>
          </w:p>
        </w:tc>
        <w:tc>
          <w:tcPr>
            <w:tcW w:w="1849" w:type="dxa"/>
            <w:gridSpan w:val="2"/>
            <w:shd w:val="clear" w:color="auto" w:fill="EE0000"/>
            <w:vAlign w:val="center"/>
          </w:tcPr>
          <w:p w14:paraId="3F3D7FC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highlight w:val="yellow"/>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was not implemented.</w:t>
            </w:r>
          </w:p>
        </w:tc>
      </w:tr>
      <w:tr w:rsidR="001D7BA3" w:rsidRPr="001D7BA3" w14:paraId="43993481" w14:textId="77777777" w:rsidTr="00BD105F">
        <w:trPr>
          <w:gridAfter w:val="1"/>
          <w:wAfter w:w="52" w:type="dxa"/>
          <w:trHeight w:val="1485"/>
          <w:jc w:val="center"/>
        </w:trPr>
        <w:tc>
          <w:tcPr>
            <w:tcW w:w="3674" w:type="dxa"/>
            <w:shd w:val="clear" w:color="auto" w:fill="EE0000"/>
            <w:hideMark/>
          </w:tcPr>
          <w:p w14:paraId="49584B82"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lastRenderedPageBreak/>
              <w:t>2.1.4 Harmonisation of the legislative framework and preparation of technical specifications for the implementation of information exchange systems according to the EU standard (exchange systems in the field of indirect taxation and systems for exchange in the field of direct taxation), as well as fulfilling the recommendations of the Global Forum for the implementation of the international standard for the exchange of information on request and automatic exchange.</w:t>
            </w:r>
          </w:p>
        </w:tc>
        <w:tc>
          <w:tcPr>
            <w:tcW w:w="1279" w:type="dxa"/>
            <w:shd w:val="clear" w:color="auto" w:fill="EE0000"/>
            <w:vAlign w:val="center"/>
            <w:hideMark/>
          </w:tcPr>
          <w:p w14:paraId="5B5589F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Latn-RS" w:eastAsia="en-GB"/>
                <w14:ligatures w14:val="none"/>
              </w:rPr>
            </w:pPr>
            <w:r w:rsidRPr="001D7BA3">
              <w:rPr>
                <w:rFonts w:ascii="Times New Roman" w:eastAsia="Times New Roman" w:hAnsi="Times New Roman" w:cs="Times New Roman"/>
                <w:sz w:val="16"/>
                <w:szCs w:val="16"/>
                <w:lang w:val="sr-Cyrl-RS" w:eastAsia="en-GB"/>
                <w14:ligatures w14:val="none"/>
              </w:rPr>
              <w:t>Q4 202</w:t>
            </w:r>
            <w:r w:rsidRPr="001D7BA3">
              <w:rPr>
                <w:rFonts w:ascii="Times New Roman" w:eastAsia="Times New Roman" w:hAnsi="Times New Roman" w:cs="Times New Roman"/>
                <w:sz w:val="16"/>
                <w:szCs w:val="16"/>
                <w:lang w:val="sr-Latn-RS" w:eastAsia="en-GB"/>
                <w14:ligatures w14:val="none"/>
              </w:rPr>
              <w:t>5</w:t>
            </w:r>
          </w:p>
          <w:p w14:paraId="7B9A134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Latn-RS" w:eastAsia="en-GB"/>
                <w14:ligatures w14:val="none"/>
              </w:rPr>
            </w:pPr>
          </w:p>
        </w:tc>
        <w:tc>
          <w:tcPr>
            <w:tcW w:w="1421" w:type="dxa"/>
            <w:gridSpan w:val="3"/>
            <w:shd w:val="clear" w:color="auto" w:fill="EE0000"/>
            <w:vAlign w:val="center"/>
            <w:hideMark/>
          </w:tcPr>
          <w:p w14:paraId="60E383F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Tax Administration</w:t>
            </w:r>
          </w:p>
        </w:tc>
        <w:tc>
          <w:tcPr>
            <w:tcW w:w="1849" w:type="dxa"/>
            <w:gridSpan w:val="2"/>
            <w:shd w:val="clear" w:color="auto" w:fill="EE0000"/>
            <w:vAlign w:val="center"/>
          </w:tcPr>
          <w:p w14:paraId="134B1CB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en-U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was not implemented.</w:t>
            </w:r>
          </w:p>
        </w:tc>
      </w:tr>
      <w:tr w:rsidR="001D7BA3" w:rsidRPr="001D7BA3" w14:paraId="09725292" w14:textId="77777777" w:rsidTr="00BD105F">
        <w:trPr>
          <w:gridAfter w:val="1"/>
          <w:wAfter w:w="52" w:type="dxa"/>
          <w:trHeight w:val="1408"/>
          <w:jc w:val="center"/>
        </w:trPr>
        <w:tc>
          <w:tcPr>
            <w:tcW w:w="3674" w:type="dxa"/>
            <w:shd w:val="clear" w:color="auto" w:fill="92D050"/>
            <w:hideMark/>
          </w:tcPr>
          <w:p w14:paraId="67801027"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2.1.5 Improving the function of human resources management through the development of a human resources strategy and the improvement of the existing information system for human resources management</w:t>
            </w:r>
          </w:p>
        </w:tc>
        <w:tc>
          <w:tcPr>
            <w:tcW w:w="1279" w:type="dxa"/>
            <w:shd w:val="clear" w:color="auto" w:fill="92D050"/>
            <w:vAlign w:val="center"/>
            <w:hideMark/>
          </w:tcPr>
          <w:p w14:paraId="36F8997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2024</w:t>
            </w:r>
          </w:p>
        </w:tc>
        <w:tc>
          <w:tcPr>
            <w:tcW w:w="1421" w:type="dxa"/>
            <w:gridSpan w:val="3"/>
            <w:shd w:val="clear" w:color="auto" w:fill="92D050"/>
            <w:vAlign w:val="center"/>
            <w:hideMark/>
          </w:tcPr>
          <w:p w14:paraId="7A240FE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Tax Administration</w:t>
            </w:r>
          </w:p>
        </w:tc>
        <w:tc>
          <w:tcPr>
            <w:tcW w:w="1849" w:type="dxa"/>
            <w:gridSpan w:val="2"/>
            <w:shd w:val="clear" w:color="auto" w:fill="92D050"/>
            <w:vAlign w:val="center"/>
          </w:tcPr>
          <w:p w14:paraId="5483923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p w14:paraId="568D654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p>
        </w:tc>
      </w:tr>
      <w:tr w:rsidR="001D7BA3" w:rsidRPr="001D7BA3" w14:paraId="6D95F90F" w14:textId="77777777" w:rsidTr="00BD105F">
        <w:trPr>
          <w:gridAfter w:val="1"/>
          <w:wAfter w:w="52" w:type="dxa"/>
          <w:trHeight w:val="1542"/>
          <w:jc w:val="center"/>
        </w:trPr>
        <w:tc>
          <w:tcPr>
            <w:tcW w:w="3674" w:type="dxa"/>
            <w:shd w:val="clear" w:color="auto" w:fill="92D050"/>
          </w:tcPr>
          <w:p w14:paraId="01D66A5C"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2.1.6 Introduction of the electronic delivery note system - analysis of the legal and administrative framework, and preparation of procurement documentation</w:t>
            </w:r>
          </w:p>
        </w:tc>
        <w:tc>
          <w:tcPr>
            <w:tcW w:w="1279" w:type="dxa"/>
            <w:shd w:val="clear" w:color="auto" w:fill="92D050"/>
            <w:vAlign w:val="center"/>
          </w:tcPr>
          <w:p w14:paraId="19BAEB3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2023</w:t>
            </w:r>
          </w:p>
        </w:tc>
        <w:tc>
          <w:tcPr>
            <w:tcW w:w="1421" w:type="dxa"/>
            <w:gridSpan w:val="3"/>
            <w:shd w:val="clear" w:color="auto" w:fill="92D050"/>
            <w:vAlign w:val="center"/>
          </w:tcPr>
          <w:p w14:paraId="32DD913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7919CB3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716BCDDD" w14:textId="77777777" w:rsidTr="00BD105F">
        <w:trPr>
          <w:gridAfter w:val="1"/>
          <w:wAfter w:w="52" w:type="dxa"/>
          <w:trHeight w:val="1408"/>
          <w:jc w:val="center"/>
        </w:trPr>
        <w:tc>
          <w:tcPr>
            <w:tcW w:w="3674" w:type="dxa"/>
            <w:shd w:val="clear" w:color="auto" w:fill="92D050"/>
          </w:tcPr>
          <w:p w14:paraId="2D80ACDC"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2.1.7 Introduction of the electronic delivery note system - introduction of the IT system</w:t>
            </w:r>
          </w:p>
        </w:tc>
        <w:tc>
          <w:tcPr>
            <w:tcW w:w="1279" w:type="dxa"/>
            <w:shd w:val="clear" w:color="auto" w:fill="92D050"/>
            <w:vAlign w:val="center"/>
          </w:tcPr>
          <w:p w14:paraId="3C7449D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54428A3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17BE0FA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13B0638B" w14:textId="77777777" w:rsidTr="00BD105F">
        <w:trPr>
          <w:gridAfter w:val="1"/>
          <w:wAfter w:w="52" w:type="dxa"/>
          <w:trHeight w:val="1408"/>
          <w:jc w:val="center"/>
        </w:trPr>
        <w:tc>
          <w:tcPr>
            <w:tcW w:w="3674" w:type="dxa"/>
            <w:shd w:val="clear" w:color="auto" w:fill="FF0000"/>
          </w:tcPr>
          <w:p w14:paraId="4FC580B5"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2.1.8 Introduction of an IT system for the management of immovable property of the Ministry of Finance and its administrations</w:t>
            </w:r>
          </w:p>
        </w:tc>
        <w:tc>
          <w:tcPr>
            <w:tcW w:w="1279" w:type="dxa"/>
            <w:shd w:val="clear" w:color="auto" w:fill="FF0000"/>
            <w:vAlign w:val="center"/>
          </w:tcPr>
          <w:p w14:paraId="66E78F7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2024</w:t>
            </w:r>
          </w:p>
        </w:tc>
        <w:tc>
          <w:tcPr>
            <w:tcW w:w="1421" w:type="dxa"/>
            <w:gridSpan w:val="3"/>
            <w:shd w:val="clear" w:color="auto" w:fill="FF0000"/>
            <w:vAlign w:val="center"/>
          </w:tcPr>
          <w:p w14:paraId="5C77E82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FF0000"/>
            <w:vAlign w:val="center"/>
          </w:tcPr>
          <w:p w14:paraId="7F11054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highlight w:val="yellow"/>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was not implemented.</w:t>
            </w:r>
          </w:p>
          <w:p w14:paraId="4B04D6C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highlight w:val="yellow"/>
                <w:lang w:val="sr-Cyrl-RS" w:eastAsia="en-GB"/>
                <w14:ligatures w14:val="none"/>
              </w:rPr>
            </w:pPr>
          </w:p>
        </w:tc>
      </w:tr>
      <w:tr w:rsidR="001D7BA3" w:rsidRPr="001D7BA3" w14:paraId="75DD788C" w14:textId="77777777" w:rsidTr="00BD105F">
        <w:trPr>
          <w:gridAfter w:val="1"/>
          <w:wAfter w:w="52" w:type="dxa"/>
          <w:trHeight w:val="1408"/>
          <w:jc w:val="center"/>
        </w:trPr>
        <w:tc>
          <w:tcPr>
            <w:tcW w:w="3674" w:type="dxa"/>
            <w:shd w:val="clear" w:color="auto" w:fill="92D050"/>
          </w:tcPr>
          <w:p w14:paraId="70E77767"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2.1.9 Development of a communication strategy for the introduction of the electronic delivery note system</w:t>
            </w:r>
          </w:p>
        </w:tc>
        <w:tc>
          <w:tcPr>
            <w:tcW w:w="1279" w:type="dxa"/>
            <w:shd w:val="clear" w:color="auto" w:fill="92D050"/>
            <w:vAlign w:val="center"/>
          </w:tcPr>
          <w:p w14:paraId="7ADC953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2024</w:t>
            </w:r>
          </w:p>
        </w:tc>
        <w:tc>
          <w:tcPr>
            <w:tcW w:w="1421" w:type="dxa"/>
            <w:gridSpan w:val="3"/>
            <w:shd w:val="clear" w:color="auto" w:fill="92D050"/>
            <w:vAlign w:val="center"/>
          </w:tcPr>
          <w:p w14:paraId="7B544C7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Ministry of Finance</w:t>
            </w:r>
          </w:p>
        </w:tc>
        <w:tc>
          <w:tcPr>
            <w:tcW w:w="1849" w:type="dxa"/>
            <w:gridSpan w:val="2"/>
            <w:shd w:val="clear" w:color="auto" w:fill="92D050"/>
            <w:vAlign w:val="center"/>
          </w:tcPr>
          <w:p w14:paraId="6C0779E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55BE57CC" w14:textId="77777777" w:rsidTr="00BD105F">
        <w:trPr>
          <w:gridAfter w:val="1"/>
          <w:wAfter w:w="52" w:type="dxa"/>
          <w:trHeight w:val="3253"/>
          <w:jc w:val="center"/>
        </w:trPr>
        <w:tc>
          <w:tcPr>
            <w:tcW w:w="3674" w:type="dxa"/>
            <w:shd w:val="clear" w:color="auto" w:fill="92D050"/>
            <w:vAlign w:val="center"/>
          </w:tcPr>
          <w:p w14:paraId="4C669203"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2.2.1 Establishment of a unified system of registers that will unify all registers and record lists in order to improve the efficiency of the provision of services by the Tobacco Administration</w:t>
            </w:r>
          </w:p>
        </w:tc>
        <w:tc>
          <w:tcPr>
            <w:tcW w:w="1350" w:type="dxa"/>
            <w:gridSpan w:val="2"/>
            <w:shd w:val="clear" w:color="auto" w:fill="92D050"/>
            <w:vAlign w:val="center"/>
          </w:tcPr>
          <w:p w14:paraId="15FC605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2021</w:t>
            </w:r>
          </w:p>
        </w:tc>
        <w:tc>
          <w:tcPr>
            <w:tcW w:w="1350" w:type="dxa"/>
            <w:gridSpan w:val="2"/>
            <w:shd w:val="clear" w:color="auto" w:fill="92D050"/>
            <w:vAlign w:val="center"/>
          </w:tcPr>
          <w:p w14:paraId="0E09E9D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Tobacco Authority</w:t>
            </w:r>
          </w:p>
        </w:tc>
        <w:tc>
          <w:tcPr>
            <w:tcW w:w="1849" w:type="dxa"/>
            <w:gridSpan w:val="2"/>
            <w:shd w:val="clear" w:color="auto" w:fill="92D050"/>
            <w:vAlign w:val="center"/>
          </w:tcPr>
          <w:p w14:paraId="2D5CA1F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36FFD2EE" w14:textId="77777777" w:rsidTr="00BD105F">
        <w:trPr>
          <w:gridAfter w:val="1"/>
          <w:wAfter w:w="52" w:type="dxa"/>
          <w:trHeight w:val="1079"/>
          <w:jc w:val="center"/>
        </w:trPr>
        <w:tc>
          <w:tcPr>
            <w:tcW w:w="3674" w:type="dxa"/>
            <w:shd w:val="clear" w:color="auto" w:fill="92D050"/>
            <w:vAlign w:val="center"/>
          </w:tcPr>
          <w:p w14:paraId="023B0980"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lastRenderedPageBreak/>
              <w:t>2.2.2 Strengthening the capacity of human resources of the Tobacco Administration and other partner institutions</w:t>
            </w:r>
          </w:p>
        </w:tc>
        <w:tc>
          <w:tcPr>
            <w:tcW w:w="1350" w:type="dxa"/>
            <w:gridSpan w:val="2"/>
            <w:shd w:val="clear" w:color="auto" w:fill="92D050"/>
            <w:vAlign w:val="center"/>
          </w:tcPr>
          <w:p w14:paraId="2DE8258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2021</w:t>
            </w:r>
          </w:p>
        </w:tc>
        <w:tc>
          <w:tcPr>
            <w:tcW w:w="1350" w:type="dxa"/>
            <w:gridSpan w:val="2"/>
            <w:shd w:val="clear" w:color="auto" w:fill="92D050"/>
            <w:vAlign w:val="center"/>
          </w:tcPr>
          <w:p w14:paraId="3DF578F4"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Tobacco Authority</w:t>
            </w:r>
          </w:p>
        </w:tc>
        <w:tc>
          <w:tcPr>
            <w:tcW w:w="1849" w:type="dxa"/>
            <w:gridSpan w:val="2"/>
            <w:shd w:val="clear" w:color="auto" w:fill="92D050"/>
            <w:vAlign w:val="center"/>
          </w:tcPr>
          <w:p w14:paraId="0D2DF43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4BD598E9" w14:textId="77777777" w:rsidTr="00BD105F">
        <w:trPr>
          <w:gridAfter w:val="1"/>
          <w:wAfter w:w="52" w:type="dxa"/>
          <w:trHeight w:val="804"/>
          <w:jc w:val="center"/>
        </w:trPr>
        <w:tc>
          <w:tcPr>
            <w:tcW w:w="3674" w:type="dxa"/>
            <w:shd w:val="clear" w:color="auto" w:fill="92D050"/>
            <w:vAlign w:val="center"/>
          </w:tcPr>
          <w:p w14:paraId="0F4BB73A"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2.2.3 Increasing the digital awareness of business entities operating in the market of tobacco and tobacco products</w:t>
            </w:r>
          </w:p>
        </w:tc>
        <w:tc>
          <w:tcPr>
            <w:tcW w:w="1350" w:type="dxa"/>
            <w:gridSpan w:val="2"/>
            <w:shd w:val="clear" w:color="auto" w:fill="92D050"/>
            <w:vAlign w:val="center"/>
          </w:tcPr>
          <w:p w14:paraId="66C0D97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2021</w:t>
            </w:r>
          </w:p>
        </w:tc>
        <w:tc>
          <w:tcPr>
            <w:tcW w:w="1350" w:type="dxa"/>
            <w:gridSpan w:val="2"/>
            <w:shd w:val="clear" w:color="auto" w:fill="92D050"/>
            <w:vAlign w:val="center"/>
          </w:tcPr>
          <w:p w14:paraId="0F63FA0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Tobacco Authority</w:t>
            </w:r>
          </w:p>
        </w:tc>
        <w:tc>
          <w:tcPr>
            <w:tcW w:w="1849" w:type="dxa"/>
            <w:gridSpan w:val="2"/>
            <w:shd w:val="clear" w:color="auto" w:fill="92D050"/>
            <w:vAlign w:val="center"/>
          </w:tcPr>
          <w:p w14:paraId="097AECA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403CC5D9" w14:textId="77777777" w:rsidTr="00BD105F">
        <w:trPr>
          <w:gridAfter w:val="1"/>
          <w:wAfter w:w="52" w:type="dxa"/>
          <w:trHeight w:val="804"/>
          <w:jc w:val="center"/>
        </w:trPr>
        <w:tc>
          <w:tcPr>
            <w:tcW w:w="3674" w:type="dxa"/>
            <w:shd w:val="clear" w:color="auto" w:fill="92D050"/>
            <w:vAlign w:val="center"/>
          </w:tcPr>
          <w:p w14:paraId="5C57FF1B"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2.2.4 Upgrade of the Integrated Information System of the Tobacco Administration</w:t>
            </w:r>
          </w:p>
        </w:tc>
        <w:tc>
          <w:tcPr>
            <w:tcW w:w="1350" w:type="dxa"/>
            <w:gridSpan w:val="2"/>
            <w:shd w:val="clear" w:color="auto" w:fill="92D050"/>
            <w:vAlign w:val="center"/>
          </w:tcPr>
          <w:p w14:paraId="36E28E3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350" w:type="dxa"/>
            <w:gridSpan w:val="2"/>
            <w:shd w:val="clear" w:color="auto" w:fill="92D050"/>
            <w:vAlign w:val="center"/>
          </w:tcPr>
          <w:p w14:paraId="2C75D06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Tobacco Authority</w:t>
            </w:r>
          </w:p>
        </w:tc>
        <w:tc>
          <w:tcPr>
            <w:tcW w:w="1849" w:type="dxa"/>
            <w:gridSpan w:val="2"/>
            <w:shd w:val="clear" w:color="auto" w:fill="92D050"/>
            <w:vAlign w:val="center"/>
          </w:tcPr>
          <w:p w14:paraId="3EC9011F"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3C6211CF" w14:textId="77777777" w:rsidTr="00BD105F">
        <w:trPr>
          <w:gridAfter w:val="1"/>
          <w:wAfter w:w="52" w:type="dxa"/>
          <w:trHeight w:val="790"/>
          <w:jc w:val="center"/>
        </w:trPr>
        <w:tc>
          <w:tcPr>
            <w:tcW w:w="3674" w:type="dxa"/>
            <w:shd w:val="clear" w:color="auto" w:fill="FF0000"/>
            <w:hideMark/>
          </w:tcPr>
          <w:p w14:paraId="767EE986"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2.3.1 Improvement of the process for financial security of customs debt</w:t>
            </w:r>
          </w:p>
        </w:tc>
        <w:tc>
          <w:tcPr>
            <w:tcW w:w="1279" w:type="dxa"/>
            <w:shd w:val="clear" w:color="auto" w:fill="FF0000"/>
            <w:vAlign w:val="center"/>
            <w:hideMark/>
          </w:tcPr>
          <w:p w14:paraId="7DD1B5C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2024</w:t>
            </w:r>
          </w:p>
        </w:tc>
        <w:tc>
          <w:tcPr>
            <w:tcW w:w="1421" w:type="dxa"/>
            <w:gridSpan w:val="3"/>
            <w:shd w:val="clear" w:color="auto" w:fill="FF0000"/>
            <w:vAlign w:val="center"/>
            <w:hideMark/>
          </w:tcPr>
          <w:p w14:paraId="7136CBE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shd w:val="clear" w:color="auto" w:fill="FF0000"/>
            <w:vAlign w:val="center"/>
          </w:tcPr>
          <w:p w14:paraId="5E38996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08DEFFBE" w14:textId="77777777" w:rsidTr="00BD105F">
        <w:trPr>
          <w:gridAfter w:val="1"/>
          <w:wAfter w:w="52" w:type="dxa"/>
          <w:trHeight w:val="2155"/>
          <w:jc w:val="center"/>
        </w:trPr>
        <w:tc>
          <w:tcPr>
            <w:tcW w:w="3674" w:type="dxa"/>
            <w:tcBorders>
              <w:bottom w:val="single" w:sz="4" w:space="0" w:color="BFBFBF"/>
            </w:tcBorders>
            <w:shd w:val="clear" w:color="auto" w:fill="92D050"/>
            <w:hideMark/>
          </w:tcPr>
          <w:p w14:paraId="195202AD"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2.3.2 Capacity development for full implementation of the EU TSS regulation and reporting on EU revenues</w:t>
            </w:r>
          </w:p>
        </w:tc>
        <w:tc>
          <w:tcPr>
            <w:tcW w:w="1279" w:type="dxa"/>
            <w:tcBorders>
              <w:bottom w:val="single" w:sz="4" w:space="0" w:color="BFBFBF"/>
            </w:tcBorders>
            <w:shd w:val="clear" w:color="auto" w:fill="92D050"/>
            <w:vAlign w:val="center"/>
            <w:hideMark/>
          </w:tcPr>
          <w:p w14:paraId="7A3D5D7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tcBorders>
              <w:bottom w:val="single" w:sz="4" w:space="0" w:color="BFBFBF"/>
            </w:tcBorders>
            <w:shd w:val="clear" w:color="auto" w:fill="92D050"/>
            <w:vAlign w:val="center"/>
            <w:hideMark/>
          </w:tcPr>
          <w:p w14:paraId="1F37AE6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tcBorders>
              <w:bottom w:val="single" w:sz="4" w:space="0" w:color="BFBFBF"/>
            </w:tcBorders>
            <w:shd w:val="clear" w:color="auto" w:fill="92D050"/>
            <w:vAlign w:val="center"/>
          </w:tcPr>
          <w:p w14:paraId="362A1E7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05F22E02" w14:textId="77777777" w:rsidTr="00BD105F">
        <w:trPr>
          <w:gridAfter w:val="1"/>
          <w:wAfter w:w="52" w:type="dxa"/>
          <w:trHeight w:val="808"/>
          <w:jc w:val="center"/>
        </w:trPr>
        <w:tc>
          <w:tcPr>
            <w:tcW w:w="3674" w:type="dxa"/>
            <w:shd w:val="clear" w:color="auto" w:fill="EE0000"/>
            <w:hideMark/>
          </w:tcPr>
          <w:p w14:paraId="6E05C6F4"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2.3.3 Improvement of capacity for effective subsequent controls, determination of customs value and preferential origin and classification of goods</w:t>
            </w:r>
          </w:p>
        </w:tc>
        <w:tc>
          <w:tcPr>
            <w:tcW w:w="1279" w:type="dxa"/>
            <w:shd w:val="clear" w:color="auto" w:fill="EE0000"/>
            <w:vAlign w:val="center"/>
            <w:hideMark/>
          </w:tcPr>
          <w:p w14:paraId="6EAE81E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hideMark/>
          </w:tcPr>
          <w:p w14:paraId="37BAD0D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shd w:val="clear" w:color="auto" w:fill="EE0000"/>
            <w:vAlign w:val="center"/>
          </w:tcPr>
          <w:p w14:paraId="14EA921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67DC5822" w14:textId="77777777" w:rsidTr="00BD105F">
        <w:trPr>
          <w:gridAfter w:val="1"/>
          <w:wAfter w:w="52" w:type="dxa"/>
          <w:trHeight w:val="442"/>
          <w:jc w:val="center"/>
        </w:trPr>
        <w:tc>
          <w:tcPr>
            <w:tcW w:w="3674" w:type="dxa"/>
            <w:shd w:val="clear" w:color="auto" w:fill="EE0000"/>
            <w:hideMark/>
          </w:tcPr>
          <w:p w14:paraId="36DBAD10"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2.3.4 Modernisation of the customs laboratory</w:t>
            </w:r>
          </w:p>
        </w:tc>
        <w:tc>
          <w:tcPr>
            <w:tcW w:w="1279" w:type="dxa"/>
            <w:shd w:val="clear" w:color="auto" w:fill="EE0000"/>
            <w:vAlign w:val="center"/>
            <w:hideMark/>
          </w:tcPr>
          <w:p w14:paraId="248B0A5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hideMark/>
          </w:tcPr>
          <w:p w14:paraId="0518890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shd w:val="clear" w:color="auto" w:fill="EE0000"/>
            <w:vAlign w:val="center"/>
          </w:tcPr>
          <w:p w14:paraId="194E31E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641779CE" w14:textId="77777777" w:rsidTr="00BD105F">
        <w:trPr>
          <w:gridAfter w:val="1"/>
          <w:wAfter w:w="52" w:type="dxa"/>
          <w:trHeight w:val="950"/>
          <w:jc w:val="center"/>
        </w:trPr>
        <w:tc>
          <w:tcPr>
            <w:tcW w:w="3674" w:type="dxa"/>
            <w:shd w:val="clear" w:color="auto" w:fill="EE0000"/>
            <w:hideMark/>
          </w:tcPr>
          <w:p w14:paraId="0B2DF090"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2.3.5 Preparatory activities in order to improve the management and public sale of seized customs goods and the development of the customs infrastructure of special purpose warehouses</w:t>
            </w:r>
          </w:p>
        </w:tc>
        <w:tc>
          <w:tcPr>
            <w:tcW w:w="1279" w:type="dxa"/>
            <w:shd w:val="clear" w:color="auto" w:fill="EE0000"/>
            <w:vAlign w:val="center"/>
            <w:hideMark/>
          </w:tcPr>
          <w:p w14:paraId="7C72807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hideMark/>
          </w:tcPr>
          <w:p w14:paraId="4FB7C30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shd w:val="clear" w:color="auto" w:fill="EE0000"/>
            <w:vAlign w:val="center"/>
          </w:tcPr>
          <w:p w14:paraId="57C2B7F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50C8A292" w14:textId="77777777" w:rsidTr="00BD105F">
        <w:trPr>
          <w:gridAfter w:val="1"/>
          <w:wAfter w:w="52" w:type="dxa"/>
          <w:trHeight w:val="1767"/>
          <w:jc w:val="center"/>
        </w:trPr>
        <w:tc>
          <w:tcPr>
            <w:tcW w:w="3674" w:type="dxa"/>
            <w:tcBorders>
              <w:bottom w:val="single" w:sz="4" w:space="0" w:color="BFBFBF"/>
            </w:tcBorders>
            <w:shd w:val="clear" w:color="auto" w:fill="EE0000"/>
          </w:tcPr>
          <w:p w14:paraId="73A8CB32"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2.3.6 Implementation of import and export automated systems (AIS-AES) and management system (CDMS)</w:t>
            </w:r>
          </w:p>
          <w:p w14:paraId="2D882491"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p>
          <w:p w14:paraId="5AEF9BA0"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p>
          <w:p w14:paraId="353237DF"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p>
        </w:tc>
        <w:tc>
          <w:tcPr>
            <w:tcW w:w="1279" w:type="dxa"/>
            <w:tcBorders>
              <w:bottom w:val="single" w:sz="4" w:space="0" w:color="BFBFBF"/>
            </w:tcBorders>
            <w:shd w:val="clear" w:color="auto" w:fill="EE0000"/>
            <w:vAlign w:val="center"/>
          </w:tcPr>
          <w:p w14:paraId="62962B5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tcBorders>
              <w:bottom w:val="single" w:sz="4" w:space="0" w:color="BFBFBF"/>
            </w:tcBorders>
            <w:shd w:val="clear" w:color="auto" w:fill="EE0000"/>
            <w:vAlign w:val="center"/>
          </w:tcPr>
          <w:p w14:paraId="3608C34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tcBorders>
              <w:bottom w:val="single" w:sz="4" w:space="0" w:color="BFBFBF"/>
            </w:tcBorders>
            <w:shd w:val="clear" w:color="auto" w:fill="EE0000"/>
            <w:vAlign w:val="center"/>
          </w:tcPr>
          <w:p w14:paraId="09394B0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p w14:paraId="75FEF34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eastAsia="en-GB"/>
                <w14:ligatures w14:val="none"/>
              </w:rPr>
            </w:pPr>
          </w:p>
        </w:tc>
      </w:tr>
      <w:tr w:rsidR="001D7BA3" w:rsidRPr="001D7BA3" w14:paraId="58A2EF3A" w14:textId="77777777" w:rsidTr="00BD105F">
        <w:trPr>
          <w:gridAfter w:val="1"/>
          <w:wAfter w:w="52" w:type="dxa"/>
          <w:trHeight w:val="1350"/>
          <w:jc w:val="center"/>
        </w:trPr>
        <w:tc>
          <w:tcPr>
            <w:tcW w:w="3674" w:type="dxa"/>
            <w:shd w:val="clear" w:color="auto" w:fill="EE0000"/>
          </w:tcPr>
          <w:p w14:paraId="3C118D89"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2.3.7 Introduction of the integrated tariff management system (ITMS)</w:t>
            </w:r>
          </w:p>
        </w:tc>
        <w:tc>
          <w:tcPr>
            <w:tcW w:w="1279" w:type="dxa"/>
            <w:shd w:val="clear" w:color="auto" w:fill="EE0000"/>
            <w:vAlign w:val="center"/>
          </w:tcPr>
          <w:p w14:paraId="086F9A1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tcPr>
          <w:p w14:paraId="3C77054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shd w:val="clear" w:color="auto" w:fill="EE0000"/>
            <w:vAlign w:val="center"/>
          </w:tcPr>
          <w:p w14:paraId="3D11382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4EA6C1FD" w14:textId="77777777" w:rsidTr="00BD105F">
        <w:trPr>
          <w:gridAfter w:val="1"/>
          <w:wAfter w:w="52" w:type="dxa"/>
          <w:trHeight w:val="1127"/>
          <w:jc w:val="center"/>
        </w:trPr>
        <w:tc>
          <w:tcPr>
            <w:tcW w:w="3674" w:type="dxa"/>
            <w:shd w:val="clear" w:color="auto" w:fill="FF0000"/>
          </w:tcPr>
          <w:p w14:paraId="7DC06879"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2.3.8 Acquisition of a warehouse for storing customs data (data warehouse)</w:t>
            </w:r>
          </w:p>
        </w:tc>
        <w:tc>
          <w:tcPr>
            <w:tcW w:w="1279" w:type="dxa"/>
            <w:shd w:val="clear" w:color="auto" w:fill="FF0000"/>
            <w:vAlign w:val="center"/>
          </w:tcPr>
          <w:p w14:paraId="5974D31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2024</w:t>
            </w:r>
          </w:p>
        </w:tc>
        <w:tc>
          <w:tcPr>
            <w:tcW w:w="1421" w:type="dxa"/>
            <w:gridSpan w:val="3"/>
            <w:shd w:val="clear" w:color="auto" w:fill="FF0000"/>
            <w:vAlign w:val="center"/>
          </w:tcPr>
          <w:p w14:paraId="71D2A07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Customs Administration</w:t>
            </w:r>
          </w:p>
        </w:tc>
        <w:tc>
          <w:tcPr>
            <w:tcW w:w="1849" w:type="dxa"/>
            <w:gridSpan w:val="2"/>
            <w:shd w:val="clear" w:color="auto" w:fill="FF0000"/>
            <w:vAlign w:val="center"/>
          </w:tcPr>
          <w:p w14:paraId="3863259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2FC3C31B" w14:textId="77777777" w:rsidTr="00BD105F">
        <w:trPr>
          <w:gridAfter w:val="1"/>
          <w:wAfter w:w="52" w:type="dxa"/>
          <w:trHeight w:val="1260"/>
          <w:jc w:val="center"/>
        </w:trPr>
        <w:tc>
          <w:tcPr>
            <w:tcW w:w="3674" w:type="dxa"/>
            <w:shd w:val="clear" w:color="auto" w:fill="FF0000"/>
            <w:hideMark/>
          </w:tcPr>
          <w:p w14:paraId="6E6CEB76"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2.4.1 Strengthening the medium-term strategy of public debt management by creating a model for risk management</w:t>
            </w:r>
          </w:p>
        </w:tc>
        <w:tc>
          <w:tcPr>
            <w:tcW w:w="1279" w:type="dxa"/>
            <w:shd w:val="clear" w:color="auto" w:fill="FF0000"/>
            <w:vAlign w:val="center"/>
            <w:hideMark/>
          </w:tcPr>
          <w:p w14:paraId="639204E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2024</w:t>
            </w:r>
          </w:p>
        </w:tc>
        <w:tc>
          <w:tcPr>
            <w:tcW w:w="1421" w:type="dxa"/>
            <w:gridSpan w:val="3"/>
            <w:shd w:val="clear" w:color="auto" w:fill="FF0000"/>
            <w:vAlign w:val="center"/>
            <w:hideMark/>
          </w:tcPr>
          <w:p w14:paraId="73D3EA1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Debt Administration</w:t>
            </w:r>
          </w:p>
        </w:tc>
        <w:tc>
          <w:tcPr>
            <w:tcW w:w="1849" w:type="dxa"/>
            <w:gridSpan w:val="2"/>
            <w:shd w:val="clear" w:color="auto" w:fill="FF0000"/>
            <w:vAlign w:val="center"/>
          </w:tcPr>
          <w:p w14:paraId="23C74C3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en-U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09D0F756" w14:textId="77777777" w:rsidTr="00BD105F">
        <w:trPr>
          <w:gridAfter w:val="1"/>
          <w:wAfter w:w="52" w:type="dxa"/>
          <w:trHeight w:val="724"/>
          <w:jc w:val="center"/>
        </w:trPr>
        <w:tc>
          <w:tcPr>
            <w:tcW w:w="3674" w:type="dxa"/>
            <w:shd w:val="clear" w:color="auto" w:fill="EE0000"/>
            <w:hideMark/>
          </w:tcPr>
          <w:p w14:paraId="0420B695"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2.4.2 Implementation of a pilot project for the introduction of the system of primary dealers and further development of the domestic bond market</w:t>
            </w:r>
          </w:p>
        </w:tc>
        <w:tc>
          <w:tcPr>
            <w:tcW w:w="1279" w:type="dxa"/>
            <w:shd w:val="clear" w:color="auto" w:fill="EE0000"/>
            <w:vAlign w:val="center"/>
            <w:hideMark/>
          </w:tcPr>
          <w:p w14:paraId="7609287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hideMark/>
          </w:tcPr>
          <w:p w14:paraId="5861B81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Debt Administration</w:t>
            </w:r>
          </w:p>
        </w:tc>
        <w:tc>
          <w:tcPr>
            <w:tcW w:w="1849" w:type="dxa"/>
            <w:gridSpan w:val="2"/>
            <w:shd w:val="clear" w:color="auto" w:fill="EE0000"/>
            <w:vAlign w:val="center"/>
          </w:tcPr>
          <w:p w14:paraId="37DF3A6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57334F5F" w14:textId="77777777" w:rsidTr="00BD105F">
        <w:trPr>
          <w:gridAfter w:val="1"/>
          <w:wAfter w:w="52" w:type="dxa"/>
          <w:trHeight w:val="915"/>
          <w:jc w:val="center"/>
        </w:trPr>
        <w:tc>
          <w:tcPr>
            <w:tcW w:w="3674" w:type="dxa"/>
            <w:shd w:val="clear" w:color="auto" w:fill="EE0000"/>
            <w:hideMark/>
          </w:tcPr>
          <w:p w14:paraId="30AD5744"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2.4.3 Upgrading the existing information system (PDMS) - using business intelligence tools to improve reporting</w:t>
            </w:r>
          </w:p>
        </w:tc>
        <w:tc>
          <w:tcPr>
            <w:tcW w:w="1279" w:type="dxa"/>
            <w:shd w:val="clear" w:color="auto" w:fill="EE0000"/>
            <w:vAlign w:val="center"/>
            <w:hideMark/>
          </w:tcPr>
          <w:p w14:paraId="04F987F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hideMark/>
          </w:tcPr>
          <w:p w14:paraId="73E12A4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Debt Administration</w:t>
            </w:r>
          </w:p>
        </w:tc>
        <w:tc>
          <w:tcPr>
            <w:tcW w:w="1849" w:type="dxa"/>
            <w:gridSpan w:val="2"/>
            <w:shd w:val="clear" w:color="auto" w:fill="EE0000"/>
            <w:vAlign w:val="center"/>
          </w:tcPr>
          <w:p w14:paraId="201EC33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0E821C84" w14:textId="77777777" w:rsidTr="00BD105F">
        <w:trPr>
          <w:gridAfter w:val="1"/>
          <w:wAfter w:w="52" w:type="dxa"/>
          <w:trHeight w:val="915"/>
          <w:jc w:val="center"/>
        </w:trPr>
        <w:tc>
          <w:tcPr>
            <w:tcW w:w="3674" w:type="dxa"/>
            <w:shd w:val="clear" w:color="auto" w:fill="EE0000"/>
          </w:tcPr>
          <w:p w14:paraId="6678D32A"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2.4.4 Upgrade of the existing information system (PDMS) with the developed risk management module.</w:t>
            </w:r>
          </w:p>
        </w:tc>
        <w:tc>
          <w:tcPr>
            <w:tcW w:w="1279" w:type="dxa"/>
            <w:shd w:val="clear" w:color="auto" w:fill="EE0000"/>
            <w:vAlign w:val="center"/>
          </w:tcPr>
          <w:p w14:paraId="4449E26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tcPr>
          <w:p w14:paraId="6180463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Debt Administration</w:t>
            </w:r>
          </w:p>
        </w:tc>
        <w:tc>
          <w:tcPr>
            <w:tcW w:w="1849" w:type="dxa"/>
            <w:gridSpan w:val="2"/>
            <w:shd w:val="clear" w:color="auto" w:fill="EE0000"/>
            <w:vAlign w:val="center"/>
          </w:tcPr>
          <w:p w14:paraId="111284E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7E04DA8D" w14:textId="77777777" w:rsidTr="00BD105F">
        <w:trPr>
          <w:gridAfter w:val="1"/>
          <w:wAfter w:w="52" w:type="dxa"/>
          <w:trHeight w:val="2490"/>
          <w:jc w:val="center"/>
        </w:trPr>
        <w:tc>
          <w:tcPr>
            <w:tcW w:w="3674" w:type="dxa"/>
            <w:shd w:val="clear" w:color="auto" w:fill="92D050"/>
            <w:vAlign w:val="center"/>
            <w:hideMark/>
          </w:tcPr>
          <w:p w14:paraId="308CB212"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2.5.1 Upgrade of the Public Procurement Portal with new functionalities</w:t>
            </w:r>
          </w:p>
        </w:tc>
        <w:tc>
          <w:tcPr>
            <w:tcW w:w="1279" w:type="dxa"/>
            <w:shd w:val="clear" w:color="auto" w:fill="92D050"/>
            <w:vAlign w:val="center"/>
            <w:hideMark/>
          </w:tcPr>
          <w:p w14:paraId="2098264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92D050"/>
            <w:vAlign w:val="center"/>
            <w:hideMark/>
          </w:tcPr>
          <w:p w14:paraId="0800F4B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Procurement Office</w:t>
            </w:r>
          </w:p>
        </w:tc>
        <w:tc>
          <w:tcPr>
            <w:tcW w:w="1849" w:type="dxa"/>
            <w:gridSpan w:val="2"/>
            <w:shd w:val="clear" w:color="auto" w:fill="92D050"/>
            <w:vAlign w:val="center"/>
          </w:tcPr>
          <w:p w14:paraId="27B8ED8B" w14:textId="77777777" w:rsidR="001D7BA3" w:rsidRPr="001D7BA3" w:rsidRDefault="001D7BA3" w:rsidP="001D7BA3">
            <w:pPr>
              <w:spacing w:line="259" w:lineRule="auto"/>
              <w:jc w:val="center"/>
              <w:rPr>
                <w:rFonts w:ascii="Times New Roman" w:eastAsia="Times New Roman" w:hAnsi="Times New Roman" w:cs="Times New Roman"/>
                <w:color w:val="000000"/>
                <w:sz w:val="16"/>
                <w:szCs w:val="16"/>
                <w:lang w:val="sr-Cyrl-RS" w:eastAsia="en-GB"/>
                <w14:ligatures w14:val="none"/>
              </w:rPr>
            </w:pPr>
          </w:p>
          <w:p w14:paraId="7C7DB7E6" w14:textId="77777777" w:rsidR="001D7BA3" w:rsidRPr="001D7BA3" w:rsidRDefault="001D7BA3" w:rsidP="001D7BA3">
            <w:pPr>
              <w:spacing w:line="259"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71C8C2AB" w14:textId="77777777" w:rsidTr="00BD105F">
        <w:trPr>
          <w:gridAfter w:val="1"/>
          <w:wAfter w:w="52" w:type="dxa"/>
          <w:trHeight w:val="1967"/>
          <w:jc w:val="center"/>
        </w:trPr>
        <w:tc>
          <w:tcPr>
            <w:tcW w:w="3674" w:type="dxa"/>
            <w:shd w:val="clear" w:color="auto" w:fill="92D050"/>
            <w:vAlign w:val="center"/>
            <w:hideMark/>
          </w:tcPr>
          <w:p w14:paraId="1B4157EC"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2.5.2 Development of a mobile application for the Public Procurement Portal</w:t>
            </w:r>
          </w:p>
        </w:tc>
        <w:tc>
          <w:tcPr>
            <w:tcW w:w="1279" w:type="dxa"/>
            <w:shd w:val="clear" w:color="auto" w:fill="92D050"/>
            <w:vAlign w:val="center"/>
            <w:hideMark/>
          </w:tcPr>
          <w:p w14:paraId="34D6C69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2021</w:t>
            </w:r>
          </w:p>
        </w:tc>
        <w:tc>
          <w:tcPr>
            <w:tcW w:w="1421" w:type="dxa"/>
            <w:gridSpan w:val="3"/>
            <w:shd w:val="clear" w:color="auto" w:fill="92D050"/>
            <w:vAlign w:val="center"/>
            <w:hideMark/>
          </w:tcPr>
          <w:p w14:paraId="2E8D37C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Procurement Office</w:t>
            </w:r>
          </w:p>
        </w:tc>
        <w:tc>
          <w:tcPr>
            <w:tcW w:w="1849" w:type="dxa"/>
            <w:gridSpan w:val="2"/>
            <w:shd w:val="clear" w:color="auto" w:fill="92D050"/>
            <w:vAlign w:val="center"/>
          </w:tcPr>
          <w:p w14:paraId="7AA13AC8" w14:textId="77777777" w:rsidR="001D7BA3" w:rsidRPr="001D7BA3" w:rsidRDefault="001D7BA3" w:rsidP="001D7BA3">
            <w:pPr>
              <w:spacing w:line="259" w:lineRule="auto"/>
              <w:jc w:val="center"/>
              <w:rPr>
                <w:rFonts w:ascii="Times New Roman" w:eastAsia="Times New Roman" w:hAnsi="Times New Roman" w:cs="Times New Roman"/>
                <w:color w:val="000000"/>
                <w:sz w:val="16"/>
                <w:szCs w:val="16"/>
                <w:lang w:val="sr-Cyrl-RS" w:eastAsia="en-GB"/>
                <w14:ligatures w14:val="none"/>
              </w:rPr>
            </w:pPr>
          </w:p>
          <w:p w14:paraId="1659100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78A013AA" w14:textId="77777777" w:rsidTr="00BD105F">
        <w:trPr>
          <w:gridAfter w:val="1"/>
          <w:wAfter w:w="52" w:type="dxa"/>
          <w:trHeight w:val="1020"/>
          <w:jc w:val="center"/>
        </w:trPr>
        <w:tc>
          <w:tcPr>
            <w:tcW w:w="3674" w:type="dxa"/>
            <w:shd w:val="clear" w:color="auto" w:fill="92D050"/>
            <w:vAlign w:val="center"/>
          </w:tcPr>
          <w:p w14:paraId="3DE10A10"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2.5.3 Strengthening the capacity of the Public Procurement Office</w:t>
            </w:r>
          </w:p>
        </w:tc>
        <w:tc>
          <w:tcPr>
            <w:tcW w:w="1279" w:type="dxa"/>
            <w:shd w:val="clear" w:color="auto" w:fill="92D050"/>
            <w:vAlign w:val="center"/>
          </w:tcPr>
          <w:p w14:paraId="7D4BF00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Q1 2021</w:t>
            </w:r>
          </w:p>
        </w:tc>
        <w:tc>
          <w:tcPr>
            <w:tcW w:w="1421" w:type="dxa"/>
            <w:gridSpan w:val="3"/>
            <w:shd w:val="clear" w:color="auto" w:fill="92D050"/>
            <w:vAlign w:val="center"/>
          </w:tcPr>
          <w:p w14:paraId="65447C8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Procurement Office</w:t>
            </w:r>
          </w:p>
        </w:tc>
        <w:tc>
          <w:tcPr>
            <w:tcW w:w="1849" w:type="dxa"/>
            <w:gridSpan w:val="2"/>
            <w:shd w:val="clear" w:color="auto" w:fill="92D050"/>
            <w:vAlign w:val="center"/>
          </w:tcPr>
          <w:p w14:paraId="0F696F28" w14:textId="77777777" w:rsidR="001D7BA3" w:rsidRPr="001D7BA3" w:rsidRDefault="001D7BA3" w:rsidP="001D7BA3">
            <w:pPr>
              <w:spacing w:line="259" w:lineRule="auto"/>
              <w:jc w:val="center"/>
              <w:rPr>
                <w:rFonts w:ascii="Times New Roman" w:eastAsia="Times New Roman" w:hAnsi="Times New Roman" w:cs="Times New Roman"/>
                <w:color w:val="000000"/>
                <w:sz w:val="16"/>
                <w:szCs w:val="16"/>
                <w:lang w:val="sr-Cyrl-RS" w:eastAsia="en-GB"/>
                <w14:ligatures w14:val="none"/>
              </w:rPr>
            </w:pPr>
          </w:p>
          <w:p w14:paraId="5ADA028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3B5BC9FB" w14:textId="77777777" w:rsidTr="00BD105F">
        <w:trPr>
          <w:gridAfter w:val="1"/>
          <w:wAfter w:w="52" w:type="dxa"/>
          <w:trHeight w:val="843"/>
          <w:jc w:val="center"/>
        </w:trPr>
        <w:tc>
          <w:tcPr>
            <w:tcW w:w="3674" w:type="dxa"/>
            <w:shd w:val="clear" w:color="auto" w:fill="92D050"/>
            <w:vAlign w:val="center"/>
          </w:tcPr>
          <w:p w14:paraId="301F4F0E" w14:textId="77777777" w:rsidR="001D7BA3" w:rsidRPr="001D7BA3" w:rsidRDefault="001D7BA3" w:rsidP="001D7BA3">
            <w:pPr>
              <w:tabs>
                <w:tab w:val="left" w:pos="9923"/>
              </w:tabs>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2.5.4 Organisation of training for clients and bidders</w:t>
            </w:r>
          </w:p>
        </w:tc>
        <w:tc>
          <w:tcPr>
            <w:tcW w:w="1279" w:type="dxa"/>
            <w:shd w:val="clear" w:color="auto" w:fill="92D050"/>
            <w:vAlign w:val="center"/>
          </w:tcPr>
          <w:p w14:paraId="3C288DF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92D050"/>
            <w:vAlign w:val="center"/>
          </w:tcPr>
          <w:p w14:paraId="7ADA702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Public Procurement Office</w:t>
            </w:r>
          </w:p>
        </w:tc>
        <w:tc>
          <w:tcPr>
            <w:tcW w:w="1849" w:type="dxa"/>
            <w:gridSpan w:val="2"/>
            <w:shd w:val="clear" w:color="auto" w:fill="92D050"/>
            <w:vAlign w:val="center"/>
          </w:tcPr>
          <w:p w14:paraId="290D6FF2" w14:textId="77777777" w:rsidR="001D7BA3" w:rsidRPr="001D7BA3" w:rsidRDefault="001D7BA3" w:rsidP="001D7BA3">
            <w:pPr>
              <w:spacing w:line="259" w:lineRule="auto"/>
              <w:jc w:val="center"/>
              <w:rPr>
                <w:rFonts w:ascii="Times New Roman" w:eastAsia="Times New Roman" w:hAnsi="Times New Roman" w:cs="Times New Roman"/>
                <w:color w:val="000000"/>
                <w:sz w:val="16"/>
                <w:szCs w:val="16"/>
                <w:lang w:val="sr-Cyrl-RS" w:eastAsia="en-GB"/>
                <w14:ligatures w14:val="none"/>
              </w:rPr>
            </w:pPr>
          </w:p>
          <w:p w14:paraId="038C606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5967BB00" w14:textId="77777777" w:rsidTr="00BD105F">
        <w:trPr>
          <w:gridAfter w:val="1"/>
          <w:wAfter w:w="52" w:type="dxa"/>
          <w:trHeight w:val="1663"/>
          <w:jc w:val="center"/>
        </w:trPr>
        <w:tc>
          <w:tcPr>
            <w:tcW w:w="3674" w:type="dxa"/>
            <w:shd w:val="clear" w:color="auto" w:fill="92D050"/>
            <w:vAlign w:val="center"/>
          </w:tcPr>
          <w:p w14:paraId="4B60653E"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2.5.5 Drafting and adoption of a public policy document for the development of public procurement for the period 2024-2028</w:t>
            </w:r>
          </w:p>
          <w:p w14:paraId="4C18EB2B"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p>
        </w:tc>
        <w:tc>
          <w:tcPr>
            <w:tcW w:w="1279" w:type="dxa"/>
            <w:shd w:val="clear" w:color="auto" w:fill="92D050"/>
            <w:vAlign w:val="center"/>
          </w:tcPr>
          <w:p w14:paraId="73029CD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2023</w:t>
            </w:r>
          </w:p>
        </w:tc>
        <w:tc>
          <w:tcPr>
            <w:tcW w:w="1421" w:type="dxa"/>
            <w:gridSpan w:val="3"/>
            <w:shd w:val="clear" w:color="auto" w:fill="92D050"/>
            <w:vAlign w:val="center"/>
          </w:tcPr>
          <w:p w14:paraId="46471A14"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Public Procurement Office</w:t>
            </w:r>
          </w:p>
        </w:tc>
        <w:tc>
          <w:tcPr>
            <w:tcW w:w="1849" w:type="dxa"/>
            <w:gridSpan w:val="2"/>
            <w:shd w:val="clear" w:color="auto" w:fill="92D050"/>
            <w:vAlign w:val="center"/>
          </w:tcPr>
          <w:p w14:paraId="30C0396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5EF041C4" w14:textId="77777777" w:rsidTr="00BD105F">
        <w:trPr>
          <w:gridAfter w:val="1"/>
          <w:wAfter w:w="52" w:type="dxa"/>
          <w:trHeight w:val="1663"/>
          <w:jc w:val="center"/>
        </w:trPr>
        <w:tc>
          <w:tcPr>
            <w:tcW w:w="3674" w:type="dxa"/>
            <w:shd w:val="clear" w:color="auto" w:fill="92D050"/>
            <w:vAlign w:val="center"/>
          </w:tcPr>
          <w:p w14:paraId="7B7DD5E0"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3.1.1 Developing a staff retention policy in order to ensure adequate and stable administrative capacities of the Office</w:t>
            </w:r>
          </w:p>
        </w:tc>
        <w:tc>
          <w:tcPr>
            <w:tcW w:w="1279" w:type="dxa"/>
            <w:shd w:val="clear" w:color="auto" w:fill="92D050"/>
            <w:vAlign w:val="center"/>
          </w:tcPr>
          <w:p w14:paraId="2582DB4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2822F1A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Personnel management service</w:t>
            </w:r>
          </w:p>
          <w:p w14:paraId="5F9DA314"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tc>
        <w:tc>
          <w:tcPr>
            <w:tcW w:w="1849" w:type="dxa"/>
            <w:gridSpan w:val="2"/>
            <w:shd w:val="clear" w:color="auto" w:fill="92D050"/>
            <w:vAlign w:val="center"/>
          </w:tcPr>
          <w:p w14:paraId="3D86296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7E6D3F16" w14:textId="77777777" w:rsidTr="00BD105F">
        <w:trPr>
          <w:trHeight w:val="20"/>
          <w:jc w:val="center"/>
        </w:trPr>
        <w:tc>
          <w:tcPr>
            <w:tcW w:w="3674" w:type="dxa"/>
            <w:shd w:val="clear" w:color="auto" w:fill="92D050"/>
            <w:hideMark/>
          </w:tcPr>
          <w:p w14:paraId="4217F01E" w14:textId="77777777" w:rsidR="001D7BA3" w:rsidRPr="001D7BA3" w:rsidRDefault="001D7BA3" w:rsidP="001D7BA3">
            <w:pPr>
              <w:spacing w:after="0" w:line="240" w:lineRule="auto"/>
              <w:rPr>
                <w:rFonts w:ascii="Times New Roman" w:eastAsia="Times New Roman" w:hAnsi="Times New Roman" w:cs="Times New Roman"/>
                <w:color w:val="000000"/>
                <w:sz w:val="16"/>
                <w:szCs w:val="16"/>
                <w:lang w:val="sr-Cyrl-RS" w:eastAsia="en-GB"/>
                <w14:ligatures w14:val="none"/>
              </w:rPr>
            </w:pPr>
            <w:bookmarkStart w:id="21" w:name="_Toc73613676"/>
            <w:r w:rsidRPr="001D7BA3">
              <w:rPr>
                <w:rFonts w:ascii="Times New Roman" w:eastAsia="Times New Roman" w:hAnsi="Times New Roman" w:cs="Times New Roman"/>
                <w:sz w:val="16"/>
                <w:szCs w:val="16"/>
                <w:lang w:val="sr-Cyrl-RS" w:eastAsia="en-GB"/>
                <w14:ligatures w14:val="none"/>
              </w:rPr>
              <w:t>3.1.2 Strengthening the capacity of the Office for the Audit of the EU Funds Management System in order to ensure an effective system of control and audit of EU funds in accordance with the EU legislative framework</w:t>
            </w:r>
            <w:bookmarkEnd w:id="21"/>
          </w:p>
        </w:tc>
        <w:tc>
          <w:tcPr>
            <w:tcW w:w="1279" w:type="dxa"/>
            <w:shd w:val="clear" w:color="auto" w:fill="92D050"/>
            <w:vAlign w:val="center"/>
          </w:tcPr>
          <w:p w14:paraId="2B6388AA"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bookmarkStart w:id="22" w:name="_Toc73613677"/>
            <w:r w:rsidRPr="001D7BA3">
              <w:rPr>
                <w:rFonts w:ascii="Times New Roman" w:eastAsia="Times New Roman" w:hAnsi="Times New Roman" w:cs="Times New Roman"/>
                <w:sz w:val="16"/>
                <w:szCs w:val="16"/>
                <w:lang w:val="sr-Cyrl-RS" w:eastAsia="en-GB"/>
                <w14:ligatures w14:val="none"/>
              </w:rPr>
              <w:t>Q4 2025</w:t>
            </w:r>
            <w:bookmarkEnd w:id="22"/>
          </w:p>
        </w:tc>
        <w:tc>
          <w:tcPr>
            <w:tcW w:w="1421" w:type="dxa"/>
            <w:gridSpan w:val="3"/>
            <w:shd w:val="clear" w:color="auto" w:fill="92D050"/>
            <w:vAlign w:val="center"/>
          </w:tcPr>
          <w:p w14:paraId="247EAC77"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bookmarkStart w:id="23" w:name="_Toc73613678"/>
            <w:r w:rsidRPr="001D7BA3">
              <w:rPr>
                <w:rFonts w:ascii="Times New Roman" w:eastAsia="Times New Roman" w:hAnsi="Times New Roman" w:cs="Times New Roman"/>
                <w:color w:val="000000"/>
                <w:sz w:val="16"/>
                <w:szCs w:val="16"/>
                <w:lang w:val="sr-Cyrl-RS" w:eastAsia="en-GB"/>
                <w14:ligatures w14:val="none"/>
              </w:rPr>
              <w:t>Office for the Audit of the EU Funds Management System, Ministry for European Integration</w:t>
            </w:r>
            <w:bookmarkEnd w:id="23"/>
          </w:p>
        </w:tc>
        <w:tc>
          <w:tcPr>
            <w:tcW w:w="1901" w:type="dxa"/>
            <w:gridSpan w:val="3"/>
            <w:shd w:val="clear" w:color="auto" w:fill="92D050"/>
            <w:vAlign w:val="center"/>
          </w:tcPr>
          <w:p w14:paraId="2AAB0861"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63301318" w14:textId="77777777" w:rsidTr="00BD105F">
        <w:trPr>
          <w:trHeight w:val="20"/>
          <w:jc w:val="center"/>
        </w:trPr>
        <w:tc>
          <w:tcPr>
            <w:tcW w:w="3674" w:type="dxa"/>
            <w:shd w:val="clear" w:color="auto" w:fill="92D050"/>
          </w:tcPr>
          <w:p w14:paraId="401A24A1"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3.2.1 Development of new operating procedures, methodological guidelines and additional auxiliary tools for institutions responsible for the management and implementation of EU funds with the aim of increasing the efficiency of the performed controls and reducing the administrative burden</w:t>
            </w:r>
          </w:p>
        </w:tc>
        <w:tc>
          <w:tcPr>
            <w:tcW w:w="1279" w:type="dxa"/>
            <w:shd w:val="clear" w:color="auto" w:fill="92D050"/>
            <w:vAlign w:val="center"/>
          </w:tcPr>
          <w:p w14:paraId="45FC153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2024</w:t>
            </w:r>
          </w:p>
        </w:tc>
        <w:tc>
          <w:tcPr>
            <w:tcW w:w="1421" w:type="dxa"/>
            <w:gridSpan w:val="3"/>
            <w:shd w:val="clear" w:color="auto" w:fill="92D050"/>
            <w:vAlign w:val="center"/>
          </w:tcPr>
          <w:p w14:paraId="72C6F24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p w14:paraId="5549DEC4"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Sector for the management of EU funds</w:t>
            </w:r>
          </w:p>
        </w:tc>
        <w:tc>
          <w:tcPr>
            <w:tcW w:w="1901" w:type="dxa"/>
            <w:gridSpan w:val="3"/>
            <w:shd w:val="clear" w:color="auto" w:fill="92D050"/>
            <w:vAlign w:val="center"/>
          </w:tcPr>
          <w:p w14:paraId="0DF3F5F9"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636123ED" w14:textId="77777777" w:rsidTr="00BD105F">
        <w:trPr>
          <w:trHeight w:val="1965"/>
          <w:jc w:val="center"/>
        </w:trPr>
        <w:tc>
          <w:tcPr>
            <w:tcW w:w="3674" w:type="dxa"/>
            <w:shd w:val="clear" w:color="auto" w:fill="92D050"/>
            <w:hideMark/>
          </w:tcPr>
          <w:p w14:paraId="46595E0E"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themeColor="text1"/>
                <w:sz w:val="16"/>
                <w:szCs w:val="16"/>
                <w:lang w:val="sr-Cyrl-RS" w:eastAsia="en-GB"/>
                <w14:ligatures w14:val="none"/>
              </w:rPr>
              <w:t>3.2.2 Establishment and implementation of continuous professional training and on-site training related to system management and supervision, financial management, control of the use of funds, risk and irregularity management</w:t>
            </w:r>
          </w:p>
        </w:tc>
        <w:tc>
          <w:tcPr>
            <w:tcW w:w="1279" w:type="dxa"/>
            <w:shd w:val="clear" w:color="auto" w:fill="92D050"/>
            <w:vAlign w:val="center"/>
            <w:hideMark/>
          </w:tcPr>
          <w:p w14:paraId="6D7A0CDC"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themeColor="text1"/>
                <w:sz w:val="16"/>
                <w:szCs w:val="16"/>
                <w:lang w:val="sr-Cyrl-RS" w:eastAsia="en-GB"/>
                <w14:ligatures w14:val="none"/>
              </w:rPr>
              <w:t>Q4 2025</w:t>
            </w:r>
          </w:p>
        </w:tc>
        <w:tc>
          <w:tcPr>
            <w:tcW w:w="1421" w:type="dxa"/>
            <w:gridSpan w:val="3"/>
            <w:shd w:val="clear" w:color="auto" w:fill="92D050"/>
            <w:vAlign w:val="center"/>
          </w:tcPr>
          <w:p w14:paraId="7E4C429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color w:val="000000" w:themeColor="text1"/>
                <w:sz w:val="16"/>
                <w:szCs w:val="16"/>
                <w:lang w:val="sr-Cyrl-RS" w:eastAsia="en-GB"/>
                <w14:ligatures w14:val="none"/>
              </w:rPr>
              <w:t>Ministry of Finance,</w:t>
            </w:r>
          </w:p>
          <w:p w14:paraId="4EA37FA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themeColor="text1"/>
                <w:sz w:val="16"/>
                <w:szCs w:val="16"/>
                <w:lang w:val="sr-Cyrl-RS" w:eastAsia="en-GB"/>
                <w14:ligatures w14:val="none"/>
              </w:rPr>
              <w:t>Sector for the management of EU funds</w:t>
            </w:r>
          </w:p>
        </w:tc>
        <w:tc>
          <w:tcPr>
            <w:tcW w:w="1901" w:type="dxa"/>
            <w:gridSpan w:val="3"/>
            <w:shd w:val="clear" w:color="auto" w:fill="92D050"/>
            <w:vAlign w:val="center"/>
          </w:tcPr>
          <w:p w14:paraId="71644F8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304BDA8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p>
          <w:p w14:paraId="690BBA9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p>
          <w:p w14:paraId="0201561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Latn-RS" w:eastAsia="en-GB"/>
                <w14:ligatures w14:val="none"/>
              </w:rPr>
            </w:pPr>
          </w:p>
          <w:p w14:paraId="0850B582"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Latn-RS" w:eastAsia="en-GB"/>
                <w14:ligatures w14:val="none"/>
              </w:rPr>
            </w:pPr>
          </w:p>
          <w:p w14:paraId="1B4FE71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28A8E918" w14:textId="77777777" w:rsidTr="00BD105F">
        <w:trPr>
          <w:trHeight w:val="1965"/>
          <w:jc w:val="center"/>
        </w:trPr>
        <w:tc>
          <w:tcPr>
            <w:tcW w:w="3674" w:type="dxa"/>
            <w:shd w:val="clear" w:color="auto" w:fill="EE0000"/>
          </w:tcPr>
          <w:p w14:paraId="20AC301A" w14:textId="77777777" w:rsidR="001D7BA3" w:rsidRPr="001D7BA3" w:rsidRDefault="001D7BA3" w:rsidP="001D7BA3">
            <w:pPr>
              <w:spacing w:after="0" w:line="240" w:lineRule="auto"/>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3.2.3 Ensuring the appropriate number of officers and strengthening capacity in terms of expanding the scope and quality of on-site checks and performing supervisory functions for users of public funds</w:t>
            </w:r>
          </w:p>
        </w:tc>
        <w:tc>
          <w:tcPr>
            <w:tcW w:w="1279" w:type="dxa"/>
            <w:shd w:val="clear" w:color="auto" w:fill="EE0000"/>
            <w:vAlign w:val="center"/>
          </w:tcPr>
          <w:p w14:paraId="08BE0DF2" w14:textId="77777777" w:rsidR="001D7BA3" w:rsidRPr="001D7BA3" w:rsidRDefault="001D7BA3" w:rsidP="001D7BA3">
            <w:pPr>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tcPr>
          <w:p w14:paraId="7E29AEB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p w14:paraId="202180D9"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Sector for the management of EU funds</w:t>
            </w:r>
          </w:p>
        </w:tc>
        <w:tc>
          <w:tcPr>
            <w:tcW w:w="1901" w:type="dxa"/>
            <w:gridSpan w:val="3"/>
            <w:shd w:val="clear" w:color="auto" w:fill="EE0000"/>
            <w:vAlign w:val="center"/>
          </w:tcPr>
          <w:p w14:paraId="4058C5C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0721E9B9" w14:textId="77777777" w:rsidTr="00BD105F">
        <w:trPr>
          <w:trHeight w:val="1965"/>
          <w:jc w:val="center"/>
        </w:trPr>
        <w:tc>
          <w:tcPr>
            <w:tcW w:w="3674" w:type="dxa"/>
            <w:shd w:val="clear" w:color="auto" w:fill="92D050"/>
          </w:tcPr>
          <w:p w14:paraId="73030A38"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3.2.4 Improvement of the information system intended to support business processes for managing the system and implementing contracts and using funds</w:t>
            </w:r>
          </w:p>
        </w:tc>
        <w:tc>
          <w:tcPr>
            <w:tcW w:w="1279" w:type="dxa"/>
            <w:shd w:val="clear" w:color="auto" w:fill="92D050"/>
            <w:vAlign w:val="center"/>
          </w:tcPr>
          <w:p w14:paraId="56ABF1A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Calibri" w:hAnsi="Times New Roman" w:cs="Times New Roman"/>
                <w:sz w:val="16"/>
                <w:szCs w:val="16"/>
                <w:lang w:val="sr-Cyrl-RS"/>
                <w14:ligatures w14:val="none"/>
              </w:rPr>
              <w:t>Q4 2025</w:t>
            </w:r>
          </w:p>
        </w:tc>
        <w:tc>
          <w:tcPr>
            <w:tcW w:w="1421" w:type="dxa"/>
            <w:gridSpan w:val="3"/>
            <w:shd w:val="clear" w:color="auto" w:fill="92D050"/>
            <w:vAlign w:val="center"/>
          </w:tcPr>
          <w:p w14:paraId="1D61FE9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p w14:paraId="5371A54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Sector for the management of EU funds</w:t>
            </w:r>
          </w:p>
        </w:tc>
        <w:tc>
          <w:tcPr>
            <w:tcW w:w="1901" w:type="dxa"/>
            <w:gridSpan w:val="3"/>
            <w:shd w:val="clear" w:color="auto" w:fill="92D050"/>
            <w:vAlign w:val="center"/>
          </w:tcPr>
          <w:p w14:paraId="49DF53C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179D430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7576CF65" w14:textId="77777777" w:rsidTr="00BD105F">
        <w:trPr>
          <w:trHeight w:val="1965"/>
          <w:jc w:val="center"/>
        </w:trPr>
        <w:tc>
          <w:tcPr>
            <w:tcW w:w="3674" w:type="dxa"/>
            <w:shd w:val="clear" w:color="auto" w:fill="92D050"/>
          </w:tcPr>
          <w:p w14:paraId="3B1000D3"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3.3.1 Adoption of methodological instructions on the way budget inspection works by areas of control</w:t>
            </w:r>
          </w:p>
        </w:tc>
        <w:tc>
          <w:tcPr>
            <w:tcW w:w="1279" w:type="dxa"/>
            <w:shd w:val="clear" w:color="auto" w:fill="92D050"/>
            <w:vAlign w:val="center"/>
          </w:tcPr>
          <w:p w14:paraId="6FFC7557" w14:textId="77777777" w:rsidR="001D7BA3" w:rsidRPr="001D7BA3" w:rsidRDefault="001D7BA3" w:rsidP="001D7BA3">
            <w:pPr>
              <w:spacing w:after="0" w:line="240" w:lineRule="auto"/>
              <w:jc w:val="center"/>
              <w:rPr>
                <w:rFonts w:ascii="Times New Roman" w:eastAsia="Calibri" w:hAnsi="Times New Roman" w:cs="Times New Roman"/>
                <w:sz w:val="16"/>
                <w:szCs w:val="16"/>
                <w:lang w:val="sr-Cyrl-RS"/>
                <w14:ligatures w14:val="none"/>
              </w:rPr>
            </w:pPr>
            <w:r w:rsidRPr="001D7BA3">
              <w:rPr>
                <w:rFonts w:ascii="Times New Roman" w:eastAsia="Times New Roman" w:hAnsi="Times New Roman" w:cs="Times New Roman"/>
                <w:sz w:val="16"/>
                <w:szCs w:val="16"/>
                <w:lang w:val="sr-Cyrl-RS" w:eastAsia="en-GB"/>
                <w14:ligatures w14:val="none"/>
              </w:rPr>
              <w:t>Q4 2021</w:t>
            </w:r>
          </w:p>
        </w:tc>
        <w:tc>
          <w:tcPr>
            <w:tcW w:w="1421" w:type="dxa"/>
            <w:gridSpan w:val="3"/>
            <w:shd w:val="clear" w:color="auto" w:fill="92D050"/>
            <w:vAlign w:val="center"/>
          </w:tcPr>
          <w:p w14:paraId="432E90E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Budget Inspection Sector</w:t>
            </w:r>
          </w:p>
          <w:p w14:paraId="6C78CE65"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tc>
        <w:tc>
          <w:tcPr>
            <w:tcW w:w="1901" w:type="dxa"/>
            <w:gridSpan w:val="3"/>
            <w:shd w:val="clear" w:color="auto" w:fill="92D050"/>
            <w:vAlign w:val="center"/>
          </w:tcPr>
          <w:p w14:paraId="7192DD8B"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2A4A0A3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0219A8FB" w14:textId="77777777" w:rsidTr="00BD105F">
        <w:trPr>
          <w:trHeight w:val="1965"/>
          <w:jc w:val="center"/>
        </w:trPr>
        <w:tc>
          <w:tcPr>
            <w:tcW w:w="3674" w:type="dxa"/>
            <w:shd w:val="clear" w:color="auto" w:fill="92D050"/>
          </w:tcPr>
          <w:p w14:paraId="69FF59B6"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3.3.2 Professional training of budget inspectors and other employees in budget inspection through continuous education</w:t>
            </w:r>
          </w:p>
        </w:tc>
        <w:tc>
          <w:tcPr>
            <w:tcW w:w="1279" w:type="dxa"/>
            <w:shd w:val="clear" w:color="auto" w:fill="92D050"/>
            <w:vAlign w:val="center"/>
          </w:tcPr>
          <w:p w14:paraId="04219D6C"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Calibri" w:hAnsi="Times New Roman" w:cs="Times New Roman"/>
                <w:sz w:val="16"/>
                <w:szCs w:val="16"/>
                <w:lang w:val="sr-Cyrl-RS"/>
                <w14:ligatures w14:val="none"/>
              </w:rPr>
              <w:t>Q4 2025</w:t>
            </w:r>
          </w:p>
        </w:tc>
        <w:tc>
          <w:tcPr>
            <w:tcW w:w="1421" w:type="dxa"/>
            <w:gridSpan w:val="3"/>
            <w:shd w:val="clear" w:color="auto" w:fill="92D050"/>
            <w:vAlign w:val="center"/>
          </w:tcPr>
          <w:p w14:paraId="18A0E6D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Budget Inspection Sector</w:t>
            </w:r>
          </w:p>
        </w:tc>
        <w:tc>
          <w:tcPr>
            <w:tcW w:w="1901" w:type="dxa"/>
            <w:gridSpan w:val="3"/>
            <w:shd w:val="clear" w:color="auto" w:fill="92D050"/>
            <w:vAlign w:val="center"/>
          </w:tcPr>
          <w:p w14:paraId="6FC49F31"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651C19E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09ACBFF8" w14:textId="77777777" w:rsidTr="00BD105F">
        <w:trPr>
          <w:trHeight w:val="1965"/>
          <w:jc w:val="center"/>
        </w:trPr>
        <w:tc>
          <w:tcPr>
            <w:tcW w:w="3674" w:type="dxa"/>
            <w:shd w:val="clear" w:color="auto" w:fill="EE0000"/>
          </w:tcPr>
          <w:p w14:paraId="2D74494D"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3.3.3 Ensuring the required number of inspectors – 50 in 2025</w:t>
            </w:r>
          </w:p>
        </w:tc>
        <w:tc>
          <w:tcPr>
            <w:tcW w:w="1279" w:type="dxa"/>
            <w:shd w:val="clear" w:color="auto" w:fill="EE0000"/>
            <w:vAlign w:val="center"/>
          </w:tcPr>
          <w:p w14:paraId="612CD794" w14:textId="77777777" w:rsidR="001D7BA3" w:rsidRPr="001D7BA3" w:rsidRDefault="001D7BA3" w:rsidP="001D7BA3">
            <w:pPr>
              <w:spacing w:after="0" w:line="240" w:lineRule="auto"/>
              <w:jc w:val="center"/>
              <w:rPr>
                <w:rFonts w:ascii="Times New Roman" w:eastAsia="Calibri" w:hAnsi="Times New Roman" w:cs="Times New Roman"/>
                <w:sz w:val="16"/>
                <w:szCs w:val="16"/>
                <w:lang w:val="sr-Cyrl-RS"/>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EE0000"/>
            <w:vAlign w:val="center"/>
          </w:tcPr>
          <w:p w14:paraId="105739FC"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Budget Inspection Sector</w:t>
            </w:r>
          </w:p>
          <w:p w14:paraId="7D583DA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c>
          <w:tcPr>
            <w:tcW w:w="1901" w:type="dxa"/>
            <w:gridSpan w:val="3"/>
            <w:shd w:val="clear" w:color="auto" w:fill="EE0000"/>
            <w:vAlign w:val="center"/>
          </w:tcPr>
          <w:p w14:paraId="3D413576"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081536D8" w14:textId="77777777" w:rsidTr="00BD105F">
        <w:trPr>
          <w:trHeight w:val="1965"/>
          <w:jc w:val="center"/>
        </w:trPr>
        <w:tc>
          <w:tcPr>
            <w:tcW w:w="3674" w:type="dxa"/>
            <w:shd w:val="clear" w:color="auto" w:fill="92D050"/>
          </w:tcPr>
          <w:p w14:paraId="434D473D"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3.3.4 Amendments to the Law on the Budget System and Bylaws on Budget Inspection / Adoption of the Law on Budget Inspection</w:t>
            </w:r>
          </w:p>
        </w:tc>
        <w:tc>
          <w:tcPr>
            <w:tcW w:w="1279" w:type="dxa"/>
            <w:shd w:val="clear" w:color="auto" w:fill="92D050"/>
            <w:vAlign w:val="center"/>
          </w:tcPr>
          <w:p w14:paraId="06B2C73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Q1 2022</w:t>
            </w:r>
          </w:p>
        </w:tc>
        <w:tc>
          <w:tcPr>
            <w:tcW w:w="1421" w:type="dxa"/>
            <w:gridSpan w:val="3"/>
            <w:shd w:val="clear" w:color="auto" w:fill="92D050"/>
            <w:vAlign w:val="center"/>
          </w:tcPr>
          <w:p w14:paraId="1390D9C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Budget Inspection Sector</w:t>
            </w:r>
          </w:p>
        </w:tc>
        <w:tc>
          <w:tcPr>
            <w:tcW w:w="1901" w:type="dxa"/>
            <w:gridSpan w:val="3"/>
            <w:shd w:val="clear" w:color="auto" w:fill="92D050"/>
            <w:vAlign w:val="center"/>
          </w:tcPr>
          <w:p w14:paraId="36FF7080"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themeColor="text1"/>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008BA3BD"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14:ligatures w14:val="none"/>
              </w:rPr>
              <w:t>.</w:t>
            </w:r>
          </w:p>
        </w:tc>
      </w:tr>
      <w:tr w:rsidR="001D7BA3" w:rsidRPr="001D7BA3" w14:paraId="47DE86FA" w14:textId="77777777" w:rsidTr="00BD105F">
        <w:trPr>
          <w:trHeight w:val="1965"/>
          <w:jc w:val="center"/>
        </w:trPr>
        <w:tc>
          <w:tcPr>
            <w:tcW w:w="3674" w:type="dxa"/>
            <w:shd w:val="clear" w:color="auto" w:fill="92D050"/>
          </w:tcPr>
          <w:p w14:paraId="30E5C441"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4.1.1 Cooperation with the Budget Sector in connection with the improvement of the organisation's performance management (link to the PAR Strategy, measure 4.1.2)</w:t>
            </w:r>
          </w:p>
        </w:tc>
        <w:tc>
          <w:tcPr>
            <w:tcW w:w="1279" w:type="dxa"/>
            <w:shd w:val="clear" w:color="auto" w:fill="92D050"/>
            <w:vAlign w:val="center"/>
          </w:tcPr>
          <w:p w14:paraId="79A6B109"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0AE2B06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35962088"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p w14:paraId="5B6AD553"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2C86BBC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6A77E504" w14:textId="77777777" w:rsidTr="00BD105F">
        <w:trPr>
          <w:trHeight w:val="1965"/>
          <w:jc w:val="center"/>
        </w:trPr>
        <w:tc>
          <w:tcPr>
            <w:tcW w:w="3674" w:type="dxa"/>
            <w:shd w:val="clear" w:color="auto" w:fill="92D050"/>
          </w:tcPr>
          <w:p w14:paraId="3EECFBD0"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4.1.2 Raising the capacity of CJH employees for ISO standards and KOSO.</w:t>
            </w:r>
          </w:p>
          <w:p w14:paraId="24852FFC"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Detailed mapping and comparison of the relevant part of the ISO standard and the KOSO model, including application with conclusions in the GAP analysis and training of employees in CJH.</w:t>
            </w:r>
          </w:p>
        </w:tc>
        <w:tc>
          <w:tcPr>
            <w:tcW w:w="1279" w:type="dxa"/>
            <w:shd w:val="clear" w:color="auto" w:fill="92D050"/>
            <w:vAlign w:val="center"/>
          </w:tcPr>
          <w:p w14:paraId="248E8CB9"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0BB95533"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60063DA6"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534AF2EB" w14:textId="77777777" w:rsidTr="00BD105F">
        <w:trPr>
          <w:trHeight w:val="1965"/>
          <w:jc w:val="center"/>
        </w:trPr>
        <w:tc>
          <w:tcPr>
            <w:tcW w:w="3674" w:type="dxa"/>
            <w:shd w:val="clear" w:color="auto" w:fill="92D050"/>
          </w:tcPr>
          <w:p w14:paraId="1499B0E2"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4.1.3 Improving risk management at the public sector entities priority group at the central level through direct project support</w:t>
            </w:r>
          </w:p>
        </w:tc>
        <w:tc>
          <w:tcPr>
            <w:tcW w:w="1279" w:type="dxa"/>
            <w:shd w:val="clear" w:color="auto" w:fill="92D050"/>
            <w:vAlign w:val="center"/>
          </w:tcPr>
          <w:p w14:paraId="67238D30"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59EC686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Selected public sector entities from the priority group</w:t>
            </w:r>
            <w:r w:rsidRPr="001D7BA3">
              <w:rPr>
                <w:rFonts w:ascii="Times New Roman" w:eastAsia="Calibri" w:hAnsi="Times New Roman" w:cs="Times New Roman"/>
                <w:sz w:val="16"/>
                <w:szCs w:val="22"/>
                <w:vertAlign w:val="superscript"/>
                <w:lang w:val="sr-Cyrl-RS"/>
                <w14:ligatures w14:val="none"/>
              </w:rPr>
              <w:footnoteReference w:id="6"/>
            </w:r>
          </w:p>
        </w:tc>
        <w:tc>
          <w:tcPr>
            <w:tcW w:w="1901" w:type="dxa"/>
            <w:gridSpan w:val="3"/>
            <w:shd w:val="clear" w:color="auto" w:fill="92D050"/>
            <w:vAlign w:val="center"/>
          </w:tcPr>
          <w:p w14:paraId="5D6DAB2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67ADAF0E" w14:textId="77777777" w:rsidTr="00BD105F">
        <w:trPr>
          <w:trHeight w:val="1965"/>
          <w:jc w:val="center"/>
        </w:trPr>
        <w:tc>
          <w:tcPr>
            <w:tcW w:w="3674" w:type="dxa"/>
            <w:shd w:val="clear" w:color="auto" w:fill="92D050"/>
          </w:tcPr>
          <w:p w14:paraId="7D560AB8"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4.1.4 Development of practical methodological tools/knowledge products from financial management and control adapted to the specifics of certain significant groups of indirect public sector entities at the central level</w:t>
            </w:r>
          </w:p>
        </w:tc>
        <w:tc>
          <w:tcPr>
            <w:tcW w:w="1279" w:type="dxa"/>
            <w:shd w:val="clear" w:color="auto" w:fill="92D050"/>
            <w:vAlign w:val="center"/>
          </w:tcPr>
          <w:p w14:paraId="68E61D8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5F0747B7"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Selected departments</w:t>
            </w:r>
          </w:p>
        </w:tc>
        <w:tc>
          <w:tcPr>
            <w:tcW w:w="1901" w:type="dxa"/>
            <w:gridSpan w:val="3"/>
            <w:shd w:val="clear" w:color="auto" w:fill="92D050"/>
            <w:vAlign w:val="center"/>
          </w:tcPr>
          <w:p w14:paraId="35570D80"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71DE1160" w14:textId="77777777" w:rsidTr="00BD105F">
        <w:trPr>
          <w:trHeight w:val="1965"/>
          <w:jc w:val="center"/>
        </w:trPr>
        <w:tc>
          <w:tcPr>
            <w:tcW w:w="3674" w:type="dxa"/>
            <w:shd w:val="clear" w:color="auto" w:fill="92D050"/>
          </w:tcPr>
          <w:p w14:paraId="0D2197D6"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4.1.5 Support for the establishment and improvement of the FMC system at the local level</w:t>
            </w:r>
          </w:p>
        </w:tc>
        <w:tc>
          <w:tcPr>
            <w:tcW w:w="1279" w:type="dxa"/>
            <w:shd w:val="clear" w:color="auto" w:fill="92D050"/>
            <w:vAlign w:val="center"/>
          </w:tcPr>
          <w:p w14:paraId="5CCAA7DC"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659688D3"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Selected LGUs and their indirect beneficiaries</w:t>
            </w:r>
          </w:p>
        </w:tc>
        <w:tc>
          <w:tcPr>
            <w:tcW w:w="1901" w:type="dxa"/>
            <w:gridSpan w:val="3"/>
            <w:shd w:val="clear" w:color="auto" w:fill="92D050"/>
            <w:vAlign w:val="center"/>
          </w:tcPr>
          <w:p w14:paraId="5B0BE1B0"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62B7111D" w14:textId="77777777" w:rsidTr="00BD105F">
        <w:trPr>
          <w:trHeight w:val="1965"/>
          <w:jc w:val="center"/>
        </w:trPr>
        <w:tc>
          <w:tcPr>
            <w:tcW w:w="3674" w:type="dxa"/>
            <w:shd w:val="clear" w:color="auto" w:fill="92D050"/>
          </w:tcPr>
          <w:p w14:paraId="6F4D740D"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4.1.6 Making an analysis of the coherence of the PIFC regulation with other horizontal regulations</w:t>
            </w:r>
          </w:p>
        </w:tc>
        <w:tc>
          <w:tcPr>
            <w:tcW w:w="1279" w:type="dxa"/>
            <w:shd w:val="clear" w:color="auto" w:fill="92D050"/>
            <w:vAlign w:val="center"/>
          </w:tcPr>
          <w:p w14:paraId="096A116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2023</w:t>
            </w:r>
          </w:p>
        </w:tc>
        <w:tc>
          <w:tcPr>
            <w:tcW w:w="1421" w:type="dxa"/>
            <w:gridSpan w:val="3"/>
            <w:shd w:val="clear" w:color="auto" w:fill="92D050"/>
            <w:vAlign w:val="center"/>
          </w:tcPr>
          <w:p w14:paraId="45299D6A"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6888C9EA"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48B5675C" w14:textId="77777777" w:rsidTr="00BD105F">
        <w:trPr>
          <w:trHeight w:val="1965"/>
          <w:jc w:val="center"/>
        </w:trPr>
        <w:tc>
          <w:tcPr>
            <w:tcW w:w="3674" w:type="dxa"/>
            <w:shd w:val="clear" w:color="auto" w:fill="92D050"/>
          </w:tcPr>
          <w:p w14:paraId="24187016"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4.2.1 Analysis of the application of the existing methodological framework and its improvement (e.g. for performance audits, advisory services, etc.)</w:t>
            </w:r>
          </w:p>
        </w:tc>
        <w:tc>
          <w:tcPr>
            <w:tcW w:w="1279" w:type="dxa"/>
            <w:shd w:val="clear" w:color="auto" w:fill="92D050"/>
            <w:vAlign w:val="center"/>
          </w:tcPr>
          <w:p w14:paraId="5890BAB5"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43578CDE"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10C3F5B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33E51195" w14:textId="77777777" w:rsidTr="00BD105F">
        <w:trPr>
          <w:trHeight w:val="1965"/>
          <w:jc w:val="center"/>
        </w:trPr>
        <w:tc>
          <w:tcPr>
            <w:tcW w:w="3674" w:type="dxa"/>
            <w:shd w:val="clear" w:color="auto" w:fill="92D050"/>
          </w:tcPr>
          <w:p w14:paraId="724B0903"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4.2.2 Preparation and implementation of the Programme for continuous training of internal auditors (link to 4.4.4)</w:t>
            </w:r>
          </w:p>
        </w:tc>
        <w:tc>
          <w:tcPr>
            <w:tcW w:w="1279" w:type="dxa"/>
            <w:shd w:val="clear" w:color="auto" w:fill="92D050"/>
            <w:vAlign w:val="center"/>
          </w:tcPr>
          <w:p w14:paraId="43A5BB1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2022</w:t>
            </w:r>
          </w:p>
        </w:tc>
        <w:tc>
          <w:tcPr>
            <w:tcW w:w="1421" w:type="dxa"/>
            <w:gridSpan w:val="3"/>
            <w:shd w:val="clear" w:color="auto" w:fill="92D050"/>
            <w:vAlign w:val="center"/>
          </w:tcPr>
          <w:p w14:paraId="4806422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3323ECB7"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043D049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3707E69D" w14:textId="77777777" w:rsidTr="00BD105F">
        <w:trPr>
          <w:trHeight w:val="1965"/>
          <w:jc w:val="center"/>
        </w:trPr>
        <w:tc>
          <w:tcPr>
            <w:tcW w:w="3674" w:type="dxa"/>
            <w:shd w:val="clear" w:color="auto" w:fill="92D050"/>
          </w:tcPr>
          <w:p w14:paraId="75E051F9" w14:textId="77777777" w:rsidR="001D7BA3" w:rsidRPr="001D7BA3" w:rsidRDefault="001D7BA3" w:rsidP="001D7BA3">
            <w:pPr>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4.2.3 Personnel empowerment of internal audit (promotion of the profession, tools for recruitment and selection of internal auditors, proposals for improving the professional position of internal auditors, etc.)</w:t>
            </w:r>
          </w:p>
        </w:tc>
        <w:tc>
          <w:tcPr>
            <w:tcW w:w="1279" w:type="dxa"/>
            <w:shd w:val="clear" w:color="auto" w:fill="92D050"/>
            <w:vAlign w:val="center"/>
          </w:tcPr>
          <w:p w14:paraId="39B5BD49"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2022</w:t>
            </w:r>
          </w:p>
        </w:tc>
        <w:tc>
          <w:tcPr>
            <w:tcW w:w="1421" w:type="dxa"/>
            <w:gridSpan w:val="3"/>
            <w:shd w:val="clear" w:color="auto" w:fill="92D050"/>
            <w:vAlign w:val="center"/>
          </w:tcPr>
          <w:p w14:paraId="0C2B6EDE"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7948E9D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Latn-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p w14:paraId="7D403AAA"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color w:val="000000"/>
                <w:sz w:val="16"/>
                <w:szCs w:val="16"/>
                <w:lang w:val="sr-Cyrl-RS" w:eastAsia="en-GB"/>
                <w14:ligatures w14:val="none"/>
              </w:rPr>
            </w:pPr>
          </w:p>
          <w:p w14:paraId="2417904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3DBF6AA3" w14:textId="77777777" w:rsidTr="00BD105F">
        <w:trPr>
          <w:trHeight w:val="1965"/>
          <w:jc w:val="center"/>
        </w:trPr>
        <w:tc>
          <w:tcPr>
            <w:tcW w:w="3674" w:type="dxa"/>
            <w:shd w:val="clear" w:color="auto" w:fill="92D050"/>
          </w:tcPr>
          <w:p w14:paraId="4526EC8D" w14:textId="77777777" w:rsidR="001D7BA3" w:rsidRPr="001D7BA3" w:rsidRDefault="001D7BA3" w:rsidP="001D7BA3">
            <w:pPr>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4.2.4 Support for the establishment and improvement of IA at the local level</w:t>
            </w:r>
          </w:p>
        </w:tc>
        <w:tc>
          <w:tcPr>
            <w:tcW w:w="1279" w:type="dxa"/>
            <w:shd w:val="clear" w:color="auto" w:fill="92D050"/>
            <w:vAlign w:val="center"/>
          </w:tcPr>
          <w:p w14:paraId="014DBD0F"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1E5AA824"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Selected LGUs</w:t>
            </w:r>
          </w:p>
        </w:tc>
        <w:tc>
          <w:tcPr>
            <w:tcW w:w="1901" w:type="dxa"/>
            <w:gridSpan w:val="3"/>
            <w:shd w:val="clear" w:color="auto" w:fill="92D050"/>
            <w:vAlign w:val="center"/>
          </w:tcPr>
          <w:p w14:paraId="16F12FB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2EEF7BB4" w14:textId="77777777" w:rsidTr="00BD105F">
        <w:trPr>
          <w:trHeight w:val="1965"/>
          <w:jc w:val="center"/>
        </w:trPr>
        <w:tc>
          <w:tcPr>
            <w:tcW w:w="3674" w:type="dxa"/>
            <w:shd w:val="clear" w:color="auto" w:fill="92D050"/>
          </w:tcPr>
          <w:p w14:paraId="736ABC6D" w14:textId="77777777" w:rsidR="001D7BA3" w:rsidRPr="001D7BA3" w:rsidRDefault="001D7BA3" w:rsidP="001D7BA3">
            <w:pPr>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4.2.5 Introduction of external quality assessment according to the peer review method (training and certification of evaluators, adoption and implementation of the External Quality Assessment Programme)</w:t>
            </w:r>
          </w:p>
        </w:tc>
        <w:tc>
          <w:tcPr>
            <w:tcW w:w="1279" w:type="dxa"/>
            <w:shd w:val="clear" w:color="auto" w:fill="92D050"/>
            <w:vAlign w:val="center"/>
          </w:tcPr>
          <w:p w14:paraId="60CB9596"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Q2 2025</w:t>
            </w:r>
          </w:p>
        </w:tc>
        <w:tc>
          <w:tcPr>
            <w:tcW w:w="1421" w:type="dxa"/>
            <w:gridSpan w:val="3"/>
            <w:shd w:val="clear" w:color="auto" w:fill="92D050"/>
            <w:vAlign w:val="center"/>
          </w:tcPr>
          <w:p w14:paraId="7D367C39"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2E4883A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17E3ECC4" w14:textId="77777777" w:rsidTr="00BD105F">
        <w:trPr>
          <w:trHeight w:val="1965"/>
          <w:jc w:val="center"/>
        </w:trPr>
        <w:tc>
          <w:tcPr>
            <w:tcW w:w="3674" w:type="dxa"/>
            <w:shd w:val="clear" w:color="auto" w:fill="92D050"/>
          </w:tcPr>
          <w:p w14:paraId="346980A8" w14:textId="77777777" w:rsidR="001D7BA3" w:rsidRPr="001D7BA3" w:rsidRDefault="001D7BA3" w:rsidP="001D7BA3">
            <w:pPr>
              <w:spacing w:after="0" w:line="240" w:lineRule="auto"/>
              <w:rPr>
                <w:rFonts w:ascii="Times New Roman" w:eastAsia="Calibri" w:hAnsi="Times New Roman" w:cs="Times New Roman"/>
                <w:lang w:val="en-US"/>
                <w14:ligatures w14:val="none"/>
              </w:rPr>
            </w:pPr>
            <w:r w:rsidRPr="001D7BA3">
              <w:rPr>
                <w:rFonts w:ascii="Times New Roman" w:eastAsia="Times New Roman" w:hAnsi="Times New Roman" w:cs="Times New Roman"/>
                <w:sz w:val="16"/>
                <w:szCs w:val="16"/>
                <w:lang w:val="sr-Cyrl-RS" w:eastAsia="en-GB"/>
                <w14:ligatures w14:val="none"/>
              </w:rPr>
              <w:t>4.2.6 Analysis of the application and eventual improvement of the existing legal framework in order to optimise the organisation of internal audit and reporting to the IA (Support for the implementation of changes from the Rulebook for IA)</w:t>
            </w:r>
          </w:p>
          <w:p w14:paraId="4E7985D2"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p>
        </w:tc>
        <w:tc>
          <w:tcPr>
            <w:tcW w:w="1279" w:type="dxa"/>
            <w:shd w:val="clear" w:color="auto" w:fill="92D050"/>
            <w:vAlign w:val="center"/>
          </w:tcPr>
          <w:p w14:paraId="270FAC7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w:t>
            </w:r>
            <w:r w:rsidRPr="001D7BA3">
              <w:rPr>
                <w:rFonts w:ascii="Times New Roman" w:eastAsia="Times New Roman" w:hAnsi="Times New Roman" w:cs="Times New Roman"/>
                <w:sz w:val="16"/>
                <w:szCs w:val="16"/>
                <w:lang w:val="en-US" w:eastAsia="en-GB"/>
                <w14:ligatures w14:val="none"/>
              </w:rPr>
              <w:t>5</w:t>
            </w:r>
          </w:p>
        </w:tc>
        <w:tc>
          <w:tcPr>
            <w:tcW w:w="1421" w:type="dxa"/>
            <w:gridSpan w:val="3"/>
            <w:shd w:val="clear" w:color="auto" w:fill="92D050"/>
            <w:vAlign w:val="center"/>
          </w:tcPr>
          <w:p w14:paraId="1F594A7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3F8BB31E" w14:textId="77777777" w:rsidR="001D7BA3" w:rsidRPr="001D7BA3" w:rsidRDefault="001D7BA3" w:rsidP="001D7BA3">
            <w:pPr>
              <w:tabs>
                <w:tab w:val="left" w:pos="9923"/>
              </w:tabs>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6D635C9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ab/>
            </w:r>
          </w:p>
        </w:tc>
      </w:tr>
      <w:tr w:rsidR="001D7BA3" w:rsidRPr="001D7BA3" w14:paraId="364BBFFF" w14:textId="77777777" w:rsidTr="00BD105F">
        <w:trPr>
          <w:trHeight w:val="1965"/>
          <w:jc w:val="center"/>
        </w:trPr>
        <w:tc>
          <w:tcPr>
            <w:tcW w:w="3674" w:type="dxa"/>
            <w:shd w:val="clear" w:color="auto" w:fill="92D050"/>
          </w:tcPr>
          <w:p w14:paraId="1DFEE1DD" w14:textId="77777777" w:rsidR="001D7BA3" w:rsidRPr="001D7BA3" w:rsidRDefault="001D7BA3" w:rsidP="001D7BA3">
            <w:pPr>
              <w:tabs>
                <w:tab w:val="left" w:pos="9923"/>
              </w:tabs>
              <w:spacing w:after="0" w:line="240" w:lineRule="auto"/>
              <w:rPr>
                <w:rFonts w:ascii="Calibri" w:eastAsia="Times New Roman" w:hAnsi="Calibri"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4.2.7 Framework model for improving the function of audit boards/audit commissions (study trip and model)</w:t>
            </w:r>
          </w:p>
          <w:p w14:paraId="562B99C6"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p>
          <w:p w14:paraId="61B72D80" w14:textId="77777777" w:rsidR="001D7BA3" w:rsidRPr="001D7BA3" w:rsidRDefault="001D7BA3" w:rsidP="001D7BA3">
            <w:pPr>
              <w:tabs>
                <w:tab w:val="left" w:pos="9923"/>
              </w:tabs>
              <w:spacing w:after="0" w:line="240" w:lineRule="auto"/>
              <w:rPr>
                <w:rFonts w:ascii="Times New Roman" w:eastAsia="Times New Roman" w:hAnsi="Times New Roman" w:cs="Times New Roman"/>
                <w:sz w:val="16"/>
                <w:szCs w:val="16"/>
                <w:lang w:val="sr-Cyrl-RS" w:eastAsia="en-GB"/>
                <w14:ligatures w14:val="none"/>
              </w:rPr>
            </w:pPr>
          </w:p>
          <w:p w14:paraId="4B5968E8"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p>
        </w:tc>
        <w:tc>
          <w:tcPr>
            <w:tcW w:w="1279" w:type="dxa"/>
            <w:shd w:val="clear" w:color="auto" w:fill="92D050"/>
            <w:vAlign w:val="center"/>
          </w:tcPr>
          <w:p w14:paraId="401A6B3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508FFC2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3EC8BEC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3F43302C" w14:textId="77777777" w:rsidTr="00BD105F">
        <w:trPr>
          <w:trHeight w:val="1965"/>
          <w:jc w:val="center"/>
        </w:trPr>
        <w:tc>
          <w:tcPr>
            <w:tcW w:w="3674" w:type="dxa"/>
            <w:shd w:val="clear" w:color="auto" w:fill="92D050"/>
          </w:tcPr>
          <w:p w14:paraId="13115C1A"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Calibri" w:eastAsia="Times New Roman" w:hAnsi="Calibri" w:cs="Times New Roman"/>
                <w:sz w:val="16"/>
                <w:szCs w:val="16"/>
                <w:lang w:val="sr-Cyrl-RS" w:eastAsia="en-GB"/>
                <w14:ligatures w14:val="none"/>
              </w:rPr>
              <w:t>4.2.8 Networking support in the form of annual meetings of heads of IA ministries.</w:t>
            </w:r>
          </w:p>
        </w:tc>
        <w:tc>
          <w:tcPr>
            <w:tcW w:w="1279" w:type="dxa"/>
            <w:shd w:val="clear" w:color="auto" w:fill="92D050"/>
            <w:vAlign w:val="center"/>
          </w:tcPr>
          <w:p w14:paraId="1C07095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54FE3BC6"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38480DB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6210F2EB" w14:textId="77777777" w:rsidTr="00BD105F">
        <w:trPr>
          <w:trHeight w:val="1965"/>
          <w:jc w:val="center"/>
        </w:trPr>
        <w:tc>
          <w:tcPr>
            <w:tcW w:w="3674" w:type="dxa"/>
            <w:shd w:val="clear" w:color="auto" w:fill="92D050"/>
          </w:tcPr>
          <w:p w14:paraId="0F9BEA25"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4.2.9 Improving the employment and legal status of IA.</w:t>
            </w:r>
          </w:p>
        </w:tc>
        <w:tc>
          <w:tcPr>
            <w:tcW w:w="1279" w:type="dxa"/>
            <w:shd w:val="clear" w:color="auto" w:fill="92D050"/>
            <w:vAlign w:val="center"/>
          </w:tcPr>
          <w:p w14:paraId="6B723EF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18E68C6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901" w:type="dxa"/>
            <w:gridSpan w:val="3"/>
            <w:shd w:val="clear" w:color="auto" w:fill="92D050"/>
            <w:vAlign w:val="center"/>
          </w:tcPr>
          <w:p w14:paraId="5FA5433A"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74EF899F" w14:textId="77777777" w:rsidTr="00BD105F">
        <w:trPr>
          <w:trHeight w:val="1965"/>
          <w:jc w:val="center"/>
        </w:trPr>
        <w:tc>
          <w:tcPr>
            <w:tcW w:w="3674" w:type="dxa"/>
            <w:shd w:val="clear" w:color="auto" w:fill="EE0000"/>
          </w:tcPr>
          <w:p w14:paraId="3F43FBF6"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lastRenderedPageBreak/>
              <w:t>4.3.1 Improving the functionality of the application, modules for improving the work of the CJHaplication, training, mandatory through regulations</w:t>
            </w:r>
          </w:p>
        </w:tc>
        <w:tc>
          <w:tcPr>
            <w:tcW w:w="1279" w:type="dxa"/>
            <w:shd w:val="clear" w:color="auto" w:fill="EE0000"/>
            <w:vAlign w:val="center"/>
          </w:tcPr>
          <w:p w14:paraId="2E25D6F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Q4 2025</w:t>
            </w:r>
          </w:p>
        </w:tc>
        <w:tc>
          <w:tcPr>
            <w:tcW w:w="1421" w:type="dxa"/>
            <w:gridSpan w:val="3"/>
            <w:shd w:val="clear" w:color="auto" w:fill="EE0000"/>
            <w:vAlign w:val="center"/>
          </w:tcPr>
          <w:p w14:paraId="7CB5CB2D"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EE0000"/>
            <w:vAlign w:val="center"/>
          </w:tcPr>
          <w:p w14:paraId="654075AE"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27453104" w14:textId="77777777" w:rsidTr="00BD105F">
        <w:trPr>
          <w:trHeight w:val="1965"/>
          <w:jc w:val="center"/>
        </w:trPr>
        <w:tc>
          <w:tcPr>
            <w:tcW w:w="3674" w:type="dxa"/>
            <w:shd w:val="clear" w:color="auto" w:fill="92D050"/>
          </w:tcPr>
          <w:p w14:paraId="247F8ACE" w14:textId="77777777" w:rsidR="001D7BA3" w:rsidRPr="001D7BA3" w:rsidRDefault="001D7BA3" w:rsidP="001D7BA3">
            <w:pPr>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4.4.1 Protocol on cooperation between NAJU and CJH regarding the implementation of training in the field of PIFC</w:t>
            </w:r>
          </w:p>
        </w:tc>
        <w:tc>
          <w:tcPr>
            <w:tcW w:w="1279" w:type="dxa"/>
            <w:shd w:val="clear" w:color="auto" w:fill="92D050"/>
            <w:vAlign w:val="center"/>
          </w:tcPr>
          <w:p w14:paraId="4BFCC5FF"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2023</w:t>
            </w:r>
          </w:p>
        </w:tc>
        <w:tc>
          <w:tcPr>
            <w:tcW w:w="1421" w:type="dxa"/>
            <w:gridSpan w:val="3"/>
            <w:shd w:val="clear" w:color="auto" w:fill="92D050"/>
            <w:vAlign w:val="center"/>
          </w:tcPr>
          <w:p w14:paraId="3B44943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50F6CDE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tc>
      </w:tr>
      <w:tr w:rsidR="001D7BA3" w:rsidRPr="001D7BA3" w14:paraId="2DA25FF0" w14:textId="77777777" w:rsidTr="00BD105F">
        <w:trPr>
          <w:trHeight w:val="1965"/>
          <w:jc w:val="center"/>
        </w:trPr>
        <w:tc>
          <w:tcPr>
            <w:tcW w:w="3674" w:type="dxa"/>
            <w:shd w:val="clear" w:color="auto" w:fill="92D050"/>
          </w:tcPr>
          <w:p w14:paraId="24763F18"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4.4.2 Improvement of the certification process of internal auditors</w:t>
            </w:r>
          </w:p>
        </w:tc>
        <w:tc>
          <w:tcPr>
            <w:tcW w:w="1279" w:type="dxa"/>
            <w:shd w:val="clear" w:color="auto" w:fill="92D050"/>
            <w:vAlign w:val="center"/>
          </w:tcPr>
          <w:p w14:paraId="675F50FC"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4EB2C88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3BC311D2"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p w14:paraId="458F8306"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eastAsia="en-GB"/>
                <w14:ligatures w14:val="none"/>
              </w:rPr>
              <w:tab/>
            </w:r>
          </w:p>
        </w:tc>
      </w:tr>
      <w:tr w:rsidR="001D7BA3" w:rsidRPr="001D7BA3" w14:paraId="6F9FEA1D" w14:textId="77777777" w:rsidTr="00BD105F">
        <w:trPr>
          <w:trHeight w:val="1965"/>
          <w:jc w:val="center"/>
        </w:trPr>
        <w:tc>
          <w:tcPr>
            <w:tcW w:w="3674" w:type="dxa"/>
            <w:shd w:val="clear" w:color="auto" w:fill="92D050"/>
          </w:tcPr>
          <w:p w14:paraId="49473D19" w14:textId="77777777" w:rsidR="001D7BA3" w:rsidRPr="001D7BA3" w:rsidRDefault="001D7BA3" w:rsidP="001D7BA3">
            <w:pPr>
              <w:spacing w:after="0" w:line="240" w:lineRule="auto"/>
              <w:rPr>
                <w:rFonts w:ascii="Times New Roman" w:eastAsia="Times New Roman" w:hAnsi="Times New Roman" w:cs="Times New Roman"/>
                <w:sz w:val="16"/>
                <w:szCs w:val="16"/>
                <w:lang w:val="en-US" w:eastAsia="en-GB"/>
                <w14:ligatures w14:val="none"/>
              </w:rPr>
            </w:pPr>
            <w:r w:rsidRPr="001D7BA3">
              <w:rPr>
                <w:rFonts w:ascii="Times New Roman" w:eastAsia="Times New Roman" w:hAnsi="Times New Roman" w:cs="Times New Roman"/>
                <w:sz w:val="16"/>
                <w:szCs w:val="16"/>
                <w:lang w:val="sr-Cyrl-RS" w:eastAsia="en-GB"/>
                <w14:ligatures w14:val="none"/>
              </w:rPr>
              <w:t>4.4.3 Modernisation of training and training materials in the field of PIFC (expansion of the e-learning module)</w:t>
            </w:r>
          </w:p>
        </w:tc>
        <w:tc>
          <w:tcPr>
            <w:tcW w:w="1279" w:type="dxa"/>
            <w:shd w:val="clear" w:color="auto" w:fill="92D050"/>
            <w:vAlign w:val="center"/>
          </w:tcPr>
          <w:p w14:paraId="4CFFC9CA"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0BED1ED5"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22C479B1"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p w14:paraId="667D4A7F"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eastAsia="en-GB"/>
                <w14:ligatures w14:val="none"/>
              </w:rPr>
              <w:tab/>
            </w:r>
          </w:p>
        </w:tc>
      </w:tr>
      <w:tr w:rsidR="001D7BA3" w:rsidRPr="001D7BA3" w14:paraId="42939BE6" w14:textId="77777777" w:rsidTr="00BD105F">
        <w:trPr>
          <w:trHeight w:val="1965"/>
          <w:jc w:val="center"/>
        </w:trPr>
        <w:tc>
          <w:tcPr>
            <w:tcW w:w="3674" w:type="dxa"/>
            <w:shd w:val="clear" w:color="auto" w:fill="92D050"/>
          </w:tcPr>
          <w:p w14:paraId="64E53DAA"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4.4.4 Preparation and implementation of training for internal auditors through the Programme for continuous professional development of internal auditors in the public sector</w:t>
            </w:r>
          </w:p>
          <w:p w14:paraId="497B8896"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p>
          <w:p w14:paraId="2333B690"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Connection with measure 4.2.2</w:t>
            </w:r>
          </w:p>
        </w:tc>
        <w:tc>
          <w:tcPr>
            <w:tcW w:w="1279" w:type="dxa"/>
            <w:shd w:val="clear" w:color="auto" w:fill="92D050"/>
            <w:vAlign w:val="center"/>
          </w:tcPr>
          <w:p w14:paraId="11EF8483"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421" w:type="dxa"/>
            <w:gridSpan w:val="3"/>
            <w:shd w:val="clear" w:color="auto" w:fill="92D050"/>
            <w:vAlign w:val="center"/>
          </w:tcPr>
          <w:p w14:paraId="2CBB530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 - CJH</w:t>
            </w:r>
          </w:p>
        </w:tc>
        <w:tc>
          <w:tcPr>
            <w:tcW w:w="1901" w:type="dxa"/>
            <w:gridSpan w:val="3"/>
            <w:shd w:val="clear" w:color="auto" w:fill="92D050"/>
            <w:vAlign w:val="center"/>
          </w:tcPr>
          <w:p w14:paraId="296D31A6"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p w14:paraId="5D167BAE"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eastAsia="en-GB"/>
                <w14:ligatures w14:val="none"/>
              </w:rPr>
              <w:tab/>
            </w:r>
          </w:p>
        </w:tc>
      </w:tr>
      <w:tr w:rsidR="001D7BA3" w:rsidRPr="001D7BA3" w14:paraId="139F5536" w14:textId="77777777" w:rsidTr="00BD105F">
        <w:trPr>
          <w:trHeight w:val="1965"/>
          <w:jc w:val="center"/>
        </w:trPr>
        <w:tc>
          <w:tcPr>
            <w:tcW w:w="3674" w:type="dxa"/>
            <w:shd w:val="clear" w:color="auto" w:fill="92D050"/>
          </w:tcPr>
          <w:p w14:paraId="33D0B0A7"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5.1.1 Drafting of the plan for the improvement of accounting in the public sector, in stages</w:t>
            </w:r>
          </w:p>
        </w:tc>
        <w:tc>
          <w:tcPr>
            <w:tcW w:w="1279" w:type="dxa"/>
            <w:shd w:val="clear" w:color="auto" w:fill="92D050"/>
            <w:vAlign w:val="center"/>
          </w:tcPr>
          <w:p w14:paraId="6815D84C"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2021</w:t>
            </w:r>
          </w:p>
        </w:tc>
        <w:tc>
          <w:tcPr>
            <w:tcW w:w="1421" w:type="dxa"/>
            <w:gridSpan w:val="3"/>
            <w:shd w:val="clear" w:color="auto" w:fill="92D050"/>
            <w:vAlign w:val="center"/>
          </w:tcPr>
          <w:p w14:paraId="2917CF73"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Treasury Administration</w:t>
            </w:r>
          </w:p>
        </w:tc>
        <w:tc>
          <w:tcPr>
            <w:tcW w:w="1901" w:type="dxa"/>
            <w:gridSpan w:val="3"/>
            <w:shd w:val="clear" w:color="auto" w:fill="92D050"/>
            <w:vAlign w:val="center"/>
          </w:tcPr>
          <w:p w14:paraId="117E4194"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The activity has been implemented.</w:t>
            </w:r>
          </w:p>
          <w:p w14:paraId="33A6733A"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p>
        </w:tc>
      </w:tr>
      <w:tr w:rsidR="001D7BA3" w:rsidRPr="001D7BA3" w14:paraId="6A8D5EF1" w14:textId="77777777" w:rsidTr="00BD105F">
        <w:trPr>
          <w:trHeight w:val="1965"/>
          <w:jc w:val="center"/>
        </w:trPr>
        <w:tc>
          <w:tcPr>
            <w:tcW w:w="3674" w:type="dxa"/>
            <w:shd w:val="clear" w:color="auto" w:fill="92D050"/>
          </w:tcPr>
          <w:p w14:paraId="6294A3A0"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5.1.2 Preparatory activities for the formation of the Commission for the application of international accounting standards for the public sector</w:t>
            </w:r>
          </w:p>
        </w:tc>
        <w:tc>
          <w:tcPr>
            <w:tcW w:w="1350" w:type="dxa"/>
            <w:gridSpan w:val="2"/>
            <w:shd w:val="clear" w:color="auto" w:fill="92D050"/>
            <w:vAlign w:val="center"/>
          </w:tcPr>
          <w:p w14:paraId="7B561500"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2021</w:t>
            </w:r>
          </w:p>
        </w:tc>
        <w:tc>
          <w:tcPr>
            <w:tcW w:w="1350" w:type="dxa"/>
            <w:gridSpan w:val="2"/>
            <w:shd w:val="clear" w:color="auto" w:fill="92D050"/>
            <w:vAlign w:val="center"/>
          </w:tcPr>
          <w:p w14:paraId="3070A613"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Treasury Administration</w:t>
            </w:r>
          </w:p>
        </w:tc>
        <w:tc>
          <w:tcPr>
            <w:tcW w:w="1901" w:type="dxa"/>
            <w:gridSpan w:val="3"/>
            <w:shd w:val="clear" w:color="auto" w:fill="92D050"/>
            <w:vAlign w:val="center"/>
          </w:tcPr>
          <w:p w14:paraId="6C9FF12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4EF3659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2E085647" w14:textId="77777777" w:rsidTr="00BD105F">
        <w:trPr>
          <w:trHeight w:val="1110"/>
          <w:jc w:val="center"/>
        </w:trPr>
        <w:tc>
          <w:tcPr>
            <w:tcW w:w="3674" w:type="dxa"/>
            <w:shd w:val="clear" w:color="auto" w:fill="92D050"/>
          </w:tcPr>
          <w:p w14:paraId="4C8044E0"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5.1.3 Activities aimed at concluding the Agreement for the translation and application of IAS JS with the Association of Accountants and Auditors of Serbia (member of IFAC)</w:t>
            </w:r>
          </w:p>
        </w:tc>
        <w:tc>
          <w:tcPr>
            <w:tcW w:w="1350" w:type="dxa"/>
            <w:gridSpan w:val="2"/>
            <w:shd w:val="clear" w:color="auto" w:fill="92D050"/>
            <w:vAlign w:val="center"/>
          </w:tcPr>
          <w:p w14:paraId="6FDF32D8"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2021</w:t>
            </w:r>
          </w:p>
        </w:tc>
        <w:tc>
          <w:tcPr>
            <w:tcW w:w="1350" w:type="dxa"/>
            <w:gridSpan w:val="2"/>
            <w:shd w:val="clear" w:color="auto" w:fill="92D050"/>
            <w:vAlign w:val="center"/>
          </w:tcPr>
          <w:p w14:paraId="60AE70C4"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Treasury Administration</w:t>
            </w:r>
          </w:p>
        </w:tc>
        <w:tc>
          <w:tcPr>
            <w:tcW w:w="1901" w:type="dxa"/>
            <w:gridSpan w:val="3"/>
            <w:shd w:val="clear" w:color="auto" w:fill="92D050"/>
            <w:vAlign w:val="center"/>
          </w:tcPr>
          <w:p w14:paraId="1F29096A"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045AE4CE"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5BD163E0" w14:textId="77777777" w:rsidTr="00BD105F">
        <w:trPr>
          <w:trHeight w:val="1110"/>
          <w:jc w:val="center"/>
        </w:trPr>
        <w:tc>
          <w:tcPr>
            <w:tcW w:w="3674" w:type="dxa"/>
            <w:shd w:val="clear" w:color="auto" w:fill="92D050"/>
          </w:tcPr>
          <w:p w14:paraId="10E2B86A"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5.1.4 Implementation of the Agreement from activity 5.1.3 in order to enable the implementation of the Regulation on the Application of International Accounting Standards for the Public Sector</w:t>
            </w:r>
          </w:p>
        </w:tc>
        <w:tc>
          <w:tcPr>
            <w:tcW w:w="1350" w:type="dxa"/>
            <w:gridSpan w:val="2"/>
            <w:shd w:val="clear" w:color="auto" w:fill="92D050"/>
            <w:vAlign w:val="center"/>
          </w:tcPr>
          <w:p w14:paraId="64C96D15"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2023</w:t>
            </w:r>
          </w:p>
        </w:tc>
        <w:tc>
          <w:tcPr>
            <w:tcW w:w="1350" w:type="dxa"/>
            <w:gridSpan w:val="2"/>
            <w:shd w:val="clear" w:color="auto" w:fill="92D050"/>
            <w:vAlign w:val="center"/>
          </w:tcPr>
          <w:p w14:paraId="1E6AAFC6"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color w:val="000000"/>
                <w:sz w:val="16"/>
                <w:szCs w:val="16"/>
                <w:lang w:val="sr-Cyrl-RS" w:eastAsia="en-GB"/>
                <w14:ligatures w14:val="none"/>
              </w:rPr>
              <w:t>Treasury Administration</w:t>
            </w:r>
          </w:p>
        </w:tc>
        <w:tc>
          <w:tcPr>
            <w:tcW w:w="1901" w:type="dxa"/>
            <w:gridSpan w:val="3"/>
            <w:shd w:val="clear" w:color="auto" w:fill="92D050"/>
            <w:vAlign w:val="center"/>
          </w:tcPr>
          <w:p w14:paraId="7DE5FD0B"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p w14:paraId="7B297F16"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p w14:paraId="01FD650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7118B47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2F5FFA79" w14:textId="77777777" w:rsidTr="00BD105F">
        <w:trPr>
          <w:trHeight w:val="1110"/>
          <w:jc w:val="center"/>
        </w:trPr>
        <w:tc>
          <w:tcPr>
            <w:tcW w:w="3674" w:type="dxa"/>
            <w:shd w:val="clear" w:color="auto" w:fill="92D050"/>
            <w:vAlign w:val="center"/>
          </w:tcPr>
          <w:p w14:paraId="0AF15CF9"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5.2.1 Conducting training in order to improve the professional competence of accountants in the public sector</w:t>
            </w:r>
          </w:p>
        </w:tc>
        <w:tc>
          <w:tcPr>
            <w:tcW w:w="1350" w:type="dxa"/>
            <w:gridSpan w:val="2"/>
            <w:shd w:val="clear" w:color="auto" w:fill="92D050"/>
            <w:vAlign w:val="center"/>
          </w:tcPr>
          <w:p w14:paraId="688872B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2022</w:t>
            </w:r>
          </w:p>
        </w:tc>
        <w:tc>
          <w:tcPr>
            <w:tcW w:w="1350" w:type="dxa"/>
            <w:gridSpan w:val="2"/>
            <w:shd w:val="clear" w:color="auto" w:fill="92D050"/>
            <w:vAlign w:val="center"/>
          </w:tcPr>
          <w:p w14:paraId="55A550B6"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Treasury Administration</w:t>
            </w:r>
          </w:p>
        </w:tc>
        <w:tc>
          <w:tcPr>
            <w:tcW w:w="1901" w:type="dxa"/>
            <w:gridSpan w:val="3"/>
            <w:shd w:val="clear" w:color="auto" w:fill="92D050"/>
            <w:vAlign w:val="center"/>
          </w:tcPr>
          <w:p w14:paraId="4216307B"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684EBAC5"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637C71F7" w14:textId="77777777" w:rsidTr="00BD105F">
        <w:trPr>
          <w:trHeight w:val="945"/>
          <w:jc w:val="center"/>
        </w:trPr>
        <w:tc>
          <w:tcPr>
            <w:tcW w:w="3674" w:type="dxa"/>
            <w:shd w:val="clear" w:color="auto" w:fill="EE0000"/>
            <w:vAlign w:val="center"/>
          </w:tcPr>
          <w:p w14:paraId="1018C4CF"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5.2.2 Preparatory activities for the introduction of certification for the accountant profession in the public sector</w:t>
            </w:r>
          </w:p>
        </w:tc>
        <w:tc>
          <w:tcPr>
            <w:tcW w:w="1350" w:type="dxa"/>
            <w:gridSpan w:val="2"/>
            <w:shd w:val="clear" w:color="auto" w:fill="EE0000"/>
            <w:vAlign w:val="center"/>
          </w:tcPr>
          <w:p w14:paraId="2142EC4D"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2024</w:t>
            </w:r>
          </w:p>
        </w:tc>
        <w:tc>
          <w:tcPr>
            <w:tcW w:w="1350" w:type="dxa"/>
            <w:gridSpan w:val="2"/>
            <w:shd w:val="clear" w:color="auto" w:fill="EE0000"/>
            <w:vAlign w:val="center"/>
          </w:tcPr>
          <w:p w14:paraId="1F701B2B"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Treasury Administration</w:t>
            </w:r>
          </w:p>
        </w:tc>
        <w:tc>
          <w:tcPr>
            <w:tcW w:w="1901" w:type="dxa"/>
            <w:gridSpan w:val="3"/>
            <w:shd w:val="clear" w:color="auto" w:fill="EE0000"/>
            <w:vAlign w:val="center"/>
          </w:tcPr>
          <w:p w14:paraId="2ACF084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27369EC6" w14:textId="77777777" w:rsidTr="00BD105F">
        <w:trPr>
          <w:trHeight w:val="2155"/>
          <w:jc w:val="center"/>
        </w:trPr>
        <w:tc>
          <w:tcPr>
            <w:tcW w:w="3674" w:type="dxa"/>
            <w:shd w:val="clear" w:color="auto" w:fill="EE0000"/>
            <w:vAlign w:val="center"/>
          </w:tcPr>
          <w:p w14:paraId="382CEE18"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5.2.3 Certification of 200 accountants in the public sector</w:t>
            </w:r>
          </w:p>
        </w:tc>
        <w:tc>
          <w:tcPr>
            <w:tcW w:w="1350" w:type="dxa"/>
            <w:gridSpan w:val="2"/>
            <w:shd w:val="clear" w:color="auto" w:fill="EE0000"/>
            <w:vAlign w:val="center"/>
          </w:tcPr>
          <w:p w14:paraId="2EB6CEA2"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350" w:type="dxa"/>
            <w:gridSpan w:val="2"/>
            <w:shd w:val="clear" w:color="auto" w:fill="EE0000"/>
            <w:vAlign w:val="center"/>
          </w:tcPr>
          <w:p w14:paraId="3621F45E"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Ministry of Finance</w:t>
            </w:r>
          </w:p>
        </w:tc>
        <w:tc>
          <w:tcPr>
            <w:tcW w:w="1901" w:type="dxa"/>
            <w:gridSpan w:val="3"/>
            <w:shd w:val="clear" w:color="auto" w:fill="EE0000"/>
            <w:vAlign w:val="center"/>
          </w:tcPr>
          <w:p w14:paraId="4FA899FB"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p w14:paraId="1228183D"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4F1BD7E6" w14:textId="77777777" w:rsidTr="00AB2E02">
        <w:trPr>
          <w:trHeight w:val="2155"/>
          <w:jc w:val="center"/>
        </w:trPr>
        <w:tc>
          <w:tcPr>
            <w:tcW w:w="3674" w:type="dxa"/>
            <w:shd w:val="clear" w:color="auto" w:fill="92D050"/>
            <w:vAlign w:val="center"/>
          </w:tcPr>
          <w:p w14:paraId="7575D7C3"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5.3.1 Amending the relevant national regulation to bring it into line with each other and with the cash basis IPSAS and ESA 2010 requirements</w:t>
            </w:r>
          </w:p>
        </w:tc>
        <w:tc>
          <w:tcPr>
            <w:tcW w:w="1350" w:type="dxa"/>
            <w:gridSpan w:val="2"/>
            <w:shd w:val="clear" w:color="auto" w:fill="92D050"/>
            <w:vAlign w:val="center"/>
          </w:tcPr>
          <w:p w14:paraId="44E338C5"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Q3 2024</w:t>
            </w:r>
          </w:p>
        </w:tc>
        <w:tc>
          <w:tcPr>
            <w:tcW w:w="1350" w:type="dxa"/>
            <w:gridSpan w:val="2"/>
            <w:shd w:val="clear" w:color="auto" w:fill="92D050"/>
            <w:vAlign w:val="center"/>
          </w:tcPr>
          <w:p w14:paraId="5C05AAD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Treasury Administration</w:t>
            </w:r>
          </w:p>
        </w:tc>
        <w:tc>
          <w:tcPr>
            <w:tcW w:w="1901" w:type="dxa"/>
            <w:gridSpan w:val="3"/>
            <w:shd w:val="clear" w:color="auto" w:fill="92D050"/>
            <w:vAlign w:val="center"/>
          </w:tcPr>
          <w:p w14:paraId="6076F82E"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tc>
      </w:tr>
      <w:tr w:rsidR="001D7BA3" w:rsidRPr="001D7BA3" w14:paraId="01E05F01" w14:textId="77777777" w:rsidTr="00AB2E02">
        <w:trPr>
          <w:trHeight w:val="1928"/>
          <w:jc w:val="center"/>
        </w:trPr>
        <w:tc>
          <w:tcPr>
            <w:tcW w:w="3674" w:type="dxa"/>
            <w:shd w:val="clear" w:color="auto" w:fill="92D050"/>
            <w:vAlign w:val="center"/>
          </w:tcPr>
          <w:p w14:paraId="7A366E90"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5.3.2 Adoption of accounting policies for financial reporting in accordance with IPSAS for the cash basis</w:t>
            </w:r>
          </w:p>
        </w:tc>
        <w:tc>
          <w:tcPr>
            <w:tcW w:w="1350" w:type="dxa"/>
            <w:gridSpan w:val="2"/>
            <w:shd w:val="clear" w:color="auto" w:fill="92D050"/>
            <w:vAlign w:val="center"/>
          </w:tcPr>
          <w:p w14:paraId="153C8C9E"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2023</w:t>
            </w:r>
          </w:p>
        </w:tc>
        <w:tc>
          <w:tcPr>
            <w:tcW w:w="1361" w:type="dxa"/>
            <w:gridSpan w:val="3"/>
            <w:shd w:val="clear" w:color="auto" w:fill="92D050"/>
            <w:vAlign w:val="center"/>
          </w:tcPr>
          <w:p w14:paraId="4EEB381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Treasury Administration</w:t>
            </w:r>
          </w:p>
        </w:tc>
        <w:tc>
          <w:tcPr>
            <w:tcW w:w="1890" w:type="dxa"/>
            <w:gridSpan w:val="2"/>
            <w:shd w:val="clear" w:color="auto" w:fill="92D050"/>
            <w:vAlign w:val="center"/>
          </w:tcPr>
          <w:p w14:paraId="30D33753"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31FE3FB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7C7096AB" w14:textId="77777777" w:rsidTr="00BD105F">
        <w:trPr>
          <w:trHeight w:val="810"/>
          <w:jc w:val="center"/>
        </w:trPr>
        <w:tc>
          <w:tcPr>
            <w:tcW w:w="3674" w:type="dxa"/>
            <w:shd w:val="clear" w:color="auto" w:fill="EE0000"/>
            <w:vAlign w:val="center"/>
          </w:tcPr>
          <w:p w14:paraId="17A949F6"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lastRenderedPageBreak/>
              <w:t>5.3.3 Preparation of Cash Basis Financial Statements in accordance with IPSAS</w:t>
            </w:r>
          </w:p>
        </w:tc>
        <w:tc>
          <w:tcPr>
            <w:tcW w:w="1350" w:type="dxa"/>
            <w:gridSpan w:val="2"/>
            <w:shd w:val="clear" w:color="auto" w:fill="EE0000"/>
            <w:vAlign w:val="center"/>
          </w:tcPr>
          <w:p w14:paraId="5487165E"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Q2 2025</w:t>
            </w:r>
          </w:p>
        </w:tc>
        <w:tc>
          <w:tcPr>
            <w:tcW w:w="1361" w:type="dxa"/>
            <w:gridSpan w:val="3"/>
            <w:shd w:val="clear" w:color="auto" w:fill="EE0000"/>
            <w:vAlign w:val="center"/>
          </w:tcPr>
          <w:p w14:paraId="5D72073D"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Treasury Administration</w:t>
            </w:r>
          </w:p>
        </w:tc>
        <w:tc>
          <w:tcPr>
            <w:tcW w:w="1890" w:type="dxa"/>
            <w:gridSpan w:val="2"/>
            <w:shd w:val="clear" w:color="auto" w:fill="EE0000"/>
            <w:vAlign w:val="center"/>
          </w:tcPr>
          <w:p w14:paraId="7A8C88F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7A2D510B" w14:textId="77777777" w:rsidTr="00BD105F">
        <w:trPr>
          <w:trHeight w:val="810"/>
          <w:jc w:val="center"/>
        </w:trPr>
        <w:tc>
          <w:tcPr>
            <w:tcW w:w="3674" w:type="dxa"/>
            <w:shd w:val="clear" w:color="auto" w:fill="92D050"/>
          </w:tcPr>
          <w:p w14:paraId="06511E07" w14:textId="77777777" w:rsidR="001D7BA3" w:rsidRPr="001D7BA3" w:rsidRDefault="001D7BA3" w:rsidP="001D7BA3">
            <w:pPr>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6.1.1 Further strengthening of external audit through continuous improvement of audit procedures</w:t>
            </w:r>
          </w:p>
        </w:tc>
        <w:tc>
          <w:tcPr>
            <w:tcW w:w="1350" w:type="dxa"/>
            <w:gridSpan w:val="2"/>
            <w:shd w:val="clear" w:color="auto" w:fill="92D050"/>
            <w:vAlign w:val="center"/>
          </w:tcPr>
          <w:p w14:paraId="70F9A86A" w14:textId="77777777" w:rsidR="001D7BA3" w:rsidRPr="001D7BA3" w:rsidRDefault="001D7BA3" w:rsidP="001D7BA3">
            <w:pPr>
              <w:spacing w:after="0" w:line="240" w:lineRule="auto"/>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361" w:type="dxa"/>
            <w:gridSpan w:val="3"/>
            <w:shd w:val="clear" w:color="auto" w:fill="92D050"/>
            <w:vAlign w:val="center"/>
          </w:tcPr>
          <w:p w14:paraId="34BEDB5A" w14:textId="77777777" w:rsidR="001D7BA3" w:rsidRPr="001D7BA3" w:rsidRDefault="001D7BA3" w:rsidP="001D7BA3">
            <w:pPr>
              <w:spacing w:after="0" w:line="240" w:lineRule="auto"/>
              <w:jc w:val="center"/>
              <w:rPr>
                <w:rFonts w:ascii="Times New Roman" w:eastAsia="Times New Roman" w:hAnsi="Times New Roman" w:cs="Times New Roman"/>
                <w:color w:val="000000"/>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DRI</w:t>
            </w:r>
          </w:p>
        </w:tc>
        <w:tc>
          <w:tcPr>
            <w:tcW w:w="1890" w:type="dxa"/>
            <w:gridSpan w:val="2"/>
            <w:shd w:val="clear" w:color="auto" w:fill="92D050"/>
            <w:vAlign w:val="center"/>
          </w:tcPr>
          <w:p w14:paraId="18F1D474"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p w14:paraId="107027EE"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39B89B5F"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bCs/>
                <w:color w:val="000000"/>
                <w:sz w:val="16"/>
                <w:szCs w:val="16"/>
                <w:lang w:val="sr-Cyrl-RS" w:eastAsia="en-GB"/>
                <w14:ligatures w14:val="none"/>
              </w:rPr>
              <w:t>.</w:t>
            </w:r>
          </w:p>
        </w:tc>
      </w:tr>
      <w:tr w:rsidR="001D7BA3" w:rsidRPr="001D7BA3" w14:paraId="74962F32" w14:textId="77777777" w:rsidTr="00BD105F">
        <w:trPr>
          <w:trHeight w:val="1200"/>
          <w:jc w:val="center"/>
        </w:trPr>
        <w:tc>
          <w:tcPr>
            <w:tcW w:w="3674" w:type="dxa"/>
            <w:shd w:val="clear" w:color="auto" w:fill="92D050"/>
          </w:tcPr>
          <w:p w14:paraId="378B026A"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6.1.2 Presentation of reports on performed audits to the competent Committee and Subcommittee in order to consider the findings and recommendations of the SAI and improve accountability and transparency in spending public funds</w:t>
            </w:r>
          </w:p>
        </w:tc>
        <w:tc>
          <w:tcPr>
            <w:tcW w:w="1398" w:type="dxa"/>
            <w:gridSpan w:val="3"/>
            <w:shd w:val="clear" w:color="auto" w:fill="92D050"/>
            <w:vAlign w:val="center"/>
          </w:tcPr>
          <w:p w14:paraId="6AE87A3E"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313" w:type="dxa"/>
            <w:gridSpan w:val="2"/>
            <w:shd w:val="clear" w:color="auto" w:fill="92D050"/>
            <w:vAlign w:val="center"/>
          </w:tcPr>
          <w:p w14:paraId="73A67F4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DRI</w:t>
            </w:r>
          </w:p>
        </w:tc>
        <w:tc>
          <w:tcPr>
            <w:tcW w:w="1890" w:type="dxa"/>
            <w:gridSpan w:val="2"/>
            <w:shd w:val="clear" w:color="auto" w:fill="92D050"/>
            <w:vAlign w:val="center"/>
          </w:tcPr>
          <w:p w14:paraId="556DB03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6C0E1DB2"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p>
        </w:tc>
      </w:tr>
      <w:tr w:rsidR="001D7BA3" w:rsidRPr="001D7BA3" w14:paraId="285EEE04" w14:textId="77777777" w:rsidTr="00BD105F">
        <w:trPr>
          <w:trHeight w:val="1200"/>
          <w:jc w:val="center"/>
        </w:trPr>
        <w:tc>
          <w:tcPr>
            <w:tcW w:w="3674" w:type="dxa"/>
            <w:shd w:val="clear" w:color="auto" w:fill="92D050"/>
          </w:tcPr>
          <w:p w14:paraId="409D82FB"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6.2.1 Strengthening the control function of the National Assembly by organizing sessions/meetings of the Committee and Sub-Committee for the review of reports on audits of the SAI</w:t>
            </w:r>
          </w:p>
        </w:tc>
        <w:tc>
          <w:tcPr>
            <w:tcW w:w="1398" w:type="dxa"/>
            <w:gridSpan w:val="3"/>
            <w:shd w:val="clear" w:color="auto" w:fill="92D050"/>
            <w:vAlign w:val="center"/>
          </w:tcPr>
          <w:p w14:paraId="75B6ADB9"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313" w:type="dxa"/>
            <w:gridSpan w:val="2"/>
            <w:shd w:val="clear" w:color="auto" w:fill="92D050"/>
            <w:vAlign w:val="center"/>
          </w:tcPr>
          <w:p w14:paraId="7C338A8A"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National Assembly - Committee for Finances, Republic Budget and Control of Spending of Public Funds - Subcommittee for Review of Reports on Audits of SAI</w:t>
            </w:r>
          </w:p>
        </w:tc>
        <w:tc>
          <w:tcPr>
            <w:tcW w:w="1890" w:type="dxa"/>
            <w:gridSpan w:val="2"/>
            <w:shd w:val="clear" w:color="auto" w:fill="92D050"/>
            <w:vAlign w:val="center"/>
          </w:tcPr>
          <w:p w14:paraId="6056C58B"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7BE5579C"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r w:rsidR="001D7BA3" w:rsidRPr="001D7BA3" w14:paraId="4BDEF86D" w14:textId="77777777" w:rsidTr="00BD105F">
        <w:trPr>
          <w:trHeight w:val="990"/>
          <w:jc w:val="center"/>
        </w:trPr>
        <w:tc>
          <w:tcPr>
            <w:tcW w:w="3674" w:type="dxa"/>
            <w:shd w:val="clear" w:color="auto" w:fill="EE0000"/>
          </w:tcPr>
          <w:p w14:paraId="5CDDCA1F"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6.2.2 Hiring, as needed, experts in order to better consider the actions of the subjects according to the conclusions, findings and recommendations contained in the SAI audit reports</w:t>
            </w:r>
          </w:p>
        </w:tc>
        <w:tc>
          <w:tcPr>
            <w:tcW w:w="1398" w:type="dxa"/>
            <w:gridSpan w:val="3"/>
            <w:shd w:val="clear" w:color="auto" w:fill="EE0000"/>
            <w:vAlign w:val="center"/>
          </w:tcPr>
          <w:p w14:paraId="439FE9B8"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313" w:type="dxa"/>
            <w:gridSpan w:val="2"/>
            <w:shd w:val="clear" w:color="auto" w:fill="EE0000"/>
            <w:vAlign w:val="center"/>
          </w:tcPr>
          <w:p w14:paraId="68D6053E"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National Assembly - Committee for Finances, Republic Budget and Control of Spending of Public Funds - Subcommittee for Review of Reports on Audits of SAI</w:t>
            </w:r>
          </w:p>
        </w:tc>
        <w:tc>
          <w:tcPr>
            <w:tcW w:w="1890" w:type="dxa"/>
            <w:gridSpan w:val="2"/>
            <w:shd w:val="clear" w:color="auto" w:fill="EE0000"/>
            <w:vAlign w:val="center"/>
          </w:tcPr>
          <w:p w14:paraId="75940DB6"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was not implemented.</w:t>
            </w:r>
          </w:p>
        </w:tc>
      </w:tr>
      <w:tr w:rsidR="001D7BA3" w:rsidRPr="001D7BA3" w14:paraId="50510819" w14:textId="77777777" w:rsidTr="00BD105F">
        <w:trPr>
          <w:trHeight w:val="3392"/>
          <w:jc w:val="center"/>
        </w:trPr>
        <w:tc>
          <w:tcPr>
            <w:tcW w:w="3674" w:type="dxa"/>
            <w:shd w:val="clear" w:color="auto" w:fill="92D050"/>
          </w:tcPr>
          <w:p w14:paraId="43ED4A6F" w14:textId="77777777" w:rsidR="001D7BA3" w:rsidRPr="001D7BA3" w:rsidRDefault="001D7BA3" w:rsidP="001D7BA3">
            <w:pPr>
              <w:spacing w:after="0" w:line="240" w:lineRule="auto"/>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6.2.3 Organizing a public hearing on the occasion of the presentation of the Bill on the Budget and the Bill on the Final Account of the Budget</w:t>
            </w:r>
          </w:p>
        </w:tc>
        <w:tc>
          <w:tcPr>
            <w:tcW w:w="1398" w:type="dxa"/>
            <w:gridSpan w:val="3"/>
            <w:shd w:val="clear" w:color="auto" w:fill="92D050"/>
            <w:vAlign w:val="center"/>
          </w:tcPr>
          <w:p w14:paraId="014D603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Q4 2025</w:t>
            </w:r>
          </w:p>
        </w:tc>
        <w:tc>
          <w:tcPr>
            <w:tcW w:w="1313" w:type="dxa"/>
            <w:gridSpan w:val="2"/>
            <w:shd w:val="clear" w:color="auto" w:fill="92D050"/>
            <w:vAlign w:val="center"/>
          </w:tcPr>
          <w:p w14:paraId="106FDF71"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National Assembly - Committee for Finance, Republic Budget and Control of Spending of Public Funds</w:t>
            </w:r>
          </w:p>
        </w:tc>
        <w:tc>
          <w:tcPr>
            <w:tcW w:w="1890" w:type="dxa"/>
            <w:gridSpan w:val="2"/>
            <w:shd w:val="clear" w:color="auto" w:fill="92D050"/>
            <w:vAlign w:val="center"/>
          </w:tcPr>
          <w:p w14:paraId="2EDBA8E7"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r w:rsidRPr="001D7BA3">
              <w:rPr>
                <w:rFonts w:ascii="Times New Roman" w:eastAsia="Times New Roman" w:hAnsi="Times New Roman" w:cs="Times New Roman"/>
                <w:sz w:val="16"/>
                <w:szCs w:val="16"/>
                <w:lang w:val="sr-Cyrl-RS" w:eastAsia="en-GB"/>
                <w14:ligatures w14:val="none"/>
              </w:rPr>
              <w:t>The activity has been implemented.</w:t>
            </w:r>
          </w:p>
          <w:p w14:paraId="3BEB6366" w14:textId="77777777" w:rsidR="001D7BA3" w:rsidRPr="001D7BA3" w:rsidRDefault="001D7BA3" w:rsidP="001D7BA3">
            <w:pPr>
              <w:spacing w:after="0" w:line="240" w:lineRule="auto"/>
              <w:jc w:val="center"/>
              <w:rPr>
                <w:rFonts w:ascii="Times New Roman" w:eastAsia="Times New Roman" w:hAnsi="Times New Roman" w:cs="Times New Roman"/>
                <w:sz w:val="16"/>
                <w:szCs w:val="16"/>
                <w:lang w:val="sr-Cyrl-RS" w:eastAsia="en-GB"/>
                <w14:ligatures w14:val="none"/>
              </w:rPr>
            </w:pPr>
          </w:p>
        </w:tc>
      </w:tr>
    </w:tbl>
    <w:p w14:paraId="4FB0868A" w14:textId="77777777" w:rsidR="001D7BA3" w:rsidRPr="001D7BA3" w:rsidRDefault="001D7BA3" w:rsidP="002D03FD">
      <w:pPr>
        <w:jc w:val="both"/>
        <w:rPr>
          <w:rFonts w:ascii="Times New Roman" w:hAnsi="Times New Roman" w:cs="Times New Roman"/>
          <w:bCs/>
          <w:lang w:val="sr-Cyrl-RS"/>
        </w:rPr>
      </w:pPr>
    </w:p>
    <w:sectPr w:rsidR="001D7BA3" w:rsidRPr="001D7BA3" w:rsidSect="006749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29AA5" w14:textId="77777777" w:rsidR="0048244F" w:rsidRDefault="0048244F" w:rsidP="008423CC">
      <w:pPr>
        <w:spacing w:after="0" w:line="240" w:lineRule="auto"/>
      </w:pPr>
      <w:r>
        <w:separator/>
      </w:r>
    </w:p>
  </w:endnote>
  <w:endnote w:type="continuationSeparator" w:id="0">
    <w:p w14:paraId="632F49D4" w14:textId="77777777" w:rsidR="0048244F" w:rsidRDefault="0048244F" w:rsidP="00842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227343"/>
      <w:docPartObj>
        <w:docPartGallery w:val="Page Numbers (Bottom of Page)"/>
        <w:docPartUnique/>
      </w:docPartObj>
    </w:sdtPr>
    <w:sdtEndPr>
      <w:rPr>
        <w:noProof/>
      </w:rPr>
    </w:sdtEndPr>
    <w:sdtContent>
      <w:p w14:paraId="3FFA2765" w14:textId="77777777" w:rsidR="003A75A4" w:rsidRDefault="003A75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C6279B" w14:textId="77777777" w:rsidR="003A75A4" w:rsidRDefault="003A7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45F67" w14:textId="77777777" w:rsidR="0048244F" w:rsidRDefault="0048244F" w:rsidP="008423CC">
      <w:pPr>
        <w:spacing w:after="0" w:line="240" w:lineRule="auto"/>
      </w:pPr>
      <w:r>
        <w:separator/>
      </w:r>
    </w:p>
  </w:footnote>
  <w:footnote w:type="continuationSeparator" w:id="0">
    <w:p w14:paraId="0652595B" w14:textId="77777777" w:rsidR="0048244F" w:rsidRDefault="0048244F" w:rsidP="008423CC">
      <w:pPr>
        <w:spacing w:after="0" w:line="240" w:lineRule="auto"/>
      </w:pPr>
      <w:r>
        <w:continuationSeparator/>
      </w:r>
    </w:p>
  </w:footnote>
  <w:footnote w:id="1">
    <w:p w14:paraId="5A98DC14" w14:textId="77777777" w:rsidR="00523F14" w:rsidRPr="00C92E8F" w:rsidRDefault="00523F14" w:rsidP="00523F14">
      <w:pPr>
        <w:pStyle w:val="FootnoteText"/>
        <w:rPr>
          <w:rFonts w:ascii="Times New Roman" w:hAnsi="Times New Roman" w:cs="Times New Roman"/>
          <w:sz w:val="18"/>
          <w:szCs w:val="18"/>
          <w:lang w:val="sr-Cyrl-RS"/>
        </w:rPr>
      </w:pPr>
      <w:r w:rsidRPr="00C92E8F">
        <w:rPr>
          <w:rStyle w:val="FootnoteReference"/>
          <w:rFonts w:ascii="Times New Roman" w:hAnsi="Times New Roman" w:cs="Times New Roman"/>
          <w:sz w:val="18"/>
          <w:szCs w:val="18"/>
        </w:rPr>
        <w:footnoteRef/>
      </w:r>
      <w:r w:rsidRPr="00C92E8F">
        <w:rPr>
          <w:rFonts w:ascii="Times New Roman" w:hAnsi="Times New Roman" w:cs="Times New Roman"/>
          <w:sz w:val="18"/>
          <w:szCs w:val="18"/>
        </w:rPr>
        <w:t>Annual reports on the implementation of the PAR Strategy 2021-2030. are available at: https://monitoring.mduls.gov.rs/dokumenta.html.</w:t>
      </w:r>
      <w:hyperlink r:id="rId1" w:history="1"/>
    </w:p>
  </w:footnote>
  <w:footnote w:id="2">
    <w:p w14:paraId="353FC7F4" w14:textId="77777777" w:rsidR="002C4825" w:rsidRPr="007A199D" w:rsidRDefault="002C4825" w:rsidP="002C4825">
      <w:pPr>
        <w:pStyle w:val="FootnoteText"/>
        <w:jc w:val="both"/>
        <w:rPr>
          <w:rFonts w:ascii="Times New Roman" w:hAnsi="Times New Roman" w:cs="Times New Roman"/>
          <w:sz w:val="18"/>
          <w:szCs w:val="18"/>
          <w:lang w:val="sr-Cyrl-RS"/>
        </w:rPr>
      </w:pPr>
      <w:r w:rsidRPr="007A199D">
        <w:rPr>
          <w:rStyle w:val="FootnoteReference"/>
          <w:lang w:val="sr-Cyrl-RS"/>
        </w:rPr>
        <w:footnoteRef/>
      </w:r>
      <w:r w:rsidRPr="007A199D">
        <w:rPr>
          <w:lang w:val="sr-Cyrl-RS"/>
        </w:rPr>
        <w:t>The Government's priorities are primarily determined in the Action Plan for the Implementation of the Government's Priorities (APSPV) and the National Programme for the Adoption of the EU Acquis (NPAA).</w:t>
      </w:r>
    </w:p>
  </w:footnote>
  <w:footnote w:id="3">
    <w:p w14:paraId="6AE6A990" w14:textId="77777777" w:rsidR="00BD105F" w:rsidRPr="00E33270" w:rsidRDefault="00BD105F" w:rsidP="008E3674">
      <w:pPr>
        <w:pStyle w:val="FootnoteText"/>
        <w:rPr>
          <w:lang w:val="sr-Cyrl-RS"/>
        </w:rPr>
      </w:pPr>
      <w:r>
        <w:rPr>
          <w:rStyle w:val="FootnoteReference"/>
        </w:rPr>
        <w:footnoteRef/>
      </w:r>
      <w:r>
        <w:t>In question are EU funds - the IPA 2021 programme, implemented within the framework of the light twinning project "Further strengthening of the Serbian regional body", in the total amount of 247,321.90 euros. The total approved value of the project was 250,000.00 euros, hence the difference between the realized and the planned funds.</w:t>
      </w:r>
    </w:p>
  </w:footnote>
  <w:footnote w:id="4">
    <w:p w14:paraId="2E03F5EB" w14:textId="77777777" w:rsidR="00BD105F" w:rsidRPr="0073711D" w:rsidRDefault="00BD105F" w:rsidP="008E3674">
      <w:pPr>
        <w:pStyle w:val="FootnoteText"/>
        <w:jc w:val="both"/>
        <w:rPr>
          <w:rFonts w:ascii="Times New Roman" w:hAnsi="Times New Roman" w:cs="Times New Roman"/>
          <w:sz w:val="16"/>
          <w:szCs w:val="16"/>
          <w:lang w:val="sr-Cyrl-RS"/>
        </w:rPr>
      </w:pPr>
      <w:r>
        <w:rPr>
          <w:rStyle w:val="FootnoteReference"/>
        </w:rPr>
        <w:footnoteRef/>
      </w:r>
      <w:r>
        <w:t>Decision on amendments to the PFM: Activity 3.2.4 "Improvement of the information system intended to support business processes for system management and implementation of contracts and use of funds" the institution responsible for implementation is changed to read: "Sector for the management of EU funds". The source of funding "Donor funds" is replaced by the source of funding: "Budget funds". In relation to the planned development of the MIS during the preparation of the PFMRP 2021-2025, during 2021-2025 for the needs of the IPA programme management structure, the software is developed in phases, which includes a larger number of business processes compared to the original plan, the improvement of business processes, as well as the IPA III perspective.</w:t>
      </w:r>
    </w:p>
  </w:footnote>
  <w:footnote w:id="5">
    <w:p w14:paraId="68FE14E8" w14:textId="77777777" w:rsidR="00BD105F" w:rsidRPr="00437F10" w:rsidRDefault="00BD105F" w:rsidP="008E3674">
      <w:pPr>
        <w:pStyle w:val="FootnoteText"/>
        <w:rPr>
          <w:lang w:val="sr-Cyrl-RS"/>
        </w:rPr>
      </w:pPr>
      <w:r>
        <w:rPr>
          <w:rStyle w:val="FootnoteReference"/>
        </w:rPr>
        <w:footnoteRef/>
      </w:r>
      <w:r>
        <w:t>The amounts are indicative given that the amount varied depending on the place where the meeting was held and whether the meeting included an overnight stay in that place. Since it is about donor funds, we only managed to get an approximate amount of funds.</w:t>
      </w:r>
    </w:p>
  </w:footnote>
  <w:footnote w:id="6">
    <w:p w14:paraId="7674EEA1" w14:textId="77777777" w:rsidR="00BD105F" w:rsidRPr="00B57EB3" w:rsidRDefault="00BD105F" w:rsidP="001D7BA3">
      <w:pPr>
        <w:tabs>
          <w:tab w:val="left" w:pos="9923"/>
        </w:tabs>
        <w:spacing w:after="0" w:line="240" w:lineRule="auto"/>
        <w:rPr>
          <w:rFonts w:ascii="Times New Roman" w:eastAsia="Times New Roman" w:hAnsi="Times New Roman" w:cs="Times New Roman"/>
          <w:sz w:val="16"/>
          <w:szCs w:val="16"/>
          <w:lang w:val="sr-Cyrl-RS" w:eastAsia="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E09F" w14:textId="1D6BF75E" w:rsidR="00235EE0" w:rsidRPr="00235EE0" w:rsidRDefault="00235EE0">
    <w:pPr>
      <w:pStyle w:val="Header"/>
      <w:rPr>
        <w:lang w:val="en-US"/>
      </w:rPr>
    </w:pPr>
    <w:r>
      <w:rPr>
        <w:lang w:val="en-US"/>
      </w:rPr>
      <w:t>UNOFFICIAL TRANSLATION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ACFD" w14:textId="77777777" w:rsidR="00955170" w:rsidRDefault="00955170">
    <w:pPr>
      <w:pStyle w:val="Header"/>
    </w:pPr>
  </w:p>
  <w:p w14:paraId="79CE3375" w14:textId="77777777" w:rsidR="000109AC" w:rsidRDefault="00000000">
    <w:r>
      <w:pict w14:anchorId="6DEC0F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DocxSkillWatermark" o:spid="_x0000_s1025" type="#_x0000_t136" style="position:absolute;margin-left:0;margin-top:0;width:468pt;height:468pt;rotation:315;z-index:-251659776;mso-wrap-edited:f;mso-position-horizontal:center;mso-position-vertical:center" fillcolor="silver" stroked="f">
          <v:fill opacity="9830f"/>
          <v:textpath style="font-family:&quot;Calibri&quot;;font-size:1pt" string="UNOFFICIAL TRANSLATIO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E0FF" w14:textId="77777777" w:rsidR="00955170" w:rsidRDefault="00955170">
    <w:pPr>
      <w:pStyle w:val="Header"/>
    </w:pPr>
  </w:p>
  <w:p w14:paraId="41C94DA2" w14:textId="77777777" w:rsidR="000109AC" w:rsidRDefault="00000000">
    <w:r>
      <w:pict w14:anchorId="1E9F2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68pt;height:468pt;rotation:315;z-index:-251657728;mso-wrap-edited:f;mso-position-horizontal:center;mso-position-vertical:center" fillcolor="silver" stroked="f">
          <v:fill opacity="9830f"/>
          <v:textpath style="font-family:&quot;Calibri&quot;;font-size:1pt" string="UNOFFICIAL TRANSLATIO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AC9"/>
    <w:multiLevelType w:val="hybridMultilevel"/>
    <w:tmpl w:val="FFEEDD22"/>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13920D3"/>
    <w:multiLevelType w:val="hybridMultilevel"/>
    <w:tmpl w:val="FB7A1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33512180">
    <w:abstractNumId w:val="0"/>
  </w:num>
  <w:num w:numId="2" w16cid:durableId="872159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537"/>
    <w:rsid w:val="000049CC"/>
    <w:rsid w:val="000109AC"/>
    <w:rsid w:val="000130E8"/>
    <w:rsid w:val="0002794E"/>
    <w:rsid w:val="00034739"/>
    <w:rsid w:val="00034F43"/>
    <w:rsid w:val="00040910"/>
    <w:rsid w:val="00051796"/>
    <w:rsid w:val="00086FDB"/>
    <w:rsid w:val="00097295"/>
    <w:rsid w:val="000A320D"/>
    <w:rsid w:val="000B6CC3"/>
    <w:rsid w:val="000C42BD"/>
    <w:rsid w:val="000C4D0C"/>
    <w:rsid w:val="000E4277"/>
    <w:rsid w:val="000F037E"/>
    <w:rsid w:val="000F3E2C"/>
    <w:rsid w:val="00102365"/>
    <w:rsid w:val="0012585C"/>
    <w:rsid w:val="00130926"/>
    <w:rsid w:val="00141C0E"/>
    <w:rsid w:val="00143A46"/>
    <w:rsid w:val="00153EDF"/>
    <w:rsid w:val="001855C1"/>
    <w:rsid w:val="001A183C"/>
    <w:rsid w:val="001A5F4E"/>
    <w:rsid w:val="001B0A26"/>
    <w:rsid w:val="001B701D"/>
    <w:rsid w:val="001B7D4C"/>
    <w:rsid w:val="001C46F7"/>
    <w:rsid w:val="001D24C4"/>
    <w:rsid w:val="001D7BA3"/>
    <w:rsid w:val="001E4D83"/>
    <w:rsid w:val="001E68BB"/>
    <w:rsid w:val="00202C25"/>
    <w:rsid w:val="00223FA1"/>
    <w:rsid w:val="00232001"/>
    <w:rsid w:val="00235EE0"/>
    <w:rsid w:val="002445B2"/>
    <w:rsid w:val="0024728D"/>
    <w:rsid w:val="0025650D"/>
    <w:rsid w:val="002606D9"/>
    <w:rsid w:val="00261573"/>
    <w:rsid w:val="00264F2E"/>
    <w:rsid w:val="002676BA"/>
    <w:rsid w:val="00267B1B"/>
    <w:rsid w:val="002760E8"/>
    <w:rsid w:val="002C0C9E"/>
    <w:rsid w:val="002C4825"/>
    <w:rsid w:val="002C61A1"/>
    <w:rsid w:val="002C743E"/>
    <w:rsid w:val="002D03FD"/>
    <w:rsid w:val="00301F00"/>
    <w:rsid w:val="00341D18"/>
    <w:rsid w:val="00353093"/>
    <w:rsid w:val="00355104"/>
    <w:rsid w:val="00356FD5"/>
    <w:rsid w:val="00357213"/>
    <w:rsid w:val="003602C6"/>
    <w:rsid w:val="00361E6F"/>
    <w:rsid w:val="003651C3"/>
    <w:rsid w:val="00381763"/>
    <w:rsid w:val="00383B23"/>
    <w:rsid w:val="003A2743"/>
    <w:rsid w:val="003A507F"/>
    <w:rsid w:val="003A75A4"/>
    <w:rsid w:val="003A7766"/>
    <w:rsid w:val="003C5E52"/>
    <w:rsid w:val="003D24AD"/>
    <w:rsid w:val="003E180D"/>
    <w:rsid w:val="00400CCB"/>
    <w:rsid w:val="00403F01"/>
    <w:rsid w:val="004062BE"/>
    <w:rsid w:val="0041053A"/>
    <w:rsid w:val="00412EE1"/>
    <w:rsid w:val="00414465"/>
    <w:rsid w:val="0041599A"/>
    <w:rsid w:val="004237F9"/>
    <w:rsid w:val="004371B5"/>
    <w:rsid w:val="004375DE"/>
    <w:rsid w:val="00442236"/>
    <w:rsid w:val="004428C2"/>
    <w:rsid w:val="004675E2"/>
    <w:rsid w:val="00467C20"/>
    <w:rsid w:val="00474134"/>
    <w:rsid w:val="0048244F"/>
    <w:rsid w:val="00484411"/>
    <w:rsid w:val="0048520B"/>
    <w:rsid w:val="00495B4B"/>
    <w:rsid w:val="0049768D"/>
    <w:rsid w:val="004C7B27"/>
    <w:rsid w:val="004D2CAC"/>
    <w:rsid w:val="004D48F7"/>
    <w:rsid w:val="004D491B"/>
    <w:rsid w:val="004D78BB"/>
    <w:rsid w:val="004E4B10"/>
    <w:rsid w:val="004E5A33"/>
    <w:rsid w:val="004F2B21"/>
    <w:rsid w:val="005008B2"/>
    <w:rsid w:val="005029B5"/>
    <w:rsid w:val="00523F14"/>
    <w:rsid w:val="005249E7"/>
    <w:rsid w:val="00543328"/>
    <w:rsid w:val="005438D6"/>
    <w:rsid w:val="00543F74"/>
    <w:rsid w:val="0055236D"/>
    <w:rsid w:val="00564316"/>
    <w:rsid w:val="0057124B"/>
    <w:rsid w:val="0057610F"/>
    <w:rsid w:val="00582310"/>
    <w:rsid w:val="0058410E"/>
    <w:rsid w:val="005843CF"/>
    <w:rsid w:val="0058518E"/>
    <w:rsid w:val="00587DB8"/>
    <w:rsid w:val="00591B08"/>
    <w:rsid w:val="005A050E"/>
    <w:rsid w:val="005A2325"/>
    <w:rsid w:val="005A3115"/>
    <w:rsid w:val="005A4847"/>
    <w:rsid w:val="005A7A74"/>
    <w:rsid w:val="005B08EB"/>
    <w:rsid w:val="005B6BB8"/>
    <w:rsid w:val="005B7396"/>
    <w:rsid w:val="005C2026"/>
    <w:rsid w:val="005C7CBC"/>
    <w:rsid w:val="005D00ED"/>
    <w:rsid w:val="005D4512"/>
    <w:rsid w:val="005E7D64"/>
    <w:rsid w:val="005F7A55"/>
    <w:rsid w:val="0060040E"/>
    <w:rsid w:val="006044AB"/>
    <w:rsid w:val="00616E8F"/>
    <w:rsid w:val="006252B5"/>
    <w:rsid w:val="00641172"/>
    <w:rsid w:val="0064343E"/>
    <w:rsid w:val="006749AE"/>
    <w:rsid w:val="0067689A"/>
    <w:rsid w:val="00685537"/>
    <w:rsid w:val="00691614"/>
    <w:rsid w:val="00694BED"/>
    <w:rsid w:val="006B5671"/>
    <w:rsid w:val="006C131E"/>
    <w:rsid w:val="006C36B5"/>
    <w:rsid w:val="006C7C76"/>
    <w:rsid w:val="006E2DA7"/>
    <w:rsid w:val="006F0BF0"/>
    <w:rsid w:val="006F2F09"/>
    <w:rsid w:val="006F4200"/>
    <w:rsid w:val="00707251"/>
    <w:rsid w:val="00716787"/>
    <w:rsid w:val="00723929"/>
    <w:rsid w:val="00732D6F"/>
    <w:rsid w:val="00735939"/>
    <w:rsid w:val="0075482A"/>
    <w:rsid w:val="007566FC"/>
    <w:rsid w:val="00763C79"/>
    <w:rsid w:val="00791D7E"/>
    <w:rsid w:val="00793A08"/>
    <w:rsid w:val="007A199D"/>
    <w:rsid w:val="007C28CD"/>
    <w:rsid w:val="007C6E62"/>
    <w:rsid w:val="007E0803"/>
    <w:rsid w:val="007E449A"/>
    <w:rsid w:val="007E4949"/>
    <w:rsid w:val="007F0DEF"/>
    <w:rsid w:val="007F1205"/>
    <w:rsid w:val="00800282"/>
    <w:rsid w:val="0080679D"/>
    <w:rsid w:val="0083112B"/>
    <w:rsid w:val="00833F50"/>
    <w:rsid w:val="00840E28"/>
    <w:rsid w:val="008423CC"/>
    <w:rsid w:val="008548AE"/>
    <w:rsid w:val="0085507D"/>
    <w:rsid w:val="008626D8"/>
    <w:rsid w:val="0086274F"/>
    <w:rsid w:val="00873D0C"/>
    <w:rsid w:val="00882148"/>
    <w:rsid w:val="00882D88"/>
    <w:rsid w:val="0088799D"/>
    <w:rsid w:val="00894656"/>
    <w:rsid w:val="008A142C"/>
    <w:rsid w:val="008A5816"/>
    <w:rsid w:val="008B1397"/>
    <w:rsid w:val="008C456F"/>
    <w:rsid w:val="008D055F"/>
    <w:rsid w:val="008D0DC7"/>
    <w:rsid w:val="008D14FD"/>
    <w:rsid w:val="008E2291"/>
    <w:rsid w:val="008E3674"/>
    <w:rsid w:val="008E6804"/>
    <w:rsid w:val="008F1478"/>
    <w:rsid w:val="008F7D49"/>
    <w:rsid w:val="009118DF"/>
    <w:rsid w:val="00914C26"/>
    <w:rsid w:val="0092545D"/>
    <w:rsid w:val="00932853"/>
    <w:rsid w:val="00934B46"/>
    <w:rsid w:val="0094079C"/>
    <w:rsid w:val="00940E6A"/>
    <w:rsid w:val="0095283C"/>
    <w:rsid w:val="00955170"/>
    <w:rsid w:val="00956695"/>
    <w:rsid w:val="00986536"/>
    <w:rsid w:val="00995A21"/>
    <w:rsid w:val="00996328"/>
    <w:rsid w:val="009965DC"/>
    <w:rsid w:val="009C0FD8"/>
    <w:rsid w:val="009C0FFA"/>
    <w:rsid w:val="009C4715"/>
    <w:rsid w:val="009E374F"/>
    <w:rsid w:val="009F2A89"/>
    <w:rsid w:val="00A04F1D"/>
    <w:rsid w:val="00A12F01"/>
    <w:rsid w:val="00A13CAB"/>
    <w:rsid w:val="00A65273"/>
    <w:rsid w:val="00A70734"/>
    <w:rsid w:val="00A86735"/>
    <w:rsid w:val="00A91F4E"/>
    <w:rsid w:val="00AA44AC"/>
    <w:rsid w:val="00AA6A39"/>
    <w:rsid w:val="00AB2E02"/>
    <w:rsid w:val="00AB2F5C"/>
    <w:rsid w:val="00AB31A0"/>
    <w:rsid w:val="00AE1A14"/>
    <w:rsid w:val="00AE5949"/>
    <w:rsid w:val="00AE65E3"/>
    <w:rsid w:val="00B01439"/>
    <w:rsid w:val="00B02250"/>
    <w:rsid w:val="00B11F83"/>
    <w:rsid w:val="00B16B12"/>
    <w:rsid w:val="00B20632"/>
    <w:rsid w:val="00B24FD5"/>
    <w:rsid w:val="00B26FE1"/>
    <w:rsid w:val="00B3152C"/>
    <w:rsid w:val="00B57EB3"/>
    <w:rsid w:val="00B84557"/>
    <w:rsid w:val="00BA1A73"/>
    <w:rsid w:val="00BA31E6"/>
    <w:rsid w:val="00BC355A"/>
    <w:rsid w:val="00BD0CBE"/>
    <w:rsid w:val="00BD105F"/>
    <w:rsid w:val="00BD1CA1"/>
    <w:rsid w:val="00BD4AE3"/>
    <w:rsid w:val="00BF7376"/>
    <w:rsid w:val="00C155D7"/>
    <w:rsid w:val="00C20C2C"/>
    <w:rsid w:val="00C3096A"/>
    <w:rsid w:val="00C36B93"/>
    <w:rsid w:val="00C37AC9"/>
    <w:rsid w:val="00C46E02"/>
    <w:rsid w:val="00C53416"/>
    <w:rsid w:val="00C5660E"/>
    <w:rsid w:val="00C666F9"/>
    <w:rsid w:val="00C711A8"/>
    <w:rsid w:val="00C94B45"/>
    <w:rsid w:val="00CA0D24"/>
    <w:rsid w:val="00CB0609"/>
    <w:rsid w:val="00CB1EDF"/>
    <w:rsid w:val="00CB6E84"/>
    <w:rsid w:val="00CC1FEC"/>
    <w:rsid w:val="00CE42EA"/>
    <w:rsid w:val="00D0073E"/>
    <w:rsid w:val="00D079F8"/>
    <w:rsid w:val="00D1419E"/>
    <w:rsid w:val="00D21C1A"/>
    <w:rsid w:val="00D32C50"/>
    <w:rsid w:val="00D3752B"/>
    <w:rsid w:val="00D37E0D"/>
    <w:rsid w:val="00D40DB6"/>
    <w:rsid w:val="00D47EAC"/>
    <w:rsid w:val="00D5203D"/>
    <w:rsid w:val="00D53883"/>
    <w:rsid w:val="00D65009"/>
    <w:rsid w:val="00D72D9B"/>
    <w:rsid w:val="00D74E04"/>
    <w:rsid w:val="00D75B63"/>
    <w:rsid w:val="00D81BFA"/>
    <w:rsid w:val="00D91B20"/>
    <w:rsid w:val="00D91F18"/>
    <w:rsid w:val="00DC5C84"/>
    <w:rsid w:val="00DE0334"/>
    <w:rsid w:val="00DE2982"/>
    <w:rsid w:val="00DE368E"/>
    <w:rsid w:val="00DE44ED"/>
    <w:rsid w:val="00DF7826"/>
    <w:rsid w:val="00E024CC"/>
    <w:rsid w:val="00E06202"/>
    <w:rsid w:val="00E109FD"/>
    <w:rsid w:val="00E10BE7"/>
    <w:rsid w:val="00E20C96"/>
    <w:rsid w:val="00E4060C"/>
    <w:rsid w:val="00E42203"/>
    <w:rsid w:val="00E42E18"/>
    <w:rsid w:val="00E53781"/>
    <w:rsid w:val="00E56020"/>
    <w:rsid w:val="00E605FB"/>
    <w:rsid w:val="00E82238"/>
    <w:rsid w:val="00E85F22"/>
    <w:rsid w:val="00E93DCA"/>
    <w:rsid w:val="00E95906"/>
    <w:rsid w:val="00E96D2F"/>
    <w:rsid w:val="00EA2668"/>
    <w:rsid w:val="00EA273D"/>
    <w:rsid w:val="00EC0715"/>
    <w:rsid w:val="00EC259F"/>
    <w:rsid w:val="00ED48FA"/>
    <w:rsid w:val="00ED504C"/>
    <w:rsid w:val="00ED6AC1"/>
    <w:rsid w:val="00EF2B44"/>
    <w:rsid w:val="00EF4C75"/>
    <w:rsid w:val="00F10016"/>
    <w:rsid w:val="00F16040"/>
    <w:rsid w:val="00F17B67"/>
    <w:rsid w:val="00F23F8A"/>
    <w:rsid w:val="00F30EB1"/>
    <w:rsid w:val="00F42AD2"/>
    <w:rsid w:val="00F63486"/>
    <w:rsid w:val="00F645E2"/>
    <w:rsid w:val="00F664FF"/>
    <w:rsid w:val="00F6689D"/>
    <w:rsid w:val="00F72F5F"/>
    <w:rsid w:val="00F849D4"/>
    <w:rsid w:val="00F9023E"/>
    <w:rsid w:val="00FA201E"/>
    <w:rsid w:val="00FB744E"/>
    <w:rsid w:val="00FC5BB7"/>
    <w:rsid w:val="00FC6997"/>
    <w:rsid w:val="00FC70B7"/>
    <w:rsid w:val="00FF52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E6340"/>
  <w15:chartTrackingRefBased/>
  <w15:docId w15:val="{59307FF5-5E9D-40E7-A67F-97751D5C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553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8553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8553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8553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8553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855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5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5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5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53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8553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8553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8553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8553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855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5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5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537"/>
    <w:rPr>
      <w:rFonts w:eastAsiaTheme="majorEastAsia" w:cstheme="majorBidi"/>
      <w:color w:val="272727" w:themeColor="text1" w:themeTint="D8"/>
    </w:rPr>
  </w:style>
  <w:style w:type="paragraph" w:styleId="Title">
    <w:name w:val="Title"/>
    <w:basedOn w:val="Normal"/>
    <w:next w:val="Normal"/>
    <w:link w:val="TitleChar"/>
    <w:uiPriority w:val="10"/>
    <w:qFormat/>
    <w:rsid w:val="00685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5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5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5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537"/>
    <w:pPr>
      <w:spacing w:before="160"/>
      <w:jc w:val="center"/>
    </w:pPr>
    <w:rPr>
      <w:i/>
      <w:iCs/>
      <w:color w:val="404040" w:themeColor="text1" w:themeTint="BF"/>
    </w:rPr>
  </w:style>
  <w:style w:type="character" w:customStyle="1" w:styleId="QuoteChar">
    <w:name w:val="Quote Char"/>
    <w:basedOn w:val="DefaultParagraphFont"/>
    <w:link w:val="Quote"/>
    <w:uiPriority w:val="29"/>
    <w:rsid w:val="00685537"/>
    <w:rPr>
      <w:i/>
      <w:iCs/>
      <w:color w:val="404040" w:themeColor="text1" w:themeTint="BF"/>
    </w:rPr>
  </w:style>
  <w:style w:type="paragraph" w:styleId="ListParagraph">
    <w:name w:val="List Paragraph"/>
    <w:basedOn w:val="Normal"/>
    <w:uiPriority w:val="34"/>
    <w:qFormat/>
    <w:rsid w:val="00685537"/>
    <w:pPr>
      <w:ind w:left="720"/>
      <w:contextualSpacing/>
    </w:pPr>
  </w:style>
  <w:style w:type="character" w:styleId="IntenseEmphasis">
    <w:name w:val="Intense Emphasis"/>
    <w:basedOn w:val="DefaultParagraphFont"/>
    <w:uiPriority w:val="21"/>
    <w:qFormat/>
    <w:rsid w:val="00685537"/>
    <w:rPr>
      <w:i/>
      <w:iCs/>
      <w:color w:val="2E74B5" w:themeColor="accent1" w:themeShade="BF"/>
    </w:rPr>
  </w:style>
  <w:style w:type="paragraph" w:styleId="IntenseQuote">
    <w:name w:val="Intense Quote"/>
    <w:basedOn w:val="Normal"/>
    <w:next w:val="Normal"/>
    <w:link w:val="IntenseQuoteChar"/>
    <w:uiPriority w:val="30"/>
    <w:qFormat/>
    <w:rsid w:val="0068553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85537"/>
    <w:rPr>
      <w:i/>
      <w:iCs/>
      <w:color w:val="2E74B5" w:themeColor="accent1" w:themeShade="BF"/>
    </w:rPr>
  </w:style>
  <w:style w:type="character" w:styleId="IntenseReference">
    <w:name w:val="Intense Reference"/>
    <w:basedOn w:val="DefaultParagraphFont"/>
    <w:uiPriority w:val="32"/>
    <w:qFormat/>
    <w:rsid w:val="00685537"/>
    <w:rPr>
      <w:b/>
      <w:bCs/>
      <w:smallCaps/>
      <w:color w:val="2E74B5" w:themeColor="accent1" w:themeShade="BF"/>
      <w:spacing w:val="5"/>
    </w:rPr>
  </w:style>
  <w:style w:type="table" w:styleId="TableGrid">
    <w:name w:val="Table Grid"/>
    <w:basedOn w:val="TableNormal"/>
    <w:uiPriority w:val="39"/>
    <w:rsid w:val="00685537"/>
    <w:pPr>
      <w:spacing w:after="0" w:line="240" w:lineRule="auto"/>
    </w:pPr>
    <w:rPr>
      <w:rFonts w:ascii="Calibri" w:eastAsia="Calibri" w:hAnsi="Calibri" w:cs="Times New Roman"/>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85537"/>
    <w:pPr>
      <w:spacing w:after="0" w:line="240" w:lineRule="auto"/>
    </w:pPr>
    <w:rPr>
      <w:rFonts w:ascii="Calibri" w:eastAsia="Calibri" w:hAnsi="Calibri" w:cs="Times New Roman"/>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685537"/>
    <w:pPr>
      <w:spacing w:after="0" w:line="240" w:lineRule="auto"/>
    </w:pPr>
    <w:rPr>
      <w:rFonts w:ascii="Calibri" w:eastAsia="Calibri" w:hAnsi="Calibri" w:cs="Times New Roman"/>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423CC"/>
    <w:pPr>
      <w:spacing w:after="0" w:line="240" w:lineRule="auto"/>
    </w:pPr>
    <w:rPr>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423CC"/>
    <w:pPr>
      <w:spacing w:after="0" w:line="240" w:lineRule="auto"/>
    </w:pPr>
    <w:rPr>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ingle space,footnote text,fn,FOOTNOTES,Footnote Text Char Char Char Char,Footnote Text Char Char Char,ADB,Footnote Text Char Char Char Char Char,Footnote Text Char Char1,ft,Texto nota pie Car,ft Car,ft Car Car,Texto nota pie2,ft1,f,A,fn1"/>
    <w:basedOn w:val="Normal"/>
    <w:link w:val="FootnoteTextChar"/>
    <w:uiPriority w:val="99"/>
    <w:unhideWhenUsed/>
    <w:qFormat/>
    <w:rsid w:val="008423CC"/>
    <w:pPr>
      <w:spacing w:after="0" w:line="240" w:lineRule="auto"/>
    </w:pPr>
    <w:rPr>
      <w:sz w:val="20"/>
      <w:szCs w:val="20"/>
      <w14:ligatures w14:val="none"/>
    </w:rPr>
  </w:style>
  <w:style w:type="character" w:customStyle="1" w:styleId="FootnoteTextChar">
    <w:name w:val="Footnote Text Char"/>
    <w:aliases w:val="single space Char,footnote text Char,fn Char,FOOTNOTES Char,Footnote Text Char Char Char Char Char1,Footnote Text Char Char Char Char1,ADB Char,Footnote Text Char Char Char Char Char Char,Footnote Text Char Char1 Char,ft Char,ft1 Char"/>
    <w:basedOn w:val="DefaultParagraphFont"/>
    <w:link w:val="FootnoteText"/>
    <w:uiPriority w:val="99"/>
    <w:rsid w:val="008423CC"/>
    <w:rPr>
      <w:sz w:val="20"/>
      <w:szCs w:val="20"/>
      <w14:ligatures w14:val="none"/>
    </w:rPr>
  </w:style>
  <w:style w:type="character" w:styleId="FootnoteReference">
    <w:name w:val="footnote reference"/>
    <w:aliases w:val="ftref,Normal + Font:9 Point,Superscript 3 Point Times,SUPERS,EN Footnote Reference,number,Char Char,BVI fnr,Footnote symbol,Footnote reference number,note TESI,ftref Char,BVI fnr Char,BVI fnr Car Char,Char Char Car Char,16 Point Char"/>
    <w:basedOn w:val="DefaultParagraphFont"/>
    <w:uiPriority w:val="99"/>
    <w:unhideWhenUsed/>
    <w:qFormat/>
    <w:rsid w:val="008423CC"/>
    <w:rPr>
      <w:vertAlign w:val="superscript"/>
    </w:rPr>
  </w:style>
  <w:style w:type="table" w:customStyle="1" w:styleId="TableGrid4">
    <w:name w:val="Table Grid4"/>
    <w:basedOn w:val="TableNormal"/>
    <w:next w:val="TableGrid"/>
    <w:uiPriority w:val="39"/>
    <w:rsid w:val="00D72D9B"/>
    <w:pPr>
      <w:spacing w:after="0" w:line="240" w:lineRule="auto"/>
    </w:pPr>
    <w:rPr>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72D9B"/>
    <w:rPr>
      <w:sz w:val="16"/>
      <w:szCs w:val="16"/>
    </w:rPr>
  </w:style>
  <w:style w:type="paragraph" w:styleId="CommentText">
    <w:name w:val="annotation text"/>
    <w:basedOn w:val="Normal"/>
    <w:link w:val="CommentTextChar"/>
    <w:uiPriority w:val="99"/>
    <w:semiHidden/>
    <w:unhideWhenUsed/>
    <w:rsid w:val="00D72D9B"/>
    <w:pPr>
      <w:spacing w:line="240" w:lineRule="auto"/>
    </w:pPr>
    <w:rPr>
      <w:sz w:val="20"/>
      <w:szCs w:val="20"/>
      <w:lang w:val="en-US"/>
      <w14:ligatures w14:val="none"/>
    </w:rPr>
  </w:style>
  <w:style w:type="character" w:customStyle="1" w:styleId="CommentTextChar">
    <w:name w:val="Comment Text Char"/>
    <w:basedOn w:val="DefaultParagraphFont"/>
    <w:link w:val="CommentText"/>
    <w:uiPriority w:val="99"/>
    <w:semiHidden/>
    <w:rsid w:val="00D72D9B"/>
    <w:rPr>
      <w:sz w:val="20"/>
      <w:szCs w:val="20"/>
      <w:lang w:val="en-US"/>
      <w14:ligatures w14:val="none"/>
    </w:rPr>
  </w:style>
  <w:style w:type="table" w:customStyle="1" w:styleId="GridTable4-Accent11">
    <w:name w:val="Grid Table 4 - Accent 11"/>
    <w:basedOn w:val="TableNormal"/>
    <w:next w:val="GridTable4-Accent1"/>
    <w:uiPriority w:val="49"/>
    <w:rsid w:val="000049CC"/>
    <w:pPr>
      <w:spacing w:after="0" w:line="240" w:lineRule="auto"/>
    </w:pPr>
    <w:rPr>
      <w:kern w:val="2"/>
      <w:sz w:val="22"/>
      <w:szCs w:val="22"/>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GridTable4-Accent1">
    <w:name w:val="Grid Table 4 Accent 1"/>
    <w:basedOn w:val="TableNormal"/>
    <w:uiPriority w:val="49"/>
    <w:rsid w:val="000049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isselectedend">
    <w:name w:val="isselectedend"/>
    <w:basedOn w:val="Normal"/>
    <w:rsid w:val="006C131E"/>
    <w:pPr>
      <w:spacing w:before="100" w:beforeAutospacing="1" w:after="100" w:afterAutospacing="1" w:line="240" w:lineRule="auto"/>
    </w:pPr>
    <w:rPr>
      <w:rFonts w:ascii="Times New Roman" w:eastAsia="Times New Roman" w:hAnsi="Times New Roman" w:cs="Times New Roman"/>
      <w:lang w:eastAsia="en-GB"/>
      <w14:ligatures w14:val="none"/>
    </w:rPr>
  </w:style>
  <w:style w:type="paragraph" w:styleId="NormalWeb">
    <w:name w:val="Normal (Web)"/>
    <w:basedOn w:val="Normal"/>
    <w:uiPriority w:val="99"/>
    <w:unhideWhenUsed/>
    <w:rsid w:val="006C131E"/>
    <w:pPr>
      <w:spacing w:before="100" w:beforeAutospacing="1" w:after="100" w:afterAutospacing="1" w:line="240" w:lineRule="auto"/>
    </w:pPr>
    <w:rPr>
      <w:rFonts w:ascii="Times New Roman" w:eastAsia="Times New Roman" w:hAnsi="Times New Roman" w:cs="Times New Roman"/>
      <w:lang w:eastAsia="en-GB"/>
      <w14:ligatures w14:val="none"/>
    </w:rPr>
  </w:style>
  <w:style w:type="numbering" w:customStyle="1" w:styleId="NoList1">
    <w:name w:val="No List1"/>
    <w:next w:val="NoList"/>
    <w:uiPriority w:val="99"/>
    <w:semiHidden/>
    <w:unhideWhenUsed/>
    <w:rsid w:val="008E3674"/>
  </w:style>
  <w:style w:type="table" w:customStyle="1" w:styleId="TableGrid5">
    <w:name w:val="Table Grid5"/>
    <w:basedOn w:val="TableNormal"/>
    <w:next w:val="TableGrid"/>
    <w:uiPriority w:val="39"/>
    <w:rsid w:val="008E3674"/>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84557"/>
    <w:pPr>
      <w:tabs>
        <w:tab w:val="right" w:leader="dot" w:pos="9350"/>
      </w:tabs>
      <w:spacing w:after="100"/>
    </w:pPr>
    <w:rPr>
      <w:rFonts w:ascii="Times New Roman" w:eastAsia="Calibri" w:hAnsi="Times New Roman" w:cs="Times New Roman"/>
      <w:noProof/>
      <w:sz w:val="22"/>
      <w:szCs w:val="22"/>
      <w:lang w:val="sr-Cyrl-RS"/>
    </w:rPr>
  </w:style>
  <w:style w:type="character" w:styleId="Hyperlink">
    <w:name w:val="Hyperlink"/>
    <w:basedOn w:val="DefaultParagraphFont"/>
    <w:uiPriority w:val="99"/>
    <w:unhideWhenUsed/>
    <w:rsid w:val="004E4B10"/>
    <w:rPr>
      <w:color w:val="0563C1" w:themeColor="hyperlink"/>
      <w:u w:val="single"/>
    </w:rPr>
  </w:style>
  <w:style w:type="paragraph" w:styleId="Header">
    <w:name w:val="header"/>
    <w:basedOn w:val="Normal"/>
    <w:link w:val="HeaderChar"/>
    <w:uiPriority w:val="99"/>
    <w:unhideWhenUsed/>
    <w:rsid w:val="002676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6BA"/>
  </w:style>
  <w:style w:type="paragraph" w:styleId="Footer">
    <w:name w:val="footer"/>
    <w:basedOn w:val="Normal"/>
    <w:link w:val="FooterChar"/>
    <w:uiPriority w:val="99"/>
    <w:unhideWhenUsed/>
    <w:rsid w:val="002676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76BA"/>
  </w:style>
  <w:style w:type="paragraph" w:styleId="CommentSubject">
    <w:name w:val="annotation subject"/>
    <w:basedOn w:val="CommentText"/>
    <w:next w:val="CommentText"/>
    <w:link w:val="CommentSubjectChar"/>
    <w:uiPriority w:val="99"/>
    <w:semiHidden/>
    <w:unhideWhenUsed/>
    <w:rsid w:val="00CB6E84"/>
    <w:rPr>
      <w:b/>
      <w:bCs/>
      <w:lang w:val="en-GB"/>
      <w14:ligatures w14:val="standardContextual"/>
    </w:rPr>
  </w:style>
  <w:style w:type="character" w:customStyle="1" w:styleId="CommentSubjectChar">
    <w:name w:val="Comment Subject Char"/>
    <w:basedOn w:val="CommentTextChar"/>
    <w:link w:val="CommentSubject"/>
    <w:uiPriority w:val="99"/>
    <w:semiHidden/>
    <w:rsid w:val="00CB6E84"/>
    <w:rPr>
      <w:b/>
      <w:bCs/>
      <w:sz w:val="20"/>
      <w:szCs w:val="20"/>
      <w:lang w:val="en-US"/>
      <w14:ligatures w14:val="none"/>
    </w:rPr>
  </w:style>
  <w:style w:type="paragraph" w:styleId="BalloonText">
    <w:name w:val="Balloon Text"/>
    <w:basedOn w:val="Normal"/>
    <w:link w:val="BalloonTextChar"/>
    <w:uiPriority w:val="99"/>
    <w:semiHidden/>
    <w:unhideWhenUsed/>
    <w:rsid w:val="00CB6E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E84"/>
    <w:rPr>
      <w:rFonts w:ascii="Segoe UI" w:hAnsi="Segoe UI" w:cs="Segoe UI"/>
      <w:sz w:val="18"/>
      <w:szCs w:val="18"/>
    </w:rPr>
  </w:style>
  <w:style w:type="paragraph" w:styleId="Revision">
    <w:name w:val="Revision"/>
    <w:hidden/>
    <w:uiPriority w:val="99"/>
    <w:semiHidden/>
    <w:rsid w:val="001A5F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5.xml"/></Relationships>
</file>

<file path=word/_rels/footnotes.xml.rels><?xml version="1.0" encoding="UTF-8" standalone="yes"?>
<Relationships xmlns="http://schemas.openxmlformats.org/package/2006/relationships"><Relationship Id="rId1" Type="http://schemas.openxmlformats.org/officeDocument/2006/relationships/hyperlink" Target="https://monitoring.mduls.gov.rs/dokumenta.htm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b="1">
                <a:latin typeface="Times New Roman" panose="02020603050405020304" pitchFamily="18" charset="0"/>
                <a:cs typeface="Times New Roman" panose="02020603050405020304" pitchFamily="18" charset="0"/>
              </a:rPr>
              <a:t>Real Growth GDP (%)</a:t>
            </a:r>
          </a:p>
        </c:rich>
      </c:tx>
      <c:layout>
        <c:manualLayout>
          <c:xMode val="edge"/>
          <c:yMode val="edge"/>
          <c:x val="0.32929388314790997"/>
          <c:y val="3.97163120567375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lineChart>
        <c:grouping val="stacked"/>
        <c:varyColors val="0"/>
        <c:ser>
          <c:idx val="0"/>
          <c:order val="0"/>
          <c:tx>
            <c:strRef>
              <c:f>Sheet1!$B$4</c:f>
              <c:strCache>
                <c:ptCount val="1"/>
                <c:pt idx="0">
                  <c:v>Реални раст БДП (%)</c:v>
                </c:pt>
              </c:strCache>
            </c:strRef>
          </c:tx>
          <c:spPr>
            <a:ln w="76200" cap="rnd">
              <a:solidFill>
                <a:srgbClr val="7030A0"/>
              </a:solidFill>
              <a:round/>
            </a:ln>
            <a:effectLst/>
          </c:spPr>
          <c:marker>
            <c:symbol val="star"/>
            <c:size val="10"/>
            <c:spPr>
              <a:no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Sheet1!$C$2:$G$2</c:f>
              <c:numCache>
                <c:formatCode>0</c:formatCode>
                <c:ptCount val="5"/>
                <c:pt idx="0">
                  <c:v>2021</c:v>
                </c:pt>
                <c:pt idx="1">
                  <c:v>2022</c:v>
                </c:pt>
                <c:pt idx="2">
                  <c:v>2023</c:v>
                </c:pt>
                <c:pt idx="3">
                  <c:v>2024</c:v>
                </c:pt>
                <c:pt idx="4">
                  <c:v>2025</c:v>
                </c:pt>
              </c:numCache>
            </c:numRef>
          </c:cat>
          <c:val>
            <c:numRef>
              <c:f>Sheet1!$C$4:$G$4</c:f>
              <c:numCache>
                <c:formatCode>#,##0.0</c:formatCode>
                <c:ptCount val="5"/>
                <c:pt idx="0">
                  <c:v>7.9490568037111018</c:v>
                </c:pt>
                <c:pt idx="1">
                  <c:v>2.7034766749054739</c:v>
                </c:pt>
                <c:pt idx="2">
                  <c:v>3.7479330956034858</c:v>
                </c:pt>
                <c:pt idx="3">
                  <c:v>3.9499260112011711</c:v>
                </c:pt>
                <c:pt idx="4">
                  <c:v>2</c:v>
                </c:pt>
              </c:numCache>
            </c:numRef>
          </c:val>
          <c:smooth val="1"/>
          <c:extLst>
            <c:ext xmlns:c16="http://schemas.microsoft.com/office/drawing/2014/chart" uri="{C3380CC4-5D6E-409C-BE32-E72D297353CC}">
              <c16:uniqueId val="{00000000-6F58-48AA-902F-8A51CE6BFB3B}"/>
            </c:ext>
          </c:extLst>
        </c:ser>
        <c:dLbls>
          <c:showLegendKey val="0"/>
          <c:showVal val="0"/>
          <c:showCatName val="0"/>
          <c:showSerName val="0"/>
          <c:showPercent val="0"/>
          <c:showBubbleSize val="0"/>
        </c:dLbls>
        <c:marker val="1"/>
        <c:smooth val="0"/>
        <c:axId val="725302623"/>
        <c:axId val="737171631"/>
      </c:lineChart>
      <c:catAx>
        <c:axId val="7253026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37171631"/>
        <c:crosses val="autoZero"/>
        <c:auto val="1"/>
        <c:lblAlgn val="ctr"/>
        <c:lblOffset val="100"/>
        <c:noMultiLvlLbl val="0"/>
      </c:catAx>
      <c:valAx>
        <c:axId val="73717163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25302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zero"/>
    <c:showDLblsOverMax val="0"/>
  </c:chart>
  <c:spPr>
    <a:noFill/>
    <a:ln w="9525" cap="flat" cmpd="sng" algn="ctr">
      <a:solidFill>
        <a:schemeClr val="bg1"/>
      </a:solidFill>
      <a:round/>
    </a:ln>
    <a:effectLst/>
  </c:spPr>
  <c:txPr>
    <a:bodyPr/>
    <a:lstStyle/>
    <a:p>
      <a:pPr>
        <a:defRPr>
          <a:latin typeface="Cambria" panose="02040503050406030204" pitchFamily="18" charset="0"/>
          <a:ea typeface="Cambria" panose="020405030504060302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b="1"/>
              <a:t>GDP (billions RSD)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lineChart>
        <c:grouping val="stacked"/>
        <c:varyColors val="0"/>
        <c:ser>
          <c:idx val="0"/>
          <c:order val="0"/>
          <c:tx>
            <c:strRef>
              <c:f>Sheet1!$B$3</c:f>
              <c:strCache>
                <c:ptCount val="1"/>
                <c:pt idx="0">
                  <c:v>БДП (млрд. РСД)</c:v>
                </c:pt>
              </c:strCache>
            </c:strRef>
          </c:tx>
          <c:spPr>
            <a:ln w="76200" cap="rnd">
              <a:solidFill>
                <a:schemeClr val="accent2">
                  <a:lumMod val="75000"/>
                </a:schemeClr>
              </a:solidFill>
              <a:round/>
            </a:ln>
            <a:effectLst/>
          </c:spPr>
          <c:marker>
            <c:symbol val="triangle"/>
            <c:size val="10"/>
            <c:spPr>
              <a:solidFill>
                <a:srgbClr val="00B050"/>
              </a:solidFill>
              <a:ln w="25400">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Sheet1!$C$2:$G$2</c:f>
              <c:numCache>
                <c:formatCode>0</c:formatCode>
                <c:ptCount val="5"/>
                <c:pt idx="0">
                  <c:v>2021</c:v>
                </c:pt>
                <c:pt idx="1">
                  <c:v>2022</c:v>
                </c:pt>
                <c:pt idx="2">
                  <c:v>2023</c:v>
                </c:pt>
                <c:pt idx="3">
                  <c:v>2024</c:v>
                </c:pt>
                <c:pt idx="4">
                  <c:v>2025</c:v>
                </c:pt>
              </c:numCache>
            </c:numRef>
          </c:cat>
          <c:val>
            <c:numRef>
              <c:f>Sheet1!$C$3:$G$3</c:f>
              <c:numCache>
                <c:formatCode>#,##0.0</c:formatCode>
                <c:ptCount val="5"/>
                <c:pt idx="0">
                  <c:v>6576.0239953881801</c:v>
                </c:pt>
                <c:pt idx="1">
                  <c:v>7460.1390000000001</c:v>
                </c:pt>
                <c:pt idx="2">
                  <c:v>8817.9089999999997</c:v>
                </c:pt>
                <c:pt idx="3">
                  <c:v>9748.259</c:v>
                </c:pt>
                <c:pt idx="4">
                  <c:v>10392.700000000001</c:v>
                </c:pt>
              </c:numCache>
            </c:numRef>
          </c:val>
          <c:smooth val="1"/>
          <c:extLst>
            <c:ext xmlns:c16="http://schemas.microsoft.com/office/drawing/2014/chart" uri="{C3380CC4-5D6E-409C-BE32-E72D297353CC}">
              <c16:uniqueId val="{00000000-A2CC-4E5A-868F-2BEBBFFC08FB}"/>
            </c:ext>
          </c:extLst>
        </c:ser>
        <c:dLbls>
          <c:showLegendKey val="0"/>
          <c:showVal val="0"/>
          <c:showCatName val="0"/>
          <c:showSerName val="0"/>
          <c:showPercent val="0"/>
          <c:showBubbleSize val="0"/>
        </c:dLbls>
        <c:marker val="1"/>
        <c:smooth val="0"/>
        <c:axId val="725302623"/>
        <c:axId val="737171631"/>
      </c:lineChart>
      <c:catAx>
        <c:axId val="7253026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37171631"/>
        <c:crosses val="autoZero"/>
        <c:auto val="1"/>
        <c:lblAlgn val="ctr"/>
        <c:lblOffset val="100"/>
        <c:noMultiLvlLbl val="0"/>
      </c:catAx>
      <c:valAx>
        <c:axId val="73717163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25302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zero"/>
    <c:showDLblsOverMax val="0"/>
  </c:chart>
  <c:spPr>
    <a:noFill/>
    <a:ln w="9525" cap="flat" cmpd="sng" algn="ctr">
      <a:no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b="1">
                <a:latin typeface="Times New Roman" panose="02020603050405020304" pitchFamily="18" charset="0"/>
                <a:cs typeface="Times New Roman" panose="02020603050405020304" pitchFamily="18" charset="0"/>
              </a:rPr>
              <a:t>Inflation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lineChart>
        <c:grouping val="stacked"/>
        <c:varyColors val="0"/>
        <c:ser>
          <c:idx val="0"/>
          <c:order val="0"/>
          <c:tx>
            <c:strRef>
              <c:f>Sheet1!$B$5</c:f>
              <c:strCache>
                <c:ptCount val="1"/>
                <c:pt idx="0">
                  <c:v>Инфлација (%)</c:v>
                </c:pt>
              </c:strCache>
            </c:strRef>
          </c:tx>
          <c:spPr>
            <a:ln w="76200" cap="rnd">
              <a:solidFill>
                <a:srgbClr val="00B050"/>
              </a:solidFill>
              <a:round/>
            </a:ln>
            <a:effectLst/>
          </c:spPr>
          <c:marker>
            <c:symbol val="diamond"/>
            <c:size val="10"/>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Sheet1!$C$2:$G$2</c:f>
              <c:numCache>
                <c:formatCode>0</c:formatCode>
                <c:ptCount val="5"/>
                <c:pt idx="0">
                  <c:v>2021</c:v>
                </c:pt>
                <c:pt idx="1">
                  <c:v>2022</c:v>
                </c:pt>
                <c:pt idx="2">
                  <c:v>2023</c:v>
                </c:pt>
                <c:pt idx="3">
                  <c:v>2024</c:v>
                </c:pt>
                <c:pt idx="4">
                  <c:v>2025</c:v>
                </c:pt>
              </c:numCache>
            </c:numRef>
          </c:cat>
          <c:val>
            <c:numRef>
              <c:f>Sheet1!$C$5:$G$5</c:f>
              <c:numCache>
                <c:formatCode>#,##0.0</c:formatCode>
                <c:ptCount val="5"/>
                <c:pt idx="0">
                  <c:v>7.9</c:v>
                </c:pt>
                <c:pt idx="1">
                  <c:v>15.1</c:v>
                </c:pt>
                <c:pt idx="2">
                  <c:v>7.6</c:v>
                </c:pt>
                <c:pt idx="3">
                  <c:v>4.3</c:v>
                </c:pt>
                <c:pt idx="4">
                  <c:v>2.7</c:v>
                </c:pt>
              </c:numCache>
            </c:numRef>
          </c:val>
          <c:smooth val="1"/>
          <c:extLst>
            <c:ext xmlns:c16="http://schemas.microsoft.com/office/drawing/2014/chart" uri="{C3380CC4-5D6E-409C-BE32-E72D297353CC}">
              <c16:uniqueId val="{00000000-865B-4080-9D2A-3CE925F64F72}"/>
            </c:ext>
          </c:extLst>
        </c:ser>
        <c:dLbls>
          <c:showLegendKey val="0"/>
          <c:showVal val="0"/>
          <c:showCatName val="0"/>
          <c:showSerName val="0"/>
          <c:showPercent val="0"/>
          <c:showBubbleSize val="0"/>
        </c:dLbls>
        <c:marker val="1"/>
        <c:smooth val="0"/>
        <c:axId val="725302623"/>
        <c:axId val="737171631"/>
      </c:lineChart>
      <c:catAx>
        <c:axId val="7253026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37171631"/>
        <c:crosses val="autoZero"/>
        <c:auto val="1"/>
        <c:lblAlgn val="ctr"/>
        <c:lblOffset val="100"/>
        <c:noMultiLvlLbl val="0"/>
      </c:catAx>
      <c:valAx>
        <c:axId val="73717163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25302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zero"/>
    <c:showDLblsOverMax val="0"/>
  </c:chart>
  <c:spPr>
    <a:noFill/>
    <a:ln w="9525" cap="flat" cmpd="sng" algn="ctr">
      <a:no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b="1">
                <a:latin typeface="Times New Roman" panose="02020603050405020304" pitchFamily="18" charset="0"/>
                <a:cs typeface="Times New Roman" panose="02020603050405020304" pitchFamily="18" charset="0"/>
              </a:rPr>
              <a:t>Unemployment (%)</a:t>
            </a:r>
          </a:p>
        </c:rich>
      </c:tx>
      <c:layout>
        <c:manualLayout>
          <c:xMode val="edge"/>
          <c:yMode val="edge"/>
          <c:x val="0.36666647438300987"/>
          <c:y val="3.240742794474634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manualLayout>
          <c:layoutTarget val="inner"/>
          <c:xMode val="edge"/>
          <c:yMode val="edge"/>
          <c:x val="3.1819535663434408E-2"/>
          <c:y val="0.16858814523184601"/>
          <c:w val="0.95412261205964477"/>
          <c:h val="0.62217847769028867"/>
        </c:manualLayout>
      </c:layout>
      <c:lineChart>
        <c:grouping val="stacked"/>
        <c:varyColors val="0"/>
        <c:ser>
          <c:idx val="0"/>
          <c:order val="0"/>
          <c:tx>
            <c:strRef>
              <c:f>Sheet1!$B$6</c:f>
              <c:strCache>
                <c:ptCount val="1"/>
                <c:pt idx="0">
                  <c:v>Незапосленост (%)</c:v>
                </c:pt>
              </c:strCache>
            </c:strRef>
          </c:tx>
          <c:spPr>
            <a:ln w="76200" cap="rnd">
              <a:solidFill>
                <a:schemeClr val="accent1"/>
              </a:solidFill>
              <a:round/>
            </a:ln>
            <a:effectLst/>
          </c:spPr>
          <c:marker>
            <c:symbol val="circle"/>
            <c:size val="10"/>
            <c:spPr>
              <a:solidFill>
                <a:srgbClr val="FFC000"/>
              </a:solidFill>
              <a:ln w="9525">
                <a:solidFill>
                  <a:schemeClr val="accent1"/>
                </a:solidFill>
              </a:ln>
              <a:effectLst/>
            </c:spPr>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Sheet1!$C$2:$G$2</c:f>
              <c:numCache>
                <c:formatCode>0</c:formatCode>
                <c:ptCount val="5"/>
                <c:pt idx="0">
                  <c:v>2021</c:v>
                </c:pt>
                <c:pt idx="1">
                  <c:v>2022</c:v>
                </c:pt>
                <c:pt idx="2">
                  <c:v>2023</c:v>
                </c:pt>
                <c:pt idx="3">
                  <c:v>2024</c:v>
                </c:pt>
                <c:pt idx="4">
                  <c:v>2025</c:v>
                </c:pt>
              </c:numCache>
            </c:numRef>
          </c:cat>
          <c:val>
            <c:numRef>
              <c:f>Sheet1!$C$6:$G$6</c:f>
              <c:numCache>
                <c:formatCode>#,##0</c:formatCode>
                <c:ptCount val="5"/>
                <c:pt idx="0">
                  <c:v>11.1</c:v>
                </c:pt>
                <c:pt idx="1">
                  <c:v>9.5</c:v>
                </c:pt>
                <c:pt idx="2">
                  <c:v>9.4</c:v>
                </c:pt>
                <c:pt idx="3">
                  <c:v>8.6</c:v>
                </c:pt>
                <c:pt idx="4">
                  <c:v>8.6999999999999993</c:v>
                </c:pt>
              </c:numCache>
            </c:numRef>
          </c:val>
          <c:smooth val="1"/>
          <c:extLst>
            <c:ext xmlns:c16="http://schemas.microsoft.com/office/drawing/2014/chart" uri="{C3380CC4-5D6E-409C-BE32-E72D297353CC}">
              <c16:uniqueId val="{00000000-CD61-44CA-95DA-F23EB8239B1A}"/>
            </c:ext>
          </c:extLst>
        </c:ser>
        <c:dLbls>
          <c:showLegendKey val="0"/>
          <c:showVal val="0"/>
          <c:showCatName val="0"/>
          <c:showSerName val="0"/>
          <c:showPercent val="0"/>
          <c:showBubbleSize val="0"/>
        </c:dLbls>
        <c:marker val="1"/>
        <c:smooth val="0"/>
        <c:axId val="725302623"/>
        <c:axId val="737171631"/>
      </c:lineChart>
      <c:catAx>
        <c:axId val="7253026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37171631"/>
        <c:crosses val="autoZero"/>
        <c:auto val="1"/>
        <c:lblAlgn val="ctr"/>
        <c:lblOffset val="100"/>
        <c:noMultiLvlLbl val="0"/>
      </c:catAx>
      <c:valAx>
        <c:axId val="73717163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25302623"/>
        <c:crosses val="autoZero"/>
        <c:crossBetween val="between"/>
      </c:valAx>
      <c:spPr>
        <a:noFill/>
        <a:ln>
          <a:solidFill>
            <a:schemeClr val="bg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zero"/>
    <c:showDLblsOverMax val="0"/>
  </c:chart>
  <c:spPr>
    <a:noFill/>
    <a:ln w="9525" cap="flat" cmpd="sng" algn="ctr">
      <a:no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b="1">
                <a:latin typeface="Times New Roman" panose="02020603050405020304" pitchFamily="18" charset="0"/>
                <a:cs typeface="Times New Roman" panose="02020603050405020304" pitchFamily="18" charset="0"/>
              </a:rPr>
              <a:t>Public debt</a:t>
            </a:r>
            <a:r>
              <a:rPr lang="sr-Cyrl-RS" b="1">
                <a:latin typeface="Times New Roman" panose="02020603050405020304" pitchFamily="18" charset="0"/>
                <a:cs typeface="Times New Roman" panose="02020603050405020304" pitchFamily="18" charset="0"/>
              </a:rPr>
              <a:t> </a:t>
            </a:r>
            <a:r>
              <a:rPr lang="en-US" b="1">
                <a:latin typeface="Times New Roman" panose="02020603050405020304" pitchFamily="18" charset="0"/>
                <a:cs typeface="Times New Roman" panose="02020603050405020304" pitchFamily="18" charset="0"/>
              </a:rPr>
              <a:t>(% GDP</a:t>
            </a:r>
            <a:r>
              <a:rPr lang="en-US" b="1"/>
              <a:t>)</a:t>
            </a:r>
          </a:p>
        </c:rich>
      </c:tx>
      <c:layout>
        <c:manualLayout>
          <c:xMode val="edge"/>
          <c:yMode val="edge"/>
          <c:x val="0.38646840222476914"/>
          <c:y val="6.134750397579612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lineChart>
        <c:grouping val="stacked"/>
        <c:varyColors val="0"/>
        <c:ser>
          <c:idx val="0"/>
          <c:order val="0"/>
          <c:tx>
            <c:strRef>
              <c:f>Sheet1!$B$7</c:f>
              <c:strCache>
                <c:ptCount val="1"/>
                <c:pt idx="0">
                  <c:v>Јавни дуг (% БДП)</c:v>
                </c:pt>
              </c:strCache>
            </c:strRef>
          </c:tx>
          <c:spPr>
            <a:ln w="76200" cap="rnd">
              <a:solidFill>
                <a:srgbClr val="FFC000"/>
              </a:solidFill>
              <a:round/>
            </a:ln>
            <a:effectLst/>
          </c:spPr>
          <c:marker>
            <c:symbol val="dash"/>
            <c:size val="10"/>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Sheet1!$C$2:$G$2</c:f>
              <c:numCache>
                <c:formatCode>0</c:formatCode>
                <c:ptCount val="5"/>
                <c:pt idx="0">
                  <c:v>2021</c:v>
                </c:pt>
                <c:pt idx="1">
                  <c:v>2022</c:v>
                </c:pt>
                <c:pt idx="2">
                  <c:v>2023</c:v>
                </c:pt>
                <c:pt idx="3">
                  <c:v>2024</c:v>
                </c:pt>
                <c:pt idx="4">
                  <c:v>2025</c:v>
                </c:pt>
              </c:numCache>
            </c:numRef>
          </c:cat>
          <c:val>
            <c:numRef>
              <c:f>Sheet1!$C$7:$G$7</c:f>
              <c:numCache>
                <c:formatCode>#,##0.0</c:formatCode>
                <c:ptCount val="5"/>
                <c:pt idx="0">
                  <c:v>54.4670377074873</c:v>
                </c:pt>
                <c:pt idx="1">
                  <c:v>52.891853509183619</c:v>
                </c:pt>
                <c:pt idx="2">
                  <c:v>48.385206319592633</c:v>
                </c:pt>
                <c:pt idx="3">
                  <c:v>46.947214208418501</c:v>
                </c:pt>
                <c:pt idx="4">
                  <c:v>44.7</c:v>
                </c:pt>
              </c:numCache>
            </c:numRef>
          </c:val>
          <c:smooth val="1"/>
          <c:extLst>
            <c:ext xmlns:c16="http://schemas.microsoft.com/office/drawing/2014/chart" uri="{C3380CC4-5D6E-409C-BE32-E72D297353CC}">
              <c16:uniqueId val="{00000000-E872-4027-837E-74234F806285}"/>
            </c:ext>
          </c:extLst>
        </c:ser>
        <c:dLbls>
          <c:showLegendKey val="0"/>
          <c:showVal val="0"/>
          <c:showCatName val="0"/>
          <c:showSerName val="0"/>
          <c:showPercent val="0"/>
          <c:showBubbleSize val="0"/>
        </c:dLbls>
        <c:marker val="1"/>
        <c:smooth val="0"/>
        <c:axId val="725302623"/>
        <c:axId val="737171631"/>
      </c:lineChart>
      <c:catAx>
        <c:axId val="7253026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37171631"/>
        <c:crosses val="autoZero"/>
        <c:auto val="1"/>
        <c:lblAlgn val="ctr"/>
        <c:lblOffset val="100"/>
        <c:noMultiLvlLbl val="0"/>
      </c:catAx>
      <c:valAx>
        <c:axId val="73717163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25302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zero"/>
    <c:showDLblsOverMax val="0"/>
  </c:chart>
  <c:spPr>
    <a:noFill/>
    <a:ln w="9525" cap="flat" cmpd="sng" algn="ctr">
      <a:no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b="1">
                <a:latin typeface="Times New Roman" panose="02020603050405020304" pitchFamily="18" charset="0"/>
                <a:cs typeface="Times New Roman" panose="02020603050405020304" pitchFamily="18" charset="0"/>
              </a:rPr>
              <a:t>Budget deficit (% GDP)</a:t>
            </a:r>
          </a:p>
        </c:rich>
      </c:tx>
      <c:layout>
        <c:manualLayout>
          <c:xMode val="edge"/>
          <c:yMode val="edge"/>
          <c:x val="0.30351235335349164"/>
          <c:y val="2.2141580128570888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manualLayout>
          <c:layoutTarget val="inner"/>
          <c:xMode val="edge"/>
          <c:yMode val="edge"/>
          <c:x val="3.0785719771139235E-2"/>
          <c:y val="9.9143700787401576E-2"/>
          <c:w val="0.89751766409315814"/>
          <c:h val="0.67657662583843681"/>
        </c:manualLayout>
      </c:layout>
      <c:lineChart>
        <c:grouping val="stacked"/>
        <c:varyColors val="0"/>
        <c:ser>
          <c:idx val="0"/>
          <c:order val="0"/>
          <c:tx>
            <c:strRef>
              <c:f>Sheet1!$B$8</c:f>
              <c:strCache>
                <c:ptCount val="1"/>
                <c:pt idx="0">
                  <c:v>Фискални резултат опште државе (% БДП)</c:v>
                </c:pt>
              </c:strCache>
            </c:strRef>
          </c:tx>
          <c:spPr>
            <a:ln w="76200" cap="rnd">
              <a:solidFill>
                <a:schemeClr val="accent5">
                  <a:lumMod val="75000"/>
                </a:schemeClr>
              </a:solidFill>
              <a:round/>
            </a:ln>
            <a:effectLst/>
          </c:spPr>
          <c:marker>
            <c:symbol val="plus"/>
            <c:size val="10"/>
            <c:spPr>
              <a:noFill/>
              <a:ln w="9525">
                <a:solidFill>
                  <a:schemeClr val="accent1"/>
                </a:solidFill>
              </a:ln>
              <a:effectLst/>
            </c:spPr>
          </c:marker>
          <c:dLbls>
            <c:dLbl>
              <c:idx val="0"/>
              <c:layout>
                <c:manualLayout>
                  <c:x val="-3.367003069451906E-3"/>
                  <c:y val="-9.25925925925926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A2E-4997-8CC4-44E8F646BE67}"/>
                </c:ext>
              </c:extLst>
            </c:dLbl>
            <c:dLbl>
              <c:idx val="1"/>
              <c:layout>
                <c:manualLayout>
                  <c:x val="0"/>
                  <c:y val="-0.1018518518518517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A2E-4997-8CC4-44E8F646BE67}"/>
                </c:ext>
              </c:extLst>
            </c:dLbl>
            <c:dLbl>
              <c:idx val="2"/>
              <c:layout>
                <c:manualLayout>
                  <c:x val="3.3670030694518236E-3"/>
                  <c:y val="-9.7222222222222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A2E-4997-8CC4-44E8F646BE67}"/>
                </c:ext>
              </c:extLst>
            </c:dLbl>
            <c:dLbl>
              <c:idx val="3"/>
              <c:layout>
                <c:manualLayout>
                  <c:x val="1.2345677921323654E-2"/>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A2E-4997-8CC4-44E8F646BE67}"/>
                </c:ext>
              </c:extLst>
            </c:dLbl>
            <c:dLbl>
              <c:idx val="4"/>
              <c:layout>
                <c:manualLayout>
                  <c:x val="-2.6936024555615248E-2"/>
                  <c:y val="-6.9444444444444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A2E-4997-8CC4-44E8F646BE67}"/>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Sheet1!$C$2:$G$2</c:f>
              <c:numCache>
                <c:formatCode>0</c:formatCode>
                <c:ptCount val="5"/>
                <c:pt idx="0">
                  <c:v>2021</c:v>
                </c:pt>
                <c:pt idx="1">
                  <c:v>2022</c:v>
                </c:pt>
                <c:pt idx="2">
                  <c:v>2023</c:v>
                </c:pt>
                <c:pt idx="3">
                  <c:v>2024</c:v>
                </c:pt>
                <c:pt idx="4">
                  <c:v>2025</c:v>
                </c:pt>
              </c:numCache>
            </c:numRef>
          </c:cat>
          <c:val>
            <c:numRef>
              <c:f>Sheet1!$C$8:$G$8</c:f>
              <c:numCache>
                <c:formatCode>#,##0.0</c:formatCode>
                <c:ptCount val="5"/>
                <c:pt idx="0">
                  <c:v>-3.9444886555836036</c:v>
                </c:pt>
                <c:pt idx="1">
                  <c:v>-3.0139531560453543</c:v>
                </c:pt>
                <c:pt idx="2">
                  <c:v>-2.0537119992767203</c:v>
                </c:pt>
                <c:pt idx="3">
                  <c:v>-1.9681419794569344</c:v>
                </c:pt>
                <c:pt idx="4">
                  <c:v>-2.4</c:v>
                </c:pt>
              </c:numCache>
            </c:numRef>
          </c:val>
          <c:smooth val="1"/>
          <c:extLst>
            <c:ext xmlns:c16="http://schemas.microsoft.com/office/drawing/2014/chart" uri="{C3380CC4-5D6E-409C-BE32-E72D297353CC}">
              <c16:uniqueId val="{00000005-EA2E-4997-8CC4-44E8F646BE67}"/>
            </c:ext>
          </c:extLst>
        </c:ser>
        <c:dLbls>
          <c:showLegendKey val="0"/>
          <c:showVal val="0"/>
          <c:showCatName val="0"/>
          <c:showSerName val="0"/>
          <c:showPercent val="0"/>
          <c:showBubbleSize val="0"/>
        </c:dLbls>
        <c:marker val="1"/>
        <c:smooth val="0"/>
        <c:axId val="725302623"/>
        <c:axId val="737171631"/>
      </c:lineChart>
      <c:catAx>
        <c:axId val="7253026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37171631"/>
        <c:crosses val="autoZero"/>
        <c:auto val="1"/>
        <c:lblAlgn val="ctr"/>
        <c:lblOffset val="100"/>
        <c:noMultiLvlLbl val="0"/>
      </c:catAx>
      <c:valAx>
        <c:axId val="73717163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25302623"/>
        <c:crosses val="autoZero"/>
        <c:crossBetween val="between"/>
      </c:valAx>
      <c:spPr>
        <a:noFill/>
        <a:ln>
          <a:noFill/>
        </a:ln>
        <a:effectLst/>
      </c:spPr>
    </c:plotArea>
    <c:legend>
      <c:legendPos val="b"/>
      <c:layout>
        <c:manualLayout>
          <c:xMode val="edge"/>
          <c:yMode val="edge"/>
          <c:x val="0.1881012826613048"/>
          <c:y val="0.84648418947631543"/>
          <c:w val="0.62379723002460952"/>
          <c:h val="7.94415915401879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zero"/>
    <c:showDLblsOverMax val="0"/>
  </c:chart>
  <c:spPr>
    <a:noFill/>
    <a:ln w="9525" cap="flat" cmpd="sng" algn="ctr">
      <a:no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r>
              <a:rPr lang="en-US" b="1">
                <a:latin typeface="Times New Roman" panose="02020603050405020304" pitchFamily="18" charset="0"/>
                <a:cs typeface="Times New Roman" panose="02020603050405020304" pitchFamily="18" charset="0"/>
              </a:rPr>
              <a:t>Capital expenditures (% GDP)</a:t>
            </a:r>
          </a:p>
        </c:rich>
      </c:tx>
      <c:layout>
        <c:manualLayout>
          <c:xMode val="edge"/>
          <c:yMode val="edge"/>
          <c:x val="0.28769358802007156"/>
          <c:y val="2.496293963254593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manualLayout>
          <c:layoutTarget val="inner"/>
          <c:xMode val="edge"/>
          <c:yMode val="edge"/>
          <c:x val="3.0785719771139235E-2"/>
          <c:y val="0.13647706036745408"/>
          <c:w val="0.79841812702705106"/>
          <c:h val="0.63924325459317588"/>
        </c:manualLayout>
      </c:layout>
      <c:lineChart>
        <c:grouping val="stacked"/>
        <c:varyColors val="0"/>
        <c:ser>
          <c:idx val="0"/>
          <c:order val="0"/>
          <c:tx>
            <c:strRef>
              <c:f>Sheet1!$B$15</c:f>
              <c:strCache>
                <c:ptCount val="1"/>
                <c:pt idx="0">
                  <c:v>Капитални расходи ( у мил. РСД)</c:v>
                </c:pt>
              </c:strCache>
            </c:strRef>
          </c:tx>
          <c:spPr>
            <a:ln w="76200" cap="rnd">
              <a:solidFill>
                <a:srgbClr val="FF0000"/>
              </a:solidFill>
              <a:round/>
            </a:ln>
            <a:effectLst/>
          </c:spPr>
          <c:marker>
            <c:symbol val="triangle"/>
            <c:size val="10"/>
            <c:spPr>
              <a:noFill/>
              <a:ln w="9525">
                <a:solidFill>
                  <a:schemeClr val="accent1"/>
                </a:solidFill>
              </a:ln>
              <a:effectLst/>
            </c:spPr>
          </c:marker>
          <c:dLbls>
            <c:dLbl>
              <c:idx val="0"/>
              <c:layout>
                <c:manualLayout>
                  <c:x val="-1.8934283559680166E-17"/>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233-458E-AD56-3D50655CD099}"/>
                </c:ext>
              </c:extLst>
            </c:dLbl>
            <c:dLbl>
              <c:idx val="1"/>
              <c:layout>
                <c:manualLayout>
                  <c:x val="2.0655820680151502E-3"/>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233-458E-AD56-3D50655CD099}"/>
                </c:ext>
              </c:extLst>
            </c:dLbl>
            <c:dLbl>
              <c:idx val="2"/>
              <c:layout>
                <c:manualLayout>
                  <c:x val="1.032791034007613E-3"/>
                  <c:y val="-6.94444444444444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233-458E-AD56-3D50655CD099}"/>
                </c:ext>
              </c:extLst>
            </c:dLbl>
            <c:dLbl>
              <c:idx val="3"/>
              <c:layout>
                <c:manualLayout>
                  <c:x val="-3.0983731020228391E-3"/>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33-458E-AD56-3D50655CD099}"/>
                </c:ext>
              </c:extLst>
            </c:dLbl>
            <c:dLbl>
              <c:idx val="4"/>
              <c:layout>
                <c:manualLayout>
                  <c:x val="-3.2016522054236003E-2"/>
                  <c:y val="-8.79629629629629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233-458E-AD56-3D50655CD099}"/>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Sheet1!$C$2:$G$2</c:f>
              <c:numCache>
                <c:formatCode>0</c:formatCode>
                <c:ptCount val="5"/>
                <c:pt idx="0">
                  <c:v>2021</c:v>
                </c:pt>
                <c:pt idx="1">
                  <c:v>2022</c:v>
                </c:pt>
                <c:pt idx="2">
                  <c:v>2023</c:v>
                </c:pt>
                <c:pt idx="3">
                  <c:v>2024</c:v>
                </c:pt>
                <c:pt idx="4">
                  <c:v>2025</c:v>
                </c:pt>
              </c:numCache>
            </c:numRef>
          </c:cat>
          <c:val>
            <c:numRef>
              <c:f>Sheet1!$C$15:$G$15</c:f>
              <c:numCache>
                <c:formatCode>#,##0.0</c:formatCode>
                <c:ptCount val="5"/>
                <c:pt idx="0">
                  <c:v>466630.63276370009</c:v>
                </c:pt>
                <c:pt idx="1">
                  <c:v>526117.54619559995</c:v>
                </c:pt>
                <c:pt idx="2">
                  <c:v>568646.45166448981</c:v>
                </c:pt>
                <c:pt idx="3">
                  <c:v>704648.98790997011</c:v>
                </c:pt>
                <c:pt idx="4">
                  <c:v>715380.18000763003</c:v>
                </c:pt>
              </c:numCache>
            </c:numRef>
          </c:val>
          <c:smooth val="1"/>
          <c:extLst>
            <c:ext xmlns:c16="http://schemas.microsoft.com/office/drawing/2014/chart" uri="{C3380CC4-5D6E-409C-BE32-E72D297353CC}">
              <c16:uniqueId val="{00000005-5233-458E-AD56-3D50655CD099}"/>
            </c:ext>
          </c:extLst>
        </c:ser>
        <c:dLbls>
          <c:showLegendKey val="0"/>
          <c:showVal val="0"/>
          <c:showCatName val="0"/>
          <c:showSerName val="0"/>
          <c:showPercent val="0"/>
          <c:showBubbleSize val="0"/>
        </c:dLbls>
        <c:marker val="1"/>
        <c:smooth val="0"/>
        <c:axId val="725302623"/>
        <c:axId val="737171631"/>
      </c:lineChart>
      <c:catAx>
        <c:axId val="72530262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37171631"/>
        <c:crosses val="autoZero"/>
        <c:auto val="1"/>
        <c:lblAlgn val="ctr"/>
        <c:lblOffset val="100"/>
        <c:noMultiLvlLbl val="0"/>
      </c:catAx>
      <c:valAx>
        <c:axId val="737171631"/>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725302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zero"/>
    <c:showDLblsOverMax val="0"/>
  </c:chart>
  <c:spPr>
    <a:noFill/>
    <a:ln w="9525" cap="flat" cmpd="sng" algn="ctr">
      <a:no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B07DB-97D3-4832-A902-88FDA2B45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111</Pages>
  <Words>32651</Words>
  <Characters>186111</Characters>
  <Application>Microsoft Office Word</Application>
  <DocSecurity>0</DocSecurity>
  <Lines>1550</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 Lazić</dc:creator>
  <cp:keywords/>
  <dc:description/>
  <cp:lastModifiedBy>Mladen Lazić</cp:lastModifiedBy>
  <cp:revision>5</cp:revision>
  <dcterms:created xsi:type="dcterms:W3CDTF">2026-09-21T09:31:00Z</dcterms:created>
  <dcterms:modified xsi:type="dcterms:W3CDTF">2026-09-25T09:27:00Z</dcterms:modified>
</cp:coreProperties>
</file>