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AD" w:rsidRDefault="00DD18E6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порезу на емисије гасова са ефектом стаклене баште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Предмет закона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Овим законом уводи се порез на емисије гасова са ефект</w:t>
      </w:r>
      <w:r>
        <w:rPr>
          <w:rFonts w:ascii="Verdana" w:eastAsia="Verdana" w:hAnsi="Verdana" w:cs="Verdana"/>
        </w:rPr>
        <w:t>ом стаклене баште (у даљем тексту: порез).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 xml:space="preserve">Гасови са ефектом стаклене баште – енг. </w:t>
      </w:r>
      <w:r>
        <w:rPr>
          <w:rFonts w:ascii="Verdana" w:eastAsia="Verdana" w:hAnsi="Verdana" w:cs="Verdana"/>
          <w:i/>
        </w:rPr>
        <w:t>greenhouse gases</w:t>
      </w:r>
      <w:r>
        <w:rPr>
          <w:rFonts w:ascii="Verdana" w:eastAsia="Verdana" w:hAnsi="Verdana" w:cs="Verdana"/>
        </w:rPr>
        <w:t xml:space="preserve"> (у даљем тексту: GHG) из става 1. овог члана су угљендиоксид (CO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</w:rPr>
        <w:t>), азотсубоксид (N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</w:rPr>
        <w:t>O) и перфлуороугљеници (PFCs).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 xml:space="preserve">Порез се обрачунава и плаћа на опорезиву </w:t>
      </w:r>
      <w:r>
        <w:rPr>
          <w:rFonts w:ascii="Verdana" w:eastAsia="Verdana" w:hAnsi="Verdana" w:cs="Verdana"/>
        </w:rPr>
        <w:t>количину GHG коју порески обвезник емитује у току пореског периода, у складу са овим законом.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Обвезник пореза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Обвезник пореза је правно лице или предузетник који, у складу са прописима који уређују климатске промене, има обавезу да поседује дозволу</w:t>
      </w:r>
      <w:r>
        <w:rPr>
          <w:rFonts w:ascii="Verdana" w:eastAsia="Verdana" w:hAnsi="Verdana" w:cs="Verdana"/>
        </w:rPr>
        <w:t xml:space="preserve"> за емисију GHG (у даљем тексту: обвезник), а који као оператер постројења, односно дела постројења за које је обавезан да прибави поменуту дозволу (у даљем тексту: постројење), обавља једну или више од следећих делатности у смислу прописа који уређује кла</w:t>
      </w:r>
      <w:r>
        <w:rPr>
          <w:rFonts w:ascii="Verdana" w:eastAsia="Verdana" w:hAnsi="Verdana" w:cs="Verdana"/>
        </w:rPr>
        <w:t>сификацију делатности: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1) производња вештачких ђубрива и азотних једињења;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2) производња цемента;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3) производња сировог гвожђа, челика и феролегура;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4) производња алуминијума;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5) производња електричне енергије.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Пореска основица, порески период и износ поре</w:t>
      </w:r>
      <w:r>
        <w:rPr>
          <w:rFonts w:ascii="Verdana" w:eastAsia="Verdana" w:hAnsi="Verdana" w:cs="Verdana"/>
          <w:b/>
        </w:rPr>
        <w:t>ске обавезе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 xml:space="preserve">Пореска основица утврђује се као количина GHG коју обвезник емитује у току пореског периода из свих појединачних постројења (у даљем тексту: укупна емисија) умањена за количину емисија која је референтна за одређени производни процес, односно активност (у </w:t>
      </w:r>
      <w:r>
        <w:rPr>
          <w:rFonts w:ascii="Verdana" w:eastAsia="Verdana" w:hAnsi="Verdana" w:cs="Verdana"/>
        </w:rPr>
        <w:t>даљем тексту: референтна емисија).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Укупна емисија се утврђује на основу верификованих извештаја које обвезник доставља надлежном органу у складу са прописима који уређују климатске промене (у даљем тексту: извештај), односно на основу процене емисије GHG о</w:t>
      </w:r>
      <w:r>
        <w:rPr>
          <w:rFonts w:ascii="Verdana" w:eastAsia="Verdana" w:hAnsi="Verdana" w:cs="Verdana"/>
        </w:rPr>
        <w:t>д стране тог надлежног органа која, у случајевима предвиђеним наведеним прописима, замењује тај извештај.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Референтна емисија се утврђује као производ износа референтних вредности емисија које су утврђене за одређени производни процес, односно активност као</w:t>
      </w:r>
      <w:r>
        <w:rPr>
          <w:rFonts w:ascii="Verdana" w:eastAsia="Verdana" w:hAnsi="Verdana" w:cs="Verdana"/>
        </w:rPr>
        <w:t xml:space="preserve"> неизбежне упркос употреби најнапредније </w:t>
      </w:r>
      <w:r>
        <w:rPr>
          <w:rFonts w:ascii="Verdana" w:eastAsia="Verdana" w:hAnsi="Verdana" w:cs="Verdana"/>
        </w:rPr>
        <w:lastRenderedPageBreak/>
        <w:t>расположиве технологије (у даљем тексту: референтне вредности) и количине произведеног производа, односно обима предузете активности у току пореског периода.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Министар надлежан за послове заштите животне средине ближ</w:t>
      </w:r>
      <w:r>
        <w:rPr>
          <w:rFonts w:ascii="Verdana" w:eastAsia="Verdana" w:hAnsi="Verdana" w:cs="Verdana"/>
        </w:rPr>
        <w:t>е прописује референтне вредности за производне процесе, односно активности из става 3. овог члана.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Порески период је календарска година.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Изузетно од става 5. овог члана, порески период је период краћи од календарске године, у случају: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1) отпочињања рада по</w:t>
      </w:r>
      <w:r>
        <w:rPr>
          <w:rFonts w:ascii="Verdana" w:eastAsia="Verdana" w:hAnsi="Verdana" w:cs="Verdana"/>
        </w:rPr>
        <w:t xml:space="preserve">стројења, у којем обвезник обавља делатност из члана 2. овог закона, током календарске године, када порески период започиње даном отпочињања рада постројења; 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2) престанка рада свих постројења, у којима обвезник обавља делатност из члана 2. овог закона, то</w:t>
      </w:r>
      <w:r>
        <w:rPr>
          <w:rFonts w:ascii="Verdana" w:eastAsia="Verdana" w:hAnsi="Verdana" w:cs="Verdana"/>
        </w:rPr>
        <w:t>ком календарске године, када се порески период завршава на дан када је обвезник у целости престао да обавља наведену делатност.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Укупан износ пореске обавезе се утврђује тако што се пореска основица, исказана у тонама CO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</w:rPr>
        <w:t>, односно тонама CO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</w:rPr>
        <w:t xml:space="preserve"> еквивалента (CO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</w:rPr>
        <w:t>eq) у случају емисије GHG који нису угљендиоксид, помножи износом пореза од четири евра у динарској противвредности по тони CO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</w:rPr>
        <w:t>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Динарска противвредност из става 7. овог члана утврђује се по званичном средњем курсу евра Народне банке Србије на последњи да</w:t>
      </w:r>
      <w:r>
        <w:rPr>
          <w:rFonts w:ascii="Verdana" w:eastAsia="Verdana" w:hAnsi="Verdana" w:cs="Verdana"/>
        </w:rPr>
        <w:t>н пореског периода за који се пореска пријава подноси.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Изузетно, у случају из става 6. тачка 2) овог члана динарска противвредност утврђује се по званичном средњем курсу евра Народне банке Србије на дан 31. децембар године која претходи години престанка ра</w:t>
      </w:r>
      <w:r>
        <w:rPr>
          <w:rFonts w:ascii="Verdana" w:eastAsia="Verdana" w:hAnsi="Verdana" w:cs="Verdana"/>
        </w:rPr>
        <w:t>да свих постројења.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Порески кредит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Обвезнику чија је регистрована претежна делатност производња електричне енергије у смислу члана 2. овог закона и који је у претходном пореском периоду од те делатности остварио најмање 80% својих укупних прихода п</w:t>
      </w:r>
      <w:r>
        <w:rPr>
          <w:rFonts w:ascii="Verdana" w:eastAsia="Verdana" w:hAnsi="Verdana" w:cs="Verdana"/>
        </w:rPr>
        <w:t>ризнаје се право на порески кредит у износу од 20% износа финансијских средстава која је током пореског периода за који се подноси пореска пријава уложио у прописане мере и активности које доводе до смањења емисија угљендиоксида еквивалента (CO</w:t>
      </w:r>
      <w:r>
        <w:rPr>
          <w:rFonts w:ascii="Verdana" w:eastAsia="Verdana" w:hAnsi="Verdana" w:cs="Verdana"/>
          <w:vertAlign w:val="subscript"/>
        </w:rPr>
        <w:t>2</w:t>
      </w:r>
      <w:r>
        <w:rPr>
          <w:rFonts w:ascii="Verdana" w:eastAsia="Verdana" w:hAnsi="Verdana" w:cs="Verdana"/>
        </w:rPr>
        <w:t>eq).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Пореск</w:t>
      </w:r>
      <w:r>
        <w:rPr>
          <w:rFonts w:ascii="Verdana" w:eastAsia="Verdana" w:hAnsi="Verdana" w:cs="Verdana"/>
        </w:rPr>
        <w:t>и кредит из става 1. овог члана представља износ за који се умањује обрачунати порез.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Порески кредит из става 1. овог члана не може бити већи од 80% пореске обавезе по основу пореза.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Влада, на предлог министарства надлежног за послове заштите животне среди</w:t>
      </w:r>
      <w:r>
        <w:rPr>
          <w:rFonts w:ascii="Verdana" w:eastAsia="Verdana" w:hAnsi="Verdana" w:cs="Verdana"/>
        </w:rPr>
        <w:t>не и министарства надлежног за послове енергетике и рударства, прописује врсте мера, као и начин извештавања о реализованим мерама, за смањење емисија из става 1. овог члана.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lastRenderedPageBreak/>
        <w:t>Обвезник је дужан да води евиденцију финансијских средстава уложених у мере за см</w:t>
      </w:r>
      <w:r>
        <w:rPr>
          <w:rFonts w:ascii="Verdana" w:eastAsia="Verdana" w:hAnsi="Verdana" w:cs="Verdana"/>
        </w:rPr>
        <w:t>ањење емисија из става 1. овог члана на основу којих је коришћен порески кредит, као и доказе у вези са таквим улагањима.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Обвезник је дужан да чува евиденцију и доказе из става 5. овог члана до истека рока застарелости права на утврђивање и наплату пореске</w:t>
      </w:r>
      <w:r>
        <w:rPr>
          <w:rFonts w:ascii="Verdana" w:eastAsia="Verdana" w:hAnsi="Verdana" w:cs="Verdana"/>
        </w:rPr>
        <w:t xml:space="preserve"> обавезе на коју се евиденција и докази односе.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Министар надлежан за послове финансија ближе уређује начин остваривања права на порески кредит из става 1. овог члана, као и облик, садржину и начин вођења евиденције из става 5. овог члана.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Пореска пријава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</w:t>
      </w:r>
      <w:r>
        <w:rPr>
          <w:rFonts w:ascii="Verdana" w:eastAsia="Verdana" w:hAnsi="Verdana" w:cs="Verdana"/>
        </w:rPr>
        <w:t>лан 5.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Обвезник је дужан да Министарству финансија – Пореској управи поднесе пореску пријаву у којој је исказан порез за порески период (у даљем тексту: пореска пријава).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Уз пореску пријаву обвезник је дужан да приложи извештајe, односно процене емисије GH</w:t>
      </w:r>
      <w:r>
        <w:rPr>
          <w:rFonts w:ascii="Verdana" w:eastAsia="Verdana" w:hAnsi="Verdana" w:cs="Verdana"/>
        </w:rPr>
        <w:t>G надлежног органа из члана 3. став 2. овог закона.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Пореска пријава се подноси до 31. маја текућег пореског периода за претходни порески период.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 случају престанка обављања делатности у свим постројењима, обвезник је дужан да поднесе пореску пријаву за те</w:t>
      </w:r>
      <w:r>
        <w:rPr>
          <w:rFonts w:ascii="Verdana" w:eastAsia="Verdana" w:hAnsi="Verdana" w:cs="Verdana"/>
        </w:rPr>
        <w:t xml:space="preserve">кући порески период, а у року од 30 дана од истека последњег дана у коме је обвезник обављао наведену делатност. 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 случају из става 4. овог члана, обвезник који није поднео пореску пријаву за претходни порески период је у обавези да је поднесе у року из с</w:t>
      </w:r>
      <w:r>
        <w:rPr>
          <w:rFonts w:ascii="Verdana" w:eastAsia="Verdana" w:hAnsi="Verdana" w:cs="Verdana"/>
        </w:rPr>
        <w:t>тава 4. овог члана, а најкасније до 31. маја текућег пореског периода.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 xml:space="preserve">У случају промене оператера постројења током пореског периода, обавезу подношења пореске пријаве и плаћања пореза за целокупан порески период у вези са тим постројењем има лице које је оператер тог постројења на последњи дан тог пореског периода, с тим да </w:t>
      </w:r>
      <w:r>
        <w:rPr>
          <w:rFonts w:ascii="Verdana" w:eastAsia="Verdana" w:hAnsi="Verdana" w:cs="Verdana"/>
        </w:rPr>
        <w:t>сва лица која су имала статус оператера тог постројења током календарске године солидарно одговарају за испуњење пореске обавезе која настане у вези са тим постројењем за целокупан порески период.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 случају подношења измењеног извештаја у складу са прописи</w:t>
      </w:r>
      <w:r>
        <w:rPr>
          <w:rFonts w:ascii="Verdana" w:eastAsia="Verdana" w:hAnsi="Verdana" w:cs="Verdana"/>
        </w:rPr>
        <w:t>ма о климатским променама, обвезник је дужан да поднесе измењену пореску пријаву у року од 15 дана од дана када је обвезник измењени извештај доставио надлежном органу из члана 3. став 2. овог закона.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Уз измењену пореску пријаву из става 7. овог члана обве</w:t>
      </w:r>
      <w:r>
        <w:rPr>
          <w:rFonts w:ascii="Verdana" w:eastAsia="Verdana" w:hAnsi="Verdana" w:cs="Verdana"/>
        </w:rPr>
        <w:t>зник је дужан да приложи измењени извештај из става 7. овог члана.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Пореска пријава и измењена пореска пријава из става 7. овог члана подносе се искључиво у електронском облику.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Министар надлежан за послове финансија прописује облик, садржину и начин поднош</w:t>
      </w:r>
      <w:r>
        <w:rPr>
          <w:rFonts w:ascii="Verdana" w:eastAsia="Verdana" w:hAnsi="Verdana" w:cs="Verdana"/>
        </w:rPr>
        <w:t>ења пореске пријаве, укључујући и прилоге пореској пријави.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Плаћање пореза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6.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Обвезник је дужан да плати порез у року за подношење пореске пријаве из члана 5. овог закона.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Подстицаји за декарбонизацију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Обвезник може да оствари право на подстиц</w:t>
      </w:r>
      <w:r>
        <w:rPr>
          <w:rFonts w:ascii="Verdana" w:eastAsia="Verdana" w:hAnsi="Verdana" w:cs="Verdana"/>
        </w:rPr>
        <w:t>аје који се додељују из буџета Републике Србије ради финансирања климатске и енергетске трансформације инвестирањем у развој обновљивих извора енергије и енергетску ефикасност, иновативне ниско-угљеничне технологије, декарбонизацију индустрије, пројекте ен</w:t>
      </w:r>
      <w:r>
        <w:rPr>
          <w:rFonts w:ascii="Verdana" w:eastAsia="Verdana" w:hAnsi="Verdana" w:cs="Verdana"/>
        </w:rPr>
        <w:t>ергетске транзиције укључујући и енергетску инфраструктуру, зелену градњу у складу са прописима којима се уређује планирање и изградња, као и подршку праведној транзицији и заштити угрожених домаћинстава.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Влада, на предлог министарства надлежног за послове заштите животне средине, ближе уређује услове, критеријуме и начин доделе средстава из става 1. овог члана, као и начин и рокове извештавања о коришћењу тих средстава.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Примена закона којим се уређују поре</w:t>
      </w:r>
      <w:r>
        <w:rPr>
          <w:rFonts w:ascii="Verdana" w:eastAsia="Verdana" w:hAnsi="Verdana" w:cs="Verdana"/>
          <w:b/>
        </w:rPr>
        <w:t>ски поступак и пореска администрација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У погледу утврђивања и наплате пореза, правних лекова, застарелости права на утврђивање и права на наплату пореза, казнених одредаба и других питања која нису уређена овим законом примењују се одредбе закона ко</w:t>
      </w:r>
      <w:r>
        <w:rPr>
          <w:rFonts w:ascii="Verdana" w:eastAsia="Verdana" w:hAnsi="Verdana" w:cs="Verdana"/>
        </w:rPr>
        <w:t>јим се уређују порески поступак и пореска администрација.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Прелазне и завршне одредбе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Одредбе чл. 4. и 7. овог закона примењиваће се десет година почев од дана почетка примене овог закона.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Подзаконски акти за спровођење овог закона донеће с</w:t>
      </w:r>
      <w:r>
        <w:rPr>
          <w:rFonts w:ascii="Verdana" w:eastAsia="Verdana" w:hAnsi="Verdana" w:cs="Verdana"/>
        </w:rPr>
        <w:t>е у року од 180 дана од дана ступања на снагу овог закона.</w:t>
      </w:r>
    </w:p>
    <w:p w:rsidR="006030AD" w:rsidRDefault="00DD18E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6030AD" w:rsidRDefault="00DD18E6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Србије”, а примењиваће се од 1. јануара 2026. године.</w:t>
      </w:r>
    </w:p>
    <w:sectPr w:rsidR="006030A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AD"/>
    <w:rsid w:val="006030AD"/>
    <w:rsid w:val="00D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9A6C1-14D7-4431-8FD3-1BFE52DE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2025-12-05T12:36:00Z</dcterms:created>
  <dcterms:modified xsi:type="dcterms:W3CDTF">2025-12-05T12:36:00Z</dcterms:modified>
</cp:coreProperties>
</file>